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E7C6929" wp14:paraId="692F2725" wp14:textId="7CECD082">
      <w:pPr>
        <w:shd w:val="clear" w:color="auto" w:fill="FFFFFF" w:themeFill="background1"/>
        <w:spacing w:before="0" w:beforeAutospacing="off" w:after="160" w:afterAutospacing="off"/>
        <w:jc w:val="center"/>
      </w:pPr>
      <w:r w:rsidR="46AA7827">
        <w:drawing>
          <wp:inline xmlns:wp14="http://schemas.microsoft.com/office/word/2010/wordprocessingDrawing" wp14:editId="73A48BE6" wp14:anchorId="611A3A94">
            <wp:extent cx="1914525" cy="1914525"/>
            <wp:effectExtent l="0" t="0" r="0" b="0"/>
            <wp:docPr id="1925902768" name="drawing" title="Title: UWTSD Birmingham Campus | LinkedIn"/>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5902768" name="Picture 1925902768"/>
                    <pic:cNvPicPr/>
                  </pic:nvPicPr>
                  <pic:blipFill>
                    <a:blip xmlns:r="http://schemas.openxmlformats.org/officeDocument/2006/relationships" r:embed="rId1388203428">
                      <a:extLst>
                        <a:ext uri="{28A0092B-C50C-407E-A947-70E740481C1C}">
                          <a14:useLocalDpi xmlns:a14="http://schemas.microsoft.com/office/drawing/2010/main"/>
                        </a:ext>
                      </a:extLst>
                    </a:blip>
                    <a:stretch>
                      <a:fillRect/>
                    </a:stretch>
                  </pic:blipFill>
                  <pic:spPr>
                    <a:xfrm>
                      <a:off x="0" y="0"/>
                      <a:ext cx="1914525" cy="1914525"/>
                    </a:xfrm>
                    <a:prstGeom prst="rect">
                      <a:avLst/>
                    </a:prstGeom>
                  </pic:spPr>
                </pic:pic>
              </a:graphicData>
            </a:graphic>
          </wp:inline>
        </w:drawing>
      </w:r>
    </w:p>
    <w:p xmlns:wp14="http://schemas.microsoft.com/office/word/2010/wordml" w:rsidP="0BA7B7A5" wp14:paraId="69FAFB49" wp14:textId="79701091">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University of WalesTrinity Saint David Birmingham</w:t>
      </w:r>
    </w:p>
    <w:p xmlns:wp14="http://schemas.microsoft.com/office/word/2010/wordml" w:rsidP="0BA7B7A5" wp14:paraId="6351B4B0" wp14:textId="2F8D4684">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Module Code: </w:t>
      </w:r>
    </w:p>
    <w:p xmlns:wp14="http://schemas.microsoft.com/office/word/2010/wordml" w:rsidP="0BA7B7A5" wp14:paraId="1B3AE475" wp14:textId="68383FFD">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Name of the student:</w:t>
      </w:r>
      <w:r w:rsidRPr="0BA7B7A5" w:rsidR="2CB51B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0BA7B7A5" w:rsidR="2CB51B40">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24"/>
          <w:szCs w:val="24"/>
          <w:u w:val="none"/>
          <w:lang w:val="en-US"/>
        </w:rPr>
        <w:t>Nargas Shabinah</w:t>
      </w:r>
    </w:p>
    <w:p xmlns:wp14="http://schemas.microsoft.com/office/word/2010/wordml" w:rsidP="0BA7B7A5" wp14:paraId="5E3F12D2" wp14:textId="5ECF354B">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ID number: 2418690</w:t>
      </w:r>
    </w:p>
    <w:p xmlns:wp14="http://schemas.microsoft.com/office/word/2010/wordml" w:rsidP="0BA7B7A5" wp14:paraId="3BD2CFF6" wp14:textId="78EA4EB7">
      <w:pPr>
        <w:pStyle w:val="Normal"/>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noProof w:val="0"/>
          <w:sz w:val="24"/>
          <w:szCs w:val="24"/>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Submitted </w:t>
      </w: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to</w:t>
      </w: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 </w:t>
      </w:r>
      <w:r w:rsidRPr="0BA7B7A5" w:rsidR="0A429CC0">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US"/>
        </w:rPr>
        <w:t>Kennedy</w:t>
      </w:r>
      <w:r w:rsidRPr="0BA7B7A5" w:rsidR="0A429CC0">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US"/>
        </w:rPr>
        <w:t xml:space="preserve"> </w:t>
      </w:r>
      <w:r w:rsidRPr="0BA7B7A5" w:rsidR="0A429CC0">
        <w:rPr>
          <w:rFonts w:ascii="Aptos Display" w:hAnsi="Aptos Display" w:eastAsia="Aptos Display" w:cs="Aptos Display" w:asciiTheme="majorAscii" w:hAnsiTheme="majorAscii" w:eastAsiaTheme="majorAscii" w:cstheme="majorAscii"/>
          <w:b w:val="1"/>
          <w:bCs w:val="1"/>
          <w:i w:val="0"/>
          <w:iCs w:val="0"/>
          <w:caps w:val="0"/>
          <w:smallCaps w:val="0"/>
          <w:noProof w:val="0"/>
          <w:color w:val="1D2125"/>
          <w:sz w:val="24"/>
          <w:szCs w:val="24"/>
          <w:lang w:val="en-US"/>
        </w:rPr>
        <w:t>Obohwemu</w:t>
      </w:r>
    </w:p>
    <w:p xmlns:wp14="http://schemas.microsoft.com/office/word/2010/wordml" w:rsidP="0BA7B7A5" wp14:paraId="7D2E1302" wp14:textId="280EDBD9">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Submitted on</w:t>
      </w:r>
    </w:p>
    <w:p xmlns:wp14="http://schemas.microsoft.com/office/word/2010/wordml" w:rsidP="0BA7B7A5" wp14:paraId="6E67153D" wp14:textId="7419A9DF">
      <w:pPr>
        <w:shd w:val="clear" w:color="auto" w:fill="FFFFFF" w:themeFill="background1"/>
        <w:spacing w:before="0" w:beforeAutospacing="off" w:after="160" w:afterAutospacing="off"/>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0BA7B7A5" w:rsidR="2CB51B4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Date: </w:t>
      </w:r>
      <w:r w:rsidRPr="0BA7B7A5" w:rsidR="208C5E9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28/10/2026</w:t>
      </w:r>
    </w:p>
    <w:p xmlns:wp14="http://schemas.microsoft.com/office/word/2010/wordml" w:rsidP="0BA7B7A5" wp14:paraId="14822116" wp14:textId="5953F327">
      <w:pPr>
        <w:pStyle w:val="Normal"/>
        <w:rPr>
          <w:rFonts w:ascii="Arial" w:hAnsi="Arial" w:eastAsia="Arial" w:cs="Arial" w:asciiTheme="minorAscii" w:hAnsiTheme="minorAscii" w:eastAsiaTheme="minorAscii" w:cstheme="minorAscii"/>
          <w:b w:val="1"/>
          <w:bCs w:val="1"/>
          <w:noProof w:val="0"/>
          <w:sz w:val="24"/>
          <w:szCs w:val="24"/>
          <w:lang w:val="en-US"/>
        </w:rPr>
      </w:pPr>
    </w:p>
    <w:p xmlns:wp14="http://schemas.microsoft.com/office/word/2010/wordml" w:rsidP="0BA7B7A5" wp14:paraId="2592E7EE" wp14:textId="4DD0C16D">
      <w:pPr>
        <w:pStyle w:val="Normal"/>
        <w:rPr>
          <w:rFonts w:ascii="Arial" w:hAnsi="Arial" w:eastAsia="Arial" w:cs="Arial" w:asciiTheme="minorAscii" w:hAnsiTheme="minorAscii" w:eastAsiaTheme="minorAscii" w:cstheme="minorAscii"/>
          <w:b w:val="1"/>
          <w:bCs w:val="1"/>
          <w:noProof w:val="0"/>
          <w:sz w:val="24"/>
          <w:szCs w:val="24"/>
          <w:lang w:val="en-US"/>
        </w:rPr>
      </w:pPr>
    </w:p>
    <w:p xmlns:wp14="http://schemas.microsoft.com/office/word/2010/wordml" w:rsidP="0BA7B7A5" wp14:paraId="58911B90" wp14:textId="06B6F15E">
      <w:pPr>
        <w:pStyle w:val="Normal"/>
        <w:rPr>
          <w:rFonts w:ascii="Arial" w:hAnsi="Arial" w:eastAsia="Arial" w:cs="Arial" w:asciiTheme="minorAscii" w:hAnsiTheme="minorAscii" w:eastAsiaTheme="minorAscii" w:cstheme="minorAscii"/>
          <w:b w:val="1"/>
          <w:bCs w:val="1"/>
          <w:noProof w:val="0"/>
          <w:sz w:val="24"/>
          <w:szCs w:val="24"/>
          <w:lang w:val="en-US"/>
        </w:rPr>
      </w:pPr>
    </w:p>
    <w:p xmlns:wp14="http://schemas.microsoft.com/office/word/2010/wordml" w:rsidP="3E7C6929" wp14:paraId="09399C70" wp14:textId="6C0C9A4B">
      <w:pPr>
        <w:pStyle w:val="Normal"/>
        <w:rPr>
          <w:rFonts w:ascii="Arial" w:hAnsi="Arial" w:eastAsia="Arial" w:cs="Arial"/>
          <w:b w:val="1"/>
          <w:bCs w:val="1"/>
          <w:noProof w:val="0"/>
          <w:sz w:val="22"/>
          <w:szCs w:val="22"/>
          <w:lang w:val="en-US"/>
        </w:rPr>
      </w:pPr>
    </w:p>
    <w:p xmlns:wp14="http://schemas.microsoft.com/office/word/2010/wordml" w:rsidP="3E7C6929" wp14:paraId="2C8AEAB2" wp14:textId="03CFCC11">
      <w:pPr>
        <w:pStyle w:val="Normal"/>
        <w:rPr>
          <w:rFonts w:ascii="Arial" w:hAnsi="Arial" w:eastAsia="Arial" w:cs="Arial"/>
          <w:b w:val="1"/>
          <w:bCs w:val="1"/>
          <w:noProof w:val="0"/>
          <w:sz w:val="22"/>
          <w:szCs w:val="22"/>
          <w:lang w:val="en-US"/>
        </w:rPr>
      </w:pPr>
    </w:p>
    <w:p xmlns:wp14="http://schemas.microsoft.com/office/word/2010/wordml" w:rsidP="0BA7B7A5" wp14:paraId="50A490ED" wp14:textId="62250514">
      <w:pPr>
        <w:pStyle w:val="Normal"/>
        <w:rPr>
          <w:rFonts w:ascii="Arial" w:hAnsi="Arial" w:eastAsia="Arial" w:cs="Arial"/>
          <w:b w:val="1"/>
          <w:bCs w:val="1"/>
          <w:noProof w:val="0"/>
          <w:sz w:val="22"/>
          <w:szCs w:val="22"/>
          <w:lang w:val="en-US"/>
        </w:rPr>
      </w:pPr>
    </w:p>
    <w:p xmlns:wp14="http://schemas.microsoft.com/office/word/2010/wordml" w:rsidP="0BA7B7A5" wp14:paraId="226C47AF" wp14:textId="0EDDC205">
      <w:pPr>
        <w:pStyle w:val="Normal"/>
        <w:rPr>
          <w:rFonts w:ascii="Arial" w:hAnsi="Arial" w:eastAsia="Arial" w:cs="Arial"/>
          <w:b w:val="1"/>
          <w:bCs w:val="1"/>
          <w:noProof w:val="0"/>
          <w:sz w:val="22"/>
          <w:szCs w:val="22"/>
          <w:lang w:val="en-US"/>
        </w:rPr>
      </w:pPr>
    </w:p>
    <w:p xmlns:wp14="http://schemas.microsoft.com/office/word/2010/wordml" w:rsidP="0BA7B7A5" wp14:paraId="7BC888FC" wp14:textId="774D1555">
      <w:pPr>
        <w:pStyle w:val="Normal"/>
        <w:rPr>
          <w:rFonts w:ascii="Arial" w:hAnsi="Arial" w:eastAsia="Arial" w:cs="Arial"/>
          <w:b w:val="1"/>
          <w:bCs w:val="1"/>
          <w:noProof w:val="0"/>
          <w:sz w:val="22"/>
          <w:szCs w:val="22"/>
          <w:lang w:val="en-US"/>
        </w:rPr>
      </w:pPr>
    </w:p>
    <w:p xmlns:wp14="http://schemas.microsoft.com/office/word/2010/wordml" w:rsidP="0BA7B7A5" wp14:paraId="17636B11" wp14:textId="393E9930">
      <w:pPr>
        <w:pStyle w:val="Normal"/>
        <w:rPr>
          <w:rFonts w:ascii="Arial" w:hAnsi="Arial" w:eastAsia="Arial" w:cs="Arial"/>
          <w:b w:val="1"/>
          <w:bCs w:val="1"/>
          <w:noProof w:val="0"/>
          <w:sz w:val="22"/>
          <w:szCs w:val="22"/>
          <w:lang w:val="en-US"/>
        </w:rPr>
      </w:pPr>
    </w:p>
    <w:p xmlns:wp14="http://schemas.microsoft.com/office/word/2010/wordml" w:rsidP="0BA7B7A5" wp14:paraId="6E3D0B08" wp14:textId="149CDB56">
      <w:pPr>
        <w:pStyle w:val="Normal"/>
        <w:rPr>
          <w:rFonts w:ascii="Arial" w:hAnsi="Arial" w:eastAsia="Arial" w:cs="Arial"/>
          <w:b w:val="1"/>
          <w:bCs w:val="1"/>
          <w:noProof w:val="0"/>
          <w:sz w:val="22"/>
          <w:szCs w:val="22"/>
          <w:lang w:val="en-US"/>
        </w:rPr>
      </w:pPr>
    </w:p>
    <w:p xmlns:wp14="http://schemas.microsoft.com/office/word/2010/wordml" w:rsidP="0BA7B7A5" wp14:paraId="6B476779" wp14:textId="5D51A189">
      <w:pPr>
        <w:pStyle w:val="Normal"/>
        <w:rPr>
          <w:rFonts w:ascii="Arial" w:hAnsi="Arial" w:eastAsia="Arial" w:cs="Arial"/>
          <w:b w:val="1"/>
          <w:bCs w:val="1"/>
          <w:noProof w:val="0"/>
          <w:sz w:val="22"/>
          <w:szCs w:val="22"/>
          <w:lang w:val="en-US"/>
        </w:rPr>
      </w:pPr>
    </w:p>
    <w:p xmlns:wp14="http://schemas.microsoft.com/office/word/2010/wordml" w:rsidP="0BA7B7A5" wp14:paraId="515F1FB9" wp14:textId="223C2B58">
      <w:pPr>
        <w:pStyle w:val="Normal"/>
        <w:rPr>
          <w:rFonts w:ascii="Arial" w:hAnsi="Arial" w:eastAsia="Arial" w:cs="Arial"/>
          <w:b w:val="1"/>
          <w:bCs w:val="1"/>
          <w:noProof w:val="0"/>
          <w:sz w:val="22"/>
          <w:szCs w:val="22"/>
          <w:lang w:val="en-US"/>
        </w:rPr>
      </w:pPr>
    </w:p>
    <w:p xmlns:wp14="http://schemas.microsoft.com/office/word/2010/wordml" w:rsidP="0BA7B7A5" wp14:paraId="67473726" wp14:textId="4E7D9762">
      <w:pPr>
        <w:pStyle w:val="Normal"/>
        <w:rPr>
          <w:rFonts w:ascii="Arial" w:hAnsi="Arial" w:eastAsia="Arial" w:cs="Arial"/>
          <w:b w:val="1"/>
          <w:bCs w:val="1"/>
          <w:noProof w:val="0"/>
          <w:sz w:val="22"/>
          <w:szCs w:val="22"/>
          <w:lang w:val="en-US"/>
        </w:rPr>
      </w:pPr>
    </w:p>
    <w:p xmlns:wp14="http://schemas.microsoft.com/office/word/2010/wordml" w:rsidP="0BA7B7A5" wp14:paraId="6384DCE9" wp14:textId="707C6B61">
      <w:pPr>
        <w:pStyle w:val="Normal"/>
        <w:rPr>
          <w:rFonts w:ascii="Arial" w:hAnsi="Arial" w:eastAsia="Arial" w:cs="Arial"/>
          <w:b w:val="1"/>
          <w:bCs w:val="1"/>
          <w:noProof w:val="0"/>
          <w:sz w:val="22"/>
          <w:szCs w:val="22"/>
          <w:lang w:val="en-US"/>
        </w:rPr>
      </w:pPr>
    </w:p>
    <w:p xmlns:wp14="http://schemas.microsoft.com/office/word/2010/wordml" w:rsidP="0BA7B7A5" wp14:paraId="249C011F" wp14:textId="69D15A05">
      <w:pPr>
        <w:pStyle w:val="Normal"/>
        <w:spacing w:line="360" w:lineRule="auto"/>
        <w:rPr>
          <w:rFonts w:ascii="Arial" w:hAnsi="Arial" w:eastAsia="Arial" w:cs="Arial"/>
          <w:b w:val="1"/>
          <w:bCs w:val="1"/>
          <w:noProof w:val="0"/>
          <w:sz w:val="22"/>
          <w:szCs w:val="22"/>
          <w:lang w:val="en-US"/>
        </w:rPr>
      </w:pPr>
      <w:r w:rsidRPr="0BA7B7A5" w:rsidR="742CAE75">
        <w:rPr>
          <w:rFonts w:ascii="Arial" w:hAnsi="Arial" w:eastAsia="Arial" w:cs="Arial"/>
          <w:b w:val="1"/>
          <w:bCs w:val="1"/>
          <w:noProof w:val="0"/>
          <w:sz w:val="22"/>
          <w:szCs w:val="22"/>
          <w:u w:val="single"/>
          <w:lang w:val="en-US"/>
        </w:rPr>
        <w:t>Table of content</w:t>
      </w:r>
      <w:r w:rsidRPr="0BA7B7A5" w:rsidR="66BD1036">
        <w:rPr>
          <w:rFonts w:ascii="Arial" w:hAnsi="Arial" w:eastAsia="Arial" w:cs="Arial"/>
          <w:b w:val="1"/>
          <w:bCs w:val="1"/>
          <w:noProof w:val="0"/>
          <w:sz w:val="22"/>
          <w:szCs w:val="22"/>
          <w:u w:val="single"/>
          <w:lang w:val="en-US"/>
        </w:rPr>
        <w:t>:</w:t>
      </w:r>
    </w:p>
    <w:p w:rsidR="791EC555" w:rsidP="0BA7B7A5" w:rsidRDefault="791EC555" w14:paraId="0130D32C" w14:textId="26464845">
      <w:pPr>
        <w:pStyle w:val="Normal"/>
        <w:spacing w:line="360" w:lineRule="auto"/>
      </w:pPr>
      <w:r w:rsidRPr="0BA7B7A5" w:rsidR="791EC555">
        <w:rPr>
          <w:rFonts w:ascii="Arial" w:hAnsi="Arial" w:eastAsia="Arial" w:cs="Arial"/>
          <w:b w:val="1"/>
          <w:bCs w:val="1"/>
          <w:noProof w:val="0"/>
          <w:sz w:val="22"/>
          <w:szCs w:val="22"/>
          <w:lang w:val="en-US"/>
        </w:rPr>
        <w:t>Component</w:t>
      </w:r>
      <w:r w:rsidRPr="0BA7B7A5" w:rsidR="791EC555">
        <w:rPr>
          <w:rFonts w:ascii="Arial" w:hAnsi="Arial" w:eastAsia="Arial" w:cs="Arial"/>
          <w:b w:val="1"/>
          <w:bCs w:val="1"/>
          <w:noProof w:val="0"/>
          <w:sz w:val="22"/>
          <w:szCs w:val="22"/>
          <w:lang w:val="en-US"/>
        </w:rPr>
        <w:t xml:space="preserve"> 1: Reflective report</w:t>
      </w:r>
    </w:p>
    <w:p w:rsidR="0D4CB974" w:rsidP="0BA7B7A5" w:rsidRDefault="0D4CB974" w14:paraId="0F00B0B9" w14:textId="683C999E">
      <w:pPr>
        <w:pStyle w:val="Normal"/>
        <w:spacing w:line="360" w:lineRule="auto"/>
        <w:rPr>
          <w:rFonts w:ascii="Arial" w:hAnsi="Arial" w:eastAsia="Arial" w:cs="Arial"/>
          <w:b w:val="1"/>
          <w:bCs w:val="1"/>
          <w:noProof w:val="0"/>
          <w:sz w:val="22"/>
          <w:szCs w:val="22"/>
          <w:lang w:val="en-US"/>
        </w:rPr>
      </w:pPr>
      <w:r w:rsidRPr="0BA7B7A5" w:rsidR="0D4CB974">
        <w:rPr>
          <w:rFonts w:ascii="Arial" w:hAnsi="Arial" w:eastAsia="Arial" w:cs="Arial"/>
          <w:b w:val="1"/>
          <w:bCs w:val="1"/>
          <w:noProof w:val="0"/>
          <w:sz w:val="22"/>
          <w:szCs w:val="22"/>
          <w:lang w:val="en-US"/>
        </w:rPr>
        <w:t xml:space="preserve">Task 1: </w:t>
      </w:r>
      <w:r w:rsidRPr="0BA7B7A5" w:rsidR="6D1684FC">
        <w:rPr>
          <w:rFonts w:ascii="Arial" w:hAnsi="Arial" w:eastAsia="Arial" w:cs="Arial"/>
          <w:b w:val="1"/>
          <w:bCs w:val="1"/>
          <w:noProof w:val="0"/>
          <w:sz w:val="22"/>
          <w:szCs w:val="22"/>
          <w:lang w:val="en-US"/>
        </w:rPr>
        <w:t>Reflection on the importance of Health and Social Care</w:t>
      </w:r>
      <w:r w:rsidRPr="0BA7B7A5" w:rsidR="79E5FDDE">
        <w:rPr>
          <w:rFonts w:ascii="Arial" w:hAnsi="Arial" w:eastAsia="Arial" w:cs="Arial"/>
          <w:b w:val="1"/>
          <w:bCs w:val="1"/>
          <w:noProof w:val="0"/>
          <w:sz w:val="22"/>
          <w:szCs w:val="22"/>
          <w:lang w:val="en-US"/>
        </w:rPr>
        <w:t xml:space="preserve">.........page </w:t>
      </w:r>
    </w:p>
    <w:p w:rsidR="3C469098" w:rsidP="0BA7B7A5" w:rsidRDefault="3C469098" w14:paraId="5881DD53" w14:textId="64DE64E4">
      <w:pPr>
        <w:pStyle w:val="Normal"/>
        <w:spacing w:line="360" w:lineRule="auto"/>
        <w:rPr>
          <w:rFonts w:ascii="Arial" w:hAnsi="Arial" w:eastAsia="Arial" w:cs="Arial"/>
          <w:b w:val="1"/>
          <w:bCs w:val="1"/>
          <w:noProof w:val="0"/>
          <w:sz w:val="22"/>
          <w:szCs w:val="22"/>
          <w:lang w:val="en-US"/>
        </w:rPr>
      </w:pPr>
      <w:r w:rsidRPr="0BA7B7A5" w:rsidR="3C469098">
        <w:rPr>
          <w:rFonts w:ascii="Arial" w:hAnsi="Arial" w:eastAsia="Arial" w:cs="Arial"/>
          <w:b w:val="1"/>
          <w:bCs w:val="1"/>
          <w:noProof w:val="0"/>
          <w:sz w:val="22"/>
          <w:szCs w:val="22"/>
          <w:lang w:val="en-US"/>
        </w:rPr>
        <w:t xml:space="preserve">Task 2: </w:t>
      </w:r>
      <w:r w:rsidRPr="0BA7B7A5" w:rsidR="79E5FDDE">
        <w:rPr>
          <w:rFonts w:ascii="Arial" w:hAnsi="Arial" w:eastAsia="Arial" w:cs="Arial"/>
          <w:b w:val="1"/>
          <w:bCs w:val="1"/>
          <w:noProof w:val="0"/>
          <w:sz w:val="22"/>
          <w:szCs w:val="22"/>
          <w:lang w:val="en-US"/>
        </w:rPr>
        <w:t>Practical examples of</w:t>
      </w:r>
      <w:r w:rsidRPr="0BA7B7A5" w:rsidR="0B81938E">
        <w:rPr>
          <w:rFonts w:ascii="Arial" w:hAnsi="Arial" w:eastAsia="Arial" w:cs="Arial"/>
          <w:b w:val="1"/>
          <w:bCs w:val="1"/>
          <w:noProof w:val="0"/>
          <w:sz w:val="22"/>
          <w:szCs w:val="22"/>
          <w:lang w:val="en-US"/>
        </w:rPr>
        <w:t xml:space="preserve"> concepts in practice:</w:t>
      </w:r>
      <w:r w:rsidRPr="0BA7B7A5" w:rsidR="79E5FDDE">
        <w:rPr>
          <w:rFonts w:ascii="Arial" w:hAnsi="Arial" w:eastAsia="Arial" w:cs="Arial"/>
          <w:b w:val="1"/>
          <w:bCs w:val="1"/>
          <w:noProof w:val="0"/>
          <w:sz w:val="22"/>
          <w:szCs w:val="22"/>
          <w:lang w:val="en-US"/>
        </w:rPr>
        <w:t xml:space="preserve"> </w:t>
      </w:r>
      <w:r w:rsidRPr="0BA7B7A5" w:rsidR="6A348C34">
        <w:rPr>
          <w:rFonts w:ascii="Arial" w:hAnsi="Arial" w:eastAsia="Arial" w:cs="Arial"/>
          <w:b w:val="1"/>
          <w:bCs w:val="1"/>
          <w:noProof w:val="0"/>
          <w:sz w:val="22"/>
          <w:szCs w:val="22"/>
          <w:lang w:val="en-US"/>
        </w:rPr>
        <w:t>Joan's</w:t>
      </w:r>
      <w:r w:rsidRPr="0BA7B7A5" w:rsidR="4B6A2067">
        <w:rPr>
          <w:rFonts w:ascii="Arial" w:hAnsi="Arial" w:eastAsia="Arial" w:cs="Arial"/>
          <w:b w:val="1"/>
          <w:bCs w:val="1"/>
          <w:noProof w:val="0"/>
          <w:sz w:val="22"/>
          <w:szCs w:val="22"/>
          <w:lang w:val="en-US"/>
        </w:rPr>
        <w:t xml:space="preserve"> </w:t>
      </w:r>
      <w:r w:rsidRPr="0BA7B7A5" w:rsidR="6A348C34">
        <w:rPr>
          <w:rFonts w:ascii="Arial" w:hAnsi="Arial" w:eastAsia="Arial" w:cs="Arial"/>
          <w:b w:val="1"/>
          <w:bCs w:val="1"/>
          <w:noProof w:val="0"/>
          <w:sz w:val="22"/>
          <w:szCs w:val="22"/>
          <w:lang w:val="en-US"/>
        </w:rPr>
        <w:t>story</w:t>
      </w:r>
      <w:r w:rsidRPr="0BA7B7A5" w:rsidR="79E5FDDE">
        <w:rPr>
          <w:rFonts w:ascii="Arial" w:hAnsi="Arial" w:eastAsia="Arial" w:cs="Arial"/>
          <w:b w:val="1"/>
          <w:bCs w:val="1"/>
          <w:noProof w:val="0"/>
          <w:sz w:val="22"/>
          <w:szCs w:val="22"/>
          <w:lang w:val="en-US"/>
        </w:rPr>
        <w:t>..............................</w:t>
      </w:r>
      <w:r w:rsidRPr="0BA7B7A5" w:rsidR="35B0463B">
        <w:rPr>
          <w:rFonts w:ascii="Arial" w:hAnsi="Arial" w:eastAsia="Arial" w:cs="Arial"/>
          <w:b w:val="1"/>
          <w:bCs w:val="1"/>
          <w:noProof w:val="0"/>
          <w:sz w:val="22"/>
          <w:szCs w:val="22"/>
          <w:lang w:val="en-US"/>
        </w:rPr>
        <w:t>.............</w:t>
      </w:r>
      <w:r w:rsidRPr="0BA7B7A5" w:rsidR="23AEEA56">
        <w:rPr>
          <w:rFonts w:ascii="Arial" w:hAnsi="Arial" w:eastAsia="Arial" w:cs="Arial"/>
          <w:b w:val="1"/>
          <w:bCs w:val="1"/>
          <w:noProof w:val="0"/>
          <w:sz w:val="22"/>
          <w:szCs w:val="22"/>
          <w:lang w:val="en-US"/>
        </w:rPr>
        <w:t>...................................</w:t>
      </w:r>
      <w:r w:rsidRPr="0BA7B7A5" w:rsidR="79E5FDDE">
        <w:rPr>
          <w:rFonts w:ascii="Arial" w:hAnsi="Arial" w:eastAsia="Arial" w:cs="Arial"/>
          <w:b w:val="1"/>
          <w:bCs w:val="1"/>
          <w:noProof w:val="0"/>
          <w:sz w:val="22"/>
          <w:szCs w:val="22"/>
          <w:lang w:val="en-US"/>
        </w:rPr>
        <w:t>.page</w:t>
      </w:r>
    </w:p>
    <w:p w:rsidR="066BB4E1" w:rsidP="0BA7B7A5" w:rsidRDefault="066BB4E1" w14:paraId="692B4336" w14:textId="6FB56E9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0BA7B7A5" w:rsidR="066BB4E1">
        <w:rPr>
          <w:rFonts w:ascii="Arial" w:hAnsi="Arial" w:eastAsia="Arial" w:cs="Arial"/>
          <w:b w:val="1"/>
          <w:bCs w:val="1"/>
          <w:noProof w:val="0"/>
          <w:sz w:val="22"/>
          <w:szCs w:val="22"/>
          <w:lang w:val="en-US"/>
        </w:rPr>
        <w:t xml:space="preserve">Task 3: </w:t>
      </w:r>
      <w:r w:rsidRPr="0BA7B7A5" w:rsidR="6051D601">
        <w:rPr>
          <w:rFonts w:ascii="Arial" w:hAnsi="Arial" w:eastAsia="Arial" w:cs="Arial"/>
          <w:b w:val="1"/>
          <w:bCs w:val="1"/>
          <w:noProof w:val="0"/>
          <w:sz w:val="22"/>
          <w:szCs w:val="22"/>
          <w:lang w:val="en-US"/>
        </w:rPr>
        <w:t>Self-reflection as a Health and Social Care Professional........page</w:t>
      </w:r>
    </w:p>
    <w:p w:rsidR="34B4F0E1" w:rsidP="0BA7B7A5" w:rsidRDefault="34B4F0E1" w14:paraId="01496521" w14:textId="39DF1820">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0BA7B7A5" w:rsidR="34B4F0E1">
        <w:rPr>
          <w:rFonts w:ascii="Arial" w:hAnsi="Arial" w:eastAsia="Arial" w:cs="Arial"/>
          <w:b w:val="1"/>
          <w:bCs w:val="1"/>
          <w:noProof w:val="0"/>
          <w:sz w:val="22"/>
          <w:szCs w:val="22"/>
          <w:lang w:val="en-US"/>
        </w:rPr>
        <w:t>Introduction...............................................................................................</w:t>
      </w:r>
    </w:p>
    <w:p w:rsidR="34B4F0E1" w:rsidP="0BA7B7A5" w:rsidRDefault="34B4F0E1" w14:paraId="4BC18D48" w14:textId="2373DA9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US"/>
        </w:rPr>
      </w:pPr>
      <w:r w:rsidRPr="0BA7B7A5" w:rsidR="34B4F0E1">
        <w:rPr>
          <w:rFonts w:ascii="Arial" w:hAnsi="Arial" w:eastAsia="Arial" w:cs="Arial"/>
          <w:b w:val="1"/>
          <w:bCs w:val="1"/>
          <w:noProof w:val="0"/>
          <w:sz w:val="22"/>
          <w:szCs w:val="22"/>
          <w:lang w:val="en-US"/>
        </w:rPr>
        <w:t>Description........................................................................</w:t>
      </w:r>
      <w:r w:rsidRPr="0BA7B7A5" w:rsidR="76565D89">
        <w:rPr>
          <w:rFonts w:ascii="Arial" w:hAnsi="Arial" w:eastAsia="Arial" w:cs="Arial"/>
          <w:b w:val="1"/>
          <w:bCs w:val="1"/>
          <w:noProof w:val="0"/>
          <w:sz w:val="22"/>
          <w:szCs w:val="22"/>
          <w:lang w:val="en-US"/>
        </w:rPr>
        <w:t>.......................</w:t>
      </w:r>
      <w:r w:rsidRPr="0BA7B7A5" w:rsidR="34B4F0E1">
        <w:rPr>
          <w:rFonts w:ascii="Arial" w:hAnsi="Arial" w:eastAsia="Arial" w:cs="Arial"/>
          <w:b w:val="1"/>
          <w:bCs w:val="1"/>
          <w:noProof w:val="0"/>
          <w:sz w:val="22"/>
          <w:szCs w:val="22"/>
          <w:lang w:val="en-US"/>
        </w:rPr>
        <w:t>.</w:t>
      </w:r>
    </w:p>
    <w:p w:rsidR="34B4F0E1" w:rsidP="0BA7B7A5" w:rsidRDefault="34B4F0E1" w14:paraId="37D4B7B3" w14:textId="1BF68E20">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lang w:val="en-US"/>
        </w:rPr>
      </w:pPr>
      <w:r w:rsidRPr="0BA7B7A5" w:rsidR="34B4F0E1">
        <w:rPr>
          <w:rFonts w:ascii="Arial" w:hAnsi="Arial" w:eastAsia="Arial" w:cs="Arial"/>
          <w:b w:val="1"/>
          <w:bCs w:val="1"/>
          <w:noProof w:val="0"/>
          <w:sz w:val="22"/>
          <w:szCs w:val="22"/>
          <w:lang w:val="en-US"/>
        </w:rPr>
        <w:t>Feelings....................................................................................................</w:t>
      </w:r>
    </w:p>
    <w:p w:rsidR="79DB17C9" w:rsidP="0BA7B7A5" w:rsidRDefault="79DB17C9" w14:paraId="24360C8E" w14:textId="45360C8C">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lang w:val="en-US"/>
        </w:rPr>
      </w:pPr>
      <w:r w:rsidRPr="0BA7B7A5" w:rsidR="79DB17C9">
        <w:rPr>
          <w:rFonts w:ascii="Arial" w:hAnsi="Arial" w:eastAsia="Arial" w:cs="Arial"/>
          <w:b w:val="1"/>
          <w:bCs w:val="1"/>
          <w:noProof w:val="0"/>
          <w:sz w:val="22"/>
          <w:szCs w:val="22"/>
          <w:lang w:val="en-US"/>
        </w:rPr>
        <w:t>Evaluation...............................................................................................</w:t>
      </w:r>
      <w:r w:rsidRPr="0BA7B7A5" w:rsidR="64F84004">
        <w:rPr>
          <w:rFonts w:ascii="Arial" w:hAnsi="Arial" w:eastAsia="Arial" w:cs="Arial"/>
          <w:b w:val="1"/>
          <w:bCs w:val="1"/>
          <w:noProof w:val="0"/>
          <w:sz w:val="22"/>
          <w:szCs w:val="22"/>
          <w:lang w:val="en-US"/>
        </w:rPr>
        <w:t>..</w:t>
      </w:r>
    </w:p>
    <w:p w:rsidR="79DB17C9" w:rsidP="0BA7B7A5" w:rsidRDefault="79DB17C9" w14:paraId="2A3FE499" w14:textId="6C685922">
      <w:pPr>
        <w:pStyle w:val="Normal"/>
        <w:bidi w:val="0"/>
        <w:rPr>
          <w:b w:val="1"/>
          <w:bCs w:val="1"/>
          <w:noProof w:val="0"/>
          <w:sz w:val="22"/>
          <w:szCs w:val="22"/>
          <w:lang w:val="en-US"/>
        </w:rPr>
      </w:pPr>
      <w:r w:rsidRPr="0BA7B7A5" w:rsidR="79DB17C9">
        <w:rPr>
          <w:b w:val="1"/>
          <w:bCs w:val="1"/>
          <w:noProof w:val="0"/>
          <w:sz w:val="22"/>
          <w:szCs w:val="22"/>
          <w:lang w:val="en-US"/>
        </w:rPr>
        <w:t>Conclusion</w:t>
      </w:r>
      <w:r w:rsidRPr="0BA7B7A5" w:rsidR="024F859D">
        <w:rPr>
          <w:b w:val="1"/>
          <w:bCs w:val="1"/>
          <w:noProof w:val="0"/>
          <w:sz w:val="22"/>
          <w:szCs w:val="22"/>
          <w:lang w:val="en-US"/>
        </w:rPr>
        <w:t>.............................................................................................</w:t>
      </w:r>
      <w:r w:rsidRPr="0BA7B7A5" w:rsidR="6127143A">
        <w:rPr>
          <w:b w:val="1"/>
          <w:bCs w:val="1"/>
          <w:noProof w:val="0"/>
          <w:sz w:val="22"/>
          <w:szCs w:val="22"/>
          <w:lang w:val="en-US"/>
        </w:rPr>
        <w:t>.</w:t>
      </w:r>
      <w:r w:rsidRPr="0BA7B7A5" w:rsidR="024F859D">
        <w:rPr>
          <w:b w:val="1"/>
          <w:bCs w:val="1"/>
          <w:noProof w:val="0"/>
          <w:sz w:val="22"/>
          <w:szCs w:val="22"/>
          <w:lang w:val="en-US"/>
        </w:rPr>
        <w:t>.</w:t>
      </w:r>
    </w:p>
    <w:p w:rsidR="3D65924B" w:rsidP="0BA7B7A5" w:rsidRDefault="3D65924B" w14:paraId="5A0C0CBE" w14:textId="31993249">
      <w:pPr>
        <w:pStyle w:val="Normal"/>
        <w:suppressLineNumbers w:val="0"/>
        <w:bidi w:val="0"/>
        <w:spacing w:before="0" w:beforeAutospacing="off" w:after="160" w:afterAutospacing="off" w:line="279" w:lineRule="auto"/>
        <w:ind w:left="0" w:right="0"/>
        <w:jc w:val="left"/>
      </w:pPr>
      <w:r w:rsidRPr="0BA7B7A5" w:rsidR="3D65924B">
        <w:rPr>
          <w:rFonts w:ascii="Arial" w:hAnsi="Arial" w:eastAsia="Arial" w:cs="Arial"/>
          <w:b w:val="1"/>
          <w:bCs w:val="1"/>
          <w:noProof w:val="0"/>
          <w:sz w:val="22"/>
          <w:szCs w:val="22"/>
          <w:lang w:val="en-US"/>
        </w:rPr>
        <w:t>Action plan................................................................................................</w:t>
      </w:r>
    </w:p>
    <w:p w:rsidR="3D65924B" w:rsidP="0BA7B7A5" w:rsidRDefault="3D65924B" w14:paraId="68A11008" w14:textId="4DF4B2A0">
      <w:pPr>
        <w:pStyle w:val="Normal"/>
        <w:suppressLineNumbers w:val="0"/>
        <w:bidi w:val="0"/>
        <w:spacing w:before="0" w:beforeAutospacing="off" w:after="160" w:afterAutospacing="off" w:line="279" w:lineRule="auto"/>
        <w:ind w:left="0" w:right="0"/>
        <w:jc w:val="left"/>
      </w:pPr>
      <w:r w:rsidRPr="0BA7B7A5" w:rsidR="3D65924B">
        <w:rPr>
          <w:rFonts w:ascii="Arial" w:hAnsi="Arial" w:eastAsia="Arial" w:cs="Arial"/>
          <w:b w:val="1"/>
          <w:bCs w:val="1"/>
          <w:noProof w:val="0"/>
          <w:sz w:val="22"/>
          <w:szCs w:val="22"/>
          <w:lang w:val="en-US"/>
        </w:rPr>
        <w:t>References................................................................................................</w:t>
      </w:r>
    </w:p>
    <w:p w:rsidR="0BA7B7A5" w:rsidP="0BA7B7A5" w:rsidRDefault="0BA7B7A5" w14:paraId="1B05F8F4" w14:textId="0A06AB89">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lang w:val="en-US"/>
        </w:rPr>
      </w:pPr>
    </w:p>
    <w:p xmlns:wp14="http://schemas.microsoft.com/office/word/2010/wordml" w:rsidP="0BA7B7A5" wp14:paraId="1539D9AE" wp14:textId="4D1FD169">
      <w:pPr>
        <w:pStyle w:val="Normal"/>
        <w:spacing w:line="360" w:lineRule="auto"/>
        <w:rPr>
          <w:rFonts w:ascii="Arial" w:hAnsi="Arial" w:eastAsia="Arial" w:cs="Arial"/>
          <w:b w:val="1"/>
          <w:bCs w:val="1"/>
          <w:noProof w:val="0"/>
          <w:sz w:val="22"/>
          <w:szCs w:val="22"/>
          <w:lang w:val="en-US"/>
        </w:rPr>
      </w:pPr>
    </w:p>
    <w:p xmlns:wp14="http://schemas.microsoft.com/office/word/2010/wordml" w:rsidP="0BA7B7A5" wp14:paraId="279DE3C4" wp14:textId="36AD222C">
      <w:pPr>
        <w:pStyle w:val="Normal"/>
        <w:spacing w:line="360" w:lineRule="auto"/>
        <w:rPr>
          <w:rFonts w:ascii="Arial" w:hAnsi="Arial" w:eastAsia="Arial" w:cs="Arial"/>
          <w:b w:val="1"/>
          <w:bCs w:val="1"/>
          <w:noProof w:val="0"/>
          <w:sz w:val="22"/>
          <w:szCs w:val="22"/>
          <w:lang w:val="en-US"/>
        </w:rPr>
      </w:pPr>
    </w:p>
    <w:p xmlns:wp14="http://schemas.microsoft.com/office/word/2010/wordml" w:rsidP="0BA7B7A5" wp14:paraId="3C937F03" wp14:textId="184DF0B2">
      <w:pPr>
        <w:pStyle w:val="Normal"/>
        <w:spacing w:line="360" w:lineRule="auto"/>
        <w:rPr>
          <w:rFonts w:ascii="Arial" w:hAnsi="Arial" w:eastAsia="Arial" w:cs="Arial"/>
          <w:b w:val="1"/>
          <w:bCs w:val="1"/>
          <w:noProof w:val="0"/>
          <w:sz w:val="22"/>
          <w:szCs w:val="22"/>
          <w:lang w:val="en-US"/>
        </w:rPr>
      </w:pPr>
    </w:p>
    <w:p xmlns:wp14="http://schemas.microsoft.com/office/word/2010/wordml" w:rsidP="0BA7B7A5" wp14:paraId="6A5447F7" wp14:textId="6805CD83">
      <w:pPr>
        <w:pStyle w:val="Normal"/>
        <w:spacing w:line="360" w:lineRule="auto"/>
        <w:rPr>
          <w:rFonts w:ascii="Arial" w:hAnsi="Arial" w:eastAsia="Arial" w:cs="Arial"/>
          <w:b w:val="1"/>
          <w:bCs w:val="1"/>
          <w:noProof w:val="0"/>
          <w:sz w:val="22"/>
          <w:szCs w:val="22"/>
          <w:lang w:val="en-US"/>
        </w:rPr>
      </w:pPr>
    </w:p>
    <w:p w:rsidR="0BA7B7A5" w:rsidP="0BA7B7A5" w:rsidRDefault="0BA7B7A5" w14:paraId="75EFFCB1" w14:textId="673CA8CC">
      <w:pPr>
        <w:pStyle w:val="Normal"/>
        <w:spacing w:line="360" w:lineRule="auto"/>
        <w:rPr>
          <w:rFonts w:ascii="Arial" w:hAnsi="Arial" w:eastAsia="Arial" w:cs="Arial"/>
          <w:b w:val="1"/>
          <w:bCs w:val="1"/>
          <w:noProof w:val="0"/>
          <w:sz w:val="22"/>
          <w:szCs w:val="22"/>
          <w:lang w:val="en-US"/>
        </w:rPr>
      </w:pPr>
    </w:p>
    <w:p w:rsidR="0BA7B7A5" w:rsidP="0BA7B7A5" w:rsidRDefault="0BA7B7A5" w14:paraId="0C274007" w14:textId="41CCEED7">
      <w:pPr>
        <w:pStyle w:val="Normal"/>
        <w:spacing w:line="360" w:lineRule="auto"/>
        <w:rPr>
          <w:rFonts w:ascii="Arial" w:hAnsi="Arial" w:eastAsia="Arial" w:cs="Arial"/>
          <w:b w:val="1"/>
          <w:bCs w:val="1"/>
          <w:noProof w:val="0"/>
          <w:sz w:val="22"/>
          <w:szCs w:val="22"/>
          <w:lang w:val="en-US"/>
        </w:rPr>
      </w:pPr>
    </w:p>
    <w:p w:rsidR="0BA7B7A5" w:rsidP="0BA7B7A5" w:rsidRDefault="0BA7B7A5" w14:paraId="04E446BA" w14:textId="0CCFE9FA">
      <w:pPr>
        <w:pStyle w:val="Normal"/>
        <w:spacing w:line="360" w:lineRule="auto"/>
        <w:rPr>
          <w:rFonts w:ascii="Arial" w:hAnsi="Arial" w:eastAsia="Arial" w:cs="Arial"/>
          <w:b w:val="1"/>
          <w:bCs w:val="1"/>
          <w:noProof w:val="0"/>
          <w:sz w:val="22"/>
          <w:szCs w:val="22"/>
          <w:lang w:val="en-US"/>
        </w:rPr>
      </w:pPr>
    </w:p>
    <w:p w:rsidR="0BA7B7A5" w:rsidP="0BA7B7A5" w:rsidRDefault="0BA7B7A5" w14:paraId="43565FF7" w14:textId="75F39BE8">
      <w:pPr>
        <w:pStyle w:val="Normal"/>
        <w:spacing w:line="360" w:lineRule="auto"/>
        <w:rPr>
          <w:rFonts w:ascii="Arial" w:hAnsi="Arial" w:eastAsia="Arial" w:cs="Arial"/>
          <w:b w:val="1"/>
          <w:bCs w:val="1"/>
          <w:noProof w:val="0"/>
          <w:sz w:val="22"/>
          <w:szCs w:val="22"/>
          <w:lang w:val="en-US"/>
        </w:rPr>
      </w:pPr>
    </w:p>
    <w:p w:rsidR="0BA7B7A5" w:rsidP="0BA7B7A5" w:rsidRDefault="0BA7B7A5" w14:paraId="161CADFE" w14:textId="1649EE73">
      <w:pPr>
        <w:pStyle w:val="Normal"/>
        <w:spacing w:line="360" w:lineRule="auto"/>
        <w:rPr>
          <w:rFonts w:ascii="Arial" w:hAnsi="Arial" w:eastAsia="Arial" w:cs="Arial"/>
          <w:b w:val="1"/>
          <w:bCs w:val="1"/>
          <w:noProof w:val="0"/>
          <w:sz w:val="22"/>
          <w:szCs w:val="22"/>
          <w:lang w:val="en-US"/>
        </w:rPr>
      </w:pPr>
    </w:p>
    <w:p w:rsidR="0BA7B7A5" w:rsidP="0BA7B7A5" w:rsidRDefault="0BA7B7A5" w14:paraId="7D085C40" w14:textId="06F26519">
      <w:pPr>
        <w:pStyle w:val="Heading1"/>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7D9DE2BD" w:rsidP="0BA7B7A5" w:rsidRDefault="7D9DE2BD" w14:paraId="4D2EBAF9" w14:textId="72F3B6DB">
      <w:pPr>
        <w:pStyle w:val="Heading1"/>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Task 1: Reflection on the Importance of Principles of Health and Social Care</w:t>
      </w:r>
    </w:p>
    <w:p w:rsidR="7D9DE2BD" w:rsidP="0BA7B7A5" w:rsidRDefault="7D9DE2BD" w14:paraId="10961FAA" w14:textId="38AF8E87">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 Significance of Person-Centred Care</w:t>
      </w:r>
    </w:p>
    <w:p w:rsidR="7D9DE2BD" w:rsidP="0BA7B7A5" w:rsidRDefault="7D9DE2BD" w14:paraId="59B26952" w14:textId="5AB9A8C5">
      <w:pPr>
        <w:pStyle w:val="normal0"/>
        <w:spacing w:line="360" w:lineRule="auto"/>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emphasis of </w:t>
      </w:r>
      <w:r w:rsidRPr="0BA7B7A5" w:rsidR="2A0239D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in the UK health and social care sector is that it is more than just a medical approach to care is about taking the time to care for the individual as a person, rather than a medical problem, and respecting the person's dignity, values and autonomy. Involving people in decisions about the provision and support they receive helps to promote their empowerment and improve their quality of life (Aveyard and Sharp, 2017). This principle builds on theories of Maslow's Hierarchy of needs, which acknowledge that people have needs beyond just the physiological and safety needs, including psychological needs for fulfilment,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esteem</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self-actualization. Person centred practice means that care is individualised to each person's unique past, likes and dislikes, and culture. This therefore helps to build strong relationships between practitioners and service users based on trust that result in higher satisfaction, better engagement and better health and wellbeing across care settings</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BA7B7A5" w:rsidP="0BA7B7A5" w:rsidRDefault="0BA7B7A5" w14:paraId="1FDC824C" w14:textId="60DF0006">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D9DE2BD" w:rsidP="0BA7B7A5" w:rsidRDefault="7D9DE2BD" w14:paraId="31CEF431" w14:textId="64B2C057">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 Role of Partnership Working in Care Quality</w:t>
      </w:r>
    </w:p>
    <w:p w:rsidR="7D9DE2BD" w:rsidP="0BA7B7A5" w:rsidRDefault="7D9DE2BD" w14:paraId="6E07DE3E" w14:textId="631AA6DB">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essential component of providing high quality and integrated health and social care services, seamless and good, across the UK is through partnership working. The health and social care sector is facing challenges that demand an interdisciplinary approach to working with nurses, social workers, occupational therapists and independent sector providers, including issues such as the ageing population and multi-morbidities. Good partnership working brings multiple agencies together, improves communication and ensures that the person's care is coordinated around the person and not around the convenience of the institution (Beauchamp and Childress, 2019). The Health and Care Act 2022 and national guidance place an emphasis on the need for integrated care systems to enable shared decision making and pooling of resources. Together, professionals can minimise duplication, close key safety gaps and provide service users with a cohesive, holistic approach to health and social care provision.</w:t>
      </w:r>
    </w:p>
    <w:p w:rsidR="7D9DE2BD" w:rsidP="0BA7B7A5" w:rsidRDefault="7D9DE2BD" w14:paraId="63A00648" w14:textId="4D7953D7">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Ethical Decision-Making and Care Standards</w:t>
      </w:r>
    </w:p>
    <w:p w:rsidR="7D9DE2BD" w:rsidP="0BA7B7A5" w:rsidRDefault="7D9DE2BD" w14:paraId="03EB2D76" w14:textId="3873C414">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Ethics is integral to all practices in health and social care, and it informs decisions made by practitioners in situations where they are faced with complex moral dilemmas and aspects of autonomy, beneficence, non-malfeasance and justice. Adhering to professional standards and regulations and respecting legal frameworks guarantees equal, transparent and human rights-based care (Cottrell, 2019). When considering duty of care and promotion of choice, practitioners need to engage in critical reflection on personal bias and be professionally accountable in their ethical practice. Incorporating strong ethical principles into care delivery helps to protect vulnerable individuals from harm, build trust in health and social care careers, and uphold high standards throughout the health and social care system.</w:t>
      </w:r>
    </w:p>
    <w:p w:rsidR="7D9DE2BD" w:rsidP="0BA7B7A5" w:rsidRDefault="7D9DE2BD" w14:paraId="045D4F7A" w14:textId="038B6F98">
      <w:pPr>
        <w:pStyle w:val="Heading1"/>
        <w:keepNext w:val="1"/>
        <w:keepLines w:val="1"/>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Task 2: Practical Examples of </w:t>
      </w:r>
      <w:r w:rsidRPr="0BA7B7A5" w:rsidR="43CA480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Joan</w:t>
      </w:r>
    </w:p>
    <w:p w:rsidR="7D9DE2BD" w:rsidP="0BA7B7A5" w:rsidRDefault="7D9DE2BD" w14:paraId="297C42E0" w14:textId="4B9081CB">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Person-Centred Care in Action</w:t>
      </w:r>
    </w:p>
    <w:p w:rsidR="7D9DE2BD" w:rsidP="0BA7B7A5" w:rsidRDefault="7D9DE2BD" w14:paraId="059CAD72" w14:textId="7AE7ACA3">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Person-centred care is effectively shown in the selected case study as an individual support plan for Margaret is developed after her discharge from hospital. The care team doesn't enforce a formal routine, but rather actively engages Margaret in considering her personal objectives, preferences and daily needs. This is very similar to the humanistic care theories, which acknowledge her right of self-determination and dignity. The practitioners focus on what matters to Margaret, including her choices of how she prepares her morning tea, how she moves around, etc. This comprehensive approach supports her mental health and self-esteem, moving away from a treatment mindset and towards a participatory approach (Edwards and Best, 2020). In the end, her wishes are respected, and this significantly helps to lower anxiety after hospitalisation, increases participation in regalement exercises and helps ensure that her care is a personalised journey throughout her hospitalisation, and also after.</w:t>
      </w:r>
    </w:p>
    <w:p w:rsidR="7D9DE2BD" w:rsidP="0BA7B7A5" w:rsidRDefault="7D9DE2BD" w14:paraId="04E0D135" w14:textId="57ABE528">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The Impact of Effective Partnership Working</w:t>
      </w:r>
    </w:p>
    <w:p w:rsidR="7D9DE2BD" w:rsidP="0BA7B7A5" w:rsidRDefault="7D9DE2BD" w14:paraId="518275A7" w14:textId="00AF0DC6">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case study emphasises the importance of multi-agency partnership working in the safety and efficiency of complex care transitions in the UK health and social care sector. There is a need for district nurses, occupational therapists, social workers and local authority regalement teams to work together to help Margaret be rehabilitated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successfully. Effective communication pathways and integrated care pathways enable all stakeholders to communicate important clinical information and environmental risk assessments without organizational silos (NHS (UK) commissioning board, 2012). The working team tackles issues like delayed discharges and poor service coordination directly and helps to ensure that Margaret's housing adaptations and drug management go hand in hand. Collaborating with other professionals towards common goals reduces duplication of effort and helps identify and fill in critical safety gaps. This one-stop system of care provides Margaret with a seamless, sustained course of treatment and supports her community-based independent living.</w:t>
      </w:r>
    </w:p>
    <w:p w:rsidR="7D9DE2BD" w:rsidP="0BA7B7A5" w:rsidRDefault="7D9DE2BD" w14:paraId="5792E534" w14:textId="1C2428D7">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Navigating Ethical Practice and Balancing Autonomy</w:t>
      </w:r>
    </w:p>
    <w:p w:rsidR="7D9DE2BD" w:rsidP="0BA7B7A5" w:rsidRDefault="7D9DE2BD" w14:paraId="2E3CF973" w14:textId="541B1052">
      <w:pPr>
        <w:pStyle w:val="norm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Ethical practice is highly challenged and evidenced in the situation where the practitioner has to consider both what Margaret would like to do and what the risk of falls may be for her. The care team must respect the informed choice, even when family members say that they are worried about her safety, in order to uphold the ethical principle of autonomy. Practitioners deal with this dilemma by using non-malfeasance and beneficence; by using proportional safeguards, rather than restricting her freedom with institutional care, namely pendant alarm systems, and minor modifications to the home </w:t>
      </w: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(Bain </w:t>
      </w:r>
      <w:r w:rsidRPr="0BA7B7A5" w:rsidR="7D9DE2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2002). This is a well-balanced response that is in line with the codes of practice and legal requirements, such as the Care Act 2014, which places a strong emphasis on wellbeing and control. The team's critical review leads to a care environment that is transparent, maintains duty of care, upholds the human rights of Margaret, and keeps the team professionally accountable.</w:t>
      </w:r>
    </w:p>
    <w:p w:rsidR="7D9DE2BD" w:rsidP="0BA7B7A5" w:rsidRDefault="7D9DE2BD" w14:paraId="0B2DD162" w14:textId="1A56FFE8">
      <w:pPr>
        <w:pStyle w:val="Heading1"/>
        <w:keepNext w:val="1"/>
        <w:keepLines w:val="1"/>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Task 3: Self-Reflection as a Health and Social Care Professional Using Gibbs' Reflective Cycle</w:t>
      </w:r>
    </w:p>
    <w:p w:rsidR="7D9DE2BD" w:rsidP="0BA7B7A5" w:rsidRDefault="7D9DE2BD" w14:paraId="74A1AF48" w14:textId="6F6BB8EF">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Description</w:t>
      </w:r>
    </w:p>
    <w:p w:rsidR="7D9DE2BD" w:rsidP="0BA7B7A5" w:rsidRDefault="7D9DE2BD" w14:paraId="79A7E9C2" w14:textId="7A7A512A">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key experience in my health and social care journey was when I had the opportunity to work with a service user called David, who was an older person with mild cognitive impairment who did not want to accept the daily care provided in their home after leaving hospital. When describing the event, I was asked to carry out a normal regalement, and then to provide a care package; however, David consistently stated that he was distressed and that he was strongly against any support being offered, as it was an encroachment upon his life-long independence (Context for Care, 2011). The incident happened in his own living room with him standing unsteadily, while arguing that he did not need any assistance from outside (The University of Edinburgh, 2018). I was expected to design a safe and supportive care plan as per the institutional guidelines but the time of immediate impasse demanded workability of the plan meant to confront his resistance while dealing with his vulnerability in body and the need to keep his home responsibilities under his own control.</w:t>
      </w:r>
    </w:p>
    <w:p w:rsidR="0BA7B7A5" w:rsidP="0BA7B7A5" w:rsidRDefault="0BA7B7A5" w14:paraId="67241DAD" w14:textId="34AEDF58">
      <w:pPr>
        <w:pStyle w:val="norm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0BA7B7A5" w:rsidP="0BA7B7A5" w:rsidRDefault="0BA7B7A5" w14:paraId="44FD46D3" w14:textId="45950F96">
      <w:pPr>
        <w:pStyle w:val="norm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D9DE2BD" w:rsidP="0BA7B7A5" w:rsidRDefault="7D9DE2BD" w14:paraId="09EC25C2" w14:textId="1E29E09F">
      <w:pPr>
        <w:pStyle w:val="normal0"/>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Feelings</w:t>
      </w:r>
    </w:p>
    <w:p w:rsidR="7D9DE2BD" w:rsidP="0BA7B7A5" w:rsidRDefault="7D9DE2BD" w14:paraId="7DD5F8AA" w14:textId="25C3A4FC">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My emotions were a combination of anxiety and work pressure during this interaction. I was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very concerned</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about not fulfilling the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objectives</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organisation and feared that the lack of care would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be responsible for</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another fall at home that could put my life in danger and that I could be blamed for it. At the same time, I felt a strong sense of empathy for David's emotional stress as he loses familiar autonomy, which can be very scary for these vulnerable older adults who are moving out of hospital (</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Lategan</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Van Zyl, 2017). This internal battle between strict adherence to mandatory safety measures, and respect for human dignity, presented a difficult working dilemma. I felt like there was a conflict between the risk-aversion of institutions and my desire as a person to make </w:t>
      </w:r>
      <w:r w:rsidRPr="0BA7B7A5" w:rsidR="3E7794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Joan</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feel heard and respected in his journey, and going beyond the procedure.</w:t>
      </w:r>
    </w:p>
    <w:p w:rsidR="7D9DE2BD" w:rsidP="0BA7B7A5" w:rsidRDefault="7D9DE2BD" w14:paraId="4689793E" w14:textId="73C6F71D">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Evaluation</w:t>
      </w:r>
    </w:p>
    <w:p w:rsidR="7D9DE2BD" w:rsidP="0BA7B7A5" w:rsidRDefault="7D9DE2BD" w14:paraId="6AE91F68" w14:textId="52570936">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critically looked at this situation, and realized that I wanted to rush for care compliance, but it was not because of person-centred care, it was because of institutional risk-aversion. Fortunately, my desire to keep David safe physically, matched the fundamental duty of care that was expected of health and social workers. But, negatively, my initial way of responding was missing his psychological health, emotional preparedness, and basic human right to self-determination (Oxford Brookes University, 2023). In an attempt to expedite the evaluation, I unwittingly exacerbated his anxiety and strengthened his resistance, thereby revealing a huge shortfall in my practical utilization of ethical principles. I judged that in some instances, the voices of service users may be overlooked, stereotyped or ignored in the context of standard risk management practices among practitioners in the United Kingdom working in health and social care services when focusing on institutional liability rather than personal autonomy (Hinde, 1972). This realization led to the understanding that balancing benefit with respect for autonomy, encouraging shared decision-making rather than unilateral decision-making, while building trust and minimizing the defensive reaction of those who are distressed by care.</w:t>
      </w:r>
    </w:p>
    <w:p w:rsidR="7D9DE2BD" w:rsidP="0BA7B7A5" w:rsidRDefault="7D9DE2BD" w14:paraId="70B39C8D" w14:textId="338B96D5">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Analysis</w:t>
      </w:r>
    </w:p>
    <w:p w:rsidR="7D9DE2BD" w:rsidP="0BA7B7A5" w:rsidRDefault="7D9DE2BD" w14:paraId="4FE0D4BC" w14:textId="39AAC840">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use of existing theories and legislation helped to provide a greater understanding of my areas of weakness and strengths in my workplace practice. With the use of Maslow's Hierarchy of Needs, I realized that David's hesitation was because he was being "grounded" in his own home, which would be a violation of his psychological needs for esteem, autonomy and safety; especially that he was being cared for against his will, which would be a violation of his self-actualization and dignity needs (Moss, 2020). In addition, I explored this situation within the context of the Care Act 2014 which clearly states the need to promote the individual wellbeing and support based on prevention and person centeredness. Further, the conventions of the profession highlight the need for practitioners to respect service user choice and to manage risk appropriately. I found my analysis showed that I didn't have confidence in dealing with the gray area of duty of care versus personal rights and freedom. I could not just depend on expert advice, but had to build my ability to communicate, listen and collaborate with multi-agency teams, including occupational therapists and social workers, to build a flexible, non-intrusive care plan that would be acceptable to David's wishes, and safe.</w:t>
      </w:r>
    </w:p>
    <w:p w:rsidR="7D9DE2BD" w:rsidP="0BA7B7A5" w:rsidRDefault="7D9DE2BD" w14:paraId="4C7231D6" w14:textId="1C1C53E1">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w:t>
      </w:r>
    </w:p>
    <w:p w:rsidR="7D9DE2BD" w:rsidP="0BA7B7A5" w:rsidRDefault="7D9DE2BD" w14:paraId="4E81E64E" w14:textId="1E9BAB73">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 the end of this reflective exercise, I had found that being competent as a health and social care practitioner is much more about being able to complete an assessment or adhere to organisational policies than it is about being technically competent. One thing I learnt at my work is that there are always dilemmas in the work we do, which involve emotional intelligence, critical reflection and moral courage in the UK sector. My biggest professional learning is that person centred practice is not an add-on to any plan, but must be the basis of all decisions and be thought of as the ethical ledger (NHS (UK) commissioning board, 2012). I admit that some things that I am good at are being sensitive, wanting to keep everyone safe and learning from difficult experiences. I also found some areas that I would like to improve on both personally and professionally, which were mainly in my confidence in making complex ethical decisions and in managing ‘potential risks’ while retaining autonomy of the service users. The experience has left an indelible mark on my professional identity, shaping my understanding of the value of continuous self-awareness, adaptation, and the dedication of building up vulnerable people.</w:t>
      </w:r>
    </w:p>
    <w:p w:rsidR="7D9DE2BD" w:rsidP="0BA7B7A5" w:rsidRDefault="7D9DE2BD" w14:paraId="07130B2F" w14:textId="7F7AB785">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Action Plan</w:t>
      </w:r>
    </w:p>
    <w:p w:rsidR="7D9DE2BD" w:rsidP="0BA7B7A5" w:rsidRDefault="7D9DE2BD" w14:paraId="1ADF409D" w14:textId="4BC9CCEE">
      <w:pPr>
        <w:pStyle w:val="normal0"/>
        <w:spacing w:line="360" w:lineRule="auto"/>
      </w:pP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have created a clear and evidence based action plan to support my future career in health and social care, based on the developmental needs identified as a result of this reflective cycle. I'd like to improve my theory and practice of mental capacity law, ethical decision making frameworks and human rights through specialised CPD modules and reading recent academic work (Nursing Times, 2022). Thirdly, I plan to strengthen my</w:t>
      </w:r>
      <w:r w:rsidRPr="0BA7B7A5" w:rsidR="7D9DE2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 in multidisciplinary partnership working by observing occupational therapists and social workers at complex care reviews, aiding in the process of reaching a negotiated balanced care solution with them. Last but not least, I will be keeping a reflective journal on a continuous basis of future clinical encounters to systematically review my decision making and support ongoing professional development, using models such as Gibbs'. By making these targeted actions, I will make sure to continuously develop myself into a competent, reflective and person centred health and social care worker.</w:t>
      </w:r>
    </w:p>
    <w:p w:rsidR="0BA7B7A5" w:rsidP="0BA7B7A5" w:rsidRDefault="0BA7B7A5" w14:paraId="5255DF72" w14:textId="1C0FA410">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168EBED7" w14:textId="42C94852">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40CA7494" w14:textId="7E24BD11">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1DF79A0B" w14:textId="4D61FA2D">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07F56E1D" w14:textId="79E5797A">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7BA83D77" w14:textId="1CF4F553">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BA7B7A5" w:rsidP="0BA7B7A5" w:rsidRDefault="0BA7B7A5" w14:paraId="1ECD0571" w14:textId="3FDADAB1">
      <w:pPr>
        <w:pStyle w:val="norm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D9DE2BD" w:rsidP="0BA7B7A5" w:rsidRDefault="7D9DE2BD" w14:paraId="2B92C9F9" w14:textId="279B12DD">
      <w:pPr>
        <w:pStyle w:val="Heading1"/>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0BA7B7A5" w:rsidR="7D9DE2B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References</w:t>
      </w:r>
    </w:p>
    <w:p w:rsidR="7D9DE2BD" w:rsidP="0BA7B7A5" w:rsidRDefault="7D9DE2BD" w14:paraId="7988E44F" w14:textId="6D0950EF">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Aveyard H., Sharp, P. (2017) A Beginner’s Guide to Evidence Based Practice in Health and Social Care, 3rd Edition (UK (United Kingdom) Higher Education OUP Humanities &amp; Social Sciences Health &amp; Social Welfare) UK. Open University Press.</w:t>
      </w:r>
    </w:p>
    <w:p w:rsidR="7D9DE2BD" w:rsidP="0BA7B7A5" w:rsidRDefault="7D9DE2BD" w14:paraId="1E2F8B4E" w14:textId="6DF5E148">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Bain, J., Ballantyne, R., Mills, C. &amp; Lester, N.C. (2002). Reflecting on practice: Student teachers’ perspectives. </w:t>
      </w:r>
      <w:hyperlink r:id="Rb752b3690a784c6b">
        <w:r w:rsidRPr="0BA7B7A5" w:rsidR="7D9DE2BD">
          <w:rPr>
            <w:rStyle w:val="Hyperlink"/>
            <w:b w:val="0"/>
            <w:bCs w:val="0"/>
            <w:i w:val="0"/>
            <w:iCs w:val="0"/>
            <w:caps w:val="0"/>
            <w:smallCaps w:val="0"/>
            <w:strike w:val="0"/>
            <w:dstrike w:val="0"/>
            <w:noProof w:val="0"/>
            <w:color w:val="1155CC"/>
            <w:u w:val="single"/>
            <w:lang w:val="en-GB"/>
          </w:rPr>
          <w:t>https://www.researchgate.net/publication/43505901_Reflecting_on_Practice_Student_Teachers'_Perspectives</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D9DE2BD" w:rsidP="0BA7B7A5" w:rsidRDefault="7D9DE2BD" w14:paraId="25D24DE1" w14:textId="168A021E">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Beauchamp, T.L., Childress J.F. (2019) Principles of biomedical ethics, 8th Ed, Oxford: Oxford University Press.</w:t>
      </w:r>
    </w:p>
    <w:p w:rsidR="7D9DE2BD" w:rsidP="0BA7B7A5" w:rsidRDefault="7D9DE2BD" w14:paraId="5BCBC9DB" w14:textId="24BB4C1B">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Context for Care (2011) Poor Communication [YouTube] Available at: Poor Communication (youtube.com) (Accessed: 11 January 2024)</w:t>
      </w:r>
    </w:p>
    <w:p w:rsidR="7D9DE2BD" w:rsidP="0BA7B7A5" w:rsidRDefault="7D9DE2BD" w14:paraId="737F61C9" w14:textId="06A4A4FC">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Cottrell, S. M. (2019) The study skills handbook, 5th edn. London: Red Globe Press.</w:t>
      </w:r>
    </w:p>
    <w:p w:rsidR="7D9DE2BD" w:rsidP="0BA7B7A5" w:rsidRDefault="7D9DE2BD" w14:paraId="605BDE42" w14:textId="1B0BA292">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Edwards, D., Best, S. (2020) The textbook of Health and Social Care. London: Sage.</w:t>
      </w:r>
    </w:p>
    <w:p w:rsidR="7D9DE2BD" w:rsidP="0BA7B7A5" w:rsidRDefault="7D9DE2BD" w14:paraId="104C6670" w14:textId="23AF93B3">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Hinde, R.A. (1972) Non-verbal communication [Google Books online]. Cambridge University Press: Cambridge. Available at: Non-verbal Communication - Google Books  (Accessed: 11 January 2024)</w:t>
      </w:r>
    </w:p>
    <w:p w:rsidR="7D9DE2BD" w:rsidP="0BA7B7A5" w:rsidRDefault="7D9DE2BD" w14:paraId="5B055188" w14:textId="1DBA88A1">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Lategan, L.O.K. and Van Zyl, G.J. (2017) Healthcare Ethics for Healthcare Practitioners. Bloemfontein: UJ Press. Available at: </w:t>
      </w:r>
      <w:hyperlink r:id="Rd933697f0f75473e">
        <w:r w:rsidRPr="0BA7B7A5" w:rsidR="7D9DE2BD">
          <w:rPr>
            <w:rStyle w:val="Hyperlink"/>
            <w:b w:val="0"/>
            <w:bCs w:val="0"/>
            <w:i w:val="0"/>
            <w:iCs w:val="0"/>
            <w:caps w:val="0"/>
            <w:smallCaps w:val="0"/>
            <w:strike w:val="0"/>
            <w:dstrike w:val="0"/>
            <w:noProof w:val="0"/>
            <w:color w:val="1155CC"/>
            <w:u w:val="single"/>
            <w:lang w:val="en-GB"/>
          </w:rPr>
          <w:t>https://search.ebscohost.com/login.aspx?direct=true&amp;AuthType=sso&amp;db=nlebk&amp;AN=2256589&amp;site=eds-live</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January 2024).</w:t>
      </w:r>
    </w:p>
    <w:p w:rsidR="7D9DE2BD" w:rsidP="0BA7B7A5" w:rsidRDefault="7D9DE2BD" w14:paraId="298881A4" w14:textId="6C6534AC">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Moss, B. (2020) Communication skills in nursing, health, and social care. Fifth edition. SAGE Publications. Available at:</w:t>
      </w:r>
      <w:hyperlink r:id="Ra7e464f3b341477f">
        <w:r w:rsidRPr="0BA7B7A5" w:rsidR="7D9DE2BD">
          <w:rPr>
            <w:rStyle w:val="Hyperlink"/>
            <w:b w:val="0"/>
            <w:bCs w:val="0"/>
            <w:i w:val="0"/>
            <w:iCs w:val="0"/>
            <w:caps w:val="0"/>
            <w:smallCaps w:val="0"/>
            <w:strike w:val="0"/>
            <w:dstrike w:val="0"/>
            <w:noProof w:val="0"/>
            <w:color w:val="1155CC"/>
            <w:u w:val="single"/>
            <w:lang w:val="en-GB"/>
          </w:rPr>
          <w:t>https://search.ebscohost.com/login.aspx?direct=true&amp;AuthType=sso&amp;db=cat09086a&amp;AN=gbs.oai.folio.org.fs00001090.41aff737.198a.4b58.8934.e0b7cb172e6d&amp;site=eds-live</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11 January 2024). </w:t>
      </w:r>
    </w:p>
    <w:p w:rsidR="7D9DE2BD" w:rsidP="0BA7B7A5" w:rsidRDefault="7D9DE2BD" w14:paraId="16A3F3D3" w14:textId="5A470745">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NHS (UK) commissioning board (2012) Compassion in practice Dept Health HMSO UK Available at:</w:t>
      </w:r>
      <w:hyperlink r:id="R05712a8e42414139">
        <w:r w:rsidRPr="0BA7B7A5" w:rsidR="7D9DE2BD">
          <w:rPr>
            <w:rStyle w:val="Hyperlink"/>
            <w:b w:val="0"/>
            <w:bCs w:val="0"/>
            <w:i w:val="0"/>
            <w:iCs w:val="0"/>
            <w:caps w:val="0"/>
            <w:smallCaps w:val="0"/>
            <w:strike w:val="0"/>
            <w:dstrike w:val="0"/>
            <w:noProof w:val="0"/>
            <w:color w:val="000000" w:themeColor="text1" w:themeTint="FF" w:themeShade="FF"/>
            <w:u w:val="none"/>
            <w:lang w:val="en-GB"/>
          </w:rPr>
          <w:t xml:space="preserve"> </w:t>
        </w:r>
      </w:hyperlink>
      <w:hyperlink r:id="Rd15a9ea303fd4802">
        <w:r w:rsidRPr="0BA7B7A5" w:rsidR="7D9DE2BD">
          <w:rPr>
            <w:rStyle w:val="Hyperlink"/>
            <w:b w:val="0"/>
            <w:bCs w:val="0"/>
            <w:i w:val="0"/>
            <w:iCs w:val="0"/>
            <w:caps w:val="0"/>
            <w:smallCaps w:val="0"/>
            <w:strike w:val="0"/>
            <w:dstrike w:val="0"/>
            <w:noProof w:val="0"/>
            <w:color w:val="1155CC"/>
            <w:u w:val="single"/>
            <w:lang w:val="en-GB"/>
          </w:rPr>
          <w:t>Microsoft Word - 121203_Compassion in practice FULL DW (england.nhs.uk)Microsoft Word - 121203_Compassion in practice FULL DW (</w:t>
        </w:r>
      </w:hyperlink>
      <w:hyperlink r:id="Rdc105c98b40e4291">
        <w:r w:rsidRPr="0BA7B7A5" w:rsidR="7D9DE2BD">
          <w:rPr>
            <w:rStyle w:val="Hyperlink"/>
            <w:b w:val="0"/>
            <w:bCs w:val="0"/>
            <w:i w:val="0"/>
            <w:iCs w:val="0"/>
            <w:caps w:val="0"/>
            <w:smallCaps w:val="0"/>
            <w:strike w:val="0"/>
            <w:dstrike w:val="0"/>
            <w:noProof w:val="0"/>
            <w:color w:val="1155CC"/>
            <w:u w:val="single"/>
            <w:lang w:val="en-GB"/>
          </w:rPr>
          <w:t>england.nhs.uk</w:t>
        </w:r>
      </w:hyperlink>
      <w:hyperlink r:id="Ra10751c2951d4daf">
        <w:r w:rsidRPr="0BA7B7A5" w:rsidR="7D9DE2BD">
          <w:rPr>
            <w:rStyle w:val="Hyperlink"/>
            <w:b w:val="0"/>
            <w:bCs w:val="0"/>
            <w:i w:val="0"/>
            <w:iCs w:val="0"/>
            <w:caps w:val="0"/>
            <w:smallCaps w:val="0"/>
            <w:strike w:val="0"/>
            <w:dstrike w:val="0"/>
            <w:noProof w:val="0"/>
            <w:color w:val="1155CC"/>
            <w:u w:val="single"/>
            <w:lang w:val="en-GB"/>
          </w:rPr>
          <w:t>)</w:t>
        </w:r>
      </w:hyperlink>
    </w:p>
    <w:p w:rsidR="7D9DE2BD" w:rsidP="0BA7B7A5" w:rsidRDefault="7D9DE2BD" w14:paraId="045D3CD1" w14:textId="742CC072">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(UK) commissioning board (2012) Compassion in practice Dept Health HMSO UK Available at: </w:t>
      </w:r>
      <w:hyperlink r:id="Rfbf813aaaaf64f74">
        <w:r w:rsidRPr="0BA7B7A5" w:rsidR="7D9DE2BD">
          <w:rPr>
            <w:rStyle w:val="Hyperlink"/>
            <w:b w:val="0"/>
            <w:bCs w:val="0"/>
            <w:i w:val="0"/>
            <w:iCs w:val="0"/>
            <w:caps w:val="0"/>
            <w:smallCaps w:val="0"/>
            <w:strike w:val="0"/>
            <w:dstrike w:val="0"/>
            <w:noProof w:val="0"/>
            <w:color w:val="1155CC"/>
            <w:u w:val="single"/>
            <w:lang w:val="en-GB"/>
          </w:rPr>
          <w:t>https://www.england.nhs.uk/wp-content/uploads/2012/12/compassion-in-practice.pdf</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D9DE2BD" w:rsidP="0BA7B7A5" w:rsidRDefault="7D9DE2BD" w14:paraId="1FF12ADC" w14:textId="0B09D816">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Nursing Times (2022) What are Compassion in Practice and the 6Cs of nursing? Available at: </w:t>
      </w:r>
      <w:hyperlink r:id="R2c9be3088f6b4642">
        <w:r w:rsidRPr="0BA7B7A5" w:rsidR="7D9DE2BD">
          <w:rPr>
            <w:rStyle w:val="Hyperlink"/>
            <w:b w:val="0"/>
            <w:bCs w:val="0"/>
            <w:i w:val="0"/>
            <w:iCs w:val="0"/>
            <w:caps w:val="0"/>
            <w:smallCaps w:val="0"/>
            <w:strike w:val="0"/>
            <w:dstrike w:val="0"/>
            <w:noProof w:val="0"/>
            <w:color w:val="1155CC"/>
            <w:u w:val="single"/>
            <w:lang w:val="en-GB"/>
          </w:rPr>
          <w:t>https://www.nursingtimes.net/news/policies-and-guidance/what-are-compassion-in-practice-and-the-6cs-of-nursing-14-02-2022/</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D9DE2BD" w:rsidP="0BA7B7A5" w:rsidRDefault="7D9DE2BD" w14:paraId="3F4F41EA" w14:textId="070DB824">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Oxford Brookes University (2023) Critical thinking. Available at: Critical thinking - Oxford Brookes University (Accessed: 11 January 2024)</w:t>
      </w:r>
    </w:p>
    <w:p w:rsidR="7D9DE2BD" w:rsidP="0BA7B7A5" w:rsidRDefault="7D9DE2BD" w14:paraId="32C74568" w14:textId="7A0DA977">
      <w:pPr>
        <w:pStyle w:val="normal0"/>
        <w:spacing w:before="240" w:after="2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University of Edinburgh (2018). The 5R framework for reflection. Available at:</w:t>
      </w:r>
      <w:hyperlink r:id="R34d53e9e91b0445c">
        <w:r w:rsidRPr="0BA7B7A5" w:rsidR="7D9DE2BD">
          <w:rPr>
            <w:rStyle w:val="Hyperlink"/>
            <w:b w:val="0"/>
            <w:bCs w:val="0"/>
            <w:i w:val="0"/>
            <w:iCs w:val="0"/>
            <w:caps w:val="0"/>
            <w:smallCaps w:val="0"/>
            <w:strike w:val="0"/>
            <w:dstrike w:val="0"/>
            <w:noProof w:val="0"/>
            <w:color w:val="1155CC"/>
            <w:u w:val="single"/>
            <w:lang w:val="en-GB"/>
          </w:rPr>
          <w:t>https://www.ed.ac.uk/reflection/reflectors-toolkit/reflecting-on-experience/5r-framework</w:t>
        </w:r>
      </w:hyperlink>
      <w:r w:rsidRPr="0BA7B7A5" w:rsidR="7D9DE2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BA7B7A5" w:rsidP="0BA7B7A5" w:rsidRDefault="0BA7B7A5" w14:paraId="336A1805" w14:textId="6631556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BA7B7A5" w:rsidP="0BA7B7A5" w:rsidRDefault="0BA7B7A5" w14:paraId="05BBB2CC" w14:textId="3B1CE051">
      <w:pPr>
        <w:pStyle w:val="Normal"/>
        <w:rPr>
          <w:rFonts w:ascii="Arial" w:hAnsi="Arial" w:eastAsia="Arial" w:cs="Arial"/>
          <w:b w:val="1"/>
          <w:bCs w:val="1"/>
          <w:noProof w:val="0"/>
          <w:sz w:val="22"/>
          <w:szCs w:val="22"/>
          <w:lang w:val="en-US"/>
        </w:rPr>
      </w:pPr>
    </w:p>
    <w:sectPr>
      <w:pgSz w:w="12240" w:h="15840" w:orient="portrait"/>
      <w:pgMar w:top="1440" w:right="1440" w:bottom="1440" w:left="1440" w:header="720" w:footer="720" w:gutter="0"/>
      <w:cols w:space="720"/>
      <w:docGrid w:linePitch="360"/>
      <w:headerReference w:type="default" r:id="R8d10f91e72ad41ec"/>
      <w:footerReference w:type="default" r:id="R9816165dca9540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E7C6929" w:rsidTr="3E7C6929" w14:paraId="0C4D495E">
      <w:trPr>
        <w:trHeight w:val="300"/>
      </w:trPr>
      <w:tc>
        <w:tcPr>
          <w:tcW w:w="3120" w:type="dxa"/>
          <w:tcMar/>
        </w:tcPr>
        <w:p w:rsidR="3E7C6929" w:rsidP="3E7C6929" w:rsidRDefault="3E7C6929" w14:paraId="58CA1D19" w14:textId="7B9E8463">
          <w:pPr>
            <w:pStyle w:val="Header"/>
            <w:bidi w:val="0"/>
            <w:ind w:left="-115"/>
            <w:jc w:val="left"/>
          </w:pPr>
        </w:p>
      </w:tc>
      <w:tc>
        <w:tcPr>
          <w:tcW w:w="3120" w:type="dxa"/>
          <w:tcMar/>
        </w:tcPr>
        <w:p w:rsidR="3E7C6929" w:rsidP="3E7C6929" w:rsidRDefault="3E7C6929" w14:paraId="3424D25B" w14:textId="14F4B739">
          <w:pPr>
            <w:pStyle w:val="Header"/>
            <w:bidi w:val="0"/>
            <w:jc w:val="center"/>
          </w:pPr>
          <w:r>
            <w:fldChar w:fldCharType="begin"/>
          </w:r>
          <w:r>
            <w:instrText xml:space="preserve">PAGE</w:instrText>
          </w:r>
          <w:r>
            <w:fldChar w:fldCharType="separate"/>
          </w:r>
          <w:r>
            <w:fldChar w:fldCharType="end"/>
          </w:r>
        </w:p>
      </w:tc>
      <w:tc>
        <w:tcPr>
          <w:tcW w:w="3120" w:type="dxa"/>
          <w:tcMar/>
        </w:tcPr>
        <w:p w:rsidR="3E7C6929" w:rsidP="3E7C6929" w:rsidRDefault="3E7C6929" w14:paraId="262DADE6" w14:textId="04B19C09">
          <w:pPr>
            <w:pStyle w:val="Header"/>
            <w:bidi w:val="0"/>
            <w:ind w:right="-115"/>
            <w:jc w:val="right"/>
          </w:pPr>
        </w:p>
      </w:tc>
    </w:tr>
  </w:tbl>
  <w:p w:rsidR="3E7C6929" w:rsidP="3E7C6929" w:rsidRDefault="3E7C6929" w14:paraId="6CB81202" w14:textId="44BCB3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E7C6929" w:rsidTr="3E7C6929" w14:paraId="6A44B44C">
      <w:trPr>
        <w:trHeight w:val="300"/>
      </w:trPr>
      <w:tc>
        <w:tcPr>
          <w:tcW w:w="3120" w:type="dxa"/>
          <w:tcMar/>
        </w:tcPr>
        <w:p w:rsidR="3E7C6929" w:rsidP="3E7C6929" w:rsidRDefault="3E7C6929" w14:paraId="166EE888" w14:textId="14F10799">
          <w:pPr>
            <w:pStyle w:val="Header"/>
            <w:bidi w:val="0"/>
            <w:ind w:left="-115"/>
            <w:jc w:val="left"/>
          </w:pPr>
        </w:p>
      </w:tc>
      <w:tc>
        <w:tcPr>
          <w:tcW w:w="3120" w:type="dxa"/>
          <w:tcMar/>
        </w:tcPr>
        <w:p w:rsidR="3E7C6929" w:rsidP="3E7C6929" w:rsidRDefault="3E7C6929" w14:paraId="121DB052" w14:textId="53C4E2CE">
          <w:pPr>
            <w:pStyle w:val="Header"/>
            <w:bidi w:val="0"/>
            <w:jc w:val="center"/>
          </w:pPr>
        </w:p>
      </w:tc>
      <w:tc>
        <w:tcPr>
          <w:tcW w:w="3120" w:type="dxa"/>
          <w:tcMar/>
        </w:tcPr>
        <w:p w:rsidR="3E7C6929" w:rsidP="3E7C6929" w:rsidRDefault="3E7C6929" w14:paraId="3539E007" w14:textId="4C3DCCD6">
          <w:pPr>
            <w:pStyle w:val="Header"/>
            <w:bidi w:val="0"/>
            <w:ind w:right="-115"/>
            <w:jc w:val="right"/>
          </w:pPr>
        </w:p>
      </w:tc>
    </w:tr>
  </w:tbl>
  <w:p w:rsidR="3E7C6929" w:rsidP="3E7C6929" w:rsidRDefault="3E7C6929" w14:paraId="2D1831F8" w14:textId="4E287C8B">
    <w:pPr>
      <w:pStyle w:val="Header"/>
      <w:bidi w:val="0"/>
    </w:pPr>
  </w:p>
</w:hdr>
</file>

<file path=word/numbering.xml><?xml version="1.0" encoding="utf-8"?>
<w:numbering xmlns:w="http://schemas.openxmlformats.org/wordprocessingml/2006/main">
  <w:abstractNum xmlns:w="http://schemas.openxmlformats.org/wordprocessingml/2006/main" w:abstractNumId="1">
    <w:nsid w:val="4ab48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569927"/>
    <w:rsid w:val="02302573"/>
    <w:rsid w:val="02327D21"/>
    <w:rsid w:val="024F859D"/>
    <w:rsid w:val="02C7B344"/>
    <w:rsid w:val="038FFA30"/>
    <w:rsid w:val="0424819F"/>
    <w:rsid w:val="066BB4E1"/>
    <w:rsid w:val="084092DD"/>
    <w:rsid w:val="0A429CC0"/>
    <w:rsid w:val="0A8CF591"/>
    <w:rsid w:val="0B81938E"/>
    <w:rsid w:val="0BA7B7A5"/>
    <w:rsid w:val="0D0D7671"/>
    <w:rsid w:val="0D4CB974"/>
    <w:rsid w:val="0FF99F88"/>
    <w:rsid w:val="12572163"/>
    <w:rsid w:val="16F2F71E"/>
    <w:rsid w:val="19E08DFF"/>
    <w:rsid w:val="1CD3BEFB"/>
    <w:rsid w:val="1F9CAC9A"/>
    <w:rsid w:val="20145427"/>
    <w:rsid w:val="208C5E94"/>
    <w:rsid w:val="21347DE2"/>
    <w:rsid w:val="23AEEA56"/>
    <w:rsid w:val="24B7965C"/>
    <w:rsid w:val="24BE41BF"/>
    <w:rsid w:val="25B4C677"/>
    <w:rsid w:val="2A0239D8"/>
    <w:rsid w:val="2CB51B40"/>
    <w:rsid w:val="2D32B4CF"/>
    <w:rsid w:val="2E87D980"/>
    <w:rsid w:val="2FC81F8C"/>
    <w:rsid w:val="30114248"/>
    <w:rsid w:val="32C956C5"/>
    <w:rsid w:val="336BF559"/>
    <w:rsid w:val="34799785"/>
    <w:rsid w:val="34B4F0E1"/>
    <w:rsid w:val="35532EA3"/>
    <w:rsid w:val="35B0463B"/>
    <w:rsid w:val="360B5C97"/>
    <w:rsid w:val="378B724E"/>
    <w:rsid w:val="3B09CB2C"/>
    <w:rsid w:val="3C469098"/>
    <w:rsid w:val="3D65924B"/>
    <w:rsid w:val="3E77949A"/>
    <w:rsid w:val="3E7C6929"/>
    <w:rsid w:val="4148F633"/>
    <w:rsid w:val="4200350D"/>
    <w:rsid w:val="43C27981"/>
    <w:rsid w:val="43CA4806"/>
    <w:rsid w:val="46AA7827"/>
    <w:rsid w:val="47C23743"/>
    <w:rsid w:val="482B20F5"/>
    <w:rsid w:val="4A234D1C"/>
    <w:rsid w:val="4A271845"/>
    <w:rsid w:val="4B1A58C9"/>
    <w:rsid w:val="4B6A2067"/>
    <w:rsid w:val="4DE247F2"/>
    <w:rsid w:val="4E26EE1B"/>
    <w:rsid w:val="4EA643A9"/>
    <w:rsid w:val="50EAFE31"/>
    <w:rsid w:val="52FD23BD"/>
    <w:rsid w:val="54775E99"/>
    <w:rsid w:val="5600465C"/>
    <w:rsid w:val="58B459D2"/>
    <w:rsid w:val="5B501965"/>
    <w:rsid w:val="6033EA27"/>
    <w:rsid w:val="6051D601"/>
    <w:rsid w:val="6127143A"/>
    <w:rsid w:val="61C64268"/>
    <w:rsid w:val="62C3912E"/>
    <w:rsid w:val="6359B553"/>
    <w:rsid w:val="644BA567"/>
    <w:rsid w:val="64F84004"/>
    <w:rsid w:val="66BD1036"/>
    <w:rsid w:val="677E7810"/>
    <w:rsid w:val="68A97F9E"/>
    <w:rsid w:val="6952BA66"/>
    <w:rsid w:val="6A348C34"/>
    <w:rsid w:val="6B569927"/>
    <w:rsid w:val="6D1684FC"/>
    <w:rsid w:val="6E8441D0"/>
    <w:rsid w:val="6F0FEE9A"/>
    <w:rsid w:val="702A049A"/>
    <w:rsid w:val="7409F42C"/>
    <w:rsid w:val="742CAE75"/>
    <w:rsid w:val="76565D89"/>
    <w:rsid w:val="791EC555"/>
    <w:rsid w:val="79DB17C9"/>
    <w:rsid w:val="79E5FDDE"/>
    <w:rsid w:val="7ACF5266"/>
    <w:rsid w:val="7CFAD1EA"/>
    <w:rsid w:val="7D9DE2BD"/>
    <w:rsid w:val="7FA50E11"/>
    <w:rsid w:val="7FA5F7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8C58"/>
  <w15:chartTrackingRefBased/>
  <w15:docId w15:val="{1E7594C2-C7EB-4508-89E9-6F4ADD9B84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E7C6929"/>
    <w:pPr>
      <w:tabs>
        <w:tab w:val="center" w:leader="none" w:pos="4680"/>
        <w:tab w:val="right" w:leader="none" w:pos="9360"/>
      </w:tabs>
      <w:spacing w:after="0" w:line="240" w:lineRule="auto"/>
    </w:pPr>
  </w:style>
  <w:style w:type="paragraph" w:styleId="Footer">
    <w:uiPriority w:val="99"/>
    <w:name w:val="footer"/>
    <w:basedOn w:val="Normal"/>
    <w:unhideWhenUsed/>
    <w:rsid w:val="3E7C692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0BA7B7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BA7B7A5"/>
    <w:rPr>
      <w:color w:val="467886"/>
      <w:u w:val="single"/>
    </w:rPr>
  </w:style>
  <w:style w:type="paragraph" w:styleId="normal0" w:customStyle="true">
    <w:uiPriority w:val="0"/>
    <w:name w:val="normal"/>
    <w:basedOn w:val="Normal"/>
    <w:rsid w:val="0BA7B7A5"/>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88203428" /><Relationship Type="http://schemas.openxmlformats.org/officeDocument/2006/relationships/header" Target="header.xml" Id="R8d10f91e72ad41ec" /><Relationship Type="http://schemas.openxmlformats.org/officeDocument/2006/relationships/footer" Target="footer.xml" Id="R9816165dca9540c1" /><Relationship Type="http://schemas.openxmlformats.org/officeDocument/2006/relationships/hyperlink" Target="https://www.researchgate.net/publication/43505901_Reflecting_on_Practice_Student_Teachers'_Perspectives" TargetMode="External" Id="Rb752b3690a784c6b" /><Relationship Type="http://schemas.openxmlformats.org/officeDocument/2006/relationships/hyperlink" Target="https://search.ebscohost.com/login.aspx?direct=true&amp;AuthType=sso&amp;db=nlebk&amp;AN=2256589&amp;site=eds-live" TargetMode="External" Id="Rd933697f0f75473e" /><Relationship Type="http://schemas.openxmlformats.org/officeDocument/2006/relationships/hyperlink" Target="https://search.ebscohost.com/login.aspx?direct=true&amp;AuthType=sso&amp;db=cat09086a&amp;AN=gbs.oai.folio.org.fs00001090.41aff737.198a.4b58.8934.e0b7cb172e6d&amp;site=eds-live" TargetMode="External" Id="Ra7e464f3b341477f" /><Relationship Type="http://schemas.openxmlformats.org/officeDocument/2006/relationships/hyperlink" Target="https://www.england.nhs.uk/wp-content/uploads/2012/12/compassion-in-practice.pdf" TargetMode="External" Id="R05712a8e42414139" /><Relationship Type="http://schemas.openxmlformats.org/officeDocument/2006/relationships/hyperlink" Target="https://www.england.nhs.uk/wp-content/uploads/2012/12/compassion-in-practice.pdf" TargetMode="External" Id="Rd15a9ea303fd4802" /><Relationship Type="http://schemas.openxmlformats.org/officeDocument/2006/relationships/hyperlink" Target="http://england.nhs.uk/" TargetMode="External" Id="Rdc105c98b40e4291" /><Relationship Type="http://schemas.openxmlformats.org/officeDocument/2006/relationships/hyperlink" Target="https://www.england.nhs.uk/wp-content/uploads/2012/12/compassion-in-practice.pdf" TargetMode="External" Id="Ra10751c2951d4daf" /><Relationship Type="http://schemas.openxmlformats.org/officeDocument/2006/relationships/hyperlink" Target="https://www.england.nhs.uk/wp-content/uploads/2012/12/compassion-in-practice.pdf" TargetMode="External" Id="Rfbf813aaaaf64f74" /><Relationship Type="http://schemas.openxmlformats.org/officeDocument/2006/relationships/hyperlink" Target="https://www.nursingtimes.net/news/policies-and-guidance/what-are-compassion-in-practice-and-the-6cs-of-nursing-14-02-2022/" TargetMode="External" Id="R2c9be3088f6b4642" /><Relationship Type="http://schemas.openxmlformats.org/officeDocument/2006/relationships/hyperlink" Target="https://www.ed.ac.uk/reflection/reflectors-toolkit/reflecting-on-experience/5r-framework" TargetMode="External" Id="R34d53e9e91b0445c" /><Relationship Type="http://schemas.openxmlformats.org/officeDocument/2006/relationships/numbering" Target="numbering.xml" Id="R73ae672c869944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2026-10-21T10:44:22.1365538Z</dcterms:created>
  <dcterms:modified xsi:type="dcterms:W3CDTF">2026-10-24T21:27:46.6314209Z</dcterms:modified>
  <dc:creator>Nargas Shabinah (2418690)</dc:creator>
  <lastModifiedBy>Nargas Shabinah (2418690)</lastModifiedBy>
</coreProperties>
</file>