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443526531"/>
        <w:docPartObj>
          <w:docPartGallery w:val="Cover Pages"/>
          <w:docPartUnique/>
        </w:docPartObj>
      </w:sdtPr>
      <w:sdtEndPr>
        <w:rPr>
          <w:rFonts w:ascii="Arial Black" w:hAnsi="Arial Black" w:cs="Arial"/>
          <w:sz w:val="24"/>
          <w:szCs w:val="24"/>
        </w:rPr>
      </w:sdtEndPr>
      <w:sdtContent>
        <w:p w14:paraId="401DE72F" w14:textId="72EEF27F" w:rsidR="0079490B" w:rsidRDefault="0000251F">
          <w:r w:rsidRPr="0000251F">
            <w:drawing>
              <wp:anchor distT="0" distB="0" distL="114300" distR="114300" simplePos="0" relativeHeight="251658240" behindDoc="1" locked="0" layoutInCell="1" allowOverlap="1" wp14:anchorId="0DEF43F6" wp14:editId="797033D4">
                <wp:simplePos x="0" y="0"/>
                <wp:positionH relativeFrom="margin">
                  <wp:align>center</wp:align>
                </wp:positionH>
                <wp:positionV relativeFrom="margin">
                  <wp:align>top</wp:align>
                </wp:positionV>
                <wp:extent cx="3171825" cy="1123950"/>
                <wp:effectExtent l="0" t="0" r="9525" b="0"/>
                <wp:wrapTight wrapText="bothSides">
                  <wp:wrapPolygon edited="0">
                    <wp:start x="0" y="0"/>
                    <wp:lineTo x="0" y="21234"/>
                    <wp:lineTo x="21535" y="21234"/>
                    <wp:lineTo x="21535" y="0"/>
                    <wp:lineTo x="0" y="0"/>
                  </wp:wrapPolygon>
                </wp:wrapTight>
                <wp:docPr id="1426527371" name="Picture 1" descr="A close 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6527371" name="Picture 1" descr="A close up of black 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3171825" cy="1123950"/>
                        </a:xfrm>
                        <a:prstGeom prst="rect">
                          <a:avLst/>
                        </a:prstGeom>
                      </pic:spPr>
                    </pic:pic>
                  </a:graphicData>
                </a:graphic>
              </wp:anchor>
            </w:drawing>
          </w:r>
        </w:p>
        <w:tbl>
          <w:tblPr>
            <w:tblpPr w:leftFromText="187" w:rightFromText="187" w:horzAnchor="margin" w:tblpXSpec="center" w:tblpY="2881"/>
            <w:tblW w:w="4000" w:type="pct"/>
            <w:tblBorders>
              <w:left w:val="single" w:sz="12" w:space="0" w:color="156082" w:themeColor="accent1"/>
            </w:tblBorders>
            <w:tblCellMar>
              <w:left w:w="144" w:type="dxa"/>
              <w:right w:w="115" w:type="dxa"/>
            </w:tblCellMar>
            <w:tblLook w:val="04A0" w:firstRow="1" w:lastRow="0" w:firstColumn="1" w:lastColumn="0" w:noHBand="0" w:noVBand="1"/>
          </w:tblPr>
          <w:tblGrid>
            <w:gridCol w:w="7209"/>
          </w:tblGrid>
          <w:tr w:rsidR="0079490B" w14:paraId="2AD3C3D6" w14:textId="77777777">
            <w:tc>
              <w:tcPr>
                <w:tcW w:w="7672" w:type="dxa"/>
                <w:tcMar>
                  <w:top w:w="216" w:type="dxa"/>
                  <w:left w:w="115" w:type="dxa"/>
                  <w:bottom w:w="216" w:type="dxa"/>
                  <w:right w:w="115" w:type="dxa"/>
                </w:tcMar>
              </w:tcPr>
              <w:p w14:paraId="563ADA41" w14:textId="3D0CDA73" w:rsidR="0079490B" w:rsidRDefault="0079490B">
                <w:pPr>
                  <w:pStyle w:val="NoSpacing"/>
                  <w:rPr>
                    <w:color w:val="0F4761" w:themeColor="accent1" w:themeShade="BF"/>
                    <w:sz w:val="24"/>
                  </w:rPr>
                </w:pPr>
              </w:p>
            </w:tc>
          </w:tr>
          <w:tr w:rsidR="0079490B" w14:paraId="14C35728" w14:textId="77777777">
            <w:tc>
              <w:tcPr>
                <w:tcW w:w="7672" w:type="dxa"/>
              </w:tcPr>
              <w:sdt>
                <w:sdtPr>
                  <w:rPr>
                    <w:rFonts w:ascii="Arial Black" w:eastAsiaTheme="majorEastAsia" w:hAnsi="Arial Black" w:cstheme="majorBidi"/>
                    <w:color w:val="156082" w:themeColor="accent1"/>
                    <w:sz w:val="56"/>
                    <w:szCs w:val="56"/>
                  </w:rPr>
                  <w:alias w:val="Title"/>
                  <w:id w:val="13406919"/>
                  <w:placeholder>
                    <w:docPart w:val="D0E643445EEF417FAA0D07A8282A74A0"/>
                  </w:placeholder>
                  <w:dataBinding w:prefixMappings="xmlns:ns0='http://schemas.openxmlformats.org/package/2006/metadata/core-properties' xmlns:ns1='http://purl.org/dc/elements/1.1/'" w:xpath="/ns0:coreProperties[1]/ns1:title[1]" w:storeItemID="{6C3C8BC8-F283-45AE-878A-BAB7291924A1}"/>
                  <w:text/>
                </w:sdtPr>
                <w:sdtContent>
                  <w:p w14:paraId="190CA284" w14:textId="58ABA8E7" w:rsidR="0079490B" w:rsidRPr="0079490B" w:rsidRDefault="0079490B">
                    <w:pPr>
                      <w:pStyle w:val="NoSpacing"/>
                      <w:spacing w:line="216" w:lineRule="auto"/>
                      <w:rPr>
                        <w:rFonts w:ascii="Arial Black" w:eastAsiaTheme="majorEastAsia" w:hAnsi="Arial Black" w:cstheme="majorBidi"/>
                        <w:color w:val="156082" w:themeColor="accent1"/>
                        <w:sz w:val="56"/>
                        <w:szCs w:val="56"/>
                      </w:rPr>
                    </w:pPr>
                    <w:r w:rsidRPr="0079490B">
                      <w:rPr>
                        <w:rFonts w:ascii="Arial Black" w:eastAsiaTheme="majorEastAsia" w:hAnsi="Arial Black" w:cstheme="majorBidi"/>
                        <w:color w:val="156082" w:themeColor="accent1"/>
                        <w:sz w:val="56"/>
                        <w:szCs w:val="56"/>
                      </w:rPr>
                      <w:t xml:space="preserve"> </w:t>
                    </w:r>
                    <w:r w:rsidRPr="0079490B">
                      <w:rPr>
                        <w:rFonts w:ascii="Arial Black" w:eastAsiaTheme="majorEastAsia" w:hAnsi="Arial Black" w:cstheme="majorBidi"/>
                        <w:color w:val="156082" w:themeColor="accent1"/>
                        <w:sz w:val="56"/>
                        <w:szCs w:val="56"/>
                      </w:rPr>
                      <w:t>Financial Analysis</w:t>
                    </w:r>
                  </w:p>
                </w:sdtContent>
              </w:sdt>
            </w:tc>
          </w:tr>
          <w:tr w:rsidR="0079490B" w14:paraId="24AA59BA" w14:textId="77777777">
            <w:tc>
              <w:tcPr>
                <w:tcW w:w="7672" w:type="dxa"/>
                <w:tcMar>
                  <w:top w:w="216" w:type="dxa"/>
                  <w:left w:w="115" w:type="dxa"/>
                  <w:bottom w:w="216" w:type="dxa"/>
                  <w:right w:w="115" w:type="dxa"/>
                </w:tcMar>
              </w:tcPr>
              <w:p w14:paraId="24F34BA9" w14:textId="51E04CDA" w:rsidR="0079490B" w:rsidRDefault="0079490B">
                <w:pPr>
                  <w:pStyle w:val="NoSpacing"/>
                  <w:rPr>
                    <w:color w:val="0F4761" w:themeColor="accent1" w:themeShade="BF"/>
                    <w:sz w:val="24"/>
                  </w:rPr>
                </w:pPr>
              </w:p>
            </w:tc>
          </w:tr>
        </w:tbl>
        <w:tbl>
          <w:tblPr>
            <w:tblpPr w:leftFromText="187" w:rightFromText="187" w:horzAnchor="margin" w:tblpXSpec="center" w:tblpYSpec="bottom"/>
            <w:tblW w:w="3857" w:type="pct"/>
            <w:tblLook w:val="04A0" w:firstRow="1" w:lastRow="0" w:firstColumn="1" w:lastColumn="0" w:noHBand="0" w:noVBand="1"/>
          </w:tblPr>
          <w:tblGrid>
            <w:gridCol w:w="6963"/>
          </w:tblGrid>
          <w:tr w:rsidR="0079490B" w14:paraId="0153039F" w14:textId="77777777">
            <w:tc>
              <w:tcPr>
                <w:tcW w:w="7221" w:type="dxa"/>
                <w:tcMar>
                  <w:top w:w="216" w:type="dxa"/>
                  <w:left w:w="115" w:type="dxa"/>
                  <w:bottom w:w="216" w:type="dxa"/>
                  <w:right w:w="115" w:type="dxa"/>
                </w:tcMar>
              </w:tcPr>
              <w:sdt>
                <w:sdtPr>
                  <w:rPr>
                    <w:rFonts w:ascii="Arial Black" w:hAnsi="Arial Black"/>
                    <w:color w:val="156082" w:themeColor="accent1"/>
                    <w:sz w:val="28"/>
                    <w:szCs w:val="28"/>
                  </w:rPr>
                  <w:alias w:val="Author"/>
                  <w:id w:val="13406928"/>
                  <w:placeholder>
                    <w:docPart w:val="504E6C7328C74D67ADD3EB1B8C10F4D2"/>
                  </w:placeholder>
                  <w:dataBinding w:prefixMappings="xmlns:ns0='http://schemas.openxmlformats.org/package/2006/metadata/core-properties' xmlns:ns1='http://purl.org/dc/elements/1.1/'" w:xpath="/ns0:coreProperties[1]/ns1:creator[1]" w:storeItemID="{6C3C8BC8-F283-45AE-878A-BAB7291924A1}"/>
                  <w:text/>
                </w:sdtPr>
                <w:sdtContent>
                  <w:p w14:paraId="36410B6A" w14:textId="53B73ED5" w:rsidR="0079490B" w:rsidRPr="0000251F" w:rsidRDefault="0000251F">
                    <w:pPr>
                      <w:pStyle w:val="NoSpacing"/>
                      <w:rPr>
                        <w:rFonts w:ascii="Arial Black" w:hAnsi="Arial Black"/>
                        <w:color w:val="156082" w:themeColor="accent1"/>
                        <w:sz w:val="28"/>
                        <w:szCs w:val="28"/>
                      </w:rPr>
                    </w:pPr>
                    <w:r w:rsidRPr="0000251F">
                      <w:rPr>
                        <w:rFonts w:ascii="Arial Black" w:hAnsi="Arial Black"/>
                        <w:color w:val="156082" w:themeColor="accent1"/>
                        <w:sz w:val="28"/>
                        <w:szCs w:val="28"/>
                      </w:rPr>
                      <w:t xml:space="preserve">Student name: Catalin Constantin Ancuta </w:t>
                    </w:r>
                  </w:p>
                </w:sdtContent>
              </w:sdt>
              <w:sdt>
                <w:sdtPr>
                  <w:rPr>
                    <w:rFonts w:ascii="Arial Black" w:hAnsi="Arial Black"/>
                    <w:color w:val="156082" w:themeColor="accent1"/>
                    <w:sz w:val="28"/>
                    <w:szCs w:val="28"/>
                  </w:rPr>
                  <w:alias w:val="Date"/>
                  <w:tag w:val="Date"/>
                  <w:id w:val="13406932"/>
                  <w:placeholder>
                    <w:docPart w:val="7DC8CC9DC91A4A819465781850D7FF28"/>
                  </w:placeholder>
                  <w:dataBinding w:prefixMappings="xmlns:ns0='http://schemas.microsoft.com/office/2006/coverPageProps'" w:xpath="/ns0:CoverPageProperties[1]/ns0:PublishDate[1]" w:storeItemID="{55AF091B-3C7A-41E3-B477-F2FDAA23CFDA}"/>
                  <w:date>
                    <w:dateFormat w:val="M-d-yyyy"/>
                    <w:lid w:val="en-US"/>
                    <w:storeMappedDataAs w:val="dateTime"/>
                    <w:calendar w:val="gregorian"/>
                  </w:date>
                </w:sdtPr>
                <w:sdtContent>
                  <w:p w14:paraId="785FA8FC" w14:textId="5590B3F4" w:rsidR="0079490B" w:rsidRPr="0000251F" w:rsidRDefault="0000251F">
                    <w:pPr>
                      <w:pStyle w:val="NoSpacing"/>
                      <w:rPr>
                        <w:rFonts w:ascii="Arial Black" w:hAnsi="Arial Black"/>
                        <w:color w:val="156082" w:themeColor="accent1"/>
                        <w:sz w:val="28"/>
                        <w:szCs w:val="28"/>
                      </w:rPr>
                    </w:pPr>
                    <w:r w:rsidRPr="0000251F">
                      <w:rPr>
                        <w:rFonts w:ascii="Arial Black" w:hAnsi="Arial Black"/>
                        <w:color w:val="156082" w:themeColor="accent1"/>
                        <w:sz w:val="28"/>
                        <w:szCs w:val="28"/>
                      </w:rPr>
                      <w:t>Student number:</w:t>
                    </w:r>
                    <w:r>
                      <w:rPr>
                        <w:rFonts w:ascii="Arial Black" w:hAnsi="Arial Black"/>
                        <w:color w:val="156082" w:themeColor="accent1"/>
                        <w:sz w:val="28"/>
                        <w:szCs w:val="28"/>
                      </w:rPr>
                      <w:t xml:space="preserve"> </w:t>
                    </w:r>
                    <w:r w:rsidRPr="0000251F">
                      <w:rPr>
                        <w:rFonts w:ascii="Arial Black" w:hAnsi="Arial Black"/>
                        <w:color w:val="156082" w:themeColor="accent1"/>
                        <w:sz w:val="28"/>
                        <w:szCs w:val="28"/>
                      </w:rPr>
                      <w:t>2317107</w:t>
                    </w:r>
                  </w:p>
                </w:sdtContent>
              </w:sdt>
              <w:p w14:paraId="08E2D6B1" w14:textId="77777777" w:rsidR="0079490B" w:rsidRDefault="0079490B">
                <w:pPr>
                  <w:pStyle w:val="NoSpacing"/>
                  <w:rPr>
                    <w:color w:val="156082" w:themeColor="accent1"/>
                  </w:rPr>
                </w:pPr>
              </w:p>
            </w:tc>
          </w:tr>
        </w:tbl>
        <w:p w14:paraId="61A633CB" w14:textId="5CF660DD" w:rsidR="0079490B" w:rsidRDefault="0079490B">
          <w:pPr>
            <w:rPr>
              <w:rFonts w:ascii="Arial Black" w:hAnsi="Arial Black" w:cs="Arial"/>
              <w:sz w:val="24"/>
              <w:szCs w:val="24"/>
            </w:rPr>
          </w:pPr>
          <w:r>
            <w:rPr>
              <w:rFonts w:ascii="Arial Black" w:hAnsi="Arial Black" w:cs="Arial"/>
              <w:sz w:val="24"/>
              <w:szCs w:val="24"/>
            </w:rPr>
            <w:br w:type="page"/>
          </w:r>
        </w:p>
      </w:sdtContent>
    </w:sdt>
    <w:p w14:paraId="596DA70D" w14:textId="5AE36BAA" w:rsidR="007B7E20" w:rsidRPr="000F7072" w:rsidRDefault="007B7E20">
      <w:pPr>
        <w:rPr>
          <w:rFonts w:ascii="Arial Black" w:hAnsi="Arial Black" w:cs="Arial"/>
          <w:sz w:val="24"/>
          <w:szCs w:val="24"/>
        </w:rPr>
      </w:pPr>
      <w:r w:rsidRPr="000F7072">
        <w:rPr>
          <w:rFonts w:ascii="Arial Black" w:hAnsi="Arial Black" w:cs="Arial"/>
          <w:sz w:val="24"/>
          <w:szCs w:val="24"/>
        </w:rPr>
        <w:lastRenderedPageBreak/>
        <w:t>Introduction</w:t>
      </w:r>
    </w:p>
    <w:p w14:paraId="6FD39204" w14:textId="5228B878" w:rsidR="003A2F4E" w:rsidRDefault="007B7E20" w:rsidP="000F7072">
      <w:pPr>
        <w:spacing w:line="480" w:lineRule="auto"/>
        <w:rPr>
          <w:rFonts w:ascii="Arial" w:hAnsi="Arial" w:cs="Arial"/>
          <w:sz w:val="24"/>
          <w:szCs w:val="24"/>
        </w:rPr>
      </w:pPr>
      <w:r w:rsidRPr="007B7E20">
        <w:rPr>
          <w:rFonts w:ascii="Arial" w:hAnsi="Arial" w:cs="Arial"/>
          <w:sz w:val="24"/>
          <w:szCs w:val="24"/>
        </w:rPr>
        <w:t xml:space="preserve">Burger King, founded in 1954, is a well-known global fast-food business that prides itself on serving high-quality, flame-grilled burgers at reasonable </w:t>
      </w:r>
      <w:r>
        <w:rPr>
          <w:rFonts w:ascii="Arial" w:hAnsi="Arial" w:cs="Arial"/>
          <w:sz w:val="24"/>
          <w:szCs w:val="24"/>
        </w:rPr>
        <w:t>prices</w:t>
      </w:r>
      <w:r w:rsidRPr="007B7E20">
        <w:rPr>
          <w:rFonts w:ascii="Arial" w:hAnsi="Arial" w:cs="Arial"/>
          <w:sz w:val="24"/>
          <w:szCs w:val="24"/>
        </w:rPr>
        <w:t>. Burger King has over 18,000 locations in more than 100 countries, establishing itself as a key player in the quick-service restaurant market. Its business model focuses on client happiness by offering a comprehensive selection of fast-food items such as burgers, fries, and drinks to suit a wide range of tastes and preferences.</w:t>
      </w:r>
      <w:r w:rsidRPr="007B7E20">
        <w:t xml:space="preserve"> </w:t>
      </w:r>
      <w:r w:rsidRPr="007B7E20">
        <w:rPr>
          <w:rFonts w:ascii="Arial" w:hAnsi="Arial" w:cs="Arial"/>
          <w:sz w:val="24"/>
          <w:szCs w:val="24"/>
        </w:rPr>
        <w:t>Burger King's approach is based on price and convenience, which attracts to a wide range of customers, including young adults, families, and budget-conscious shoppers. The company's ability to maintain cheap prices while providing quality food is due to effective supply chain management, clever pricing policies, and economies of scale. Furthermore, Burger King's franchise business model enables extensive brand recognition and market penetration while reducing corporate risk and capital expenditure.</w:t>
      </w:r>
      <w:r w:rsidRPr="007B7E20">
        <w:t xml:space="preserve"> </w:t>
      </w:r>
      <w:r w:rsidRPr="007B7E20">
        <w:rPr>
          <w:rFonts w:ascii="Arial" w:hAnsi="Arial" w:cs="Arial"/>
          <w:sz w:val="24"/>
          <w:szCs w:val="24"/>
        </w:rPr>
        <w:t xml:space="preserve">In recent years, Burger King has responded to changing consumer preferences by adding healthier and plant-based options to its menu, such as the Impossible Whopper. This demonstrates not only the chain's agility but also its dedication to innovation and market trend knowledge. Furthermore, Burger King has made significant investments in developing its digital capabilities </w:t>
      </w:r>
      <w:r>
        <w:rPr>
          <w:rFonts w:ascii="Arial" w:hAnsi="Arial" w:cs="Arial"/>
          <w:sz w:val="24"/>
          <w:szCs w:val="24"/>
        </w:rPr>
        <w:t xml:space="preserve">and </w:t>
      </w:r>
      <w:r w:rsidRPr="007B7E20">
        <w:rPr>
          <w:rFonts w:ascii="Arial" w:hAnsi="Arial" w:cs="Arial"/>
          <w:sz w:val="24"/>
          <w:szCs w:val="24"/>
        </w:rPr>
        <w:t>boosting customer experience through mobile apps, online ordering, and delivery services, all of which have become increasingly crucial in the competitive fast-food business.</w:t>
      </w:r>
      <w:r w:rsidR="00D8447E">
        <w:rPr>
          <w:rFonts w:ascii="Arial" w:hAnsi="Arial" w:cs="Arial"/>
          <w:sz w:val="24"/>
          <w:szCs w:val="24"/>
        </w:rPr>
        <w:t xml:space="preserve">                                           </w:t>
      </w:r>
      <w:r w:rsidR="00D8447E" w:rsidRPr="00D8447E">
        <w:t xml:space="preserve"> </w:t>
      </w:r>
      <w:r w:rsidR="00D8447E" w:rsidRPr="00D8447E">
        <w:rPr>
          <w:rFonts w:ascii="Arial" w:hAnsi="Arial" w:cs="Arial"/>
          <w:sz w:val="24"/>
          <w:szCs w:val="24"/>
        </w:rPr>
        <w:t>As Burger King expands globally, it remains committed to its core philosophy of offering quick, affordable meals without compromising quality. The brand's continued focus on client needs</w:t>
      </w:r>
      <w:r w:rsidR="00D8447E">
        <w:rPr>
          <w:rFonts w:ascii="Arial" w:hAnsi="Arial" w:cs="Arial"/>
          <w:sz w:val="24"/>
          <w:szCs w:val="24"/>
        </w:rPr>
        <w:t xml:space="preserve"> and being current with culinary and technical developments</w:t>
      </w:r>
      <w:r w:rsidR="00D8447E" w:rsidRPr="00D8447E">
        <w:rPr>
          <w:rFonts w:ascii="Arial" w:hAnsi="Arial" w:cs="Arial"/>
          <w:sz w:val="24"/>
          <w:szCs w:val="24"/>
        </w:rPr>
        <w:t xml:space="preserve"> are critical to its long-term success and popularity among consumers globally.</w:t>
      </w:r>
    </w:p>
    <w:p w14:paraId="6923D27F" w14:textId="77777777" w:rsidR="000F7072" w:rsidRDefault="000F7072">
      <w:pPr>
        <w:rPr>
          <w:rFonts w:ascii="Arial" w:hAnsi="Arial" w:cs="Arial"/>
          <w:sz w:val="24"/>
          <w:szCs w:val="24"/>
        </w:rPr>
      </w:pPr>
    </w:p>
    <w:p w14:paraId="79AA2E0A" w14:textId="736447CF" w:rsidR="00A13FEA" w:rsidRPr="000F7072" w:rsidRDefault="00A13FEA">
      <w:pPr>
        <w:rPr>
          <w:rFonts w:ascii="Arial Black" w:hAnsi="Arial Black" w:cs="Arial"/>
          <w:sz w:val="24"/>
          <w:szCs w:val="24"/>
        </w:rPr>
      </w:pPr>
      <w:r w:rsidRPr="000F7072">
        <w:rPr>
          <w:rFonts w:ascii="Arial Black" w:hAnsi="Arial Black" w:cs="Arial"/>
          <w:sz w:val="24"/>
          <w:szCs w:val="24"/>
        </w:rPr>
        <w:lastRenderedPageBreak/>
        <w:t>Financial Overview</w:t>
      </w:r>
    </w:p>
    <w:p w14:paraId="1B6C248A" w14:textId="511DA75B" w:rsidR="00D8447E" w:rsidRDefault="00D8447E" w:rsidP="000F7072">
      <w:pPr>
        <w:spacing w:line="480" w:lineRule="auto"/>
      </w:pPr>
      <w:r w:rsidRPr="00D8447E">
        <w:rPr>
          <w:rFonts w:ascii="Arial" w:hAnsi="Arial" w:cs="Arial"/>
          <w:sz w:val="24"/>
          <w:szCs w:val="24"/>
        </w:rPr>
        <w:t>Burger King's revenue increase in fiscal years 2021 and 2022 reflects a strong trend in its global operations. According to the financial statistics supplied, Burger King's sales grew from $1.81 billion in 2021 to $1.9 billion in 2022, indicating a strong market presence and effective strategic implementations. This expansion, however, was tempered by substantial hurdles that hampered overall profitability over the period.</w:t>
      </w:r>
      <w:r w:rsidRPr="00D8447E">
        <w:t xml:space="preserve"> </w:t>
      </w:r>
    </w:p>
    <w:p w14:paraId="4E9B954A" w14:textId="77777777" w:rsidR="00D8447E" w:rsidRDefault="00D8447E" w:rsidP="000F7072">
      <w:pPr>
        <w:spacing w:line="480" w:lineRule="auto"/>
      </w:pPr>
      <w:r w:rsidRPr="00D8447E">
        <w:rPr>
          <w:rFonts w:ascii="Arial" w:hAnsi="Arial" w:cs="Arial"/>
          <w:sz w:val="24"/>
          <w:szCs w:val="24"/>
        </w:rPr>
        <w:t>One of the main issues Burger King faced was a significant increase in operational costs, notably in terms of food and labour. For example, food and beverage expenditures went from $1.5 billion in 2021 to $1.6 billion in 2022, while labour costs increased from $2.3 billion to $2.4 billion during the same period (Burger King, 2022). These increases reflect the pressures caused by growing commodity prices and wage increases, which are part of larger economic inflationary tendencies affecting the worldwide market (Drury, 20; Lucey, 2009). Furthermore, occupancy costs increased from $1.1 billion in 2021 to $1.2 billion in 2022, putting additional pressure on profit margins (Burger King, 2022).</w:t>
      </w:r>
      <w:r w:rsidRPr="00D8447E">
        <w:t xml:space="preserve"> </w:t>
      </w:r>
    </w:p>
    <w:p w14:paraId="619F733B" w14:textId="32E321FC" w:rsidR="00D8447E" w:rsidRDefault="00D8447E" w:rsidP="000F7072">
      <w:pPr>
        <w:spacing w:line="480" w:lineRule="auto"/>
        <w:rPr>
          <w:rFonts w:ascii="Arial" w:hAnsi="Arial" w:cs="Arial"/>
          <w:sz w:val="24"/>
          <w:szCs w:val="24"/>
        </w:rPr>
      </w:pPr>
      <w:r w:rsidRPr="00D8447E">
        <w:rPr>
          <w:rFonts w:ascii="Arial" w:hAnsi="Arial" w:cs="Arial"/>
          <w:sz w:val="24"/>
          <w:szCs w:val="24"/>
        </w:rPr>
        <w:t>Competition in the fast-food industry has also heated up, with competing chains like McDonald's and KFC boosting their market share through aggressive marketing and diverse menu options. Burger King's marketing and advertising expenses increased from $350 million in 2021 to $400 million in 2022 as a result of the competitive pressure. Such targeted expenditure was required to sustain brand exposure and consumer engagement in a competitive market (Choi &amp; Wang, 2009).</w:t>
      </w:r>
    </w:p>
    <w:p w14:paraId="5BF7BF84" w14:textId="71FD40BB" w:rsidR="00A13FEA" w:rsidRDefault="00A13FEA" w:rsidP="000F7072">
      <w:pPr>
        <w:spacing w:line="480" w:lineRule="auto"/>
        <w:rPr>
          <w:rFonts w:ascii="Arial" w:hAnsi="Arial" w:cs="Arial"/>
          <w:sz w:val="24"/>
          <w:szCs w:val="24"/>
        </w:rPr>
      </w:pPr>
      <w:r w:rsidRPr="00A13FEA">
        <w:rPr>
          <w:rFonts w:ascii="Arial" w:hAnsi="Arial" w:cs="Arial"/>
          <w:sz w:val="24"/>
          <w:szCs w:val="24"/>
        </w:rPr>
        <w:t xml:space="preserve">Burger King's financial statements and ratios reflect both the financial results and the strategic issues it faces. For example, the gross profit margin and EBITDA margins </w:t>
      </w:r>
      <w:r w:rsidRPr="00A13FEA">
        <w:rPr>
          <w:rFonts w:ascii="Arial" w:hAnsi="Arial" w:cs="Arial"/>
          <w:sz w:val="24"/>
          <w:szCs w:val="24"/>
        </w:rPr>
        <w:lastRenderedPageBreak/>
        <w:t>fluctuated due to rising expenses and competitive dynamics (Attrill &amp; McLaney, 2015). Despite these challenges, Burger King's strategic focus on digital innovation and international expansion has positioned the company well for future growth, though it should be noted that improved cost management and operational efficiency are required to maintain profitability (Kothari, 2001; Weetman, 2016).</w:t>
      </w:r>
    </w:p>
    <w:p w14:paraId="196A0950" w14:textId="77777777" w:rsidR="00B50236" w:rsidRPr="000F7072" w:rsidRDefault="00B50236" w:rsidP="00B50236">
      <w:pPr>
        <w:rPr>
          <w:rFonts w:ascii="Arial" w:hAnsi="Arial" w:cs="Arial"/>
          <w:b/>
          <w:bCs/>
          <w:sz w:val="24"/>
          <w:szCs w:val="24"/>
        </w:rPr>
      </w:pPr>
      <w:r w:rsidRPr="000F7072">
        <w:rPr>
          <w:rFonts w:ascii="Arial" w:hAnsi="Arial" w:cs="Arial"/>
          <w:b/>
          <w:bCs/>
          <w:sz w:val="24"/>
          <w:szCs w:val="24"/>
        </w:rPr>
        <w:t>Financial Data Overview:</w:t>
      </w:r>
    </w:p>
    <w:p w14:paraId="5A88794D" w14:textId="77777777" w:rsidR="00B50236" w:rsidRPr="00B50236" w:rsidRDefault="00B50236" w:rsidP="00B50236">
      <w:pPr>
        <w:rPr>
          <w:rFonts w:ascii="Arial" w:hAnsi="Arial" w:cs="Arial"/>
          <w:sz w:val="24"/>
          <w:szCs w:val="24"/>
        </w:rPr>
      </w:pPr>
      <w:r w:rsidRPr="00B50236">
        <w:rPr>
          <w:rFonts w:ascii="Arial" w:hAnsi="Arial" w:cs="Arial"/>
          <w:sz w:val="24"/>
          <w:szCs w:val="24"/>
        </w:rPr>
        <w:t>Revenue: $1.548 billion in 2022.</w:t>
      </w:r>
    </w:p>
    <w:p w14:paraId="40A25F7B" w14:textId="77777777" w:rsidR="00B50236" w:rsidRPr="00B50236" w:rsidRDefault="00B50236" w:rsidP="00B50236">
      <w:pPr>
        <w:rPr>
          <w:rFonts w:ascii="Arial" w:hAnsi="Arial" w:cs="Arial"/>
          <w:sz w:val="24"/>
          <w:szCs w:val="24"/>
        </w:rPr>
      </w:pPr>
      <w:r w:rsidRPr="00B50236">
        <w:rPr>
          <w:rFonts w:ascii="Arial" w:hAnsi="Arial" w:cs="Arial"/>
          <w:sz w:val="24"/>
          <w:szCs w:val="24"/>
        </w:rPr>
        <w:t>Net Income: $156 million in 2022.</w:t>
      </w:r>
    </w:p>
    <w:p w14:paraId="3035C9BA" w14:textId="77777777" w:rsidR="00B50236" w:rsidRPr="00B50236" w:rsidRDefault="00B50236" w:rsidP="00B50236">
      <w:pPr>
        <w:rPr>
          <w:rFonts w:ascii="Arial" w:hAnsi="Arial" w:cs="Arial"/>
          <w:sz w:val="24"/>
          <w:szCs w:val="24"/>
        </w:rPr>
      </w:pPr>
      <w:r w:rsidRPr="00B50236">
        <w:rPr>
          <w:rFonts w:ascii="Arial" w:hAnsi="Arial" w:cs="Arial"/>
          <w:sz w:val="24"/>
          <w:szCs w:val="24"/>
        </w:rPr>
        <w:t>Total Assets: $23 billion as of 2022.</w:t>
      </w:r>
    </w:p>
    <w:p w14:paraId="1A88A875" w14:textId="77777777" w:rsidR="00B50236" w:rsidRPr="00B50236" w:rsidRDefault="00B50236" w:rsidP="00B50236">
      <w:pPr>
        <w:rPr>
          <w:rFonts w:ascii="Arial" w:hAnsi="Arial" w:cs="Arial"/>
          <w:sz w:val="24"/>
          <w:szCs w:val="24"/>
        </w:rPr>
      </w:pPr>
      <w:r w:rsidRPr="00B50236">
        <w:rPr>
          <w:rFonts w:ascii="Arial" w:hAnsi="Arial" w:cs="Arial"/>
          <w:sz w:val="24"/>
          <w:szCs w:val="24"/>
        </w:rPr>
        <w:t>Total Liabilities: $14.5 billion in 2022.</w:t>
      </w:r>
    </w:p>
    <w:p w14:paraId="07B359B6" w14:textId="77777777" w:rsidR="00B50236" w:rsidRPr="00B50236" w:rsidRDefault="00B50236" w:rsidP="00B50236">
      <w:pPr>
        <w:rPr>
          <w:rFonts w:ascii="Arial" w:hAnsi="Arial" w:cs="Arial"/>
          <w:sz w:val="24"/>
          <w:szCs w:val="24"/>
        </w:rPr>
      </w:pPr>
      <w:r w:rsidRPr="00B50236">
        <w:rPr>
          <w:rFonts w:ascii="Arial" w:hAnsi="Arial" w:cs="Arial"/>
          <w:sz w:val="24"/>
          <w:szCs w:val="24"/>
        </w:rPr>
        <w:t>Current Assets: $8.3 million in 2022.</w:t>
      </w:r>
    </w:p>
    <w:p w14:paraId="0685605B" w14:textId="77777777" w:rsidR="00B50236" w:rsidRPr="00B50236" w:rsidRDefault="00B50236" w:rsidP="00B50236">
      <w:pPr>
        <w:rPr>
          <w:rFonts w:ascii="Arial" w:hAnsi="Arial" w:cs="Arial"/>
          <w:sz w:val="24"/>
          <w:szCs w:val="24"/>
        </w:rPr>
      </w:pPr>
      <w:r w:rsidRPr="00B50236">
        <w:rPr>
          <w:rFonts w:ascii="Arial" w:hAnsi="Arial" w:cs="Arial"/>
          <w:sz w:val="24"/>
          <w:szCs w:val="24"/>
        </w:rPr>
        <w:t>Current Liabilities: $6.3 million in 2022.</w:t>
      </w:r>
    </w:p>
    <w:p w14:paraId="45CE303E" w14:textId="77777777" w:rsidR="00B50236" w:rsidRPr="00B50236" w:rsidRDefault="00B50236" w:rsidP="00B50236">
      <w:pPr>
        <w:rPr>
          <w:rFonts w:ascii="Arial" w:hAnsi="Arial" w:cs="Arial"/>
          <w:sz w:val="24"/>
          <w:szCs w:val="24"/>
        </w:rPr>
      </w:pPr>
      <w:r w:rsidRPr="00B50236">
        <w:rPr>
          <w:rFonts w:ascii="Arial" w:hAnsi="Arial" w:cs="Arial"/>
          <w:sz w:val="24"/>
          <w:szCs w:val="24"/>
        </w:rPr>
        <w:t>Cost of Sales: $514 million in 2022.</w:t>
      </w:r>
    </w:p>
    <w:p w14:paraId="595F2DA7" w14:textId="3EF2E8C4" w:rsidR="00B32F7A" w:rsidRPr="000F7072" w:rsidRDefault="00B50236" w:rsidP="00B32F7A">
      <w:pPr>
        <w:rPr>
          <w:rFonts w:ascii="Arial" w:hAnsi="Arial" w:cs="Arial"/>
          <w:b/>
          <w:bCs/>
          <w:sz w:val="24"/>
          <w:szCs w:val="24"/>
        </w:rPr>
      </w:pPr>
      <w:r w:rsidRPr="000F7072">
        <w:rPr>
          <w:rFonts w:ascii="Arial" w:hAnsi="Arial" w:cs="Arial"/>
          <w:b/>
          <w:bCs/>
          <w:sz w:val="24"/>
          <w:szCs w:val="24"/>
        </w:rPr>
        <w:t>Profitability Ratios</w:t>
      </w:r>
    </w:p>
    <w:p w14:paraId="3367554E" w14:textId="77777777" w:rsidR="00B32F7A" w:rsidRPr="00B32F7A" w:rsidRDefault="00B32F7A" w:rsidP="00B32F7A">
      <w:pPr>
        <w:rPr>
          <w:rFonts w:ascii="Arial" w:hAnsi="Arial" w:cs="Arial"/>
          <w:sz w:val="24"/>
          <w:szCs w:val="24"/>
        </w:rPr>
      </w:pPr>
      <w:r w:rsidRPr="00B32F7A">
        <w:rPr>
          <w:rFonts w:ascii="Arial" w:hAnsi="Arial" w:cs="Arial"/>
          <w:sz w:val="24"/>
          <w:szCs w:val="24"/>
        </w:rPr>
        <w:t>Gross Profit Margin: 66.8%</w:t>
      </w:r>
    </w:p>
    <w:p w14:paraId="1E4071EC" w14:textId="77777777" w:rsidR="00B32F7A" w:rsidRPr="00B32F7A" w:rsidRDefault="00B32F7A" w:rsidP="00B32F7A">
      <w:pPr>
        <w:rPr>
          <w:rFonts w:ascii="Arial" w:hAnsi="Arial" w:cs="Arial"/>
          <w:sz w:val="24"/>
          <w:szCs w:val="24"/>
        </w:rPr>
      </w:pPr>
      <w:r w:rsidRPr="00B32F7A">
        <w:rPr>
          <w:rFonts w:ascii="Arial" w:hAnsi="Arial" w:cs="Arial"/>
          <w:sz w:val="24"/>
          <w:szCs w:val="24"/>
        </w:rPr>
        <w:t xml:space="preserve">Calculation: </w:t>
      </w:r>
    </w:p>
    <w:p w14:paraId="41AADE49" w14:textId="77777777" w:rsidR="00B32F7A" w:rsidRPr="00B32F7A" w:rsidRDefault="00B32F7A" w:rsidP="00B32F7A">
      <w:pPr>
        <w:rPr>
          <w:rFonts w:ascii="Arial" w:hAnsi="Arial" w:cs="Arial"/>
          <w:sz w:val="24"/>
          <w:szCs w:val="24"/>
        </w:rPr>
      </w:pPr>
      <w:r w:rsidRPr="00B32F7A">
        <w:rPr>
          <w:rFonts w:ascii="Arial" w:hAnsi="Arial" w:cs="Arial"/>
          <w:sz w:val="24"/>
          <w:szCs w:val="24"/>
        </w:rPr>
        <w:t>(1,548−514)/1,548×100</w:t>
      </w:r>
    </w:p>
    <w:p w14:paraId="531E5B14" w14:textId="77777777" w:rsidR="00B32F7A" w:rsidRPr="00B32F7A" w:rsidRDefault="00B32F7A" w:rsidP="00B32F7A">
      <w:pPr>
        <w:rPr>
          <w:rFonts w:ascii="Arial" w:hAnsi="Arial" w:cs="Arial"/>
          <w:sz w:val="24"/>
          <w:szCs w:val="24"/>
        </w:rPr>
      </w:pPr>
      <w:r w:rsidRPr="00B32F7A">
        <w:rPr>
          <w:rFonts w:ascii="Arial" w:hAnsi="Arial" w:cs="Arial"/>
          <w:sz w:val="24"/>
          <w:szCs w:val="24"/>
        </w:rPr>
        <w:t>Interpretation: 66.8% of each dollar of revenue is retained as gross profit.</w:t>
      </w:r>
    </w:p>
    <w:p w14:paraId="4E98EFD2" w14:textId="77777777" w:rsidR="00B32F7A" w:rsidRPr="00B32F7A" w:rsidRDefault="00B32F7A" w:rsidP="00B32F7A">
      <w:pPr>
        <w:rPr>
          <w:rFonts w:ascii="Arial" w:hAnsi="Arial" w:cs="Arial"/>
          <w:sz w:val="24"/>
          <w:szCs w:val="24"/>
        </w:rPr>
      </w:pPr>
      <w:r w:rsidRPr="00B32F7A">
        <w:rPr>
          <w:rFonts w:ascii="Arial" w:hAnsi="Arial" w:cs="Arial"/>
          <w:sz w:val="24"/>
          <w:szCs w:val="24"/>
        </w:rPr>
        <w:t>Net Profit Margin: 10.1%</w:t>
      </w:r>
    </w:p>
    <w:p w14:paraId="657DCB19" w14:textId="69524BDE" w:rsidR="00B32F7A" w:rsidRPr="00B32F7A" w:rsidRDefault="00B32F7A" w:rsidP="00B32F7A">
      <w:pPr>
        <w:rPr>
          <w:rFonts w:ascii="Arial" w:hAnsi="Arial" w:cs="Arial"/>
          <w:sz w:val="24"/>
          <w:szCs w:val="24"/>
        </w:rPr>
      </w:pPr>
      <w:r w:rsidRPr="00B32F7A">
        <w:rPr>
          <w:rFonts w:ascii="Arial" w:hAnsi="Arial" w:cs="Arial"/>
          <w:sz w:val="24"/>
          <w:szCs w:val="24"/>
        </w:rPr>
        <w:t xml:space="preserve">Calculation: </w:t>
      </w:r>
    </w:p>
    <w:p w14:paraId="25E56975" w14:textId="38BA5C3C" w:rsidR="00B32F7A" w:rsidRPr="00B32F7A" w:rsidRDefault="00B32F7A" w:rsidP="00B32F7A">
      <w:pPr>
        <w:rPr>
          <w:rFonts w:ascii="Arial" w:hAnsi="Arial" w:cs="Arial"/>
          <w:sz w:val="24"/>
          <w:szCs w:val="24"/>
        </w:rPr>
      </w:pPr>
      <w:r w:rsidRPr="00B32F7A">
        <w:rPr>
          <w:rFonts w:ascii="Arial" w:hAnsi="Arial" w:cs="Arial"/>
          <w:sz w:val="24"/>
          <w:szCs w:val="24"/>
        </w:rPr>
        <w:t>(156/</w:t>
      </w:r>
      <w:r w:rsidRPr="00B32F7A">
        <w:rPr>
          <w:rFonts w:ascii="Arial" w:hAnsi="Arial" w:cs="Arial"/>
          <w:sz w:val="24"/>
          <w:szCs w:val="24"/>
        </w:rPr>
        <w:t>1,548) ×</w:t>
      </w:r>
      <w:r w:rsidRPr="00B32F7A">
        <w:rPr>
          <w:rFonts w:ascii="Arial" w:hAnsi="Arial" w:cs="Arial"/>
          <w:sz w:val="24"/>
          <w:szCs w:val="24"/>
        </w:rPr>
        <w:t>100</w:t>
      </w:r>
    </w:p>
    <w:p w14:paraId="6D0B6C24" w14:textId="77777777" w:rsidR="00B32F7A" w:rsidRPr="00B32F7A" w:rsidRDefault="00B32F7A" w:rsidP="00B32F7A">
      <w:pPr>
        <w:rPr>
          <w:rFonts w:ascii="Arial" w:hAnsi="Arial" w:cs="Arial"/>
          <w:sz w:val="24"/>
          <w:szCs w:val="24"/>
        </w:rPr>
      </w:pPr>
      <w:r w:rsidRPr="00B32F7A">
        <w:rPr>
          <w:rFonts w:ascii="Arial" w:hAnsi="Arial" w:cs="Arial"/>
          <w:sz w:val="24"/>
          <w:szCs w:val="24"/>
        </w:rPr>
        <w:t>Interpretation: 10.1% of each dollar of revenue is retained as net profit.</w:t>
      </w:r>
    </w:p>
    <w:p w14:paraId="6A409B95" w14:textId="77777777" w:rsidR="00B32F7A" w:rsidRPr="00B32F7A" w:rsidRDefault="00B32F7A" w:rsidP="00B32F7A">
      <w:pPr>
        <w:rPr>
          <w:rFonts w:ascii="Arial" w:hAnsi="Arial" w:cs="Arial"/>
          <w:sz w:val="24"/>
          <w:szCs w:val="24"/>
        </w:rPr>
      </w:pPr>
      <w:r w:rsidRPr="00B32F7A">
        <w:rPr>
          <w:rFonts w:ascii="Arial" w:hAnsi="Arial" w:cs="Arial"/>
          <w:sz w:val="24"/>
          <w:szCs w:val="24"/>
        </w:rPr>
        <w:t>Return on Assets (ROA): 0.68%</w:t>
      </w:r>
    </w:p>
    <w:p w14:paraId="00AEE989" w14:textId="25237DEB" w:rsidR="00B32F7A" w:rsidRPr="00B32F7A" w:rsidRDefault="00B32F7A" w:rsidP="00B32F7A">
      <w:pPr>
        <w:rPr>
          <w:rFonts w:ascii="Arial" w:hAnsi="Arial" w:cs="Arial"/>
          <w:sz w:val="24"/>
          <w:szCs w:val="24"/>
        </w:rPr>
      </w:pPr>
      <w:r w:rsidRPr="00B32F7A">
        <w:rPr>
          <w:rFonts w:ascii="Arial" w:hAnsi="Arial" w:cs="Arial"/>
          <w:sz w:val="24"/>
          <w:szCs w:val="24"/>
        </w:rPr>
        <w:t xml:space="preserve">Calculation: </w:t>
      </w:r>
    </w:p>
    <w:p w14:paraId="5141DC93" w14:textId="6BE08CB7" w:rsidR="00B32F7A" w:rsidRPr="00B32F7A" w:rsidRDefault="00B32F7A" w:rsidP="00B32F7A">
      <w:pPr>
        <w:rPr>
          <w:rFonts w:ascii="Arial" w:hAnsi="Arial" w:cs="Arial"/>
          <w:sz w:val="24"/>
          <w:szCs w:val="24"/>
        </w:rPr>
      </w:pPr>
      <w:r w:rsidRPr="00B32F7A">
        <w:rPr>
          <w:rFonts w:ascii="Arial" w:hAnsi="Arial" w:cs="Arial"/>
          <w:sz w:val="24"/>
          <w:szCs w:val="24"/>
        </w:rPr>
        <w:t>(156/</w:t>
      </w:r>
      <w:r w:rsidRPr="00B32F7A">
        <w:rPr>
          <w:rFonts w:ascii="Arial" w:hAnsi="Arial" w:cs="Arial"/>
          <w:sz w:val="24"/>
          <w:szCs w:val="24"/>
        </w:rPr>
        <w:t>23,000) ×</w:t>
      </w:r>
      <w:r w:rsidRPr="00B32F7A">
        <w:rPr>
          <w:rFonts w:ascii="Arial" w:hAnsi="Arial" w:cs="Arial"/>
          <w:sz w:val="24"/>
          <w:szCs w:val="24"/>
        </w:rPr>
        <w:t>100</w:t>
      </w:r>
    </w:p>
    <w:p w14:paraId="66B7C8E5" w14:textId="77777777" w:rsidR="00B32F7A" w:rsidRPr="00B32F7A" w:rsidRDefault="00B32F7A" w:rsidP="00B32F7A">
      <w:pPr>
        <w:rPr>
          <w:rFonts w:ascii="Arial" w:hAnsi="Arial" w:cs="Arial"/>
          <w:sz w:val="24"/>
          <w:szCs w:val="24"/>
        </w:rPr>
      </w:pPr>
      <w:r w:rsidRPr="00B32F7A">
        <w:rPr>
          <w:rFonts w:ascii="Arial" w:hAnsi="Arial" w:cs="Arial"/>
          <w:sz w:val="24"/>
          <w:szCs w:val="24"/>
        </w:rPr>
        <w:t>Interpretation: A low ROA suggests inefficient use of assets to generate net income.</w:t>
      </w:r>
    </w:p>
    <w:p w14:paraId="33A2E829" w14:textId="77777777" w:rsidR="00B32F7A" w:rsidRPr="000F7072" w:rsidRDefault="00B32F7A" w:rsidP="00B32F7A">
      <w:pPr>
        <w:rPr>
          <w:rFonts w:ascii="Arial" w:hAnsi="Arial" w:cs="Arial"/>
          <w:b/>
          <w:bCs/>
          <w:sz w:val="24"/>
          <w:szCs w:val="24"/>
        </w:rPr>
      </w:pPr>
      <w:r w:rsidRPr="000F7072">
        <w:rPr>
          <w:rFonts w:ascii="Arial" w:hAnsi="Arial" w:cs="Arial"/>
          <w:b/>
          <w:bCs/>
          <w:sz w:val="24"/>
          <w:szCs w:val="24"/>
        </w:rPr>
        <w:t>Liquidity Ratios</w:t>
      </w:r>
    </w:p>
    <w:p w14:paraId="0BB1471D" w14:textId="77777777" w:rsidR="00B32F7A" w:rsidRPr="00B32F7A" w:rsidRDefault="00B32F7A" w:rsidP="00B32F7A">
      <w:pPr>
        <w:rPr>
          <w:rFonts w:ascii="Arial" w:hAnsi="Arial" w:cs="Arial"/>
          <w:sz w:val="24"/>
          <w:szCs w:val="24"/>
        </w:rPr>
      </w:pPr>
      <w:r w:rsidRPr="00B32F7A">
        <w:rPr>
          <w:rFonts w:ascii="Arial" w:hAnsi="Arial" w:cs="Arial"/>
          <w:sz w:val="24"/>
          <w:szCs w:val="24"/>
        </w:rPr>
        <w:t>Current Ratio: 1.32</w:t>
      </w:r>
    </w:p>
    <w:p w14:paraId="1DBCF96C" w14:textId="77777777" w:rsidR="000F7072" w:rsidRDefault="000F7072" w:rsidP="00B32F7A">
      <w:pPr>
        <w:rPr>
          <w:rFonts w:ascii="Arial" w:hAnsi="Arial" w:cs="Arial"/>
          <w:sz w:val="24"/>
          <w:szCs w:val="24"/>
        </w:rPr>
      </w:pPr>
    </w:p>
    <w:p w14:paraId="7628E719" w14:textId="65EBAF9D" w:rsidR="00B32F7A" w:rsidRPr="00B32F7A" w:rsidRDefault="00B32F7A" w:rsidP="00B32F7A">
      <w:pPr>
        <w:rPr>
          <w:rFonts w:ascii="Arial" w:hAnsi="Arial" w:cs="Arial"/>
          <w:sz w:val="24"/>
          <w:szCs w:val="24"/>
        </w:rPr>
      </w:pPr>
      <w:r w:rsidRPr="00B32F7A">
        <w:rPr>
          <w:rFonts w:ascii="Arial" w:hAnsi="Arial" w:cs="Arial"/>
          <w:sz w:val="24"/>
          <w:szCs w:val="24"/>
        </w:rPr>
        <w:lastRenderedPageBreak/>
        <w:t xml:space="preserve">Calculation: </w:t>
      </w:r>
    </w:p>
    <w:p w14:paraId="1A36AF75" w14:textId="77777777" w:rsidR="00B32F7A" w:rsidRPr="00B32F7A" w:rsidRDefault="00B32F7A" w:rsidP="00B32F7A">
      <w:pPr>
        <w:rPr>
          <w:rFonts w:ascii="Arial" w:hAnsi="Arial" w:cs="Arial"/>
          <w:sz w:val="24"/>
          <w:szCs w:val="24"/>
        </w:rPr>
      </w:pPr>
      <w:r w:rsidRPr="00B32F7A">
        <w:rPr>
          <w:rFonts w:ascii="Arial" w:hAnsi="Arial" w:cs="Arial"/>
          <w:sz w:val="24"/>
          <w:szCs w:val="24"/>
        </w:rPr>
        <w:t>8.3/6.3</w:t>
      </w:r>
    </w:p>
    <w:p w14:paraId="3EF5DB45" w14:textId="77777777" w:rsidR="00B32F7A" w:rsidRPr="00B32F7A" w:rsidRDefault="00B32F7A" w:rsidP="001D7F66">
      <w:pPr>
        <w:spacing w:line="480" w:lineRule="auto"/>
        <w:rPr>
          <w:rFonts w:ascii="Arial" w:hAnsi="Arial" w:cs="Arial"/>
          <w:sz w:val="24"/>
          <w:szCs w:val="24"/>
        </w:rPr>
      </w:pPr>
      <w:r w:rsidRPr="00B32F7A">
        <w:rPr>
          <w:rFonts w:ascii="Arial" w:hAnsi="Arial" w:cs="Arial"/>
          <w:sz w:val="24"/>
          <w:szCs w:val="24"/>
        </w:rPr>
        <w:t>Interpretation: Indicates good short-term financial health, with current assets exceeding current liabilities.</w:t>
      </w:r>
    </w:p>
    <w:p w14:paraId="78E9AFA5" w14:textId="77777777" w:rsidR="00B32F7A" w:rsidRPr="00B32F7A" w:rsidRDefault="00B32F7A" w:rsidP="00B32F7A">
      <w:pPr>
        <w:rPr>
          <w:rFonts w:ascii="Arial" w:hAnsi="Arial" w:cs="Arial"/>
          <w:sz w:val="24"/>
          <w:szCs w:val="24"/>
        </w:rPr>
      </w:pPr>
      <w:r w:rsidRPr="00B32F7A">
        <w:rPr>
          <w:rFonts w:ascii="Arial" w:hAnsi="Arial" w:cs="Arial"/>
          <w:sz w:val="24"/>
          <w:szCs w:val="24"/>
        </w:rPr>
        <w:t>Quick Ratio: 1.03</w:t>
      </w:r>
    </w:p>
    <w:p w14:paraId="56F90B3A" w14:textId="715D01B1" w:rsidR="00B32F7A" w:rsidRPr="00B32F7A" w:rsidRDefault="00B32F7A" w:rsidP="00B32F7A">
      <w:pPr>
        <w:rPr>
          <w:rFonts w:ascii="Arial" w:hAnsi="Arial" w:cs="Arial"/>
          <w:sz w:val="24"/>
          <w:szCs w:val="24"/>
        </w:rPr>
      </w:pPr>
      <w:r w:rsidRPr="00B32F7A">
        <w:rPr>
          <w:rFonts w:ascii="Arial" w:hAnsi="Arial" w:cs="Arial"/>
          <w:sz w:val="24"/>
          <w:szCs w:val="24"/>
        </w:rPr>
        <w:t xml:space="preserve">Calculation: </w:t>
      </w:r>
    </w:p>
    <w:p w14:paraId="2B308C9C" w14:textId="77777777" w:rsidR="00B32F7A" w:rsidRPr="00B32F7A" w:rsidRDefault="00B32F7A" w:rsidP="00B32F7A">
      <w:pPr>
        <w:rPr>
          <w:rFonts w:ascii="Arial" w:hAnsi="Arial" w:cs="Arial"/>
          <w:sz w:val="24"/>
          <w:szCs w:val="24"/>
        </w:rPr>
      </w:pPr>
      <w:r w:rsidRPr="00B32F7A">
        <w:rPr>
          <w:rFonts w:ascii="Arial" w:hAnsi="Arial" w:cs="Arial"/>
          <w:sz w:val="24"/>
          <w:szCs w:val="24"/>
        </w:rPr>
        <w:t>(8.3−1.8)/6.3</w:t>
      </w:r>
    </w:p>
    <w:p w14:paraId="008EFCAA" w14:textId="77777777" w:rsidR="00B32F7A" w:rsidRPr="00B32F7A" w:rsidRDefault="00B32F7A" w:rsidP="001D7F66">
      <w:pPr>
        <w:spacing w:line="480" w:lineRule="auto"/>
        <w:rPr>
          <w:rFonts w:ascii="Arial" w:hAnsi="Arial" w:cs="Arial"/>
          <w:sz w:val="24"/>
          <w:szCs w:val="24"/>
        </w:rPr>
      </w:pPr>
      <w:r w:rsidRPr="00B32F7A">
        <w:rPr>
          <w:rFonts w:ascii="Arial" w:hAnsi="Arial" w:cs="Arial"/>
          <w:sz w:val="24"/>
          <w:szCs w:val="24"/>
        </w:rPr>
        <w:t>Interpretation: Suggests the ability to meet short-term obligations without selling inventory.</w:t>
      </w:r>
    </w:p>
    <w:p w14:paraId="087FBDE2" w14:textId="77777777" w:rsidR="00B32F7A" w:rsidRPr="000F7072" w:rsidRDefault="00B32F7A" w:rsidP="00B32F7A">
      <w:pPr>
        <w:rPr>
          <w:rFonts w:ascii="Arial" w:hAnsi="Arial" w:cs="Arial"/>
          <w:b/>
          <w:bCs/>
          <w:sz w:val="24"/>
          <w:szCs w:val="24"/>
        </w:rPr>
      </w:pPr>
      <w:r w:rsidRPr="000F7072">
        <w:rPr>
          <w:rFonts w:ascii="Arial" w:hAnsi="Arial" w:cs="Arial"/>
          <w:b/>
          <w:bCs/>
          <w:sz w:val="24"/>
          <w:szCs w:val="24"/>
        </w:rPr>
        <w:t>Leverage Ratios</w:t>
      </w:r>
    </w:p>
    <w:p w14:paraId="27A43C74" w14:textId="77777777" w:rsidR="00B32F7A" w:rsidRPr="00B32F7A" w:rsidRDefault="00B32F7A" w:rsidP="00B32F7A">
      <w:pPr>
        <w:rPr>
          <w:rFonts w:ascii="Arial" w:hAnsi="Arial" w:cs="Arial"/>
          <w:sz w:val="24"/>
          <w:szCs w:val="24"/>
        </w:rPr>
      </w:pPr>
      <w:r w:rsidRPr="00B32F7A">
        <w:rPr>
          <w:rFonts w:ascii="Arial" w:hAnsi="Arial" w:cs="Arial"/>
          <w:sz w:val="24"/>
          <w:szCs w:val="24"/>
        </w:rPr>
        <w:t>Debt to Equity Ratio: 1.71</w:t>
      </w:r>
    </w:p>
    <w:p w14:paraId="6D6F5CF0" w14:textId="510144FC" w:rsidR="00B32F7A" w:rsidRPr="00B32F7A" w:rsidRDefault="00B32F7A" w:rsidP="00B32F7A">
      <w:pPr>
        <w:rPr>
          <w:rFonts w:ascii="Arial" w:hAnsi="Arial" w:cs="Arial"/>
          <w:sz w:val="24"/>
          <w:szCs w:val="24"/>
        </w:rPr>
      </w:pPr>
      <w:r w:rsidRPr="00B32F7A">
        <w:rPr>
          <w:rFonts w:ascii="Arial" w:hAnsi="Arial" w:cs="Arial"/>
          <w:sz w:val="24"/>
          <w:szCs w:val="24"/>
        </w:rPr>
        <w:t xml:space="preserve">Calculation: </w:t>
      </w:r>
    </w:p>
    <w:p w14:paraId="644D56E0" w14:textId="77777777" w:rsidR="00B32F7A" w:rsidRPr="00B32F7A" w:rsidRDefault="00B32F7A" w:rsidP="00B32F7A">
      <w:pPr>
        <w:rPr>
          <w:rFonts w:ascii="Arial" w:hAnsi="Arial" w:cs="Arial"/>
          <w:sz w:val="24"/>
          <w:szCs w:val="24"/>
        </w:rPr>
      </w:pPr>
      <w:r w:rsidRPr="00B32F7A">
        <w:rPr>
          <w:rFonts w:ascii="Arial" w:hAnsi="Arial" w:cs="Arial"/>
          <w:sz w:val="24"/>
          <w:szCs w:val="24"/>
        </w:rPr>
        <w:t>14.5/8.5</w:t>
      </w:r>
    </w:p>
    <w:p w14:paraId="060ABA9A" w14:textId="77777777" w:rsidR="00B32F7A" w:rsidRPr="00B32F7A" w:rsidRDefault="00B32F7A" w:rsidP="00B32F7A">
      <w:pPr>
        <w:rPr>
          <w:rFonts w:ascii="Arial" w:hAnsi="Arial" w:cs="Arial"/>
          <w:sz w:val="24"/>
          <w:szCs w:val="24"/>
        </w:rPr>
      </w:pPr>
      <w:r w:rsidRPr="00B32F7A">
        <w:rPr>
          <w:rFonts w:ascii="Arial" w:hAnsi="Arial" w:cs="Arial"/>
          <w:sz w:val="24"/>
          <w:szCs w:val="24"/>
        </w:rPr>
        <w:t>Interpretation: Indicates a high level of debt compared to equity, suggesting potentially aggressive financing strategies.</w:t>
      </w:r>
    </w:p>
    <w:p w14:paraId="44809A54" w14:textId="77777777" w:rsidR="00B32F7A" w:rsidRDefault="00B32F7A" w:rsidP="00B32F7A">
      <w:pPr>
        <w:rPr>
          <w:rFonts w:ascii="Arial" w:hAnsi="Arial" w:cs="Arial"/>
          <w:sz w:val="24"/>
          <w:szCs w:val="24"/>
        </w:rPr>
      </w:pPr>
    </w:p>
    <w:p w14:paraId="64A556A6" w14:textId="38C04E17" w:rsidR="00B32F7A" w:rsidRPr="000F7072" w:rsidRDefault="00B32F7A" w:rsidP="00B32F7A">
      <w:pPr>
        <w:rPr>
          <w:rFonts w:ascii="Arial" w:hAnsi="Arial" w:cs="Arial"/>
          <w:b/>
          <w:bCs/>
          <w:sz w:val="24"/>
          <w:szCs w:val="24"/>
        </w:rPr>
      </w:pPr>
      <w:r w:rsidRPr="000F7072">
        <w:rPr>
          <w:rFonts w:ascii="Arial" w:hAnsi="Arial" w:cs="Arial"/>
          <w:b/>
          <w:bCs/>
          <w:sz w:val="24"/>
          <w:szCs w:val="24"/>
        </w:rPr>
        <w:t>Efficiency Ratios</w:t>
      </w:r>
    </w:p>
    <w:p w14:paraId="35F9FAB1" w14:textId="77777777" w:rsidR="00B32F7A" w:rsidRPr="00B32F7A" w:rsidRDefault="00B32F7A" w:rsidP="00B32F7A">
      <w:pPr>
        <w:rPr>
          <w:rFonts w:ascii="Arial" w:hAnsi="Arial" w:cs="Arial"/>
          <w:sz w:val="24"/>
          <w:szCs w:val="24"/>
        </w:rPr>
      </w:pPr>
      <w:r w:rsidRPr="00B32F7A">
        <w:rPr>
          <w:rFonts w:ascii="Arial" w:hAnsi="Arial" w:cs="Arial"/>
          <w:sz w:val="24"/>
          <w:szCs w:val="24"/>
        </w:rPr>
        <w:t>Asset Turnover Ratio: 0.067</w:t>
      </w:r>
    </w:p>
    <w:p w14:paraId="45D290D2" w14:textId="584B0DFE" w:rsidR="00B32F7A" w:rsidRPr="00B32F7A" w:rsidRDefault="00B32F7A" w:rsidP="00B32F7A">
      <w:pPr>
        <w:rPr>
          <w:rFonts w:ascii="Arial" w:hAnsi="Arial" w:cs="Arial"/>
          <w:sz w:val="24"/>
          <w:szCs w:val="24"/>
        </w:rPr>
      </w:pPr>
      <w:r w:rsidRPr="00B32F7A">
        <w:rPr>
          <w:rFonts w:ascii="Arial" w:hAnsi="Arial" w:cs="Arial"/>
          <w:sz w:val="24"/>
          <w:szCs w:val="24"/>
        </w:rPr>
        <w:t xml:space="preserve">Calculation: </w:t>
      </w:r>
    </w:p>
    <w:p w14:paraId="3A0A9EE8" w14:textId="77777777" w:rsidR="00B32F7A" w:rsidRPr="00B32F7A" w:rsidRDefault="00B32F7A" w:rsidP="00B32F7A">
      <w:pPr>
        <w:rPr>
          <w:rFonts w:ascii="Arial" w:hAnsi="Arial" w:cs="Arial"/>
          <w:sz w:val="24"/>
          <w:szCs w:val="24"/>
        </w:rPr>
      </w:pPr>
      <w:r w:rsidRPr="00B32F7A">
        <w:rPr>
          <w:rFonts w:ascii="Arial" w:hAnsi="Arial" w:cs="Arial"/>
          <w:sz w:val="24"/>
          <w:szCs w:val="24"/>
        </w:rPr>
        <w:t>1,548/23,000</w:t>
      </w:r>
    </w:p>
    <w:p w14:paraId="447F0339" w14:textId="77777777" w:rsidR="00B32F7A" w:rsidRPr="00B32F7A" w:rsidRDefault="00B32F7A" w:rsidP="001D7F66">
      <w:pPr>
        <w:spacing w:line="480" w:lineRule="auto"/>
        <w:rPr>
          <w:rFonts w:ascii="Arial" w:hAnsi="Arial" w:cs="Arial"/>
          <w:sz w:val="24"/>
          <w:szCs w:val="24"/>
        </w:rPr>
      </w:pPr>
      <w:r w:rsidRPr="00B32F7A">
        <w:rPr>
          <w:rFonts w:ascii="Arial" w:hAnsi="Arial" w:cs="Arial"/>
          <w:sz w:val="24"/>
          <w:szCs w:val="24"/>
        </w:rPr>
        <w:t>Interpretation: Indicates inefficiency in using assets to generate revenue, as the ratio is quite low.</w:t>
      </w:r>
    </w:p>
    <w:p w14:paraId="57AB6C7C" w14:textId="77777777" w:rsidR="00B32F7A" w:rsidRPr="00B32F7A" w:rsidRDefault="00B32F7A" w:rsidP="00B32F7A">
      <w:pPr>
        <w:rPr>
          <w:rFonts w:ascii="Arial" w:hAnsi="Arial" w:cs="Arial"/>
          <w:sz w:val="24"/>
          <w:szCs w:val="24"/>
        </w:rPr>
      </w:pPr>
      <w:r w:rsidRPr="00B32F7A">
        <w:rPr>
          <w:rFonts w:ascii="Arial" w:hAnsi="Arial" w:cs="Arial"/>
          <w:sz w:val="24"/>
          <w:szCs w:val="24"/>
        </w:rPr>
        <w:t>Inventory Turnover Ratio: 285.6</w:t>
      </w:r>
    </w:p>
    <w:p w14:paraId="554066D3" w14:textId="373BF9B2" w:rsidR="00B32F7A" w:rsidRPr="00B32F7A" w:rsidRDefault="00B32F7A" w:rsidP="00B32F7A">
      <w:pPr>
        <w:rPr>
          <w:rFonts w:ascii="Arial" w:hAnsi="Arial" w:cs="Arial"/>
          <w:sz w:val="24"/>
          <w:szCs w:val="24"/>
        </w:rPr>
      </w:pPr>
      <w:r w:rsidRPr="00B32F7A">
        <w:rPr>
          <w:rFonts w:ascii="Arial" w:hAnsi="Arial" w:cs="Arial"/>
          <w:sz w:val="24"/>
          <w:szCs w:val="24"/>
        </w:rPr>
        <w:t xml:space="preserve">Calculation: </w:t>
      </w:r>
    </w:p>
    <w:p w14:paraId="22B59D6C" w14:textId="77777777" w:rsidR="00B32F7A" w:rsidRPr="00B32F7A" w:rsidRDefault="00B32F7A" w:rsidP="00B32F7A">
      <w:pPr>
        <w:rPr>
          <w:rFonts w:ascii="Arial" w:hAnsi="Arial" w:cs="Arial"/>
          <w:sz w:val="24"/>
          <w:szCs w:val="24"/>
        </w:rPr>
      </w:pPr>
      <w:r w:rsidRPr="00B32F7A">
        <w:rPr>
          <w:rFonts w:ascii="Arial" w:hAnsi="Arial" w:cs="Arial"/>
          <w:sz w:val="24"/>
          <w:szCs w:val="24"/>
        </w:rPr>
        <w:t>514/1.8</w:t>
      </w:r>
    </w:p>
    <w:p w14:paraId="4118CCB3" w14:textId="2C64F9E0" w:rsidR="00B32F7A" w:rsidRDefault="00B32F7A" w:rsidP="001D7F66">
      <w:pPr>
        <w:spacing w:line="480" w:lineRule="auto"/>
        <w:rPr>
          <w:rFonts w:ascii="Arial" w:hAnsi="Arial" w:cs="Arial"/>
          <w:sz w:val="24"/>
          <w:szCs w:val="24"/>
        </w:rPr>
      </w:pPr>
      <w:r w:rsidRPr="00B32F7A">
        <w:rPr>
          <w:rFonts w:ascii="Arial" w:hAnsi="Arial" w:cs="Arial"/>
          <w:sz w:val="24"/>
          <w:szCs w:val="24"/>
        </w:rPr>
        <w:t>Interpretation: Indicates high efficiency in inventory management, with inventory being sold and replaced frequently.</w:t>
      </w:r>
    </w:p>
    <w:p w14:paraId="599F1D6A" w14:textId="77777777" w:rsidR="001D7F66" w:rsidRDefault="001D7F66">
      <w:pPr>
        <w:rPr>
          <w:rFonts w:ascii="Arial Black" w:hAnsi="Arial Black" w:cs="Arial"/>
          <w:sz w:val="24"/>
          <w:szCs w:val="24"/>
        </w:rPr>
      </w:pPr>
    </w:p>
    <w:p w14:paraId="110A997F" w14:textId="2C76837D" w:rsidR="00A13FEA" w:rsidRDefault="00A13FEA">
      <w:pPr>
        <w:rPr>
          <w:rFonts w:ascii="Arial Black" w:hAnsi="Arial Black" w:cs="Arial"/>
          <w:sz w:val="24"/>
          <w:szCs w:val="24"/>
        </w:rPr>
      </w:pPr>
      <w:r w:rsidRPr="000F7072">
        <w:rPr>
          <w:rFonts w:ascii="Arial Black" w:hAnsi="Arial Black" w:cs="Arial"/>
          <w:sz w:val="24"/>
          <w:szCs w:val="24"/>
        </w:rPr>
        <w:lastRenderedPageBreak/>
        <w:t>Key Analysis Points</w:t>
      </w:r>
    </w:p>
    <w:p w14:paraId="5E4226C6" w14:textId="525E74A6" w:rsidR="000D7588" w:rsidRDefault="00A13FEA" w:rsidP="000F7072">
      <w:pPr>
        <w:spacing w:line="480" w:lineRule="auto"/>
        <w:rPr>
          <w:rFonts w:ascii="Arial" w:hAnsi="Arial" w:cs="Arial"/>
          <w:sz w:val="24"/>
          <w:szCs w:val="24"/>
        </w:rPr>
      </w:pPr>
      <w:r w:rsidRPr="00A13FEA">
        <w:rPr>
          <w:rFonts w:ascii="Arial" w:hAnsi="Arial" w:cs="Arial"/>
          <w:sz w:val="24"/>
          <w:szCs w:val="24"/>
        </w:rPr>
        <w:t xml:space="preserve">Burger King's financial strategy, which focuses on strict cost management and aggressive stakeholder involvement, is critical to the company's operational and market performance. The corporation implements a variety of financial measures to assist </w:t>
      </w:r>
      <w:r w:rsidR="000D7588">
        <w:rPr>
          <w:rFonts w:ascii="Arial" w:hAnsi="Arial" w:cs="Arial"/>
          <w:sz w:val="24"/>
          <w:szCs w:val="24"/>
        </w:rPr>
        <w:t>in minimising</w:t>
      </w:r>
      <w:r w:rsidRPr="00A13FEA">
        <w:rPr>
          <w:rFonts w:ascii="Arial" w:hAnsi="Arial" w:cs="Arial"/>
          <w:sz w:val="24"/>
          <w:szCs w:val="24"/>
        </w:rPr>
        <w:t xml:space="preserve"> expenses while also optimising operating efficiencies across its global franchises. According to Drury (20), good cost management is critical for remaining profitable in the highly competitive fast-food market. Burger King focuses on lowering costs in key operational areas such as food sourcing, labour, and store operations while keeping the quality and service that customers need.</w:t>
      </w:r>
      <w:r w:rsidR="000F7072">
        <w:rPr>
          <w:rFonts w:ascii="Arial" w:hAnsi="Arial" w:cs="Arial"/>
          <w:sz w:val="24"/>
          <w:szCs w:val="24"/>
        </w:rPr>
        <w:t xml:space="preserve">                                              </w:t>
      </w:r>
      <w:r w:rsidR="000D7588" w:rsidRPr="000D7588">
        <w:rPr>
          <w:rFonts w:ascii="Arial" w:hAnsi="Arial" w:cs="Arial"/>
          <w:sz w:val="24"/>
          <w:szCs w:val="24"/>
        </w:rPr>
        <w:t xml:space="preserve">For instance, Burger King's meticulous attention to supply chain efficiencies helps reduce the effects of variable food costs, which are a major cost driver mentioned in their financial reports (Burger King, 2022). </w:t>
      </w:r>
      <w:r w:rsidR="000D7588">
        <w:rPr>
          <w:rFonts w:ascii="Arial" w:hAnsi="Arial" w:cs="Arial"/>
          <w:sz w:val="24"/>
          <w:szCs w:val="24"/>
        </w:rPr>
        <w:t>Lucey (2009) points out that</w:t>
      </w:r>
      <w:r w:rsidR="000D7588" w:rsidRPr="000D7588">
        <w:rPr>
          <w:rFonts w:ascii="Arial" w:hAnsi="Arial" w:cs="Arial"/>
          <w:sz w:val="24"/>
          <w:szCs w:val="24"/>
        </w:rPr>
        <w:t xml:space="preserve"> knowing and controlling these costs is critical for the company's profitability. Furthermore, Burger King's investment in technology and digital platforms improves operational efficiencies, lowers labour costs, and improves customer experience, which aligns with modern cost management strategies (Attrill &amp; McLaney, 2015).</w:t>
      </w:r>
    </w:p>
    <w:p w14:paraId="4E91BB68" w14:textId="0FA1E76A" w:rsidR="002379C6" w:rsidRDefault="002379C6" w:rsidP="000F7072">
      <w:pPr>
        <w:spacing w:line="480" w:lineRule="auto"/>
        <w:rPr>
          <w:rFonts w:ascii="Arial" w:hAnsi="Arial" w:cs="Arial"/>
          <w:sz w:val="24"/>
          <w:szCs w:val="24"/>
        </w:rPr>
      </w:pPr>
      <w:r w:rsidRPr="002379C6">
        <w:rPr>
          <w:rFonts w:ascii="Arial" w:hAnsi="Arial" w:cs="Arial"/>
          <w:sz w:val="24"/>
          <w:szCs w:val="24"/>
        </w:rPr>
        <w:t>Stakeholder engagement is another key component of Burger King's strategy. This includes maintaining open communication with investors, tailoring offerings to consumer preferences, and participating in corporate social responsibility (CSR) efforts that improve customer and investor perceptions (Choi &amp; Wang, 2009). For example, the introduction of plant-based menu items such as the Impossible Whopper reflects changing customer tastes and Burger King's reaction to stakeholder dietary concerns (Ohlson, 1995).</w:t>
      </w:r>
      <w:r w:rsidR="000F7072">
        <w:rPr>
          <w:rFonts w:ascii="Arial" w:hAnsi="Arial" w:cs="Arial"/>
          <w:sz w:val="24"/>
          <w:szCs w:val="24"/>
        </w:rPr>
        <w:t xml:space="preserve">                                                                                           </w:t>
      </w:r>
      <w:r w:rsidRPr="002379C6">
        <w:rPr>
          <w:rFonts w:ascii="Arial" w:hAnsi="Arial" w:cs="Arial"/>
          <w:sz w:val="24"/>
          <w:szCs w:val="24"/>
        </w:rPr>
        <w:t xml:space="preserve">These strategic initiatives demonstrate Burger King's dedication to integrating operational plans with capital market expectations. The emphasis on strong financial </w:t>
      </w:r>
      <w:r w:rsidRPr="002379C6">
        <w:rPr>
          <w:rFonts w:ascii="Arial" w:hAnsi="Arial" w:cs="Arial"/>
          <w:sz w:val="24"/>
          <w:szCs w:val="24"/>
        </w:rPr>
        <w:lastRenderedPageBreak/>
        <w:t>reporting and openness encourages good capital market responses, increasing investor confidence and perhaps contributing to favourable stock prices (Kothari, 2001). This alignment is critical because it affects how the capital markets perceive Burger King's financial health and development prospects.</w:t>
      </w:r>
      <w:r w:rsidR="000F7072">
        <w:rPr>
          <w:rFonts w:ascii="Arial" w:hAnsi="Arial" w:cs="Arial"/>
          <w:sz w:val="24"/>
          <w:szCs w:val="24"/>
        </w:rPr>
        <w:t xml:space="preserve"> </w:t>
      </w:r>
      <w:r w:rsidRPr="002379C6">
        <w:rPr>
          <w:rFonts w:ascii="Arial" w:hAnsi="Arial" w:cs="Arial"/>
          <w:sz w:val="24"/>
          <w:szCs w:val="24"/>
        </w:rPr>
        <w:t xml:space="preserve">Furthermore, Burger King's financial strategy emphasises a balanced approach to growth and profitability. This includes </w:t>
      </w:r>
      <w:r>
        <w:rPr>
          <w:rFonts w:ascii="Arial" w:hAnsi="Arial" w:cs="Arial"/>
          <w:sz w:val="24"/>
          <w:szCs w:val="24"/>
        </w:rPr>
        <w:t>increasing market presence through new store openings and improving current outlets' profitability</w:t>
      </w:r>
      <w:r w:rsidRPr="002379C6">
        <w:rPr>
          <w:rFonts w:ascii="Arial" w:hAnsi="Arial" w:cs="Arial"/>
          <w:sz w:val="24"/>
          <w:szCs w:val="24"/>
        </w:rPr>
        <w:t xml:space="preserve"> through cost-cutting and revenue-optimization tactics (Weetman, 2016). The fast-food industry relies on a strategic balance of growth and efficiency to maintain financial health and competitive advantage (Walls et al., 2012).</w:t>
      </w:r>
    </w:p>
    <w:p w14:paraId="3CC3FA7D" w14:textId="42A546C2" w:rsidR="002379C6" w:rsidRPr="000F7072" w:rsidRDefault="000F7072" w:rsidP="002379C6">
      <w:pPr>
        <w:rPr>
          <w:rFonts w:ascii="Arial Black" w:hAnsi="Arial Black" w:cs="Arial"/>
          <w:sz w:val="24"/>
          <w:szCs w:val="24"/>
        </w:rPr>
      </w:pPr>
      <w:r w:rsidRPr="000F7072">
        <w:rPr>
          <w:rFonts w:ascii="Arial Black" w:hAnsi="Arial Black" w:cs="Arial"/>
          <w:sz w:val="24"/>
          <w:szCs w:val="24"/>
        </w:rPr>
        <w:t>Recommendations</w:t>
      </w:r>
    </w:p>
    <w:p w14:paraId="797FEEF5" w14:textId="456D6779" w:rsidR="002379C6" w:rsidRDefault="002379C6" w:rsidP="000F7072">
      <w:pPr>
        <w:spacing w:line="480" w:lineRule="auto"/>
        <w:rPr>
          <w:rFonts w:ascii="Arial" w:hAnsi="Arial" w:cs="Arial"/>
          <w:sz w:val="24"/>
          <w:szCs w:val="24"/>
        </w:rPr>
      </w:pPr>
      <w:r w:rsidRPr="002379C6">
        <w:rPr>
          <w:rFonts w:ascii="Arial" w:hAnsi="Arial" w:cs="Arial"/>
          <w:sz w:val="24"/>
          <w:szCs w:val="24"/>
        </w:rPr>
        <w:t>To ensure sustainable growth and improve financial performance, Burger King should consider the following strategic recommendations:</w:t>
      </w:r>
    </w:p>
    <w:p w14:paraId="6F12E00D" w14:textId="7634FB57" w:rsidR="002379C6" w:rsidRPr="000F7072" w:rsidRDefault="002379C6" w:rsidP="000F7072">
      <w:pPr>
        <w:pStyle w:val="ListParagraph"/>
        <w:numPr>
          <w:ilvl w:val="0"/>
          <w:numId w:val="1"/>
        </w:numPr>
        <w:spacing w:line="480" w:lineRule="auto"/>
        <w:rPr>
          <w:rFonts w:ascii="Arial" w:hAnsi="Arial" w:cs="Arial"/>
          <w:sz w:val="24"/>
          <w:szCs w:val="24"/>
        </w:rPr>
      </w:pPr>
      <w:r w:rsidRPr="000F7072">
        <w:rPr>
          <w:rFonts w:ascii="Arial" w:hAnsi="Arial" w:cs="Arial"/>
          <w:sz w:val="24"/>
          <w:szCs w:val="24"/>
        </w:rPr>
        <w:t>Enhanced Cost Management: To address rising operational costs, Burger King's cost management tactics should be refined further. More sophisticated analytics and forecasting technologies can aid in the prediction and proactive management of cost patterns (Drury, 20). According to Lucey (2009), further integration of automated systems in inventory and supply chain management could minimise waste and increase efficiency, which is crucial.</w:t>
      </w:r>
    </w:p>
    <w:p w14:paraId="7A44B6B4" w14:textId="5A6412BA" w:rsidR="00B50236" w:rsidRPr="000F7072" w:rsidRDefault="00B50236" w:rsidP="000F7072">
      <w:pPr>
        <w:pStyle w:val="ListParagraph"/>
        <w:numPr>
          <w:ilvl w:val="0"/>
          <w:numId w:val="1"/>
        </w:numPr>
        <w:spacing w:line="480" w:lineRule="auto"/>
        <w:rPr>
          <w:rFonts w:ascii="Arial" w:hAnsi="Arial" w:cs="Arial"/>
          <w:sz w:val="24"/>
          <w:szCs w:val="24"/>
        </w:rPr>
      </w:pPr>
      <w:r w:rsidRPr="000F7072">
        <w:rPr>
          <w:rFonts w:ascii="Arial" w:hAnsi="Arial" w:cs="Arial"/>
          <w:sz w:val="24"/>
          <w:szCs w:val="24"/>
        </w:rPr>
        <w:t>Menu Diversification: As consumer preferences change, increasing the menu to include more healthy, organic, and plant-based options will help you attract a larger client base. Burger King should increase its attention on menu innovation to address the growing demand for healthier food options, which is consistent with current consumer health trends (Ohlson, 1995). This strategy not only adapts to evolving tastes, but it also strengthens the brand's competitive position in the fast-food business.</w:t>
      </w:r>
    </w:p>
    <w:p w14:paraId="2F5DC3A8" w14:textId="16D0EE44" w:rsidR="00B50236" w:rsidRPr="000F7072" w:rsidRDefault="00B50236" w:rsidP="000F7072">
      <w:pPr>
        <w:pStyle w:val="ListParagraph"/>
        <w:numPr>
          <w:ilvl w:val="0"/>
          <w:numId w:val="1"/>
        </w:numPr>
        <w:spacing w:line="480" w:lineRule="auto"/>
        <w:rPr>
          <w:rFonts w:ascii="Arial" w:hAnsi="Arial" w:cs="Arial"/>
          <w:sz w:val="24"/>
          <w:szCs w:val="24"/>
        </w:rPr>
      </w:pPr>
      <w:r w:rsidRPr="000F7072">
        <w:rPr>
          <w:rFonts w:ascii="Arial" w:hAnsi="Arial" w:cs="Arial"/>
          <w:sz w:val="24"/>
          <w:szCs w:val="24"/>
        </w:rPr>
        <w:lastRenderedPageBreak/>
        <w:t>Investments in Technology: It is essential to make technological investments in order to improve customer satisfaction and optimise business processes. Enhancing the digital ordering system and mobile application can lead to increased customer satisfaction and operational efficiency (Attrill &amp; McLaney, 2015). Furthermore, revenues and customer loyalty can be greatly increased by using big data analytics to comprehend consumer behaviour and personalise marketing techniques.</w:t>
      </w:r>
    </w:p>
    <w:p w14:paraId="0870F83C" w14:textId="671990E1" w:rsidR="00B50236" w:rsidRPr="000F7072" w:rsidRDefault="00B50236" w:rsidP="000F7072">
      <w:pPr>
        <w:pStyle w:val="ListParagraph"/>
        <w:numPr>
          <w:ilvl w:val="0"/>
          <w:numId w:val="1"/>
        </w:numPr>
        <w:spacing w:line="480" w:lineRule="auto"/>
        <w:rPr>
          <w:rFonts w:ascii="Arial" w:hAnsi="Arial" w:cs="Arial"/>
          <w:sz w:val="24"/>
          <w:szCs w:val="24"/>
        </w:rPr>
      </w:pPr>
      <w:r w:rsidRPr="000F7072">
        <w:rPr>
          <w:rFonts w:ascii="Arial" w:hAnsi="Arial" w:cs="Arial"/>
          <w:sz w:val="24"/>
          <w:szCs w:val="24"/>
        </w:rPr>
        <w:t>Stronger Stakeholder Relationships: Long-term success requires more active engagement with stakeholders including as consumers, employees, and investors. Burger King should continue to expand its CSR initiatives and increase openness in its business processes. This participation can boost the company's reputation and financial performance because stakeholders are more willing to support organisations that display ethical standards and social responsibility (Choi &amp; Wang, 2009).</w:t>
      </w:r>
    </w:p>
    <w:p w14:paraId="69347EB7" w14:textId="6AB2DDC6" w:rsidR="00B50236" w:rsidRPr="000F7072" w:rsidRDefault="00B50236" w:rsidP="000F7072">
      <w:pPr>
        <w:pStyle w:val="ListParagraph"/>
        <w:numPr>
          <w:ilvl w:val="0"/>
          <w:numId w:val="1"/>
        </w:numPr>
        <w:spacing w:line="480" w:lineRule="auto"/>
        <w:rPr>
          <w:rFonts w:ascii="Arial" w:hAnsi="Arial" w:cs="Arial"/>
          <w:sz w:val="24"/>
          <w:szCs w:val="24"/>
        </w:rPr>
      </w:pPr>
      <w:r w:rsidRPr="000F7072">
        <w:rPr>
          <w:rFonts w:ascii="Arial" w:hAnsi="Arial" w:cs="Arial"/>
          <w:sz w:val="24"/>
          <w:szCs w:val="24"/>
        </w:rPr>
        <w:t>Sustainability Initiatives: Increasing efforts in sustainability, such as lowering energy consumption in restaurants and eliminating packaging waste, can not only save money but also appeal to environmentally sensitive customers. Implementing sustainable practices can boost operational efficiencies while also contributing to a favourable brand image, which is becoming increasingly crucial to modern customers and investors (Walls et al., 2012).</w:t>
      </w:r>
    </w:p>
    <w:p w14:paraId="733E767A" w14:textId="77777777" w:rsidR="00B50236" w:rsidRDefault="00B50236" w:rsidP="000F7072">
      <w:pPr>
        <w:spacing w:line="480" w:lineRule="auto"/>
        <w:rPr>
          <w:rFonts w:ascii="Arial" w:hAnsi="Arial" w:cs="Arial"/>
          <w:sz w:val="24"/>
          <w:szCs w:val="24"/>
        </w:rPr>
      </w:pPr>
    </w:p>
    <w:p w14:paraId="3DCF6EFF" w14:textId="77777777" w:rsidR="00B50236" w:rsidRDefault="00B50236" w:rsidP="000F7072">
      <w:pPr>
        <w:spacing w:line="480" w:lineRule="auto"/>
        <w:rPr>
          <w:rFonts w:ascii="Arial" w:hAnsi="Arial" w:cs="Arial"/>
          <w:sz w:val="24"/>
          <w:szCs w:val="24"/>
        </w:rPr>
      </w:pPr>
    </w:p>
    <w:p w14:paraId="4D283EA0" w14:textId="77777777" w:rsidR="00B50236" w:rsidRDefault="00B50236" w:rsidP="000F7072">
      <w:pPr>
        <w:spacing w:line="480" w:lineRule="auto"/>
        <w:rPr>
          <w:rFonts w:ascii="Arial" w:hAnsi="Arial" w:cs="Arial"/>
          <w:sz w:val="24"/>
          <w:szCs w:val="24"/>
        </w:rPr>
      </w:pPr>
    </w:p>
    <w:p w14:paraId="30C3A4C6" w14:textId="77777777" w:rsidR="001D7F66" w:rsidRDefault="001D7F66" w:rsidP="002379C6">
      <w:pPr>
        <w:rPr>
          <w:rFonts w:ascii="Arial" w:hAnsi="Arial" w:cs="Arial"/>
          <w:sz w:val="24"/>
          <w:szCs w:val="24"/>
        </w:rPr>
      </w:pPr>
    </w:p>
    <w:p w14:paraId="05D31A44" w14:textId="48383E87" w:rsidR="00B32F7A" w:rsidRDefault="00B32F7A" w:rsidP="002379C6">
      <w:pPr>
        <w:rPr>
          <w:rFonts w:ascii="Arial Black" w:hAnsi="Arial Black" w:cs="Arial"/>
          <w:sz w:val="24"/>
          <w:szCs w:val="24"/>
        </w:rPr>
      </w:pPr>
      <w:r w:rsidRPr="000F7072">
        <w:rPr>
          <w:rFonts w:ascii="Arial Black" w:hAnsi="Arial Black" w:cs="Arial"/>
          <w:sz w:val="24"/>
          <w:szCs w:val="24"/>
        </w:rPr>
        <w:lastRenderedPageBreak/>
        <w:t xml:space="preserve">Conclusion </w:t>
      </w:r>
    </w:p>
    <w:p w14:paraId="3D4D02D7" w14:textId="77777777" w:rsidR="000F7072" w:rsidRPr="000F7072" w:rsidRDefault="000F7072" w:rsidP="002379C6">
      <w:pPr>
        <w:rPr>
          <w:rFonts w:ascii="Arial Black" w:hAnsi="Arial Black" w:cs="Arial"/>
          <w:sz w:val="24"/>
          <w:szCs w:val="24"/>
        </w:rPr>
      </w:pPr>
    </w:p>
    <w:p w14:paraId="37B01C28" w14:textId="258D339C" w:rsidR="00B32F7A" w:rsidRDefault="000F7072" w:rsidP="000F7072">
      <w:pPr>
        <w:spacing w:line="480" w:lineRule="auto"/>
        <w:rPr>
          <w:rFonts w:ascii="Arial" w:hAnsi="Arial" w:cs="Arial"/>
          <w:sz w:val="24"/>
          <w:szCs w:val="24"/>
        </w:rPr>
      </w:pPr>
      <w:r w:rsidRPr="000F7072">
        <w:rPr>
          <w:rFonts w:ascii="Arial" w:hAnsi="Arial" w:cs="Arial"/>
          <w:sz w:val="24"/>
          <w:szCs w:val="24"/>
        </w:rPr>
        <w:t>The ratio analysis established a quantitative foundation for assessing Burger King's financial performance over time. This research uncovered several significant insights: First and foremost, Burger King has effectively grown its revenue despite substantial operational hurdles such as growing expenses and tough competition. Second, the investigation identified areas where Burger King might improve, particularly in better controlling operating expenses to increase profit margins.</w:t>
      </w:r>
      <w:r w:rsidRPr="000F7072">
        <w:t xml:space="preserve"> </w:t>
      </w:r>
      <w:r w:rsidRPr="000F7072">
        <w:rPr>
          <w:rFonts w:ascii="Arial" w:hAnsi="Arial" w:cs="Arial"/>
          <w:sz w:val="24"/>
          <w:szCs w:val="24"/>
        </w:rPr>
        <w:t>Furthermore, the ratio study provided a better knowledge of how well Burger King uses its assets to create revenue. This was visible in the analysis of profitability ratios such as net profit margin and return on assets, which revealed information about the success of Burger King's operational methods and cost management. Liquidity ratios such as the current and quick ratios provided insight into the company's ability to satisfy short-term obligations, which is an important part of financial stability.</w:t>
      </w:r>
    </w:p>
    <w:p w14:paraId="5DAE9BE3" w14:textId="77777777" w:rsidR="001D7F66" w:rsidRDefault="001D7F66" w:rsidP="000F7072">
      <w:pPr>
        <w:spacing w:line="480" w:lineRule="auto"/>
        <w:rPr>
          <w:rFonts w:ascii="Arial" w:hAnsi="Arial" w:cs="Arial"/>
          <w:sz w:val="24"/>
          <w:szCs w:val="24"/>
        </w:rPr>
      </w:pPr>
    </w:p>
    <w:p w14:paraId="0B85BBEB" w14:textId="77777777" w:rsidR="001D7F66" w:rsidRDefault="001D7F66" w:rsidP="000F7072">
      <w:pPr>
        <w:spacing w:line="480" w:lineRule="auto"/>
        <w:rPr>
          <w:rFonts w:ascii="Arial" w:hAnsi="Arial" w:cs="Arial"/>
          <w:sz w:val="24"/>
          <w:szCs w:val="24"/>
        </w:rPr>
      </w:pPr>
    </w:p>
    <w:p w14:paraId="62E1DCB4" w14:textId="77777777" w:rsidR="001D7F66" w:rsidRDefault="001D7F66" w:rsidP="000F7072">
      <w:pPr>
        <w:spacing w:line="480" w:lineRule="auto"/>
        <w:rPr>
          <w:rFonts w:ascii="Arial" w:hAnsi="Arial" w:cs="Arial"/>
          <w:sz w:val="24"/>
          <w:szCs w:val="24"/>
        </w:rPr>
      </w:pPr>
    </w:p>
    <w:p w14:paraId="6A3659DE" w14:textId="77777777" w:rsidR="001D7F66" w:rsidRDefault="001D7F66" w:rsidP="000F7072">
      <w:pPr>
        <w:spacing w:line="480" w:lineRule="auto"/>
        <w:rPr>
          <w:rFonts w:ascii="Arial" w:hAnsi="Arial" w:cs="Arial"/>
          <w:sz w:val="24"/>
          <w:szCs w:val="24"/>
        </w:rPr>
      </w:pPr>
    </w:p>
    <w:p w14:paraId="438C3C58" w14:textId="77777777" w:rsidR="001D7F66" w:rsidRDefault="001D7F66" w:rsidP="000F7072">
      <w:pPr>
        <w:spacing w:line="480" w:lineRule="auto"/>
        <w:rPr>
          <w:rFonts w:ascii="Arial" w:hAnsi="Arial" w:cs="Arial"/>
          <w:sz w:val="24"/>
          <w:szCs w:val="24"/>
        </w:rPr>
      </w:pPr>
    </w:p>
    <w:p w14:paraId="24952C70" w14:textId="77777777" w:rsidR="001D7F66" w:rsidRDefault="001D7F66" w:rsidP="000F7072">
      <w:pPr>
        <w:spacing w:line="480" w:lineRule="auto"/>
        <w:rPr>
          <w:rFonts w:ascii="Arial" w:hAnsi="Arial" w:cs="Arial"/>
          <w:sz w:val="24"/>
          <w:szCs w:val="24"/>
        </w:rPr>
      </w:pPr>
    </w:p>
    <w:p w14:paraId="04343047" w14:textId="77777777" w:rsidR="001D7F66" w:rsidRDefault="001D7F66" w:rsidP="000F7072">
      <w:pPr>
        <w:spacing w:line="480" w:lineRule="auto"/>
        <w:rPr>
          <w:rFonts w:ascii="Arial" w:hAnsi="Arial" w:cs="Arial"/>
          <w:sz w:val="24"/>
          <w:szCs w:val="24"/>
        </w:rPr>
      </w:pPr>
    </w:p>
    <w:p w14:paraId="34D70FE6" w14:textId="77777777" w:rsidR="001D7F66" w:rsidRDefault="001D7F66" w:rsidP="000F7072">
      <w:pPr>
        <w:spacing w:line="480" w:lineRule="auto"/>
        <w:rPr>
          <w:rFonts w:ascii="Arial" w:hAnsi="Arial" w:cs="Arial"/>
          <w:sz w:val="24"/>
          <w:szCs w:val="24"/>
        </w:rPr>
      </w:pPr>
    </w:p>
    <w:p w14:paraId="7645BC97" w14:textId="148B8E76" w:rsidR="001D7F66" w:rsidRPr="00C96793" w:rsidRDefault="001D7F66" w:rsidP="000F7072">
      <w:pPr>
        <w:spacing w:line="480" w:lineRule="auto"/>
        <w:rPr>
          <w:rFonts w:ascii="Arial Black" w:hAnsi="Arial Black" w:cs="Arial"/>
          <w:sz w:val="24"/>
          <w:szCs w:val="24"/>
        </w:rPr>
      </w:pPr>
      <w:r w:rsidRPr="00C96793">
        <w:rPr>
          <w:rFonts w:ascii="Arial Black" w:hAnsi="Arial Black" w:cs="Arial"/>
          <w:sz w:val="24"/>
          <w:szCs w:val="24"/>
        </w:rPr>
        <w:lastRenderedPageBreak/>
        <w:t xml:space="preserve">References </w:t>
      </w:r>
    </w:p>
    <w:p w14:paraId="5F12F29B" w14:textId="77777777" w:rsidR="00C96793" w:rsidRPr="00C96793" w:rsidRDefault="00C96793" w:rsidP="00C96793">
      <w:pPr>
        <w:spacing w:line="240" w:lineRule="auto"/>
        <w:ind w:left="720" w:hanging="720"/>
        <w:rPr>
          <w:rFonts w:ascii="Arial" w:hAnsi="Arial" w:cs="Arial"/>
          <w:sz w:val="24"/>
          <w:szCs w:val="24"/>
        </w:rPr>
      </w:pPr>
      <w:r w:rsidRPr="00C96793">
        <w:rPr>
          <w:rFonts w:ascii="Arial" w:hAnsi="Arial" w:cs="Arial"/>
          <w:sz w:val="24"/>
          <w:szCs w:val="24"/>
        </w:rPr>
        <w:t>Attrill, P. and McLaney, E., 2015. Management Accounting for Decision Makers. 8th ed. Cengage Learning.</w:t>
      </w:r>
    </w:p>
    <w:p w14:paraId="74F202B7" w14:textId="60265477" w:rsidR="00C96793" w:rsidRDefault="00C96793" w:rsidP="00C96793">
      <w:pPr>
        <w:spacing w:line="240" w:lineRule="auto"/>
        <w:ind w:left="720" w:hanging="720"/>
        <w:rPr>
          <w:rFonts w:ascii="Arial" w:hAnsi="Arial" w:cs="Arial"/>
          <w:sz w:val="24"/>
          <w:szCs w:val="24"/>
        </w:rPr>
      </w:pPr>
      <w:r w:rsidRPr="00C96793">
        <w:rPr>
          <w:rFonts w:ascii="Arial" w:hAnsi="Arial" w:cs="Arial"/>
          <w:sz w:val="24"/>
          <w:szCs w:val="24"/>
        </w:rPr>
        <w:t xml:space="preserve">Burger King, 2022. Annual Reports. Available at: </w:t>
      </w:r>
      <w:hyperlink r:id="rId9" w:history="1">
        <w:r w:rsidRPr="00630819">
          <w:rPr>
            <w:rStyle w:val="Hyperlink"/>
            <w:rFonts w:ascii="Arial" w:hAnsi="Arial" w:cs="Arial"/>
            <w:sz w:val="24"/>
            <w:szCs w:val="24"/>
          </w:rPr>
          <w:t>https://investor.bk.com/annual</w:t>
        </w:r>
      </w:hyperlink>
      <w:r w:rsidRPr="00C96793">
        <w:rPr>
          <w:rFonts w:ascii="Arial" w:hAnsi="Arial" w:cs="Arial"/>
          <w:sz w:val="24"/>
          <w:szCs w:val="24"/>
        </w:rPr>
        <w:t xml:space="preserve"> [Accessed 4 May 2024]</w:t>
      </w:r>
    </w:p>
    <w:p w14:paraId="73963CD4" w14:textId="2E05296B" w:rsidR="0079490B" w:rsidRDefault="0079490B" w:rsidP="0079490B">
      <w:pPr>
        <w:spacing w:line="240" w:lineRule="auto"/>
        <w:rPr>
          <w:rFonts w:ascii="Arial" w:hAnsi="Arial" w:cs="Arial"/>
          <w:sz w:val="24"/>
          <w:szCs w:val="24"/>
        </w:rPr>
      </w:pPr>
      <w:r w:rsidRPr="0079490B">
        <w:rPr>
          <w:rFonts w:ascii="Arial" w:hAnsi="Arial" w:cs="Arial"/>
          <w:sz w:val="24"/>
          <w:szCs w:val="24"/>
        </w:rPr>
        <w:t xml:space="preserve">Burger King. (2022). About Us. Retrieved from </w:t>
      </w:r>
      <w:hyperlink r:id="rId10" w:history="1">
        <w:r w:rsidRPr="00630819">
          <w:rPr>
            <w:rStyle w:val="Hyperlink"/>
            <w:rFonts w:ascii="Arial" w:hAnsi="Arial" w:cs="Arial"/>
            <w:sz w:val="24"/>
            <w:szCs w:val="24"/>
          </w:rPr>
          <w:t>https://www.bk.com/about-bk</w:t>
        </w:r>
      </w:hyperlink>
    </w:p>
    <w:p w14:paraId="12710A18" w14:textId="1306B6BC" w:rsidR="0079490B" w:rsidRDefault="0079490B" w:rsidP="0079490B">
      <w:pPr>
        <w:spacing w:line="240" w:lineRule="auto"/>
        <w:rPr>
          <w:rFonts w:ascii="Arial" w:hAnsi="Arial" w:cs="Arial"/>
          <w:sz w:val="24"/>
          <w:szCs w:val="24"/>
        </w:rPr>
      </w:pPr>
      <w:r w:rsidRPr="0079490B">
        <w:rPr>
          <w:rFonts w:ascii="Arial" w:hAnsi="Arial" w:cs="Arial"/>
          <w:sz w:val="24"/>
          <w:szCs w:val="24"/>
        </w:rPr>
        <w:t xml:space="preserve">Burger King. (2022). Annual Reports. Retrieved from </w:t>
      </w:r>
      <w:hyperlink r:id="rId11" w:history="1">
        <w:r w:rsidRPr="00630819">
          <w:rPr>
            <w:rStyle w:val="Hyperlink"/>
            <w:rFonts w:ascii="Arial" w:hAnsi="Arial" w:cs="Arial"/>
            <w:sz w:val="24"/>
            <w:szCs w:val="24"/>
          </w:rPr>
          <w:t>https://investor.bk.com/annual-reports</w:t>
        </w:r>
      </w:hyperlink>
    </w:p>
    <w:p w14:paraId="5939C755" w14:textId="243FFAD8" w:rsidR="0079490B" w:rsidRDefault="0079490B" w:rsidP="0079490B">
      <w:pPr>
        <w:spacing w:line="240" w:lineRule="auto"/>
        <w:rPr>
          <w:rFonts w:ascii="Arial" w:hAnsi="Arial" w:cs="Arial"/>
          <w:sz w:val="24"/>
          <w:szCs w:val="24"/>
        </w:rPr>
      </w:pPr>
      <w:r w:rsidRPr="0079490B">
        <w:rPr>
          <w:rFonts w:ascii="Arial" w:hAnsi="Arial" w:cs="Arial"/>
          <w:sz w:val="24"/>
          <w:szCs w:val="24"/>
        </w:rPr>
        <w:t xml:space="preserve">Burger King. (2022). Franchise Opportunities. Retrieved from </w:t>
      </w:r>
      <w:hyperlink r:id="rId12" w:history="1">
        <w:r w:rsidRPr="00630819">
          <w:rPr>
            <w:rStyle w:val="Hyperlink"/>
            <w:rFonts w:ascii="Arial" w:hAnsi="Arial" w:cs="Arial"/>
            <w:sz w:val="24"/>
            <w:szCs w:val="24"/>
          </w:rPr>
          <w:t>https://www.bk.com/franchising</w:t>
        </w:r>
      </w:hyperlink>
    </w:p>
    <w:p w14:paraId="5395B8AA" w14:textId="5C6F9AC5" w:rsidR="0079490B" w:rsidRDefault="0079490B" w:rsidP="0079490B">
      <w:pPr>
        <w:spacing w:line="240" w:lineRule="auto"/>
        <w:rPr>
          <w:rFonts w:ascii="Arial" w:hAnsi="Arial" w:cs="Arial"/>
          <w:sz w:val="24"/>
          <w:szCs w:val="24"/>
        </w:rPr>
      </w:pPr>
      <w:r w:rsidRPr="0079490B">
        <w:rPr>
          <w:rFonts w:ascii="Arial" w:hAnsi="Arial" w:cs="Arial"/>
          <w:sz w:val="24"/>
          <w:szCs w:val="24"/>
        </w:rPr>
        <w:t xml:space="preserve">Burger King. (2022). Menu. Retrieved from </w:t>
      </w:r>
      <w:hyperlink r:id="rId13" w:history="1">
        <w:r w:rsidRPr="00630819">
          <w:rPr>
            <w:rStyle w:val="Hyperlink"/>
            <w:rFonts w:ascii="Arial" w:hAnsi="Arial" w:cs="Arial"/>
            <w:sz w:val="24"/>
            <w:szCs w:val="24"/>
          </w:rPr>
          <w:t>https://www.bk.com/menu</w:t>
        </w:r>
      </w:hyperlink>
    </w:p>
    <w:p w14:paraId="0488F5F9" w14:textId="28D35837" w:rsidR="0079490B" w:rsidRDefault="0079490B" w:rsidP="0079490B">
      <w:pPr>
        <w:spacing w:line="240" w:lineRule="auto"/>
        <w:rPr>
          <w:rFonts w:ascii="Arial" w:hAnsi="Arial" w:cs="Arial"/>
          <w:sz w:val="24"/>
          <w:szCs w:val="24"/>
        </w:rPr>
      </w:pPr>
      <w:r w:rsidRPr="0079490B">
        <w:rPr>
          <w:rFonts w:ascii="Arial" w:hAnsi="Arial" w:cs="Arial"/>
          <w:sz w:val="24"/>
          <w:szCs w:val="24"/>
        </w:rPr>
        <w:t xml:space="preserve">Burger King. (2022). Our Heritage. Retrieved from </w:t>
      </w:r>
      <w:hyperlink r:id="rId14" w:history="1">
        <w:r w:rsidRPr="00630819">
          <w:rPr>
            <w:rStyle w:val="Hyperlink"/>
            <w:rFonts w:ascii="Arial" w:hAnsi="Arial" w:cs="Arial"/>
            <w:sz w:val="24"/>
            <w:szCs w:val="24"/>
          </w:rPr>
          <w:t>https://www.bk.com/our-heritage</w:t>
        </w:r>
      </w:hyperlink>
    </w:p>
    <w:p w14:paraId="2E5F1B57" w14:textId="65CD2033" w:rsidR="0079490B" w:rsidRDefault="0079490B" w:rsidP="0079490B">
      <w:pPr>
        <w:spacing w:line="240" w:lineRule="auto"/>
        <w:rPr>
          <w:rFonts w:ascii="Arial" w:hAnsi="Arial" w:cs="Arial"/>
          <w:sz w:val="24"/>
          <w:szCs w:val="24"/>
        </w:rPr>
      </w:pPr>
      <w:r w:rsidRPr="0079490B">
        <w:rPr>
          <w:rFonts w:ascii="Arial" w:hAnsi="Arial" w:cs="Arial"/>
          <w:sz w:val="24"/>
          <w:szCs w:val="24"/>
        </w:rPr>
        <w:t xml:space="preserve">Burger King. (2022). Our Leadership. Retrieved from </w:t>
      </w:r>
      <w:hyperlink r:id="rId15" w:history="1">
        <w:r w:rsidRPr="00630819">
          <w:rPr>
            <w:rStyle w:val="Hyperlink"/>
            <w:rFonts w:ascii="Arial" w:hAnsi="Arial" w:cs="Arial"/>
            <w:sz w:val="24"/>
            <w:szCs w:val="24"/>
          </w:rPr>
          <w:t>https://www.bk.com/our-leadership</w:t>
        </w:r>
      </w:hyperlink>
    </w:p>
    <w:p w14:paraId="52D87B46" w14:textId="77777777" w:rsidR="0079490B" w:rsidRDefault="0079490B" w:rsidP="0079490B">
      <w:pPr>
        <w:spacing w:line="240" w:lineRule="auto"/>
        <w:rPr>
          <w:rFonts w:ascii="Arial" w:hAnsi="Arial" w:cs="Arial"/>
          <w:sz w:val="24"/>
          <w:szCs w:val="24"/>
        </w:rPr>
      </w:pPr>
      <w:r w:rsidRPr="0079490B">
        <w:rPr>
          <w:rFonts w:ascii="Arial" w:hAnsi="Arial" w:cs="Arial"/>
          <w:sz w:val="24"/>
          <w:szCs w:val="24"/>
        </w:rPr>
        <w:t xml:space="preserve">Burger King. (2022). Press Releases. Retrieved from </w:t>
      </w:r>
      <w:hyperlink r:id="rId16" w:history="1">
        <w:r w:rsidRPr="00630819">
          <w:rPr>
            <w:rStyle w:val="Hyperlink"/>
            <w:rFonts w:ascii="Arial" w:hAnsi="Arial" w:cs="Arial"/>
            <w:sz w:val="24"/>
            <w:szCs w:val="24"/>
          </w:rPr>
          <w:t>https://www.bk.com/press</w:t>
        </w:r>
      </w:hyperlink>
    </w:p>
    <w:p w14:paraId="04997350" w14:textId="277FACEC" w:rsidR="0079490B" w:rsidRDefault="0079490B" w:rsidP="0079490B">
      <w:pPr>
        <w:spacing w:line="240" w:lineRule="auto"/>
        <w:rPr>
          <w:rFonts w:ascii="Arial" w:hAnsi="Arial" w:cs="Arial"/>
          <w:sz w:val="24"/>
          <w:szCs w:val="24"/>
        </w:rPr>
      </w:pPr>
      <w:r w:rsidRPr="0079490B">
        <w:rPr>
          <w:rFonts w:ascii="Arial" w:hAnsi="Arial" w:cs="Arial"/>
          <w:sz w:val="24"/>
          <w:szCs w:val="24"/>
        </w:rPr>
        <w:t xml:space="preserve">Burger King. (2022). Restaurant Brands International Inc. Retrieved from </w:t>
      </w:r>
      <w:hyperlink r:id="rId17" w:history="1">
        <w:r w:rsidRPr="00630819">
          <w:rPr>
            <w:rStyle w:val="Hyperlink"/>
            <w:rFonts w:ascii="Arial" w:hAnsi="Arial" w:cs="Arial"/>
            <w:sz w:val="24"/>
            <w:szCs w:val="24"/>
          </w:rPr>
          <w:t>https://www.rbi.com</w:t>
        </w:r>
      </w:hyperlink>
    </w:p>
    <w:p w14:paraId="035F2197" w14:textId="0F993BD7" w:rsidR="00C96793" w:rsidRPr="00C96793" w:rsidRDefault="00C96793" w:rsidP="0079490B">
      <w:pPr>
        <w:spacing w:line="240" w:lineRule="auto"/>
        <w:rPr>
          <w:rFonts w:ascii="Arial" w:hAnsi="Arial" w:cs="Arial"/>
          <w:sz w:val="24"/>
          <w:szCs w:val="24"/>
        </w:rPr>
      </w:pPr>
      <w:r w:rsidRPr="00C96793">
        <w:rPr>
          <w:rFonts w:ascii="Arial" w:hAnsi="Arial" w:cs="Arial"/>
          <w:sz w:val="24"/>
          <w:szCs w:val="24"/>
        </w:rPr>
        <w:t xml:space="preserve">Choi, J. and Wang, H., 2009. Stakeholder Relations and the Persistence of Corporate Financial Performance. </w:t>
      </w:r>
      <w:r w:rsidRPr="00C96793">
        <w:rPr>
          <w:rFonts w:ascii="Arial" w:hAnsi="Arial" w:cs="Arial"/>
          <w:i/>
          <w:iCs/>
          <w:sz w:val="24"/>
          <w:szCs w:val="24"/>
        </w:rPr>
        <w:t>Strategic Management Journal</w:t>
      </w:r>
      <w:r w:rsidRPr="00C96793">
        <w:rPr>
          <w:rFonts w:ascii="Arial" w:hAnsi="Arial" w:cs="Arial"/>
          <w:sz w:val="24"/>
          <w:szCs w:val="24"/>
        </w:rPr>
        <w:t>, 30(8), pp.895-907.</w:t>
      </w:r>
    </w:p>
    <w:p w14:paraId="7398621D" w14:textId="77777777" w:rsidR="00C96793" w:rsidRPr="00C96793" w:rsidRDefault="00C96793" w:rsidP="00C96793">
      <w:pPr>
        <w:spacing w:line="240" w:lineRule="auto"/>
        <w:ind w:left="720" w:hanging="720"/>
        <w:rPr>
          <w:rFonts w:ascii="Arial" w:hAnsi="Arial" w:cs="Arial"/>
          <w:sz w:val="24"/>
          <w:szCs w:val="24"/>
        </w:rPr>
      </w:pPr>
      <w:r w:rsidRPr="00C96793">
        <w:rPr>
          <w:rFonts w:ascii="Arial" w:hAnsi="Arial" w:cs="Arial"/>
          <w:sz w:val="24"/>
          <w:szCs w:val="24"/>
        </w:rPr>
        <w:t>Drury, J., 20. Management and Cost Accounting. 9th ed. Cengage Learning.</w:t>
      </w:r>
    </w:p>
    <w:p w14:paraId="37F8DE95" w14:textId="77777777" w:rsidR="00C96793" w:rsidRPr="00C96793" w:rsidRDefault="00C96793" w:rsidP="00C96793">
      <w:pPr>
        <w:spacing w:line="240" w:lineRule="auto"/>
        <w:ind w:left="720" w:hanging="720"/>
        <w:rPr>
          <w:rFonts w:ascii="Arial" w:hAnsi="Arial" w:cs="Arial"/>
          <w:sz w:val="24"/>
          <w:szCs w:val="24"/>
        </w:rPr>
      </w:pPr>
      <w:r w:rsidRPr="00C96793">
        <w:rPr>
          <w:rFonts w:ascii="Arial" w:hAnsi="Arial" w:cs="Arial"/>
          <w:sz w:val="24"/>
          <w:szCs w:val="24"/>
        </w:rPr>
        <w:t>Dyson, J.R., 2010. Accounting for Non-Accounting Students. 8th ed. Pearson.</w:t>
      </w:r>
    </w:p>
    <w:p w14:paraId="617FD145" w14:textId="77777777" w:rsidR="00C96793" w:rsidRPr="00C96793" w:rsidRDefault="00C96793" w:rsidP="00C96793">
      <w:pPr>
        <w:spacing w:line="240" w:lineRule="auto"/>
        <w:ind w:left="720" w:hanging="720"/>
        <w:rPr>
          <w:rFonts w:ascii="Arial" w:hAnsi="Arial" w:cs="Arial"/>
          <w:sz w:val="24"/>
          <w:szCs w:val="24"/>
        </w:rPr>
      </w:pPr>
      <w:r w:rsidRPr="00C96793">
        <w:rPr>
          <w:rFonts w:ascii="Arial" w:hAnsi="Arial" w:cs="Arial"/>
          <w:sz w:val="24"/>
          <w:szCs w:val="24"/>
        </w:rPr>
        <w:t xml:space="preserve">Kothari, S.P., 2001. Capital Markets Research in Accounting. </w:t>
      </w:r>
      <w:r w:rsidRPr="00C96793">
        <w:rPr>
          <w:rFonts w:ascii="Arial" w:hAnsi="Arial" w:cs="Arial"/>
          <w:i/>
          <w:iCs/>
          <w:sz w:val="24"/>
          <w:szCs w:val="24"/>
        </w:rPr>
        <w:t>Journal of Accounting and Economics,</w:t>
      </w:r>
      <w:r w:rsidRPr="00C96793">
        <w:rPr>
          <w:rFonts w:ascii="Arial" w:hAnsi="Arial" w:cs="Arial"/>
          <w:sz w:val="24"/>
          <w:szCs w:val="24"/>
        </w:rPr>
        <w:t xml:space="preserve"> 31(1-3), pp.105-253.</w:t>
      </w:r>
    </w:p>
    <w:p w14:paraId="7F8C276B" w14:textId="77777777" w:rsidR="00C96793" w:rsidRPr="00C96793" w:rsidRDefault="00C96793" w:rsidP="00C96793">
      <w:pPr>
        <w:spacing w:line="240" w:lineRule="auto"/>
        <w:ind w:left="720" w:hanging="720"/>
        <w:rPr>
          <w:rFonts w:ascii="Arial" w:hAnsi="Arial" w:cs="Arial"/>
          <w:sz w:val="24"/>
          <w:szCs w:val="24"/>
        </w:rPr>
      </w:pPr>
      <w:r w:rsidRPr="00C96793">
        <w:rPr>
          <w:rFonts w:ascii="Arial" w:hAnsi="Arial" w:cs="Arial"/>
          <w:sz w:val="24"/>
          <w:szCs w:val="24"/>
        </w:rPr>
        <w:t>Lucey, T., 2009. Costing. 7th ed. Cengage Learning.</w:t>
      </w:r>
    </w:p>
    <w:p w14:paraId="3ED12E87" w14:textId="77777777" w:rsidR="00C96793" w:rsidRPr="00C96793" w:rsidRDefault="00C96793" w:rsidP="00C96793">
      <w:pPr>
        <w:spacing w:line="240" w:lineRule="auto"/>
        <w:ind w:left="720" w:hanging="720"/>
        <w:rPr>
          <w:rFonts w:ascii="Arial" w:hAnsi="Arial" w:cs="Arial"/>
          <w:sz w:val="24"/>
          <w:szCs w:val="24"/>
        </w:rPr>
      </w:pPr>
      <w:r w:rsidRPr="00C96793">
        <w:rPr>
          <w:rFonts w:ascii="Arial" w:hAnsi="Arial" w:cs="Arial"/>
          <w:sz w:val="24"/>
          <w:szCs w:val="24"/>
        </w:rPr>
        <w:t xml:space="preserve">Ohlson, J.A., 1995. Earnings, Book Values, and Dividends in Equity Valuation. </w:t>
      </w:r>
      <w:r w:rsidRPr="00C96793">
        <w:rPr>
          <w:rFonts w:ascii="Arial" w:hAnsi="Arial" w:cs="Arial"/>
          <w:i/>
          <w:iCs/>
          <w:sz w:val="24"/>
          <w:szCs w:val="24"/>
        </w:rPr>
        <w:t>Contemporary Accounting Research,</w:t>
      </w:r>
      <w:r w:rsidRPr="00C96793">
        <w:rPr>
          <w:rFonts w:ascii="Arial" w:hAnsi="Arial" w:cs="Arial"/>
          <w:sz w:val="24"/>
          <w:szCs w:val="24"/>
        </w:rPr>
        <w:t xml:space="preserve"> 11(2), pp.661-688.</w:t>
      </w:r>
    </w:p>
    <w:p w14:paraId="79F2D837" w14:textId="4AD252DB" w:rsidR="00C96793" w:rsidRPr="00C96793" w:rsidRDefault="00C96793" w:rsidP="00C96793">
      <w:pPr>
        <w:spacing w:line="240" w:lineRule="auto"/>
        <w:ind w:left="720" w:hanging="720"/>
        <w:rPr>
          <w:rFonts w:ascii="Arial" w:hAnsi="Arial" w:cs="Arial"/>
          <w:sz w:val="24"/>
          <w:szCs w:val="24"/>
        </w:rPr>
      </w:pPr>
      <w:r w:rsidRPr="00C96793">
        <w:rPr>
          <w:rFonts w:ascii="Arial" w:hAnsi="Arial" w:cs="Arial"/>
          <w:sz w:val="24"/>
          <w:szCs w:val="24"/>
        </w:rPr>
        <w:t xml:space="preserve">Walls, J.L., Berrone, P. and Phan, P.H., 2012. Corporate Governance and Environmental Performance: Is There a Link? </w:t>
      </w:r>
      <w:r w:rsidRPr="00C96793">
        <w:rPr>
          <w:rFonts w:ascii="Arial" w:hAnsi="Arial" w:cs="Arial"/>
          <w:i/>
          <w:iCs/>
          <w:sz w:val="24"/>
          <w:szCs w:val="24"/>
        </w:rPr>
        <w:t>Strategic Management Journal,</w:t>
      </w:r>
      <w:r w:rsidRPr="00C96793">
        <w:rPr>
          <w:rFonts w:ascii="Arial" w:hAnsi="Arial" w:cs="Arial"/>
          <w:sz w:val="24"/>
          <w:szCs w:val="24"/>
        </w:rPr>
        <w:t xml:space="preserve"> 33(8), pp.885-913.</w:t>
      </w:r>
    </w:p>
    <w:p w14:paraId="535E294F" w14:textId="745DBAC0" w:rsidR="00C96793" w:rsidRDefault="00C96793" w:rsidP="00C96793">
      <w:pPr>
        <w:spacing w:line="240" w:lineRule="auto"/>
        <w:ind w:left="720" w:hanging="720"/>
        <w:rPr>
          <w:rFonts w:ascii="Arial" w:hAnsi="Arial" w:cs="Arial"/>
          <w:sz w:val="24"/>
          <w:szCs w:val="24"/>
        </w:rPr>
      </w:pPr>
      <w:r w:rsidRPr="00C96793">
        <w:rPr>
          <w:rFonts w:ascii="Arial" w:hAnsi="Arial" w:cs="Arial"/>
          <w:sz w:val="24"/>
          <w:szCs w:val="24"/>
        </w:rPr>
        <w:t>Weetman, P., 2016. Financial Accounting: An Introduction. 7th Edition. Pearson.</w:t>
      </w:r>
    </w:p>
    <w:p w14:paraId="11C7C8C6" w14:textId="3311B6D4" w:rsidR="001D7F66" w:rsidRDefault="00F41CDD" w:rsidP="00C96793">
      <w:pPr>
        <w:spacing w:line="240" w:lineRule="auto"/>
        <w:ind w:left="720" w:hanging="720"/>
        <w:rPr>
          <w:rFonts w:ascii="Arial" w:hAnsi="Arial" w:cs="Arial"/>
          <w:sz w:val="24"/>
          <w:szCs w:val="24"/>
        </w:rPr>
      </w:pPr>
      <w:hyperlink r:id="rId18" w:history="1">
        <w:r w:rsidRPr="00630819">
          <w:rPr>
            <w:rStyle w:val="Hyperlink"/>
            <w:rFonts w:ascii="Arial" w:hAnsi="Arial" w:cs="Arial"/>
            <w:sz w:val="24"/>
            <w:szCs w:val="24"/>
          </w:rPr>
          <w:t>https://www.statista.com/statistics/222950/burger-king-net-income/</w:t>
        </w:r>
      </w:hyperlink>
    </w:p>
    <w:p w14:paraId="3C9AA800" w14:textId="77777777" w:rsidR="00F41CDD" w:rsidRDefault="00F41CDD" w:rsidP="00C96793">
      <w:pPr>
        <w:spacing w:line="240" w:lineRule="auto"/>
        <w:ind w:left="720" w:hanging="720"/>
        <w:rPr>
          <w:rFonts w:ascii="Arial" w:hAnsi="Arial" w:cs="Arial"/>
          <w:sz w:val="24"/>
          <w:szCs w:val="24"/>
        </w:rPr>
      </w:pPr>
    </w:p>
    <w:p w14:paraId="45946DCF" w14:textId="77777777" w:rsidR="00D8447E" w:rsidRPr="007B7E20" w:rsidRDefault="00D8447E" w:rsidP="0079490B">
      <w:pPr>
        <w:spacing w:line="240" w:lineRule="auto"/>
        <w:rPr>
          <w:rFonts w:ascii="Arial" w:hAnsi="Arial" w:cs="Arial"/>
          <w:sz w:val="24"/>
          <w:szCs w:val="24"/>
        </w:rPr>
      </w:pPr>
    </w:p>
    <w:sectPr w:rsidR="00D8447E" w:rsidRPr="007B7E20" w:rsidSect="00D35AC6">
      <w:headerReference w:type="default" r:id="rId1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6B3756" w14:textId="77777777" w:rsidR="00D35AC6" w:rsidRDefault="00D35AC6" w:rsidP="0079490B">
      <w:pPr>
        <w:spacing w:after="0" w:line="240" w:lineRule="auto"/>
      </w:pPr>
      <w:r>
        <w:separator/>
      </w:r>
    </w:p>
  </w:endnote>
  <w:endnote w:type="continuationSeparator" w:id="0">
    <w:p w14:paraId="3EA08495" w14:textId="77777777" w:rsidR="00D35AC6" w:rsidRDefault="00D35AC6" w:rsidP="007949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F421B4" w14:textId="77777777" w:rsidR="00D35AC6" w:rsidRDefault="00D35AC6" w:rsidP="0079490B">
      <w:pPr>
        <w:spacing w:after="0" w:line="240" w:lineRule="auto"/>
      </w:pPr>
      <w:r>
        <w:separator/>
      </w:r>
    </w:p>
  </w:footnote>
  <w:footnote w:type="continuationSeparator" w:id="0">
    <w:p w14:paraId="3D665613" w14:textId="77777777" w:rsidR="00D35AC6" w:rsidRDefault="00D35AC6" w:rsidP="0079490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61239003"/>
      <w:docPartObj>
        <w:docPartGallery w:val="Page Numbers (Top of Page)"/>
        <w:docPartUnique/>
      </w:docPartObj>
    </w:sdtPr>
    <w:sdtEndPr>
      <w:rPr>
        <w:noProof/>
      </w:rPr>
    </w:sdtEndPr>
    <w:sdtContent>
      <w:p w14:paraId="73EE8903" w14:textId="4B27230C" w:rsidR="0079490B" w:rsidRDefault="0079490B">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3E7CBE13" w14:textId="77777777" w:rsidR="0079490B" w:rsidRDefault="0079490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9C820C0"/>
    <w:multiLevelType w:val="hybridMultilevel"/>
    <w:tmpl w:val="1662F9F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9433468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7E20"/>
    <w:rsid w:val="0000251F"/>
    <w:rsid w:val="000D7588"/>
    <w:rsid w:val="000F7072"/>
    <w:rsid w:val="001D7F66"/>
    <w:rsid w:val="002379C6"/>
    <w:rsid w:val="003A2F4E"/>
    <w:rsid w:val="0079490B"/>
    <w:rsid w:val="007A1C6A"/>
    <w:rsid w:val="007B7E20"/>
    <w:rsid w:val="009652AE"/>
    <w:rsid w:val="00A13FEA"/>
    <w:rsid w:val="00B32F7A"/>
    <w:rsid w:val="00B50236"/>
    <w:rsid w:val="00C96793"/>
    <w:rsid w:val="00D35AC6"/>
    <w:rsid w:val="00D8447E"/>
    <w:rsid w:val="00DA5D03"/>
    <w:rsid w:val="00F41C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CBA5C7B"/>
  <w15:chartTrackingRefBased/>
  <w15:docId w15:val="{7736D007-801F-4B3A-B2C9-75812CF9A2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B7E2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B7E2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B7E2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B7E2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B7E2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B7E2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B7E2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B7E2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B7E2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B7E2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B7E2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B7E2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B7E2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B7E2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B7E2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B7E2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B7E2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B7E20"/>
    <w:rPr>
      <w:rFonts w:eastAsiaTheme="majorEastAsia" w:cstheme="majorBidi"/>
      <w:color w:val="272727" w:themeColor="text1" w:themeTint="D8"/>
    </w:rPr>
  </w:style>
  <w:style w:type="paragraph" w:styleId="Title">
    <w:name w:val="Title"/>
    <w:basedOn w:val="Normal"/>
    <w:next w:val="Normal"/>
    <w:link w:val="TitleChar"/>
    <w:uiPriority w:val="10"/>
    <w:qFormat/>
    <w:rsid w:val="007B7E2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B7E2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B7E2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B7E2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B7E20"/>
    <w:pPr>
      <w:spacing w:before="160"/>
      <w:jc w:val="center"/>
    </w:pPr>
    <w:rPr>
      <w:i/>
      <w:iCs/>
      <w:color w:val="404040" w:themeColor="text1" w:themeTint="BF"/>
    </w:rPr>
  </w:style>
  <w:style w:type="character" w:customStyle="1" w:styleId="QuoteChar">
    <w:name w:val="Quote Char"/>
    <w:basedOn w:val="DefaultParagraphFont"/>
    <w:link w:val="Quote"/>
    <w:uiPriority w:val="29"/>
    <w:rsid w:val="007B7E20"/>
    <w:rPr>
      <w:i/>
      <w:iCs/>
      <w:color w:val="404040" w:themeColor="text1" w:themeTint="BF"/>
    </w:rPr>
  </w:style>
  <w:style w:type="paragraph" w:styleId="ListParagraph">
    <w:name w:val="List Paragraph"/>
    <w:basedOn w:val="Normal"/>
    <w:uiPriority w:val="34"/>
    <w:qFormat/>
    <w:rsid w:val="007B7E20"/>
    <w:pPr>
      <w:ind w:left="720"/>
      <w:contextualSpacing/>
    </w:pPr>
  </w:style>
  <w:style w:type="character" w:styleId="IntenseEmphasis">
    <w:name w:val="Intense Emphasis"/>
    <w:basedOn w:val="DefaultParagraphFont"/>
    <w:uiPriority w:val="21"/>
    <w:qFormat/>
    <w:rsid w:val="007B7E20"/>
    <w:rPr>
      <w:i/>
      <w:iCs/>
      <w:color w:val="0F4761" w:themeColor="accent1" w:themeShade="BF"/>
    </w:rPr>
  </w:style>
  <w:style w:type="paragraph" w:styleId="IntenseQuote">
    <w:name w:val="Intense Quote"/>
    <w:basedOn w:val="Normal"/>
    <w:next w:val="Normal"/>
    <w:link w:val="IntenseQuoteChar"/>
    <w:uiPriority w:val="30"/>
    <w:qFormat/>
    <w:rsid w:val="007B7E2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B7E20"/>
    <w:rPr>
      <w:i/>
      <w:iCs/>
      <w:color w:val="0F4761" w:themeColor="accent1" w:themeShade="BF"/>
    </w:rPr>
  </w:style>
  <w:style w:type="character" w:styleId="IntenseReference">
    <w:name w:val="Intense Reference"/>
    <w:basedOn w:val="DefaultParagraphFont"/>
    <w:uiPriority w:val="32"/>
    <w:qFormat/>
    <w:rsid w:val="007B7E20"/>
    <w:rPr>
      <w:b/>
      <w:bCs/>
      <w:smallCaps/>
      <w:color w:val="0F4761" w:themeColor="accent1" w:themeShade="BF"/>
      <w:spacing w:val="5"/>
    </w:rPr>
  </w:style>
  <w:style w:type="character" w:styleId="Hyperlink">
    <w:name w:val="Hyperlink"/>
    <w:basedOn w:val="DefaultParagraphFont"/>
    <w:uiPriority w:val="99"/>
    <w:unhideWhenUsed/>
    <w:rsid w:val="00F41CDD"/>
    <w:rPr>
      <w:color w:val="467886" w:themeColor="hyperlink"/>
      <w:u w:val="single"/>
    </w:rPr>
  </w:style>
  <w:style w:type="character" w:styleId="UnresolvedMention">
    <w:name w:val="Unresolved Mention"/>
    <w:basedOn w:val="DefaultParagraphFont"/>
    <w:uiPriority w:val="99"/>
    <w:semiHidden/>
    <w:unhideWhenUsed/>
    <w:rsid w:val="00F41CDD"/>
    <w:rPr>
      <w:color w:val="605E5C"/>
      <w:shd w:val="clear" w:color="auto" w:fill="E1DFDD"/>
    </w:rPr>
  </w:style>
  <w:style w:type="paragraph" w:styleId="Header">
    <w:name w:val="header"/>
    <w:basedOn w:val="Normal"/>
    <w:link w:val="HeaderChar"/>
    <w:uiPriority w:val="99"/>
    <w:unhideWhenUsed/>
    <w:rsid w:val="0079490B"/>
    <w:pPr>
      <w:tabs>
        <w:tab w:val="center" w:pos="4513"/>
        <w:tab w:val="right" w:pos="9026"/>
      </w:tabs>
      <w:spacing w:after="0" w:line="240" w:lineRule="auto"/>
    </w:pPr>
  </w:style>
  <w:style w:type="character" w:customStyle="1" w:styleId="HeaderChar">
    <w:name w:val="Header Char"/>
    <w:basedOn w:val="DefaultParagraphFont"/>
    <w:link w:val="Header"/>
    <w:uiPriority w:val="99"/>
    <w:rsid w:val="0079490B"/>
  </w:style>
  <w:style w:type="paragraph" w:styleId="Footer">
    <w:name w:val="footer"/>
    <w:basedOn w:val="Normal"/>
    <w:link w:val="FooterChar"/>
    <w:uiPriority w:val="99"/>
    <w:unhideWhenUsed/>
    <w:rsid w:val="0079490B"/>
    <w:pPr>
      <w:tabs>
        <w:tab w:val="center" w:pos="4513"/>
        <w:tab w:val="right" w:pos="9026"/>
      </w:tabs>
      <w:spacing w:after="0" w:line="240" w:lineRule="auto"/>
    </w:pPr>
  </w:style>
  <w:style w:type="character" w:customStyle="1" w:styleId="FooterChar">
    <w:name w:val="Footer Char"/>
    <w:basedOn w:val="DefaultParagraphFont"/>
    <w:link w:val="Footer"/>
    <w:uiPriority w:val="99"/>
    <w:rsid w:val="0079490B"/>
  </w:style>
  <w:style w:type="paragraph" w:styleId="NoSpacing">
    <w:name w:val="No Spacing"/>
    <w:link w:val="NoSpacingChar"/>
    <w:uiPriority w:val="1"/>
    <w:qFormat/>
    <w:rsid w:val="0079490B"/>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79490B"/>
    <w:rPr>
      <w:rFonts w:eastAsiaTheme="minorEastAsia"/>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439541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bk.com/menu" TargetMode="External"/><Relationship Id="rId18" Type="http://schemas.openxmlformats.org/officeDocument/2006/relationships/hyperlink" Target="https://www.statista.com/statistics/222950/burger-king-net-income/" TargetMode="External"/><Relationship Id="rId3" Type="http://schemas.openxmlformats.org/officeDocument/2006/relationships/styles" Target="styles.xml"/><Relationship Id="rId21" Type="http://schemas.openxmlformats.org/officeDocument/2006/relationships/glossaryDocument" Target="glossary/document.xml"/><Relationship Id="rId7" Type="http://schemas.openxmlformats.org/officeDocument/2006/relationships/endnotes" Target="endnotes.xml"/><Relationship Id="rId12" Type="http://schemas.openxmlformats.org/officeDocument/2006/relationships/hyperlink" Target="https://www.bk.com/franchising" TargetMode="External"/><Relationship Id="rId17" Type="http://schemas.openxmlformats.org/officeDocument/2006/relationships/hyperlink" Target="https://www.rbi.com" TargetMode="External"/><Relationship Id="rId2" Type="http://schemas.openxmlformats.org/officeDocument/2006/relationships/numbering" Target="numbering.xml"/><Relationship Id="rId16" Type="http://schemas.openxmlformats.org/officeDocument/2006/relationships/hyperlink" Target="https://www.bk.com/press"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investor.bk.com/annual-reports" TargetMode="External"/><Relationship Id="rId5" Type="http://schemas.openxmlformats.org/officeDocument/2006/relationships/webSettings" Target="webSettings.xml"/><Relationship Id="rId15" Type="http://schemas.openxmlformats.org/officeDocument/2006/relationships/hyperlink" Target="https://www.bk.com/our-leadership" TargetMode="External"/><Relationship Id="rId10" Type="http://schemas.openxmlformats.org/officeDocument/2006/relationships/hyperlink" Target="https://www.bk.com/about-bk" TargetMode="External"/><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investor.bk.com/annual" TargetMode="External"/><Relationship Id="rId14" Type="http://schemas.openxmlformats.org/officeDocument/2006/relationships/hyperlink" Target="https://www.bk.com/our-heritage" TargetMode="External"/><Relationship Id="rId22"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0E643445EEF417FAA0D07A8282A74A0"/>
        <w:category>
          <w:name w:val="General"/>
          <w:gallery w:val="placeholder"/>
        </w:category>
        <w:types>
          <w:type w:val="bbPlcHdr"/>
        </w:types>
        <w:behaviors>
          <w:behavior w:val="content"/>
        </w:behaviors>
        <w:guid w:val="{5086A24F-74BA-477A-9B7F-5A6FF32A990F}"/>
      </w:docPartPr>
      <w:docPartBody>
        <w:p w:rsidR="00000000" w:rsidRDefault="00CE568B" w:rsidP="00CE568B">
          <w:pPr>
            <w:pStyle w:val="D0E643445EEF417FAA0D07A8282A74A0"/>
          </w:pPr>
          <w:r>
            <w:rPr>
              <w:rFonts w:asciiTheme="majorHAnsi" w:eastAsiaTheme="majorEastAsia" w:hAnsiTheme="majorHAnsi" w:cstheme="majorBidi"/>
              <w:color w:val="156082" w:themeColor="accent1"/>
              <w:sz w:val="88"/>
              <w:szCs w:val="88"/>
            </w:rPr>
            <w:t>[Document title]</w:t>
          </w:r>
        </w:p>
      </w:docPartBody>
    </w:docPart>
    <w:docPart>
      <w:docPartPr>
        <w:name w:val="504E6C7328C74D67ADD3EB1B8C10F4D2"/>
        <w:category>
          <w:name w:val="General"/>
          <w:gallery w:val="placeholder"/>
        </w:category>
        <w:types>
          <w:type w:val="bbPlcHdr"/>
        </w:types>
        <w:behaviors>
          <w:behavior w:val="content"/>
        </w:behaviors>
        <w:guid w:val="{2859AFF4-5FD4-49B2-9FFE-1768C1521936}"/>
      </w:docPartPr>
      <w:docPartBody>
        <w:p w:rsidR="00000000" w:rsidRDefault="00CE568B" w:rsidP="00CE568B">
          <w:pPr>
            <w:pStyle w:val="504E6C7328C74D67ADD3EB1B8C10F4D2"/>
          </w:pPr>
          <w:r>
            <w:rPr>
              <w:color w:val="156082" w:themeColor="accent1"/>
              <w:sz w:val="28"/>
              <w:szCs w:val="28"/>
            </w:rPr>
            <w:t>[Author name]</w:t>
          </w:r>
        </w:p>
      </w:docPartBody>
    </w:docPart>
    <w:docPart>
      <w:docPartPr>
        <w:name w:val="7DC8CC9DC91A4A819465781850D7FF28"/>
        <w:category>
          <w:name w:val="General"/>
          <w:gallery w:val="placeholder"/>
        </w:category>
        <w:types>
          <w:type w:val="bbPlcHdr"/>
        </w:types>
        <w:behaviors>
          <w:behavior w:val="content"/>
        </w:behaviors>
        <w:guid w:val="{4711F70F-6BD4-4B8A-8A42-24E850BC94EF}"/>
      </w:docPartPr>
      <w:docPartBody>
        <w:p w:rsidR="00000000" w:rsidRDefault="00CE568B" w:rsidP="00CE568B">
          <w:pPr>
            <w:pStyle w:val="7DC8CC9DC91A4A819465781850D7FF28"/>
          </w:pPr>
          <w:r>
            <w:rPr>
              <w:color w:val="156082" w:themeColor="accent1"/>
              <w:sz w:val="28"/>
              <w:szCs w:val="28"/>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568B"/>
    <w:rsid w:val="009250E2"/>
    <w:rsid w:val="00CE56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9FF8089CBA04C5F99FD918C81033BE9">
    <w:name w:val="89FF8089CBA04C5F99FD918C81033BE9"/>
    <w:rsid w:val="00CE568B"/>
  </w:style>
  <w:style w:type="paragraph" w:customStyle="1" w:styleId="D0E643445EEF417FAA0D07A8282A74A0">
    <w:name w:val="D0E643445EEF417FAA0D07A8282A74A0"/>
    <w:rsid w:val="00CE568B"/>
  </w:style>
  <w:style w:type="paragraph" w:customStyle="1" w:styleId="01E5474013784698915BEFB7D511F152">
    <w:name w:val="01E5474013784698915BEFB7D511F152"/>
    <w:rsid w:val="00CE568B"/>
  </w:style>
  <w:style w:type="paragraph" w:customStyle="1" w:styleId="504E6C7328C74D67ADD3EB1B8C10F4D2">
    <w:name w:val="504E6C7328C74D67ADD3EB1B8C10F4D2"/>
    <w:rsid w:val="00CE568B"/>
  </w:style>
  <w:style w:type="paragraph" w:customStyle="1" w:styleId="7DC8CC9DC91A4A819465781850D7FF28">
    <w:name w:val="7DC8CC9DC91A4A819465781850D7FF28"/>
    <w:rsid w:val="00CE568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Student number: 2317107</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1848</Words>
  <Characters>11846</Characters>
  <Application>Microsoft Office Word</Application>
  <DocSecurity>0</DocSecurity>
  <Lines>244</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Financial Analysis</dc:title>
  <dc:subject/>
  <dc:creator>Student name: Catalin Constantin Ancuta</dc:creator>
  <cp:keywords/>
  <dc:description/>
  <cp:lastModifiedBy>Mirabela Voican (1907947)</cp:lastModifiedBy>
  <cp:revision>2</cp:revision>
  <dcterms:created xsi:type="dcterms:W3CDTF">2024-05-05T20:29:00Z</dcterms:created>
  <dcterms:modified xsi:type="dcterms:W3CDTF">2024-05-05T20:29:00Z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ceb90767-2ba3-48d5-afe2-f00455581caf</vt:lpwstr>
  </property>
</Properties>
</file>