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567A" w:rsidRDefault="00B2567A" w:rsidP="00B2567A">
      <w:pPr>
        <w:rPr>
          <w:rFonts w:ascii="Arial" w:hAnsi="Arial" w:cs="Arial"/>
          <w:sz w:val="22"/>
          <w:lang w:val="en-US" w:eastAsia="en-US"/>
        </w:rPr>
      </w:pPr>
      <w:r>
        <w:rPr>
          <w:rFonts w:ascii="Arial" w:hAnsi="Arial" w:cs="Arial"/>
          <w:sz w:val="22"/>
          <w:lang w:val="en-US" w:eastAsia="en-US"/>
        </w:rPr>
        <w:t>IPV6 was simply created as we have run out of IPV4 addresses which was previously considered impossible. IPV4 had just over four billion unique addresses and we have now run out. We now have 85 times more addresses than IPV4 as IPV6 has 340 billion addresses.</w:t>
      </w:r>
      <w:r w:rsidR="00197DFE">
        <w:rPr>
          <w:rFonts w:ascii="Arial" w:hAnsi="Arial" w:cs="Arial"/>
          <w:sz w:val="22"/>
          <w:lang w:val="en-US" w:eastAsia="en-US"/>
        </w:rPr>
        <w:t xml:space="preserve"> Every square meters of the earth can have 1564 unique addresses which should me more than enough for the foreseeable future.</w:t>
      </w:r>
    </w:p>
    <w:p w:rsidR="00B2567A" w:rsidRDefault="00B2567A" w:rsidP="00B2567A">
      <w:pPr>
        <w:rPr>
          <w:rFonts w:ascii="Arial" w:hAnsi="Arial" w:cs="Arial"/>
          <w:sz w:val="22"/>
          <w:lang w:val="en-US" w:eastAsia="en-US"/>
        </w:rPr>
      </w:pPr>
    </w:p>
    <w:p w:rsidR="00B2567A" w:rsidRDefault="00B2567A">
      <w:pPr>
        <w:rPr>
          <w:rFonts w:ascii="Arial" w:hAnsi="Arial" w:cs="Arial"/>
          <w:sz w:val="22"/>
          <w:lang w:val="en-US" w:eastAsia="en-US"/>
        </w:rPr>
      </w:pPr>
      <w:r>
        <w:rPr>
          <w:rFonts w:ascii="Arial" w:hAnsi="Arial" w:cs="Arial"/>
          <w:sz w:val="22"/>
          <w:lang w:val="en-US" w:eastAsia="en-US"/>
        </w:rPr>
        <w:t>The very first feature of the IPV6 is the previously mentioned huge list of addresses. However, there are plenty more. This includes the new packet format. This is a simplified format. It removes any unnecessary information that IPV4 stores. A packet from an IPV6 address is only twice as large despite IPV6 addresses being four times longer than IPV4.</w:t>
      </w:r>
      <w:sdt>
        <w:sdtPr>
          <w:rPr>
            <w:rFonts w:ascii="Arial" w:hAnsi="Arial" w:cs="Arial"/>
            <w:sz w:val="22"/>
            <w:lang w:val="en-US" w:eastAsia="en-US"/>
          </w:rPr>
          <w:id w:val="704222941"/>
          <w:citation/>
        </w:sdtPr>
        <w:sdtEndPr/>
        <w:sdtContent>
          <w:r w:rsidR="00AE3EFA">
            <w:rPr>
              <w:rFonts w:ascii="Arial" w:hAnsi="Arial" w:cs="Arial"/>
              <w:sz w:val="22"/>
              <w:lang w:val="en-US" w:eastAsia="en-US"/>
            </w:rPr>
            <w:fldChar w:fldCharType="begin"/>
          </w:r>
          <w:r w:rsidR="00197DFE">
            <w:rPr>
              <w:rFonts w:ascii="Arial" w:hAnsi="Arial" w:cs="Arial"/>
              <w:sz w:val="22"/>
              <w:lang w:eastAsia="en-US"/>
            </w:rPr>
            <w:instrText xml:space="preserve">CITATION IPV19 \l 2057 </w:instrText>
          </w:r>
          <w:r w:rsidR="00AE3EFA">
            <w:rPr>
              <w:rFonts w:ascii="Arial" w:hAnsi="Arial" w:cs="Arial"/>
              <w:sz w:val="22"/>
              <w:lang w:val="en-US" w:eastAsia="en-US"/>
            </w:rPr>
            <w:fldChar w:fldCharType="separate"/>
          </w:r>
          <w:r w:rsidR="00197DFE">
            <w:rPr>
              <w:rFonts w:ascii="Arial" w:hAnsi="Arial" w:cs="Arial"/>
              <w:noProof/>
              <w:sz w:val="22"/>
              <w:lang w:eastAsia="en-US"/>
            </w:rPr>
            <w:t xml:space="preserve"> </w:t>
          </w:r>
          <w:r w:rsidR="00197DFE" w:rsidRPr="00197DFE">
            <w:rPr>
              <w:rFonts w:ascii="Arial" w:hAnsi="Arial" w:cs="Arial"/>
              <w:noProof/>
              <w:sz w:val="22"/>
              <w:lang w:eastAsia="en-US"/>
            </w:rPr>
            <w:t>[1]</w:t>
          </w:r>
          <w:r w:rsidR="00AE3EFA">
            <w:rPr>
              <w:rFonts w:ascii="Arial" w:hAnsi="Arial" w:cs="Arial"/>
              <w:sz w:val="22"/>
              <w:lang w:val="en-US" w:eastAsia="en-US"/>
            </w:rPr>
            <w:fldChar w:fldCharType="end"/>
          </w:r>
        </w:sdtContent>
      </w:sdt>
    </w:p>
    <w:p w:rsidR="00B2567A" w:rsidRDefault="00B2567A">
      <w:pPr>
        <w:rPr>
          <w:rFonts w:ascii="Arial" w:hAnsi="Arial" w:cs="Arial"/>
          <w:sz w:val="22"/>
          <w:lang w:val="en-US" w:eastAsia="en-US"/>
        </w:rPr>
      </w:pPr>
    </w:p>
    <w:p w:rsidR="00B2567A" w:rsidRDefault="00B2567A">
      <w:pPr>
        <w:rPr>
          <w:rFonts w:ascii="Arial" w:hAnsi="Arial" w:cs="Arial"/>
          <w:sz w:val="22"/>
          <w:lang w:val="en-US" w:eastAsia="en-US"/>
        </w:rPr>
      </w:pPr>
      <w:r>
        <w:rPr>
          <w:rFonts w:ascii="Arial" w:hAnsi="Arial" w:cs="Arial"/>
          <w:sz w:val="22"/>
          <w:lang w:val="en-US" w:eastAsia="en-US"/>
        </w:rPr>
        <w:t xml:space="preserve">Another benefit would be that every device can now have their own unique address meaning that end to end connectivity is now possible without using a translator like a NAT. Every host will be able to reach every single unique host directly once IPV6 is fully implemented. </w:t>
      </w:r>
      <w:sdt>
        <w:sdtPr>
          <w:rPr>
            <w:rFonts w:ascii="Arial" w:hAnsi="Arial" w:cs="Arial"/>
            <w:sz w:val="22"/>
            <w:lang w:val="en-US" w:eastAsia="en-US"/>
          </w:rPr>
          <w:id w:val="2111930852"/>
          <w:citation/>
        </w:sdtPr>
        <w:sdtEndPr/>
        <w:sdtContent>
          <w:r w:rsidR="00AE3EFA">
            <w:rPr>
              <w:rFonts w:ascii="Arial" w:hAnsi="Arial" w:cs="Arial"/>
              <w:sz w:val="22"/>
              <w:lang w:val="en-US" w:eastAsia="en-US"/>
            </w:rPr>
            <w:fldChar w:fldCharType="begin"/>
          </w:r>
          <w:r w:rsidR="00197DFE">
            <w:rPr>
              <w:rFonts w:ascii="Arial" w:hAnsi="Arial" w:cs="Arial"/>
              <w:sz w:val="22"/>
              <w:lang w:eastAsia="en-US"/>
            </w:rPr>
            <w:instrText xml:space="preserve">CITATION IPV19 \l 2057 </w:instrText>
          </w:r>
          <w:r w:rsidR="00AE3EFA">
            <w:rPr>
              <w:rFonts w:ascii="Arial" w:hAnsi="Arial" w:cs="Arial"/>
              <w:sz w:val="22"/>
              <w:lang w:val="en-US" w:eastAsia="en-US"/>
            </w:rPr>
            <w:fldChar w:fldCharType="separate"/>
          </w:r>
          <w:r w:rsidR="00197DFE" w:rsidRPr="00197DFE">
            <w:rPr>
              <w:rFonts w:ascii="Arial" w:hAnsi="Arial" w:cs="Arial"/>
              <w:noProof/>
              <w:sz w:val="22"/>
              <w:lang w:eastAsia="en-US"/>
            </w:rPr>
            <w:t>[1]</w:t>
          </w:r>
          <w:r w:rsidR="00AE3EFA">
            <w:rPr>
              <w:rFonts w:ascii="Arial" w:hAnsi="Arial" w:cs="Arial"/>
              <w:sz w:val="22"/>
              <w:lang w:val="en-US" w:eastAsia="en-US"/>
            </w:rPr>
            <w:fldChar w:fldCharType="end"/>
          </w:r>
        </w:sdtContent>
      </w:sdt>
    </w:p>
    <w:p w:rsidR="00AE3EFA" w:rsidRDefault="00AE3EFA">
      <w:pPr>
        <w:rPr>
          <w:rFonts w:ascii="Arial" w:hAnsi="Arial" w:cs="Arial"/>
          <w:sz w:val="22"/>
          <w:lang w:val="en-US" w:eastAsia="en-US"/>
        </w:rPr>
      </w:pPr>
    </w:p>
    <w:p w:rsidR="00AE3EFA" w:rsidRDefault="00197DFE">
      <w:pPr>
        <w:rPr>
          <w:rFonts w:ascii="Arial" w:hAnsi="Arial" w:cs="Arial"/>
          <w:sz w:val="22"/>
          <w:lang w:val="en-US" w:eastAsia="en-US"/>
        </w:rPr>
      </w:pPr>
      <w:r>
        <w:rPr>
          <w:rFonts w:ascii="Arial" w:hAnsi="Arial" w:cs="Arial"/>
          <w:sz w:val="22"/>
          <w:lang w:val="en-US" w:eastAsia="en-US"/>
        </w:rPr>
        <w:t xml:space="preserve">Originally, IPV6 was going to have IPSec (IP Security) by default with no way to disable it which would’ve made </w:t>
      </w:r>
      <w:r w:rsidR="00B8300D">
        <w:rPr>
          <w:rFonts w:ascii="Arial" w:hAnsi="Arial" w:cs="Arial"/>
          <w:sz w:val="22"/>
          <w:lang w:val="en-US" w:eastAsia="en-US"/>
        </w:rPr>
        <w:t>an</w:t>
      </w:r>
      <w:r>
        <w:rPr>
          <w:rFonts w:ascii="Arial" w:hAnsi="Arial" w:cs="Arial"/>
          <w:sz w:val="22"/>
          <w:lang w:val="en-US" w:eastAsia="en-US"/>
        </w:rPr>
        <w:t xml:space="preserve"> IPV6 address more secure than an IPV4, however, that has now turned into an option feature which means that it can be more secure but no-longer by default.</w:t>
      </w:r>
      <w:r w:rsidR="00B8300D">
        <w:rPr>
          <w:rFonts w:ascii="Arial" w:hAnsi="Arial" w:cs="Arial"/>
          <w:sz w:val="22"/>
          <w:lang w:val="en-US" w:eastAsia="en-US"/>
        </w:rPr>
        <w:t xml:space="preserve"> IPsec would’ve had two options for how it would be enabled. These are called Tunnel and Transport. A transport is two hosts directly communicating whilst a tunnel is either a gateway to gateway or a gateway to host. Both of these options ensure that a packet will be encrypted to stop a packet from being picked up along the way.</w:t>
      </w:r>
      <w:sdt>
        <w:sdtPr>
          <w:rPr>
            <w:rFonts w:ascii="Arial" w:hAnsi="Arial" w:cs="Arial"/>
            <w:sz w:val="22"/>
            <w:lang w:val="en-US" w:eastAsia="en-US"/>
          </w:rPr>
          <w:id w:val="-1549524584"/>
          <w:citation/>
        </w:sdtPr>
        <w:sdtContent>
          <w:r>
            <w:rPr>
              <w:rFonts w:ascii="Arial" w:hAnsi="Arial" w:cs="Arial"/>
              <w:sz w:val="22"/>
              <w:lang w:val="en-US" w:eastAsia="en-US"/>
            </w:rPr>
            <w:fldChar w:fldCharType="begin"/>
          </w:r>
          <w:r>
            <w:rPr>
              <w:rFonts w:ascii="Arial" w:hAnsi="Arial" w:cs="Arial"/>
              <w:sz w:val="22"/>
              <w:lang w:eastAsia="en-US"/>
            </w:rPr>
            <w:instrText xml:space="preserve"> CITATION Val19 \l 2057 </w:instrText>
          </w:r>
          <w:r>
            <w:rPr>
              <w:rFonts w:ascii="Arial" w:hAnsi="Arial" w:cs="Arial"/>
              <w:sz w:val="22"/>
              <w:lang w:val="en-US" w:eastAsia="en-US"/>
            </w:rPr>
            <w:fldChar w:fldCharType="separate"/>
          </w:r>
          <w:r w:rsidRPr="00197DFE">
            <w:rPr>
              <w:rFonts w:ascii="Arial" w:hAnsi="Arial" w:cs="Arial"/>
              <w:noProof/>
              <w:sz w:val="22"/>
              <w:lang w:eastAsia="en-US"/>
            </w:rPr>
            <w:t>[2]</w:t>
          </w:r>
          <w:r>
            <w:rPr>
              <w:rFonts w:ascii="Arial" w:hAnsi="Arial" w:cs="Arial"/>
              <w:sz w:val="22"/>
              <w:lang w:val="en-US" w:eastAsia="en-US"/>
            </w:rPr>
            <w:fldChar w:fldCharType="end"/>
          </w:r>
        </w:sdtContent>
      </w:sdt>
      <w:r w:rsidR="006E00E3">
        <w:rPr>
          <w:rFonts w:ascii="Arial" w:hAnsi="Arial" w:cs="Arial"/>
          <w:sz w:val="22"/>
          <w:lang w:val="en-US" w:eastAsia="en-US"/>
        </w:rPr>
        <w:t xml:space="preserve"> With IPV6, the broadcast is no longer able to be discovered meaning that it is harder than ever to hit anyone with a DDoS attack meaning that there should be a massive improvement for personal attacks as well as company wide attacks. </w:t>
      </w:r>
      <w:sdt>
        <w:sdtPr>
          <w:rPr>
            <w:rFonts w:ascii="Arial" w:hAnsi="Arial" w:cs="Arial"/>
            <w:sz w:val="22"/>
            <w:lang w:val="en-US" w:eastAsia="en-US"/>
          </w:rPr>
          <w:id w:val="1956985985"/>
          <w:citation/>
        </w:sdtPr>
        <w:sdtContent>
          <w:r w:rsidR="006E00E3">
            <w:rPr>
              <w:rFonts w:ascii="Arial" w:hAnsi="Arial" w:cs="Arial"/>
              <w:sz w:val="22"/>
              <w:lang w:val="en-US" w:eastAsia="en-US"/>
            </w:rPr>
            <w:fldChar w:fldCharType="begin"/>
          </w:r>
          <w:r w:rsidR="006E00E3">
            <w:rPr>
              <w:rFonts w:ascii="Arial" w:hAnsi="Arial" w:cs="Arial"/>
              <w:sz w:val="22"/>
              <w:lang w:eastAsia="en-US"/>
            </w:rPr>
            <w:instrText xml:space="preserve"> CITATION Ema19 \l 2057 </w:instrText>
          </w:r>
          <w:r w:rsidR="006E00E3">
            <w:rPr>
              <w:rFonts w:ascii="Arial" w:hAnsi="Arial" w:cs="Arial"/>
              <w:sz w:val="22"/>
              <w:lang w:val="en-US" w:eastAsia="en-US"/>
            </w:rPr>
            <w:fldChar w:fldCharType="separate"/>
          </w:r>
          <w:r w:rsidR="006E00E3" w:rsidRPr="006E00E3">
            <w:rPr>
              <w:rFonts w:ascii="Arial" w:hAnsi="Arial" w:cs="Arial"/>
              <w:noProof/>
              <w:sz w:val="22"/>
              <w:lang w:eastAsia="en-US"/>
            </w:rPr>
            <w:t>[3]</w:t>
          </w:r>
          <w:r w:rsidR="006E00E3">
            <w:rPr>
              <w:rFonts w:ascii="Arial" w:hAnsi="Arial" w:cs="Arial"/>
              <w:sz w:val="22"/>
              <w:lang w:val="en-US" w:eastAsia="en-US"/>
            </w:rPr>
            <w:fldChar w:fldCharType="end"/>
          </w:r>
        </w:sdtContent>
      </w:sdt>
      <w:r w:rsidR="006E00E3">
        <w:rPr>
          <w:rFonts w:ascii="Arial" w:hAnsi="Arial" w:cs="Arial"/>
          <w:sz w:val="22"/>
          <w:lang w:val="en-US" w:eastAsia="en-US"/>
        </w:rPr>
        <w:t xml:space="preserve"> </w:t>
      </w:r>
      <w:r w:rsidR="00D01EF9">
        <w:rPr>
          <w:rFonts w:ascii="Arial" w:hAnsi="Arial" w:cs="Arial"/>
          <w:sz w:val="22"/>
          <w:lang w:val="en-US" w:eastAsia="en-US"/>
        </w:rPr>
        <w:t xml:space="preserve"> If a router has IPV6 enabled by default whilst a firewall does not this can cause significant issues for a network as the firewall is not even seeing packets entering the network. This means the gate is open for malicious users to attack a network without having to go through a firewall or any other security measures that are only enabled for IPV4 addresses. </w:t>
      </w:r>
      <w:sdt>
        <w:sdtPr>
          <w:rPr>
            <w:rFonts w:ascii="Arial" w:hAnsi="Arial" w:cs="Arial"/>
            <w:sz w:val="22"/>
            <w:lang w:val="en-US" w:eastAsia="en-US"/>
          </w:rPr>
          <w:id w:val="458994216"/>
          <w:citation/>
        </w:sdtPr>
        <w:sdtContent>
          <w:r w:rsidR="00D01EF9">
            <w:rPr>
              <w:rFonts w:ascii="Arial" w:hAnsi="Arial" w:cs="Arial"/>
              <w:sz w:val="22"/>
              <w:lang w:val="en-US" w:eastAsia="en-US"/>
            </w:rPr>
            <w:fldChar w:fldCharType="begin"/>
          </w:r>
          <w:r w:rsidR="00D01EF9">
            <w:rPr>
              <w:rFonts w:ascii="Arial" w:hAnsi="Arial" w:cs="Arial"/>
              <w:sz w:val="22"/>
              <w:lang w:eastAsia="en-US"/>
            </w:rPr>
            <w:instrText xml:space="preserve"> CITATION Why19 \l 2057 </w:instrText>
          </w:r>
          <w:r w:rsidR="00D01EF9">
            <w:rPr>
              <w:rFonts w:ascii="Arial" w:hAnsi="Arial" w:cs="Arial"/>
              <w:sz w:val="22"/>
              <w:lang w:val="en-US" w:eastAsia="en-US"/>
            </w:rPr>
            <w:fldChar w:fldCharType="separate"/>
          </w:r>
          <w:r w:rsidR="00D01EF9" w:rsidRPr="00D01EF9">
            <w:rPr>
              <w:rFonts w:ascii="Arial" w:hAnsi="Arial" w:cs="Arial"/>
              <w:noProof/>
              <w:sz w:val="22"/>
              <w:lang w:eastAsia="en-US"/>
            </w:rPr>
            <w:t>[4]</w:t>
          </w:r>
          <w:r w:rsidR="00D01EF9">
            <w:rPr>
              <w:rFonts w:ascii="Arial" w:hAnsi="Arial" w:cs="Arial"/>
              <w:sz w:val="22"/>
              <w:lang w:val="en-US" w:eastAsia="en-US"/>
            </w:rPr>
            <w:fldChar w:fldCharType="end"/>
          </w:r>
        </w:sdtContent>
      </w:sdt>
    </w:p>
    <w:p w:rsidR="00B8300D" w:rsidRDefault="00B8300D">
      <w:pPr>
        <w:rPr>
          <w:rFonts w:ascii="Arial" w:hAnsi="Arial" w:cs="Arial"/>
          <w:sz w:val="22"/>
          <w:lang w:val="en-US" w:eastAsia="en-US"/>
        </w:rPr>
      </w:pPr>
    </w:p>
    <w:p w:rsidR="00AE3EFA" w:rsidRDefault="00B8300D">
      <w:pPr>
        <w:rPr>
          <w:rFonts w:ascii="Arial" w:hAnsi="Arial" w:cs="Arial"/>
          <w:sz w:val="22"/>
          <w:lang w:val="en-US" w:eastAsia="en-US"/>
        </w:rPr>
      </w:pPr>
      <w:r w:rsidRPr="00B8300D">
        <w:rPr>
          <w:rFonts w:ascii="Arial" w:hAnsi="Arial" w:cs="Arial"/>
          <w:sz w:val="22"/>
          <w:lang w:val="en-US" w:eastAsia="en-US"/>
        </w:rPr>
        <w:t>A packet sent from an IPV6 address comes in the form of a header which comes with many parts. The parts go as followed: Version – 4 bits, Traffic Class – 8 bits, Flow Label – 20 bits, payload length – 16 bits, next header – 8 bits, hop limit – 8 bits, source address – 128 bits, destination address – 128 bits. All of these will make up a packet from an IPV6 address. This ends up equaling 40 Bytes whilst an IPV4 address is 20bytes.</w:t>
      </w:r>
      <w:r>
        <w:rPr>
          <w:rFonts w:ascii="Arial" w:hAnsi="Arial" w:cs="Arial"/>
          <w:sz w:val="22"/>
          <w:lang w:val="en-US" w:eastAsia="en-US"/>
        </w:rPr>
        <w:t xml:space="preserve"> </w:t>
      </w:r>
      <w:sdt>
        <w:sdtPr>
          <w:rPr>
            <w:rFonts w:ascii="Arial" w:hAnsi="Arial" w:cs="Arial"/>
            <w:sz w:val="22"/>
            <w:lang w:val="en-US" w:eastAsia="en-US"/>
          </w:rPr>
          <w:id w:val="-571728333"/>
          <w:citation/>
        </w:sdtPr>
        <w:sdtContent>
          <w:r>
            <w:rPr>
              <w:rFonts w:ascii="Arial" w:hAnsi="Arial" w:cs="Arial"/>
              <w:sz w:val="22"/>
              <w:lang w:val="en-US" w:eastAsia="en-US"/>
            </w:rPr>
            <w:fldChar w:fldCharType="begin"/>
          </w:r>
          <w:r>
            <w:rPr>
              <w:rFonts w:ascii="Arial" w:hAnsi="Arial" w:cs="Arial"/>
              <w:sz w:val="22"/>
              <w:lang w:eastAsia="en-US"/>
            </w:rPr>
            <w:instrText xml:space="preserve"> CITATION Val19 \l 2057 </w:instrText>
          </w:r>
          <w:r>
            <w:rPr>
              <w:rFonts w:ascii="Arial" w:hAnsi="Arial" w:cs="Arial"/>
              <w:sz w:val="22"/>
              <w:lang w:val="en-US" w:eastAsia="en-US"/>
            </w:rPr>
            <w:fldChar w:fldCharType="separate"/>
          </w:r>
          <w:r w:rsidRPr="00B8300D">
            <w:rPr>
              <w:rFonts w:ascii="Arial" w:hAnsi="Arial" w:cs="Arial"/>
              <w:noProof/>
              <w:sz w:val="22"/>
              <w:lang w:eastAsia="en-US"/>
            </w:rPr>
            <w:t>[2]</w:t>
          </w:r>
          <w:r>
            <w:rPr>
              <w:rFonts w:ascii="Arial" w:hAnsi="Arial" w:cs="Arial"/>
              <w:sz w:val="22"/>
              <w:lang w:val="en-US" w:eastAsia="en-US"/>
            </w:rPr>
            <w:fldChar w:fldCharType="end"/>
          </w:r>
        </w:sdtContent>
      </w:sdt>
    </w:p>
    <w:p w:rsidR="00B8300D" w:rsidRDefault="00B8300D">
      <w:pPr>
        <w:rPr>
          <w:rFonts w:ascii="Arial" w:hAnsi="Arial" w:cs="Arial"/>
          <w:sz w:val="22"/>
          <w:lang w:val="en-US" w:eastAsia="en-US"/>
        </w:rPr>
      </w:pPr>
    </w:p>
    <w:p w:rsidR="00B8300D" w:rsidRDefault="00166E81">
      <w:pPr>
        <w:rPr>
          <w:rFonts w:ascii="Arial" w:hAnsi="Arial" w:cs="Arial"/>
          <w:sz w:val="22"/>
          <w:lang w:val="en-US" w:eastAsia="en-US"/>
        </w:rPr>
      </w:pPr>
      <w:r>
        <w:rPr>
          <w:rFonts w:ascii="Arial" w:hAnsi="Arial" w:cs="Arial"/>
          <w:sz w:val="22"/>
          <w:lang w:val="en-US" w:eastAsia="en-US"/>
        </w:rPr>
        <w:t xml:space="preserve">IPV6 has brought in a new form of hierarchical addressing with three different kinds of addresses. These three are: Unicast, Multicast and Anycast. A unicast is just for single nodes on a network. A multicast would be assigned to multiple nodes in a single group. Then finally, an any cast address is a group of nodes which can consist of multiple multicast groups. </w:t>
      </w:r>
      <w:sdt>
        <w:sdtPr>
          <w:rPr>
            <w:rFonts w:ascii="Arial" w:hAnsi="Arial" w:cs="Arial"/>
            <w:sz w:val="22"/>
            <w:lang w:val="en-US" w:eastAsia="en-US"/>
          </w:rPr>
          <w:id w:val="616802518"/>
          <w:citation/>
        </w:sdtPr>
        <w:sdtContent>
          <w:r>
            <w:rPr>
              <w:rFonts w:ascii="Arial" w:hAnsi="Arial" w:cs="Arial"/>
              <w:sz w:val="22"/>
              <w:lang w:val="en-US" w:eastAsia="en-US"/>
            </w:rPr>
            <w:fldChar w:fldCharType="begin"/>
          </w:r>
          <w:r>
            <w:rPr>
              <w:rFonts w:ascii="Arial" w:hAnsi="Arial" w:cs="Arial"/>
              <w:sz w:val="22"/>
              <w:lang w:eastAsia="en-US"/>
            </w:rPr>
            <w:instrText xml:space="preserve"> CITATION Ema19 \l 2057 </w:instrText>
          </w:r>
          <w:r>
            <w:rPr>
              <w:rFonts w:ascii="Arial" w:hAnsi="Arial" w:cs="Arial"/>
              <w:sz w:val="22"/>
              <w:lang w:val="en-US" w:eastAsia="en-US"/>
            </w:rPr>
            <w:fldChar w:fldCharType="separate"/>
          </w:r>
          <w:r w:rsidRPr="00166E81">
            <w:rPr>
              <w:rFonts w:ascii="Arial" w:hAnsi="Arial" w:cs="Arial"/>
              <w:noProof/>
              <w:sz w:val="22"/>
              <w:lang w:eastAsia="en-US"/>
            </w:rPr>
            <w:t>[3]</w:t>
          </w:r>
          <w:r>
            <w:rPr>
              <w:rFonts w:ascii="Arial" w:hAnsi="Arial" w:cs="Arial"/>
              <w:sz w:val="22"/>
              <w:lang w:val="en-US" w:eastAsia="en-US"/>
            </w:rPr>
            <w:fldChar w:fldCharType="end"/>
          </w:r>
        </w:sdtContent>
      </w:sdt>
    </w:p>
    <w:p w:rsidR="006E00E3" w:rsidRDefault="006E00E3">
      <w:pPr>
        <w:rPr>
          <w:rFonts w:ascii="Arial" w:hAnsi="Arial" w:cs="Arial"/>
          <w:sz w:val="22"/>
          <w:lang w:val="en-US" w:eastAsia="en-US"/>
        </w:rPr>
      </w:pPr>
    </w:p>
    <w:p w:rsidR="006E00E3" w:rsidRDefault="006E00E3">
      <w:pPr>
        <w:rPr>
          <w:rFonts w:ascii="Arial" w:hAnsi="Arial" w:cs="Arial"/>
          <w:sz w:val="22"/>
          <w:lang w:val="en-US" w:eastAsia="en-US"/>
        </w:rPr>
      </w:pPr>
      <w:r>
        <w:rPr>
          <w:rFonts w:ascii="Arial" w:hAnsi="Arial" w:cs="Arial"/>
          <w:sz w:val="22"/>
          <w:lang w:val="en-US" w:eastAsia="en-US"/>
        </w:rPr>
        <w:t>A major issue with deploying the IPV6 addresses is that if it is not well thought out and planned it can leave networks open to huge security holes by allowing them to have both and IPV6 and IPV4 addresses meaning all security features that would have been implemented are mitigated.</w:t>
      </w:r>
      <w:r w:rsidR="00D01EF9">
        <w:rPr>
          <w:rFonts w:ascii="Arial" w:hAnsi="Arial" w:cs="Arial"/>
          <w:sz w:val="22"/>
          <w:lang w:val="en-US" w:eastAsia="en-US"/>
        </w:rPr>
        <w:t xml:space="preserve"> </w:t>
      </w:r>
      <w:sdt>
        <w:sdtPr>
          <w:rPr>
            <w:rFonts w:ascii="Arial" w:hAnsi="Arial" w:cs="Arial"/>
            <w:sz w:val="22"/>
            <w:lang w:val="en-US" w:eastAsia="en-US"/>
          </w:rPr>
          <w:id w:val="1603453562"/>
          <w:citation/>
        </w:sdtPr>
        <w:sdtContent>
          <w:r w:rsidR="00D01EF9">
            <w:rPr>
              <w:rFonts w:ascii="Arial" w:hAnsi="Arial" w:cs="Arial"/>
              <w:sz w:val="22"/>
              <w:lang w:val="en-US" w:eastAsia="en-US"/>
            </w:rPr>
            <w:fldChar w:fldCharType="begin"/>
          </w:r>
          <w:r w:rsidR="00D01EF9">
            <w:rPr>
              <w:rFonts w:ascii="Arial" w:hAnsi="Arial" w:cs="Arial"/>
              <w:sz w:val="22"/>
              <w:lang w:eastAsia="en-US"/>
            </w:rPr>
            <w:instrText xml:space="preserve"> CITATION Why19 \l 2057 </w:instrText>
          </w:r>
          <w:r w:rsidR="00D01EF9">
            <w:rPr>
              <w:rFonts w:ascii="Arial" w:hAnsi="Arial" w:cs="Arial"/>
              <w:sz w:val="22"/>
              <w:lang w:val="en-US" w:eastAsia="en-US"/>
            </w:rPr>
            <w:fldChar w:fldCharType="separate"/>
          </w:r>
          <w:r w:rsidR="00D01EF9" w:rsidRPr="00D01EF9">
            <w:rPr>
              <w:rFonts w:ascii="Arial" w:hAnsi="Arial" w:cs="Arial"/>
              <w:noProof/>
              <w:sz w:val="22"/>
              <w:lang w:eastAsia="en-US"/>
            </w:rPr>
            <w:t>[4]</w:t>
          </w:r>
          <w:r w:rsidR="00D01EF9">
            <w:rPr>
              <w:rFonts w:ascii="Arial" w:hAnsi="Arial" w:cs="Arial"/>
              <w:sz w:val="22"/>
              <w:lang w:val="en-US" w:eastAsia="en-US"/>
            </w:rPr>
            <w:fldChar w:fldCharType="end"/>
          </w:r>
        </w:sdtContent>
      </w:sdt>
    </w:p>
    <w:p w:rsidR="00D01EF9" w:rsidRDefault="00D01EF9">
      <w:pPr>
        <w:rPr>
          <w:rFonts w:ascii="Arial" w:hAnsi="Arial" w:cs="Arial"/>
          <w:sz w:val="22"/>
          <w:lang w:val="en-US" w:eastAsia="en-US"/>
        </w:rPr>
      </w:pPr>
    </w:p>
    <w:p w:rsidR="00D01EF9" w:rsidRDefault="00D01EF9">
      <w:pPr>
        <w:rPr>
          <w:rFonts w:ascii="Arial" w:hAnsi="Arial" w:cs="Arial"/>
          <w:sz w:val="22"/>
          <w:lang w:val="en-US" w:eastAsia="en-US"/>
        </w:rPr>
      </w:pPr>
      <w:r>
        <w:rPr>
          <w:rFonts w:ascii="Arial" w:hAnsi="Arial" w:cs="Arial"/>
          <w:sz w:val="22"/>
          <w:lang w:val="en-US" w:eastAsia="en-US"/>
        </w:rPr>
        <w:t>With the security issue mentioned earlier there could be a lot of confusion on how to keep a network safe when the firewall won’t work. The simple solution is just to disable IPV6 and wait until every single piece of security on a network is ready to be moved over to IPV6. Disable anything that you do not need involving IPV6 and as soon as everything is ready, only then, should you be enabling IPV6. This is especially true if your network is used for anything more than personal use, especially businesses.</w:t>
      </w:r>
      <w:r w:rsidR="0052509A">
        <w:rPr>
          <w:rFonts w:ascii="Arial" w:hAnsi="Arial" w:cs="Arial"/>
          <w:sz w:val="22"/>
          <w:lang w:val="en-US" w:eastAsia="en-US"/>
        </w:rPr>
        <w:t xml:space="preserve"> It is also highly recommended to avoid using the tunnel feature of IPV6 for a while whilst </w:t>
      </w:r>
      <w:r w:rsidR="006C00B6">
        <w:rPr>
          <w:rFonts w:ascii="Arial" w:hAnsi="Arial" w:cs="Arial"/>
          <w:sz w:val="22"/>
          <w:lang w:val="en-US" w:eastAsia="en-US"/>
        </w:rPr>
        <w:t xml:space="preserve">IPV6 is still being deployed as automatic tunneling tools can make networks less likely to perceive an incoming attack. It </w:t>
      </w:r>
      <w:r w:rsidR="006C00B6">
        <w:rPr>
          <w:rFonts w:ascii="Arial" w:hAnsi="Arial" w:cs="Arial"/>
          <w:sz w:val="22"/>
          <w:lang w:val="en-US" w:eastAsia="en-US"/>
        </w:rPr>
        <w:lastRenderedPageBreak/>
        <w:t xml:space="preserve">will be a lot easier and safer to use once we have finally converted every single address to IPV6 but until then it’s better safe than sorry. </w:t>
      </w:r>
      <w:sdt>
        <w:sdtPr>
          <w:rPr>
            <w:rFonts w:ascii="Arial" w:hAnsi="Arial" w:cs="Arial"/>
            <w:sz w:val="22"/>
            <w:lang w:val="en-US" w:eastAsia="en-US"/>
          </w:rPr>
          <w:id w:val="-779262345"/>
          <w:citation/>
        </w:sdtPr>
        <w:sdtContent>
          <w:r w:rsidR="006C00B6">
            <w:rPr>
              <w:rFonts w:ascii="Arial" w:hAnsi="Arial" w:cs="Arial"/>
              <w:sz w:val="22"/>
              <w:lang w:val="en-US" w:eastAsia="en-US"/>
            </w:rPr>
            <w:fldChar w:fldCharType="begin"/>
          </w:r>
          <w:r w:rsidR="006C00B6">
            <w:rPr>
              <w:rFonts w:ascii="Arial" w:hAnsi="Arial" w:cs="Arial"/>
              <w:sz w:val="22"/>
              <w:lang w:eastAsia="en-US"/>
            </w:rPr>
            <w:instrText xml:space="preserve"> CITATION Why19 \l 2057 </w:instrText>
          </w:r>
          <w:r w:rsidR="006C00B6">
            <w:rPr>
              <w:rFonts w:ascii="Arial" w:hAnsi="Arial" w:cs="Arial"/>
              <w:sz w:val="22"/>
              <w:lang w:val="en-US" w:eastAsia="en-US"/>
            </w:rPr>
            <w:fldChar w:fldCharType="separate"/>
          </w:r>
          <w:r w:rsidR="006C00B6" w:rsidRPr="006C00B6">
            <w:rPr>
              <w:rFonts w:ascii="Arial" w:hAnsi="Arial" w:cs="Arial"/>
              <w:noProof/>
              <w:sz w:val="22"/>
              <w:lang w:eastAsia="en-US"/>
            </w:rPr>
            <w:t>[4]</w:t>
          </w:r>
          <w:r w:rsidR="006C00B6">
            <w:rPr>
              <w:rFonts w:ascii="Arial" w:hAnsi="Arial" w:cs="Arial"/>
              <w:sz w:val="22"/>
              <w:lang w:val="en-US" w:eastAsia="en-US"/>
            </w:rPr>
            <w:fldChar w:fldCharType="end"/>
          </w:r>
        </w:sdtContent>
      </w:sdt>
    </w:p>
    <w:p w:rsidR="006C00B6" w:rsidRDefault="006C00B6">
      <w:pPr>
        <w:rPr>
          <w:rFonts w:ascii="Arial" w:hAnsi="Arial" w:cs="Arial"/>
          <w:sz w:val="22"/>
          <w:lang w:val="en-US" w:eastAsia="en-US"/>
        </w:rPr>
      </w:pPr>
    </w:p>
    <w:p w:rsidR="006C00B6" w:rsidRDefault="006C00B6">
      <w:pPr>
        <w:rPr>
          <w:rFonts w:ascii="Arial" w:hAnsi="Arial" w:cs="Arial"/>
          <w:sz w:val="22"/>
          <w:lang w:val="en-US" w:eastAsia="en-US"/>
        </w:rPr>
      </w:pPr>
      <w:r>
        <w:rPr>
          <w:rFonts w:ascii="Arial" w:hAnsi="Arial" w:cs="Arial"/>
          <w:sz w:val="22"/>
          <w:lang w:val="en-US" w:eastAsia="en-US"/>
        </w:rPr>
        <w:t xml:space="preserve">IPV6’s architecture allows for a much more convenient way of allowing peer to peer connections which is being used more than ever as of late. Peer to peer connection is used in video-conferencing, streaming media, online multiplayer gaming, voice over internet. All of these features benefit both personal use and business use of the internet. This should also completely axe off NAT’s which just cause extra network delay. </w:t>
      </w:r>
      <w:sdt>
        <w:sdtPr>
          <w:rPr>
            <w:rFonts w:ascii="Arial" w:hAnsi="Arial" w:cs="Arial"/>
            <w:sz w:val="22"/>
            <w:lang w:val="en-US" w:eastAsia="en-US"/>
          </w:rPr>
          <w:id w:val="1719462199"/>
          <w:citation/>
        </w:sdtPr>
        <w:sdtContent>
          <w:r>
            <w:rPr>
              <w:rFonts w:ascii="Arial" w:hAnsi="Arial" w:cs="Arial"/>
              <w:sz w:val="22"/>
              <w:lang w:val="en-US" w:eastAsia="en-US"/>
            </w:rPr>
            <w:fldChar w:fldCharType="begin"/>
          </w:r>
          <w:r>
            <w:rPr>
              <w:rFonts w:ascii="Arial" w:hAnsi="Arial" w:cs="Arial"/>
              <w:sz w:val="22"/>
              <w:lang w:eastAsia="en-US"/>
            </w:rPr>
            <w:instrText xml:space="preserve"> CITATION 19IP \l 2057 </w:instrText>
          </w:r>
          <w:r>
            <w:rPr>
              <w:rFonts w:ascii="Arial" w:hAnsi="Arial" w:cs="Arial"/>
              <w:sz w:val="22"/>
              <w:lang w:val="en-US" w:eastAsia="en-US"/>
            </w:rPr>
            <w:fldChar w:fldCharType="separate"/>
          </w:r>
          <w:r w:rsidRPr="006C00B6">
            <w:rPr>
              <w:rFonts w:ascii="Arial" w:hAnsi="Arial" w:cs="Arial"/>
              <w:noProof/>
              <w:sz w:val="22"/>
              <w:lang w:eastAsia="en-US"/>
            </w:rPr>
            <w:t>[5]</w:t>
          </w:r>
          <w:r>
            <w:rPr>
              <w:rFonts w:ascii="Arial" w:hAnsi="Arial" w:cs="Arial"/>
              <w:sz w:val="22"/>
              <w:lang w:val="en-US" w:eastAsia="en-US"/>
            </w:rPr>
            <w:fldChar w:fldCharType="end"/>
          </w:r>
        </w:sdtContent>
      </w:sdt>
    </w:p>
    <w:p w:rsidR="006C00B6" w:rsidRDefault="006C00B6">
      <w:pPr>
        <w:rPr>
          <w:rFonts w:ascii="Arial" w:hAnsi="Arial" w:cs="Arial"/>
          <w:sz w:val="22"/>
          <w:lang w:val="en-US" w:eastAsia="en-US"/>
        </w:rPr>
      </w:pPr>
    </w:p>
    <w:p w:rsidR="006C00B6" w:rsidRDefault="006C00B6">
      <w:pPr>
        <w:rPr>
          <w:rFonts w:ascii="Arial" w:hAnsi="Arial" w:cs="Arial"/>
          <w:sz w:val="22"/>
          <w:lang w:val="en-US" w:eastAsia="en-US"/>
        </w:rPr>
      </w:pPr>
      <w:r>
        <w:rPr>
          <w:rFonts w:ascii="Arial" w:hAnsi="Arial" w:cs="Arial"/>
          <w:sz w:val="22"/>
          <w:lang w:val="en-US" w:eastAsia="en-US"/>
        </w:rPr>
        <w:t xml:space="preserve">IPV6 also has a better auto-configuration setup than IPV4 which should make it easier than ever for </w:t>
      </w:r>
      <w:r w:rsidR="00A0077D">
        <w:rPr>
          <w:rFonts w:ascii="Arial" w:hAnsi="Arial" w:cs="Arial"/>
          <w:sz w:val="22"/>
          <w:lang w:val="en-US" w:eastAsia="en-US"/>
        </w:rPr>
        <w:t xml:space="preserve">tech-illiterate home users to set up their home network as there should no longer be the risk of IPV4 assigning two devices the same IP and having a confliction from it. This feature might not have as many benefits for businesses who need to know where each device will be for maintenance and network recovery purposes. </w:t>
      </w:r>
      <w:sdt>
        <w:sdtPr>
          <w:rPr>
            <w:rFonts w:ascii="Arial" w:hAnsi="Arial" w:cs="Arial"/>
            <w:sz w:val="22"/>
            <w:lang w:val="en-US" w:eastAsia="en-US"/>
          </w:rPr>
          <w:id w:val="-1449081454"/>
          <w:citation/>
        </w:sdtPr>
        <w:sdtContent>
          <w:r w:rsidR="00E212CE">
            <w:rPr>
              <w:rFonts w:ascii="Arial" w:hAnsi="Arial" w:cs="Arial"/>
              <w:sz w:val="22"/>
              <w:lang w:val="en-US" w:eastAsia="en-US"/>
            </w:rPr>
            <w:fldChar w:fldCharType="begin"/>
          </w:r>
          <w:r w:rsidR="00E212CE">
            <w:rPr>
              <w:rFonts w:ascii="Arial" w:hAnsi="Arial" w:cs="Arial"/>
              <w:sz w:val="22"/>
              <w:lang w:eastAsia="en-US"/>
            </w:rPr>
            <w:instrText xml:space="preserve"> CITATION 19IP \l 2057 </w:instrText>
          </w:r>
          <w:r w:rsidR="00E212CE">
            <w:rPr>
              <w:rFonts w:ascii="Arial" w:hAnsi="Arial" w:cs="Arial"/>
              <w:sz w:val="22"/>
              <w:lang w:val="en-US" w:eastAsia="en-US"/>
            </w:rPr>
            <w:fldChar w:fldCharType="separate"/>
          </w:r>
          <w:r w:rsidR="00E212CE" w:rsidRPr="00E212CE">
            <w:rPr>
              <w:rFonts w:ascii="Arial" w:hAnsi="Arial" w:cs="Arial"/>
              <w:noProof/>
              <w:sz w:val="22"/>
              <w:lang w:eastAsia="en-US"/>
            </w:rPr>
            <w:t>[5]</w:t>
          </w:r>
          <w:r w:rsidR="00E212CE">
            <w:rPr>
              <w:rFonts w:ascii="Arial" w:hAnsi="Arial" w:cs="Arial"/>
              <w:sz w:val="22"/>
              <w:lang w:val="en-US" w:eastAsia="en-US"/>
            </w:rPr>
            <w:fldChar w:fldCharType="end"/>
          </w:r>
        </w:sdtContent>
      </w:sdt>
    </w:p>
    <w:p w:rsidR="00E212CE" w:rsidRDefault="00E212CE">
      <w:pPr>
        <w:rPr>
          <w:rFonts w:ascii="Arial" w:hAnsi="Arial" w:cs="Arial"/>
          <w:sz w:val="22"/>
          <w:lang w:val="en-US" w:eastAsia="en-US"/>
        </w:rPr>
      </w:pPr>
    </w:p>
    <w:p w:rsidR="00E212CE" w:rsidRDefault="00E212CE">
      <w:pPr>
        <w:rPr>
          <w:rFonts w:ascii="Arial" w:hAnsi="Arial" w:cs="Arial"/>
          <w:sz w:val="22"/>
          <w:lang w:val="en-US" w:eastAsia="en-US"/>
        </w:rPr>
      </w:pPr>
      <w:r>
        <w:rPr>
          <w:rFonts w:ascii="Arial" w:hAnsi="Arial" w:cs="Arial"/>
          <w:sz w:val="22"/>
          <w:lang w:val="en-US" w:eastAsia="en-US"/>
        </w:rPr>
        <w:t xml:space="preserve">The biggest reason why there is a huge need to switch to an IPV6 format rather than an IPV4 is simply because we are running out of IP addresses in IPV4 and will be out very soon so it is better to start implementing now rather than when we are completely out. Extensibility is the most important factor of designing the new internet format. </w:t>
      </w:r>
      <w:sdt>
        <w:sdtPr>
          <w:rPr>
            <w:rFonts w:ascii="Arial" w:hAnsi="Arial" w:cs="Arial"/>
            <w:sz w:val="22"/>
            <w:lang w:val="en-US" w:eastAsia="en-US"/>
          </w:rPr>
          <w:id w:val="1994369040"/>
          <w:citation/>
        </w:sdtPr>
        <w:sdtContent>
          <w:r>
            <w:rPr>
              <w:rFonts w:ascii="Arial" w:hAnsi="Arial" w:cs="Arial"/>
              <w:sz w:val="22"/>
              <w:lang w:val="en-US" w:eastAsia="en-US"/>
            </w:rPr>
            <w:fldChar w:fldCharType="begin"/>
          </w:r>
          <w:r>
            <w:rPr>
              <w:rFonts w:ascii="Arial" w:hAnsi="Arial" w:cs="Arial"/>
              <w:sz w:val="22"/>
              <w:lang w:eastAsia="en-US"/>
            </w:rPr>
            <w:instrText xml:space="preserve"> CITATION Ema19 \l 2057 </w:instrText>
          </w:r>
          <w:r>
            <w:rPr>
              <w:rFonts w:ascii="Arial" w:hAnsi="Arial" w:cs="Arial"/>
              <w:sz w:val="22"/>
              <w:lang w:val="en-US" w:eastAsia="en-US"/>
            </w:rPr>
            <w:fldChar w:fldCharType="separate"/>
          </w:r>
          <w:r w:rsidRPr="00E212CE">
            <w:rPr>
              <w:rFonts w:ascii="Arial" w:hAnsi="Arial" w:cs="Arial"/>
              <w:noProof/>
              <w:sz w:val="22"/>
              <w:lang w:eastAsia="en-US"/>
            </w:rPr>
            <w:t>[3]</w:t>
          </w:r>
          <w:r>
            <w:rPr>
              <w:rFonts w:ascii="Arial" w:hAnsi="Arial" w:cs="Arial"/>
              <w:sz w:val="22"/>
              <w:lang w:val="en-US" w:eastAsia="en-US"/>
            </w:rPr>
            <w:fldChar w:fldCharType="end"/>
          </w:r>
        </w:sdtContent>
      </w:sdt>
      <w:bookmarkStart w:id="0" w:name="_GoBack"/>
      <w:bookmarkEnd w:id="0"/>
    </w:p>
    <w:p w:rsidR="00E212CE" w:rsidRDefault="00E212CE">
      <w:pPr>
        <w:rPr>
          <w:rFonts w:ascii="Arial" w:hAnsi="Arial" w:cs="Arial"/>
          <w:sz w:val="22"/>
          <w:lang w:val="en-US" w:eastAsia="en-US"/>
        </w:rPr>
      </w:pPr>
    </w:p>
    <w:sdt>
      <w:sdtPr>
        <w:id w:val="1849983596"/>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rsidR="00E212CE" w:rsidRDefault="00E212CE">
          <w:pPr>
            <w:pStyle w:val="Heading1"/>
          </w:pPr>
          <w:r>
            <w:t>Bibliography</w:t>
          </w:r>
        </w:p>
        <w:sdt>
          <w:sdtPr>
            <w:id w:val="111145805"/>
            <w:bibliography/>
          </w:sdtPr>
          <w:sdtContent>
            <w:p w:rsidR="00E212CE" w:rsidRDefault="00E212CE">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7"/>
              </w:tblGrid>
              <w:tr w:rsidR="00E212CE">
                <w:trPr>
                  <w:divId w:val="1009209705"/>
                  <w:tblCellSpacing w:w="15" w:type="dxa"/>
                </w:trPr>
                <w:tc>
                  <w:tcPr>
                    <w:tcW w:w="50" w:type="pct"/>
                    <w:hideMark/>
                  </w:tcPr>
                  <w:p w:rsidR="00E212CE" w:rsidRDefault="00E212CE">
                    <w:pPr>
                      <w:pStyle w:val="Bibliography"/>
                      <w:rPr>
                        <w:noProof/>
                        <w:sz w:val="24"/>
                        <w:szCs w:val="24"/>
                        <w:lang w:val="en-US"/>
                      </w:rPr>
                    </w:pPr>
                    <w:r>
                      <w:rPr>
                        <w:noProof/>
                        <w:lang w:val="en-US"/>
                      </w:rPr>
                      <w:t xml:space="preserve">[1] </w:t>
                    </w:r>
                  </w:p>
                </w:tc>
                <w:tc>
                  <w:tcPr>
                    <w:tcW w:w="0" w:type="auto"/>
                    <w:hideMark/>
                  </w:tcPr>
                  <w:p w:rsidR="00E212CE" w:rsidRDefault="00E212CE">
                    <w:pPr>
                      <w:pStyle w:val="Bibliography"/>
                      <w:rPr>
                        <w:noProof/>
                        <w:lang w:val="en-US"/>
                      </w:rPr>
                    </w:pPr>
                    <w:r>
                      <w:rPr>
                        <w:noProof/>
                        <w:lang w:val="en-US"/>
                      </w:rPr>
                      <w:t>"IPV6 Features," 2019. [Online]. Available: https://www.tutorialspoint.com/ipv6/ipv6_features.htm. [Accessed 9 December 2019].</w:t>
                    </w:r>
                  </w:p>
                </w:tc>
              </w:tr>
              <w:tr w:rsidR="00E212CE">
                <w:trPr>
                  <w:divId w:val="1009209705"/>
                  <w:tblCellSpacing w:w="15" w:type="dxa"/>
                </w:trPr>
                <w:tc>
                  <w:tcPr>
                    <w:tcW w:w="50" w:type="pct"/>
                    <w:hideMark/>
                  </w:tcPr>
                  <w:p w:rsidR="00E212CE" w:rsidRDefault="00E212CE">
                    <w:pPr>
                      <w:pStyle w:val="Bibliography"/>
                      <w:rPr>
                        <w:noProof/>
                        <w:lang w:val="en-US"/>
                      </w:rPr>
                    </w:pPr>
                    <w:r>
                      <w:rPr>
                        <w:noProof/>
                        <w:lang w:val="en-US"/>
                      </w:rPr>
                      <w:t xml:space="preserve">[2] </w:t>
                    </w:r>
                  </w:p>
                </w:tc>
                <w:tc>
                  <w:tcPr>
                    <w:tcW w:w="0" w:type="auto"/>
                    <w:hideMark/>
                  </w:tcPr>
                  <w:p w:rsidR="00E212CE" w:rsidRDefault="00E212CE">
                    <w:pPr>
                      <w:pStyle w:val="Bibliography"/>
                      <w:rPr>
                        <w:noProof/>
                        <w:lang w:val="en-US"/>
                      </w:rPr>
                    </w:pPr>
                    <w:r>
                      <w:rPr>
                        <w:noProof/>
                        <w:lang w:val="en-US"/>
                      </w:rPr>
                      <w:t>V. Bajrami, "An introduction to IPv6 packets and IPSec," 26 September 2019. [Online]. Available: https://www.redhat.com/sysadmin/ipv6-packets-and-ipsec. [Accessed 9 December 2019].</w:t>
                    </w:r>
                  </w:p>
                </w:tc>
              </w:tr>
              <w:tr w:rsidR="00E212CE">
                <w:trPr>
                  <w:divId w:val="1009209705"/>
                  <w:tblCellSpacing w:w="15" w:type="dxa"/>
                </w:trPr>
                <w:tc>
                  <w:tcPr>
                    <w:tcW w:w="50" w:type="pct"/>
                    <w:hideMark/>
                  </w:tcPr>
                  <w:p w:rsidR="00E212CE" w:rsidRDefault="00E212CE">
                    <w:pPr>
                      <w:pStyle w:val="Bibliography"/>
                      <w:rPr>
                        <w:noProof/>
                        <w:lang w:val="en-US"/>
                      </w:rPr>
                    </w:pPr>
                    <w:r>
                      <w:rPr>
                        <w:noProof/>
                        <w:lang w:val="en-US"/>
                      </w:rPr>
                      <w:t xml:space="preserve">[3] </w:t>
                    </w:r>
                  </w:p>
                </w:tc>
                <w:tc>
                  <w:tcPr>
                    <w:tcW w:w="0" w:type="auto"/>
                    <w:hideMark/>
                  </w:tcPr>
                  <w:p w:rsidR="00E212CE" w:rsidRDefault="00E212CE">
                    <w:pPr>
                      <w:pStyle w:val="Bibliography"/>
                      <w:rPr>
                        <w:noProof/>
                        <w:lang w:val="en-US"/>
                      </w:rPr>
                    </w:pPr>
                    <w:r>
                      <w:rPr>
                        <w:noProof/>
                        <w:lang w:val="en-US"/>
                      </w:rPr>
                      <w:t>E. D. Lucia, "IPv6 Security Overview: a Small View of the Future," 6 September 2019. [Online]. Available: https://resources.infosecinstitute.com/ipv6-security-overview-a-small-view-of-the-future/#gref. [Accessed 9 December 2019].</w:t>
                    </w:r>
                  </w:p>
                </w:tc>
              </w:tr>
              <w:tr w:rsidR="00E212CE">
                <w:trPr>
                  <w:divId w:val="1009209705"/>
                  <w:tblCellSpacing w:w="15" w:type="dxa"/>
                </w:trPr>
                <w:tc>
                  <w:tcPr>
                    <w:tcW w:w="50" w:type="pct"/>
                    <w:hideMark/>
                  </w:tcPr>
                  <w:p w:rsidR="00E212CE" w:rsidRDefault="00E212CE">
                    <w:pPr>
                      <w:pStyle w:val="Bibliography"/>
                      <w:rPr>
                        <w:noProof/>
                        <w:lang w:val="en-US"/>
                      </w:rPr>
                    </w:pPr>
                    <w:r>
                      <w:rPr>
                        <w:noProof/>
                        <w:lang w:val="en-US"/>
                      </w:rPr>
                      <w:t xml:space="preserve">[4] </w:t>
                    </w:r>
                  </w:p>
                </w:tc>
                <w:tc>
                  <w:tcPr>
                    <w:tcW w:w="0" w:type="auto"/>
                    <w:hideMark/>
                  </w:tcPr>
                  <w:p w:rsidR="00E212CE" w:rsidRDefault="00E212CE">
                    <w:pPr>
                      <w:pStyle w:val="Bibliography"/>
                      <w:rPr>
                        <w:noProof/>
                        <w:lang w:val="en-US"/>
                      </w:rPr>
                    </w:pPr>
                    <w:r>
                      <w:rPr>
                        <w:noProof/>
                        <w:lang w:val="en-US"/>
                      </w:rPr>
                      <w:t>"Why IPv6 Matters for Your Security," Sophos, [Online]. Available: https://www.sophos.com/en-us/security-news-trends/security-trends/why-switch-to-ipv6.aspx. [Accessed 9 December 2019].</w:t>
                    </w:r>
                  </w:p>
                </w:tc>
              </w:tr>
              <w:tr w:rsidR="00E212CE">
                <w:trPr>
                  <w:divId w:val="1009209705"/>
                  <w:tblCellSpacing w:w="15" w:type="dxa"/>
                </w:trPr>
                <w:tc>
                  <w:tcPr>
                    <w:tcW w:w="50" w:type="pct"/>
                    <w:hideMark/>
                  </w:tcPr>
                  <w:p w:rsidR="00E212CE" w:rsidRDefault="00E212CE">
                    <w:pPr>
                      <w:pStyle w:val="Bibliography"/>
                      <w:rPr>
                        <w:noProof/>
                        <w:lang w:val="en-US"/>
                      </w:rPr>
                    </w:pPr>
                    <w:r>
                      <w:rPr>
                        <w:noProof/>
                        <w:lang w:val="en-US"/>
                      </w:rPr>
                      <w:t xml:space="preserve">[5] </w:t>
                    </w:r>
                  </w:p>
                </w:tc>
                <w:tc>
                  <w:tcPr>
                    <w:tcW w:w="0" w:type="auto"/>
                    <w:hideMark/>
                  </w:tcPr>
                  <w:p w:rsidR="00E212CE" w:rsidRDefault="00E212CE">
                    <w:pPr>
                      <w:pStyle w:val="Bibliography"/>
                      <w:rPr>
                        <w:noProof/>
                        <w:lang w:val="en-US"/>
                      </w:rPr>
                    </w:pPr>
                    <w:r>
                      <w:rPr>
                        <w:noProof/>
                        <w:lang w:val="en-US"/>
                      </w:rPr>
                      <w:t>IPV6, [Online]. Available: https://www.ipv6.com/general/top-10-features-that-make-ipv6-greater-than-ipv4/2/. [Accessed 9 December 2019].</w:t>
                    </w:r>
                  </w:p>
                </w:tc>
              </w:tr>
            </w:tbl>
            <w:p w:rsidR="00E212CE" w:rsidRDefault="00E212CE">
              <w:pPr>
                <w:divId w:val="1009209705"/>
                <w:rPr>
                  <w:noProof/>
                </w:rPr>
              </w:pPr>
            </w:p>
            <w:p w:rsidR="00E212CE" w:rsidRDefault="00E212CE">
              <w:r>
                <w:rPr>
                  <w:b/>
                  <w:bCs/>
                  <w:noProof/>
                </w:rPr>
                <w:fldChar w:fldCharType="end"/>
              </w:r>
            </w:p>
          </w:sdtContent>
        </w:sdt>
      </w:sdtContent>
    </w:sdt>
    <w:p w:rsidR="00E212CE" w:rsidRDefault="00E212CE">
      <w:pPr>
        <w:rPr>
          <w:rFonts w:ascii="Arial" w:hAnsi="Arial" w:cs="Arial"/>
          <w:sz w:val="22"/>
          <w:lang w:val="en-US" w:eastAsia="en-US"/>
        </w:rPr>
      </w:pPr>
    </w:p>
    <w:sectPr w:rsidR="00E212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67A"/>
    <w:rsid w:val="00166E81"/>
    <w:rsid w:val="00197DFE"/>
    <w:rsid w:val="0052509A"/>
    <w:rsid w:val="006C00B6"/>
    <w:rsid w:val="006E00E3"/>
    <w:rsid w:val="00A0077D"/>
    <w:rsid w:val="00AE3EFA"/>
    <w:rsid w:val="00B2567A"/>
    <w:rsid w:val="00B8300D"/>
    <w:rsid w:val="00D01EF9"/>
    <w:rsid w:val="00D96258"/>
    <w:rsid w:val="00E212CE"/>
    <w:rsid w:val="00F65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3041F"/>
  <w15:chartTrackingRefBased/>
  <w15:docId w15:val="{0868BB89-7B8E-4DCB-91C9-012C11837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567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212CE"/>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epHead">
    <w:name w:val="Step Head"/>
    <w:basedOn w:val="Normal"/>
    <w:next w:val="Normal"/>
    <w:qFormat/>
    <w:rsid w:val="00B2567A"/>
    <w:pPr>
      <w:keepNext/>
      <w:numPr>
        <w:ilvl w:val="1"/>
        <w:numId w:val="1"/>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B2567A"/>
    <w:pPr>
      <w:keepNext/>
      <w:numPr>
        <w:numId w:val="1"/>
      </w:numPr>
      <w:tabs>
        <w:tab w:val="clear" w:pos="1080"/>
        <w:tab w:val="num" w:pos="360"/>
      </w:tabs>
      <w:spacing w:before="240" w:after="60" w:line="276" w:lineRule="auto"/>
      <w:ind w:left="720" w:firstLine="0"/>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B2567A"/>
    <w:pPr>
      <w:numPr>
        <w:ilvl w:val="2"/>
        <w:numId w:val="1"/>
      </w:numPr>
      <w:spacing w:before="120" w:after="120"/>
    </w:pPr>
    <w:rPr>
      <w:rFonts w:ascii="Arial" w:eastAsia="Calibri" w:hAnsi="Arial"/>
      <w:szCs w:val="22"/>
      <w:lang w:val="en-US" w:eastAsia="en-US"/>
    </w:rPr>
  </w:style>
  <w:style w:type="paragraph" w:customStyle="1" w:styleId="SubStepNum">
    <w:name w:val="SubStep Num"/>
    <w:basedOn w:val="SubStepAlpha"/>
    <w:qFormat/>
    <w:rsid w:val="00B2567A"/>
    <w:pPr>
      <w:numPr>
        <w:ilvl w:val="3"/>
      </w:numPr>
    </w:pPr>
  </w:style>
  <w:style w:type="numbering" w:customStyle="1" w:styleId="PartStepSubStepList">
    <w:name w:val="Part_Step_SubStep_List"/>
    <w:basedOn w:val="NoList"/>
    <w:uiPriority w:val="99"/>
    <w:rsid w:val="00B2567A"/>
    <w:pPr>
      <w:numPr>
        <w:numId w:val="1"/>
      </w:numPr>
    </w:pPr>
  </w:style>
  <w:style w:type="paragraph" w:styleId="ListParagraph">
    <w:name w:val="List Paragraph"/>
    <w:basedOn w:val="Normal"/>
    <w:uiPriority w:val="34"/>
    <w:qFormat/>
    <w:rsid w:val="00B2567A"/>
    <w:pPr>
      <w:ind w:left="720"/>
      <w:contextualSpacing/>
    </w:pPr>
  </w:style>
  <w:style w:type="character" w:customStyle="1" w:styleId="Heading1Char">
    <w:name w:val="Heading 1 Char"/>
    <w:basedOn w:val="DefaultParagraphFont"/>
    <w:link w:val="Heading1"/>
    <w:uiPriority w:val="9"/>
    <w:rsid w:val="00E212C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212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206366">
      <w:bodyDiv w:val="1"/>
      <w:marLeft w:val="0"/>
      <w:marRight w:val="0"/>
      <w:marTop w:val="0"/>
      <w:marBottom w:val="0"/>
      <w:divBdr>
        <w:top w:val="none" w:sz="0" w:space="0" w:color="auto"/>
        <w:left w:val="none" w:sz="0" w:space="0" w:color="auto"/>
        <w:bottom w:val="none" w:sz="0" w:space="0" w:color="auto"/>
        <w:right w:val="none" w:sz="0" w:space="0" w:color="auto"/>
      </w:divBdr>
    </w:div>
    <w:div w:id="314266180">
      <w:bodyDiv w:val="1"/>
      <w:marLeft w:val="0"/>
      <w:marRight w:val="0"/>
      <w:marTop w:val="0"/>
      <w:marBottom w:val="0"/>
      <w:divBdr>
        <w:top w:val="none" w:sz="0" w:space="0" w:color="auto"/>
        <w:left w:val="none" w:sz="0" w:space="0" w:color="auto"/>
        <w:bottom w:val="none" w:sz="0" w:space="0" w:color="auto"/>
        <w:right w:val="none" w:sz="0" w:space="0" w:color="auto"/>
      </w:divBdr>
    </w:div>
    <w:div w:id="494223815">
      <w:bodyDiv w:val="1"/>
      <w:marLeft w:val="0"/>
      <w:marRight w:val="0"/>
      <w:marTop w:val="0"/>
      <w:marBottom w:val="0"/>
      <w:divBdr>
        <w:top w:val="none" w:sz="0" w:space="0" w:color="auto"/>
        <w:left w:val="none" w:sz="0" w:space="0" w:color="auto"/>
        <w:bottom w:val="none" w:sz="0" w:space="0" w:color="auto"/>
        <w:right w:val="none" w:sz="0" w:space="0" w:color="auto"/>
      </w:divBdr>
    </w:div>
    <w:div w:id="571891242">
      <w:bodyDiv w:val="1"/>
      <w:marLeft w:val="0"/>
      <w:marRight w:val="0"/>
      <w:marTop w:val="0"/>
      <w:marBottom w:val="0"/>
      <w:divBdr>
        <w:top w:val="none" w:sz="0" w:space="0" w:color="auto"/>
        <w:left w:val="none" w:sz="0" w:space="0" w:color="auto"/>
        <w:bottom w:val="none" w:sz="0" w:space="0" w:color="auto"/>
        <w:right w:val="none" w:sz="0" w:space="0" w:color="auto"/>
      </w:divBdr>
    </w:div>
    <w:div w:id="594745520">
      <w:bodyDiv w:val="1"/>
      <w:marLeft w:val="0"/>
      <w:marRight w:val="0"/>
      <w:marTop w:val="0"/>
      <w:marBottom w:val="0"/>
      <w:divBdr>
        <w:top w:val="none" w:sz="0" w:space="0" w:color="auto"/>
        <w:left w:val="none" w:sz="0" w:space="0" w:color="auto"/>
        <w:bottom w:val="none" w:sz="0" w:space="0" w:color="auto"/>
        <w:right w:val="none" w:sz="0" w:space="0" w:color="auto"/>
      </w:divBdr>
    </w:div>
    <w:div w:id="665136703">
      <w:bodyDiv w:val="1"/>
      <w:marLeft w:val="0"/>
      <w:marRight w:val="0"/>
      <w:marTop w:val="0"/>
      <w:marBottom w:val="0"/>
      <w:divBdr>
        <w:top w:val="none" w:sz="0" w:space="0" w:color="auto"/>
        <w:left w:val="none" w:sz="0" w:space="0" w:color="auto"/>
        <w:bottom w:val="none" w:sz="0" w:space="0" w:color="auto"/>
        <w:right w:val="none" w:sz="0" w:space="0" w:color="auto"/>
      </w:divBdr>
    </w:div>
    <w:div w:id="848445278">
      <w:bodyDiv w:val="1"/>
      <w:marLeft w:val="0"/>
      <w:marRight w:val="0"/>
      <w:marTop w:val="0"/>
      <w:marBottom w:val="0"/>
      <w:divBdr>
        <w:top w:val="none" w:sz="0" w:space="0" w:color="auto"/>
        <w:left w:val="none" w:sz="0" w:space="0" w:color="auto"/>
        <w:bottom w:val="none" w:sz="0" w:space="0" w:color="auto"/>
        <w:right w:val="none" w:sz="0" w:space="0" w:color="auto"/>
      </w:divBdr>
    </w:div>
    <w:div w:id="939609779">
      <w:bodyDiv w:val="1"/>
      <w:marLeft w:val="0"/>
      <w:marRight w:val="0"/>
      <w:marTop w:val="0"/>
      <w:marBottom w:val="0"/>
      <w:divBdr>
        <w:top w:val="none" w:sz="0" w:space="0" w:color="auto"/>
        <w:left w:val="none" w:sz="0" w:space="0" w:color="auto"/>
        <w:bottom w:val="none" w:sz="0" w:space="0" w:color="auto"/>
        <w:right w:val="none" w:sz="0" w:space="0" w:color="auto"/>
      </w:divBdr>
    </w:div>
    <w:div w:id="991642200">
      <w:bodyDiv w:val="1"/>
      <w:marLeft w:val="0"/>
      <w:marRight w:val="0"/>
      <w:marTop w:val="0"/>
      <w:marBottom w:val="0"/>
      <w:divBdr>
        <w:top w:val="none" w:sz="0" w:space="0" w:color="auto"/>
        <w:left w:val="none" w:sz="0" w:space="0" w:color="auto"/>
        <w:bottom w:val="none" w:sz="0" w:space="0" w:color="auto"/>
        <w:right w:val="none" w:sz="0" w:space="0" w:color="auto"/>
      </w:divBdr>
    </w:div>
    <w:div w:id="1003315296">
      <w:bodyDiv w:val="1"/>
      <w:marLeft w:val="0"/>
      <w:marRight w:val="0"/>
      <w:marTop w:val="0"/>
      <w:marBottom w:val="0"/>
      <w:divBdr>
        <w:top w:val="none" w:sz="0" w:space="0" w:color="auto"/>
        <w:left w:val="none" w:sz="0" w:space="0" w:color="auto"/>
        <w:bottom w:val="none" w:sz="0" w:space="0" w:color="auto"/>
        <w:right w:val="none" w:sz="0" w:space="0" w:color="auto"/>
      </w:divBdr>
    </w:div>
    <w:div w:id="1009209705">
      <w:bodyDiv w:val="1"/>
      <w:marLeft w:val="0"/>
      <w:marRight w:val="0"/>
      <w:marTop w:val="0"/>
      <w:marBottom w:val="0"/>
      <w:divBdr>
        <w:top w:val="none" w:sz="0" w:space="0" w:color="auto"/>
        <w:left w:val="none" w:sz="0" w:space="0" w:color="auto"/>
        <w:bottom w:val="none" w:sz="0" w:space="0" w:color="auto"/>
        <w:right w:val="none" w:sz="0" w:space="0" w:color="auto"/>
      </w:divBdr>
    </w:div>
    <w:div w:id="1635865256">
      <w:bodyDiv w:val="1"/>
      <w:marLeft w:val="0"/>
      <w:marRight w:val="0"/>
      <w:marTop w:val="0"/>
      <w:marBottom w:val="0"/>
      <w:divBdr>
        <w:top w:val="none" w:sz="0" w:space="0" w:color="auto"/>
        <w:left w:val="none" w:sz="0" w:space="0" w:color="auto"/>
        <w:bottom w:val="none" w:sz="0" w:space="0" w:color="auto"/>
        <w:right w:val="none" w:sz="0" w:space="0" w:color="auto"/>
      </w:divBdr>
    </w:div>
    <w:div w:id="1711953791">
      <w:bodyDiv w:val="1"/>
      <w:marLeft w:val="0"/>
      <w:marRight w:val="0"/>
      <w:marTop w:val="0"/>
      <w:marBottom w:val="0"/>
      <w:divBdr>
        <w:top w:val="none" w:sz="0" w:space="0" w:color="auto"/>
        <w:left w:val="none" w:sz="0" w:space="0" w:color="auto"/>
        <w:bottom w:val="none" w:sz="0" w:space="0" w:color="auto"/>
        <w:right w:val="none" w:sz="0" w:space="0" w:color="auto"/>
      </w:divBdr>
    </w:div>
    <w:div w:id="1879926926">
      <w:bodyDiv w:val="1"/>
      <w:marLeft w:val="0"/>
      <w:marRight w:val="0"/>
      <w:marTop w:val="0"/>
      <w:marBottom w:val="0"/>
      <w:divBdr>
        <w:top w:val="none" w:sz="0" w:space="0" w:color="auto"/>
        <w:left w:val="none" w:sz="0" w:space="0" w:color="auto"/>
        <w:bottom w:val="none" w:sz="0" w:space="0" w:color="auto"/>
        <w:right w:val="none" w:sz="0" w:space="0" w:color="auto"/>
      </w:divBdr>
    </w:div>
    <w:div w:id="2109497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Val19</b:Tag>
    <b:SourceType>InternetSite</b:SourceType>
    <b:Guid>{674AA38B-4404-4754-AA3D-CD1EA215BFB2}</b:Guid>
    <b:Title>An introduction to IPv6 packets and IPSec</b:Title>
    <b:Year>2019</b:Year>
    <b:Author>
      <b:Author>
        <b:NameList>
          <b:Person>
            <b:Last>Bajrami</b:Last>
            <b:First>Valentin</b:First>
          </b:Person>
        </b:NameList>
      </b:Author>
    </b:Author>
    <b:Month>September</b:Month>
    <b:Day>26</b:Day>
    <b:YearAccessed>2019</b:YearAccessed>
    <b:MonthAccessed>December</b:MonthAccessed>
    <b:DayAccessed>9</b:DayAccessed>
    <b:URL>https://www.redhat.com/sysadmin/ipv6-packets-and-ipsec</b:URL>
    <b:RefOrder>2</b:RefOrder>
  </b:Source>
  <b:Source>
    <b:Tag>IPV19</b:Tag>
    <b:SourceType>InternetSite</b:SourceType>
    <b:Guid>{60AC53C8-D802-4485-B179-8CDC56D30F36}</b:Guid>
    <b:Title>IPV6 Features</b:Title>
    <b:Year>2019</b:Year>
    <b:YearAccessed>2019</b:YearAccessed>
    <b:MonthAccessed>December</b:MonthAccessed>
    <b:DayAccessed>9</b:DayAccessed>
    <b:URL>https://www.tutorialspoint.com/ipv6/ipv6_features.htm</b:URL>
    <b:RefOrder>1</b:RefOrder>
  </b:Source>
  <b:Source>
    <b:Tag>Ema19</b:Tag>
    <b:SourceType>InternetSite</b:SourceType>
    <b:Guid>{B7F9F635-BBAE-4CF7-B17E-DF25E889CAD0}</b:Guid>
    <b:Author>
      <b:Author>
        <b:NameList>
          <b:Person>
            <b:Last>Lucia</b:Last>
            <b:First>Emanuele</b:First>
            <b:Middle>De</b:Middle>
          </b:Person>
        </b:NameList>
      </b:Author>
    </b:Author>
    <b:Title>IPv6 Security Overview: a Small View of the Future</b:Title>
    <b:Year>2019</b:Year>
    <b:Month>September</b:Month>
    <b:Day>6</b:Day>
    <b:YearAccessed>2019</b:YearAccessed>
    <b:MonthAccessed>December</b:MonthAccessed>
    <b:DayAccessed>9</b:DayAccessed>
    <b:URL>https://resources.infosecinstitute.com/ipv6-security-overview-a-small-view-of-the-future/#gref</b:URL>
    <b:RefOrder>3</b:RefOrder>
  </b:Source>
  <b:Source>
    <b:Tag>Why19</b:Tag>
    <b:SourceType>InternetSite</b:SourceType>
    <b:Guid>{CDFEC339-0665-415A-95B8-805B95918735}</b:Guid>
    <b:Title>Why IPv6 Matters for Your Security</b:Title>
    <b:ProductionCompany>Sophos</b:ProductionCompany>
    <b:YearAccessed>2019</b:YearAccessed>
    <b:MonthAccessed>December</b:MonthAccessed>
    <b:DayAccessed>9</b:DayAccessed>
    <b:URL>https://www.sophos.com/en-us/security-news-trends/security-trends/why-switch-to-ipv6.aspx</b:URL>
    <b:RefOrder>4</b:RefOrder>
  </b:Source>
  <b:Source>
    <b:Tag>19IP</b:Tag>
    <b:SourceType>InternetSite</b:SourceType>
    <b:Guid>{8B146EDA-429D-4021-AE40-4A32EBC4D72C}</b:Guid>
    <b:ProductionCompany>IPV6</b:ProductionCompany>
    <b:YearAccessed>2019</b:YearAccessed>
    <b:MonthAccessed>December</b:MonthAccessed>
    <b:DayAccessed>9</b:DayAccessed>
    <b:URL>https://www.ipv6.com/general/top-10-features-that-make-ipv6-greater-than-ipv4/2/</b:URL>
    <b:RefOrder>5</b:RefOrder>
  </b:Source>
</b:Sources>
</file>

<file path=customXml/itemProps1.xml><?xml version="1.0" encoding="utf-8"?>
<ds:datastoreItem xmlns:ds="http://schemas.openxmlformats.org/officeDocument/2006/customXml" ds:itemID="{AB73A227-312E-4F85-AD76-DC2EDEA65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2</Pages>
  <Words>1177</Words>
  <Characters>5498</Characters>
  <Application>Microsoft Office Word</Application>
  <DocSecurity>0</DocSecurity>
  <Lines>96</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Yeates (1901767)</dc:creator>
  <cp:keywords/>
  <dc:description/>
  <cp:lastModifiedBy>Dylan Yeates (1901767)</cp:lastModifiedBy>
  <cp:revision>7</cp:revision>
  <dcterms:created xsi:type="dcterms:W3CDTF">2019-12-09T09:42:00Z</dcterms:created>
  <dcterms:modified xsi:type="dcterms:W3CDTF">2019-12-09T12:17:00Z</dcterms:modified>
</cp:coreProperties>
</file>