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5FFF7" w14:textId="7760C816" w:rsidR="00C418BE" w:rsidRPr="00C418BE" w:rsidRDefault="00C418BE" w:rsidP="00C418BE">
      <w:pPr>
        <w:pStyle w:val="NoSpacing"/>
        <w:rPr>
          <w:sz w:val="28"/>
          <w:u w:val="single"/>
        </w:rPr>
      </w:pPr>
      <w:bookmarkStart w:id="0" w:name="_GoBack"/>
      <w:bookmarkEnd w:id="0"/>
      <w:r w:rsidRPr="00C418BE">
        <w:rPr>
          <w:sz w:val="28"/>
          <w:u w:val="single"/>
        </w:rPr>
        <w:t>1804942</w:t>
      </w:r>
    </w:p>
    <w:p w14:paraId="26F1AC51" w14:textId="0F0F0CAC" w:rsidR="00C418BE" w:rsidRPr="00C418BE" w:rsidRDefault="00C418BE" w:rsidP="00C418BE">
      <w:pPr>
        <w:pStyle w:val="NoSpacing"/>
        <w:rPr>
          <w:sz w:val="28"/>
          <w:u w:val="single"/>
        </w:rPr>
      </w:pPr>
      <w:r w:rsidRPr="00C418BE">
        <w:rPr>
          <w:sz w:val="28"/>
          <w:u w:val="single"/>
        </w:rPr>
        <w:t xml:space="preserve">Discuss what makes </w:t>
      </w:r>
      <w:r w:rsidR="00013DFB">
        <w:rPr>
          <w:sz w:val="28"/>
          <w:u w:val="single"/>
        </w:rPr>
        <w:t>c</w:t>
      </w:r>
      <w:r w:rsidRPr="00C418BE">
        <w:rPr>
          <w:sz w:val="28"/>
          <w:u w:val="single"/>
        </w:rPr>
        <w:t xml:space="preserve">ivilisation </w:t>
      </w:r>
    </w:p>
    <w:p w14:paraId="282D9C38" w14:textId="75537C15" w:rsidR="00C418BE" w:rsidRPr="00C418BE" w:rsidRDefault="00C418BE" w:rsidP="00C418BE">
      <w:pPr>
        <w:pStyle w:val="NoSpacing"/>
        <w:rPr>
          <w:sz w:val="28"/>
          <w:u w:val="single"/>
        </w:rPr>
      </w:pPr>
      <w:r w:rsidRPr="00C418BE">
        <w:rPr>
          <w:sz w:val="28"/>
          <w:u w:val="single"/>
        </w:rPr>
        <w:t xml:space="preserve">‘Use Childe’s characteristics of complex societies, discuss at least one of them by giving examples from your chosen culture’. </w:t>
      </w:r>
    </w:p>
    <w:p w14:paraId="1ECC1596" w14:textId="1664DAF6" w:rsidR="00C418BE" w:rsidRDefault="00C418BE" w:rsidP="00C418BE">
      <w:pPr>
        <w:pStyle w:val="NoSpacing"/>
      </w:pPr>
    </w:p>
    <w:p w14:paraId="3630BD13" w14:textId="20D57C3E" w:rsidR="00C418BE" w:rsidRDefault="00C418BE" w:rsidP="00C418BE">
      <w:pPr>
        <w:pStyle w:val="NoSpacing"/>
        <w:rPr>
          <w:sz w:val="24"/>
          <w:szCs w:val="24"/>
        </w:rPr>
      </w:pPr>
      <w:r>
        <w:rPr>
          <w:sz w:val="24"/>
          <w:szCs w:val="24"/>
        </w:rPr>
        <w:t xml:space="preserve">Childe </w:t>
      </w:r>
      <w:r w:rsidR="006C677F">
        <w:rPr>
          <w:sz w:val="24"/>
          <w:szCs w:val="24"/>
        </w:rPr>
        <w:t>set out</w:t>
      </w:r>
      <w:r>
        <w:rPr>
          <w:sz w:val="24"/>
          <w:szCs w:val="24"/>
        </w:rPr>
        <w:t xml:space="preserve"> ten characteristics </w:t>
      </w:r>
      <w:r w:rsidR="000E39C4">
        <w:rPr>
          <w:sz w:val="24"/>
          <w:szCs w:val="24"/>
        </w:rPr>
        <w:t>def</w:t>
      </w:r>
      <w:r w:rsidR="006C677F">
        <w:rPr>
          <w:sz w:val="24"/>
          <w:szCs w:val="24"/>
        </w:rPr>
        <w:t xml:space="preserve">ining </w:t>
      </w:r>
      <w:r>
        <w:rPr>
          <w:sz w:val="24"/>
          <w:szCs w:val="24"/>
        </w:rPr>
        <w:t>complex societies</w:t>
      </w:r>
      <w:r w:rsidR="000E39C4">
        <w:rPr>
          <w:sz w:val="24"/>
          <w:szCs w:val="24"/>
        </w:rPr>
        <w:t>.</w:t>
      </w:r>
      <w:r>
        <w:rPr>
          <w:sz w:val="24"/>
          <w:szCs w:val="24"/>
        </w:rPr>
        <w:t xml:space="preserve"> </w:t>
      </w:r>
      <w:r w:rsidR="006C677F">
        <w:rPr>
          <w:sz w:val="24"/>
          <w:szCs w:val="24"/>
        </w:rPr>
        <w:t>For the purpose of this paper I have chosen the following three characteristics</w:t>
      </w:r>
      <w:r w:rsidR="000E39C4">
        <w:rPr>
          <w:sz w:val="24"/>
          <w:szCs w:val="24"/>
        </w:rPr>
        <w:t>:</w:t>
      </w:r>
      <w:r>
        <w:rPr>
          <w:sz w:val="24"/>
          <w:szCs w:val="24"/>
        </w:rPr>
        <w:t xml:space="preserve"> ‘a ruling class exempt from manual labour’, ‘</w:t>
      </w:r>
      <w:r w:rsidR="001C7350">
        <w:rPr>
          <w:sz w:val="24"/>
          <w:szCs w:val="24"/>
        </w:rPr>
        <w:t>s</w:t>
      </w:r>
      <w:r>
        <w:rPr>
          <w:sz w:val="24"/>
          <w:szCs w:val="24"/>
        </w:rPr>
        <w:t xml:space="preserve">ystems of recording information’ and ‘the development of exact practical sciences’ (Trigger, </w:t>
      </w:r>
      <w:r w:rsidR="006C677F">
        <w:rPr>
          <w:sz w:val="24"/>
          <w:szCs w:val="24"/>
        </w:rPr>
        <w:t xml:space="preserve">2003, </w:t>
      </w:r>
      <w:r w:rsidR="00013DFB">
        <w:rPr>
          <w:sz w:val="24"/>
          <w:szCs w:val="24"/>
        </w:rPr>
        <w:t>p.</w:t>
      </w:r>
      <w:r>
        <w:rPr>
          <w:sz w:val="24"/>
          <w:szCs w:val="24"/>
        </w:rPr>
        <w:t xml:space="preserve"> 43). </w:t>
      </w:r>
      <w:r w:rsidR="00E043B0">
        <w:rPr>
          <w:sz w:val="24"/>
          <w:szCs w:val="24"/>
        </w:rPr>
        <w:t xml:space="preserve"> These </w:t>
      </w:r>
      <w:r w:rsidR="000E39C4">
        <w:rPr>
          <w:sz w:val="24"/>
          <w:szCs w:val="24"/>
        </w:rPr>
        <w:t>characteristics</w:t>
      </w:r>
      <w:r w:rsidR="00E043B0">
        <w:rPr>
          <w:sz w:val="24"/>
          <w:szCs w:val="24"/>
        </w:rPr>
        <w:t xml:space="preserve"> have been chosen as </w:t>
      </w:r>
      <w:r w:rsidR="000E39C4">
        <w:rPr>
          <w:sz w:val="24"/>
          <w:szCs w:val="24"/>
        </w:rPr>
        <w:t>they are clearly</w:t>
      </w:r>
      <w:r w:rsidR="00E043B0">
        <w:rPr>
          <w:sz w:val="24"/>
          <w:szCs w:val="24"/>
        </w:rPr>
        <w:t xml:space="preserve"> represented within Ancient Egyptian society. </w:t>
      </w:r>
    </w:p>
    <w:p w14:paraId="147BBBD9" w14:textId="69E23026" w:rsidR="007E3347" w:rsidRDefault="007E3347" w:rsidP="00C418BE">
      <w:pPr>
        <w:pStyle w:val="NoSpacing"/>
        <w:rPr>
          <w:sz w:val="24"/>
          <w:szCs w:val="24"/>
        </w:rPr>
      </w:pPr>
    </w:p>
    <w:p w14:paraId="2123C0AB" w14:textId="4E2E6922" w:rsidR="0042124A" w:rsidRDefault="00347601" w:rsidP="00C418BE">
      <w:pPr>
        <w:pStyle w:val="NoSpacing"/>
        <w:rPr>
          <w:sz w:val="24"/>
          <w:szCs w:val="24"/>
        </w:rPr>
      </w:pPr>
      <w:r>
        <w:rPr>
          <w:sz w:val="24"/>
          <w:szCs w:val="24"/>
        </w:rPr>
        <w:t xml:space="preserve">Kingship </w:t>
      </w:r>
      <w:r w:rsidR="006C677F">
        <w:rPr>
          <w:sz w:val="24"/>
          <w:szCs w:val="24"/>
        </w:rPr>
        <w:t xml:space="preserve">as a phenomenon </w:t>
      </w:r>
      <w:r>
        <w:rPr>
          <w:sz w:val="24"/>
          <w:szCs w:val="24"/>
        </w:rPr>
        <w:t xml:space="preserve">in Egypt </w:t>
      </w:r>
      <w:r w:rsidR="006C677F">
        <w:rPr>
          <w:sz w:val="24"/>
          <w:szCs w:val="24"/>
        </w:rPr>
        <w:t xml:space="preserve">appears around </w:t>
      </w:r>
      <w:r>
        <w:rPr>
          <w:sz w:val="24"/>
          <w:szCs w:val="24"/>
        </w:rPr>
        <w:t xml:space="preserve">3150 BC with the development of the </w:t>
      </w:r>
      <w:r w:rsidR="000E39C4">
        <w:rPr>
          <w:sz w:val="24"/>
          <w:szCs w:val="24"/>
        </w:rPr>
        <w:t>F</w:t>
      </w:r>
      <w:r>
        <w:rPr>
          <w:sz w:val="24"/>
          <w:szCs w:val="24"/>
        </w:rPr>
        <w:t xml:space="preserve">irst </w:t>
      </w:r>
      <w:r w:rsidR="000E39C4">
        <w:rPr>
          <w:sz w:val="24"/>
          <w:szCs w:val="24"/>
        </w:rPr>
        <w:t>D</w:t>
      </w:r>
      <w:r>
        <w:rPr>
          <w:sz w:val="24"/>
          <w:szCs w:val="24"/>
        </w:rPr>
        <w:t xml:space="preserve">ynasty. King Menes (now believed to be Narmer) unified Upper and Lower Egypt </w:t>
      </w:r>
      <w:sdt>
        <w:sdtPr>
          <w:rPr>
            <w:sz w:val="24"/>
            <w:szCs w:val="24"/>
          </w:rPr>
          <w:id w:val="-1297220944"/>
          <w:citation/>
        </w:sdtPr>
        <w:sdtEndPr/>
        <w:sdtContent>
          <w:r>
            <w:rPr>
              <w:sz w:val="24"/>
              <w:szCs w:val="24"/>
            </w:rPr>
            <w:fldChar w:fldCharType="begin"/>
          </w:r>
          <w:r w:rsidR="00285D26">
            <w:rPr>
              <w:sz w:val="24"/>
              <w:szCs w:val="24"/>
            </w:rPr>
            <w:instrText xml:space="preserve">CITATION Jos09 \l 2057 </w:instrText>
          </w:r>
          <w:r>
            <w:rPr>
              <w:sz w:val="24"/>
              <w:szCs w:val="24"/>
            </w:rPr>
            <w:fldChar w:fldCharType="separate"/>
          </w:r>
          <w:r w:rsidR="00285D26" w:rsidRPr="00285D26">
            <w:rPr>
              <w:noProof/>
              <w:sz w:val="24"/>
              <w:szCs w:val="24"/>
            </w:rPr>
            <w:t>(Mark, 2009)</w:t>
          </w:r>
          <w:r>
            <w:rPr>
              <w:sz w:val="24"/>
              <w:szCs w:val="24"/>
            </w:rPr>
            <w:fldChar w:fldCharType="end"/>
          </w:r>
        </w:sdtContent>
      </w:sdt>
      <w:r>
        <w:rPr>
          <w:sz w:val="24"/>
          <w:szCs w:val="24"/>
        </w:rPr>
        <w:t>.</w:t>
      </w:r>
      <w:r w:rsidR="00276F40">
        <w:rPr>
          <w:sz w:val="24"/>
          <w:szCs w:val="24"/>
        </w:rPr>
        <w:t xml:space="preserve"> </w:t>
      </w:r>
      <w:r w:rsidR="006848E7">
        <w:rPr>
          <w:sz w:val="24"/>
          <w:szCs w:val="24"/>
        </w:rPr>
        <w:t xml:space="preserve">The king, later known as the Pharaoh, was seen to be a god on earth, specifically </w:t>
      </w:r>
      <w:r w:rsidR="00665EA4">
        <w:rPr>
          <w:sz w:val="24"/>
          <w:szCs w:val="24"/>
        </w:rPr>
        <w:t>Horu</w:t>
      </w:r>
      <w:r w:rsidR="00832230">
        <w:rPr>
          <w:sz w:val="24"/>
          <w:szCs w:val="24"/>
        </w:rPr>
        <w:t>s</w:t>
      </w:r>
      <w:r w:rsidR="00665EA4">
        <w:rPr>
          <w:sz w:val="24"/>
          <w:szCs w:val="24"/>
        </w:rPr>
        <w:t>. Horus being the son of Osiris</w:t>
      </w:r>
      <w:r w:rsidR="006848E7">
        <w:rPr>
          <w:sz w:val="24"/>
          <w:szCs w:val="24"/>
        </w:rPr>
        <w:t xml:space="preserve"> </w:t>
      </w:r>
      <w:r w:rsidR="000E39C4">
        <w:rPr>
          <w:sz w:val="24"/>
          <w:szCs w:val="24"/>
        </w:rPr>
        <w:t xml:space="preserve">who was </w:t>
      </w:r>
      <w:r w:rsidR="006848E7">
        <w:rPr>
          <w:sz w:val="24"/>
          <w:szCs w:val="24"/>
        </w:rPr>
        <w:t xml:space="preserve">the first king of Egypt in Egyptian mythology (Troy, 1986). </w:t>
      </w:r>
    </w:p>
    <w:p w14:paraId="4AD5FF7A" w14:textId="6584232D" w:rsidR="008D4074" w:rsidRDefault="008D4074" w:rsidP="00C418BE">
      <w:pPr>
        <w:pStyle w:val="NoSpacing"/>
        <w:rPr>
          <w:sz w:val="24"/>
          <w:szCs w:val="24"/>
        </w:rPr>
      </w:pPr>
    </w:p>
    <w:p w14:paraId="3A80B103" w14:textId="6518B7B3" w:rsidR="00A54DE4" w:rsidRDefault="00A54DE4" w:rsidP="00C418BE">
      <w:pPr>
        <w:pStyle w:val="NoSpacing"/>
        <w:rPr>
          <w:sz w:val="24"/>
          <w:szCs w:val="24"/>
        </w:rPr>
      </w:pPr>
      <w:r>
        <w:rPr>
          <w:sz w:val="24"/>
          <w:szCs w:val="24"/>
        </w:rPr>
        <w:t xml:space="preserve">The king was exempt form manual labour, allocating his vizier to choose the people who would be best for jobs such as architects and artists to carry out his monumental structures (Mark, 2017). This allowed to the king to concentrate on his duties given to him such as maintaining the social and cosmic order of the world and to ensure that </w:t>
      </w:r>
      <w:proofErr w:type="spellStart"/>
      <w:r>
        <w:rPr>
          <w:sz w:val="24"/>
          <w:szCs w:val="24"/>
        </w:rPr>
        <w:t>Ma’at</w:t>
      </w:r>
      <w:proofErr w:type="spellEnd"/>
      <w:r>
        <w:rPr>
          <w:sz w:val="24"/>
          <w:szCs w:val="24"/>
        </w:rPr>
        <w:t xml:space="preserve"> was maintained (Trigger, 2003, p. 72).</w:t>
      </w:r>
    </w:p>
    <w:p w14:paraId="453FB015" w14:textId="77777777" w:rsidR="00A54DE4" w:rsidRDefault="00A54DE4" w:rsidP="00C418BE">
      <w:pPr>
        <w:pStyle w:val="NoSpacing"/>
        <w:rPr>
          <w:sz w:val="24"/>
          <w:szCs w:val="24"/>
        </w:rPr>
      </w:pPr>
    </w:p>
    <w:p w14:paraId="014908BE" w14:textId="23BB9651" w:rsidR="00366856" w:rsidRPr="00665EA4" w:rsidRDefault="00EE1E7E" w:rsidP="00C418BE">
      <w:pPr>
        <w:pStyle w:val="NoSpacing"/>
        <w:rPr>
          <w:sz w:val="24"/>
          <w:szCs w:val="24"/>
          <w:highlight w:val="yellow"/>
        </w:rPr>
      </w:pPr>
      <w:r>
        <w:rPr>
          <w:sz w:val="24"/>
          <w:szCs w:val="24"/>
        </w:rPr>
        <w:t xml:space="preserve">By the Late Predynastic and Early Dynastic </w:t>
      </w:r>
      <w:r w:rsidR="001B62D5">
        <w:rPr>
          <w:sz w:val="24"/>
          <w:szCs w:val="24"/>
        </w:rPr>
        <w:t>P</w:t>
      </w:r>
      <w:r>
        <w:rPr>
          <w:sz w:val="24"/>
          <w:szCs w:val="24"/>
        </w:rPr>
        <w:t>eriod, hieroglyphs</w:t>
      </w:r>
      <w:r w:rsidR="00665EA4">
        <w:rPr>
          <w:sz w:val="24"/>
          <w:szCs w:val="24"/>
        </w:rPr>
        <w:t xml:space="preserve"> and hieratic</w:t>
      </w:r>
      <w:r>
        <w:rPr>
          <w:sz w:val="24"/>
          <w:szCs w:val="24"/>
        </w:rPr>
        <w:t xml:space="preserve"> w</w:t>
      </w:r>
      <w:r w:rsidR="00665EA4">
        <w:rPr>
          <w:sz w:val="24"/>
          <w:szCs w:val="24"/>
        </w:rPr>
        <w:t>ere</w:t>
      </w:r>
      <w:r>
        <w:rPr>
          <w:sz w:val="24"/>
          <w:szCs w:val="24"/>
        </w:rPr>
        <w:t xml:space="preserve"> </w:t>
      </w:r>
      <w:r w:rsidR="00665EA4">
        <w:rPr>
          <w:sz w:val="24"/>
          <w:szCs w:val="24"/>
        </w:rPr>
        <w:t>developed</w:t>
      </w:r>
      <w:r>
        <w:rPr>
          <w:sz w:val="24"/>
          <w:szCs w:val="24"/>
        </w:rPr>
        <w:t xml:space="preserve"> (Van De </w:t>
      </w:r>
      <w:proofErr w:type="spellStart"/>
      <w:r>
        <w:rPr>
          <w:sz w:val="24"/>
          <w:szCs w:val="24"/>
        </w:rPr>
        <w:t>Mieroop</w:t>
      </w:r>
      <w:proofErr w:type="spellEnd"/>
      <w:r>
        <w:rPr>
          <w:sz w:val="24"/>
          <w:szCs w:val="24"/>
        </w:rPr>
        <w:t xml:space="preserve">, 2011, </w:t>
      </w:r>
      <w:r w:rsidR="00013DFB">
        <w:rPr>
          <w:sz w:val="24"/>
          <w:szCs w:val="24"/>
        </w:rPr>
        <w:t>p.</w:t>
      </w:r>
      <w:r>
        <w:rPr>
          <w:sz w:val="24"/>
          <w:szCs w:val="24"/>
        </w:rPr>
        <w:t xml:space="preserve"> 43). </w:t>
      </w:r>
      <w:r w:rsidRPr="007A613C">
        <w:rPr>
          <w:sz w:val="24"/>
          <w:szCs w:val="24"/>
        </w:rPr>
        <w:t xml:space="preserve">The script was divided into </w:t>
      </w:r>
      <w:r w:rsidR="00FD083A" w:rsidRPr="007A613C">
        <w:rPr>
          <w:sz w:val="24"/>
          <w:szCs w:val="24"/>
        </w:rPr>
        <w:t>three</w:t>
      </w:r>
      <w:r w:rsidRPr="007A613C">
        <w:rPr>
          <w:sz w:val="24"/>
          <w:szCs w:val="24"/>
        </w:rPr>
        <w:t xml:space="preserve"> main types</w:t>
      </w:r>
      <w:r w:rsidR="003D4194" w:rsidRPr="007A613C">
        <w:rPr>
          <w:sz w:val="24"/>
          <w:szCs w:val="24"/>
        </w:rPr>
        <w:t>:</w:t>
      </w:r>
      <w:r w:rsidRPr="007A613C">
        <w:rPr>
          <w:sz w:val="24"/>
          <w:szCs w:val="24"/>
        </w:rPr>
        <w:t xml:space="preserve"> logograms</w:t>
      </w:r>
      <w:r w:rsidR="00FD083A" w:rsidRPr="007A613C">
        <w:rPr>
          <w:sz w:val="24"/>
          <w:szCs w:val="24"/>
        </w:rPr>
        <w:t xml:space="preserve">, </w:t>
      </w:r>
      <w:r w:rsidRPr="007A613C">
        <w:rPr>
          <w:sz w:val="24"/>
          <w:szCs w:val="24"/>
        </w:rPr>
        <w:t>phonograms</w:t>
      </w:r>
      <w:r w:rsidR="00FD083A" w:rsidRPr="007A613C">
        <w:rPr>
          <w:sz w:val="24"/>
          <w:szCs w:val="24"/>
        </w:rPr>
        <w:t xml:space="preserve"> and determinatives (Scoville, 2015)</w:t>
      </w:r>
      <w:r w:rsidRPr="007A613C">
        <w:rPr>
          <w:sz w:val="24"/>
          <w:szCs w:val="24"/>
        </w:rPr>
        <w:t xml:space="preserve">. The logograms were signs which indicated a word through meaning whilst phonograms concentrated on the sounding of the saying or word (Van De </w:t>
      </w:r>
      <w:proofErr w:type="spellStart"/>
      <w:r w:rsidRPr="007A613C">
        <w:rPr>
          <w:sz w:val="24"/>
          <w:szCs w:val="24"/>
        </w:rPr>
        <w:t>Mieroop</w:t>
      </w:r>
      <w:proofErr w:type="spellEnd"/>
      <w:r w:rsidRPr="007A613C">
        <w:rPr>
          <w:sz w:val="24"/>
          <w:szCs w:val="24"/>
        </w:rPr>
        <w:t xml:space="preserve">, 2001, </w:t>
      </w:r>
      <w:r w:rsidR="00013DFB" w:rsidRPr="007A613C">
        <w:rPr>
          <w:sz w:val="24"/>
          <w:szCs w:val="24"/>
        </w:rPr>
        <w:t>p.</w:t>
      </w:r>
      <w:r w:rsidRPr="007A613C">
        <w:rPr>
          <w:sz w:val="24"/>
          <w:szCs w:val="24"/>
        </w:rPr>
        <w:t xml:space="preserve"> 43-44)</w:t>
      </w:r>
      <w:r w:rsidR="00FD083A" w:rsidRPr="007A613C">
        <w:rPr>
          <w:sz w:val="24"/>
          <w:szCs w:val="24"/>
        </w:rPr>
        <w:t xml:space="preserve">. The determinatives </w:t>
      </w:r>
      <w:r w:rsidR="00A07991" w:rsidRPr="007A613C">
        <w:rPr>
          <w:sz w:val="24"/>
          <w:szCs w:val="24"/>
        </w:rPr>
        <w:t>are</w:t>
      </w:r>
      <w:r w:rsidR="00FD083A" w:rsidRPr="007A613C">
        <w:rPr>
          <w:sz w:val="24"/>
          <w:szCs w:val="24"/>
        </w:rPr>
        <w:t xml:space="preserve"> located at the end of the word to clarify its meaning (Scoville, 2015). </w:t>
      </w:r>
      <w:r w:rsidR="00050235" w:rsidRPr="007A613C">
        <w:rPr>
          <w:sz w:val="24"/>
          <w:szCs w:val="24"/>
        </w:rPr>
        <w:t>Hieroglyphs was a complex script due to these attributes</w:t>
      </w:r>
      <w:r w:rsidR="007A613C" w:rsidRPr="007A613C">
        <w:rPr>
          <w:sz w:val="24"/>
          <w:szCs w:val="24"/>
        </w:rPr>
        <w:t xml:space="preserve">. The meaning of </w:t>
      </w:r>
      <w:r w:rsidR="00C16BF1">
        <w:rPr>
          <w:sz w:val="24"/>
          <w:szCs w:val="24"/>
        </w:rPr>
        <w:t>this script</w:t>
      </w:r>
      <w:r w:rsidR="007A613C" w:rsidRPr="007A613C">
        <w:rPr>
          <w:sz w:val="24"/>
          <w:szCs w:val="24"/>
        </w:rPr>
        <w:t xml:space="preserve"> was only understood by the end of the eighteenth century when, Jean-Francois Champollion used the Rosetta stone to deceiver the code of the hieroglyphs (Neiman, 2017).  </w:t>
      </w:r>
    </w:p>
    <w:p w14:paraId="034A9AA4" w14:textId="4C250CAE" w:rsidR="00366856" w:rsidRPr="00665EA4" w:rsidRDefault="00366856" w:rsidP="00C418BE">
      <w:pPr>
        <w:pStyle w:val="NoSpacing"/>
        <w:rPr>
          <w:sz w:val="24"/>
          <w:szCs w:val="24"/>
          <w:highlight w:val="yellow"/>
        </w:rPr>
      </w:pPr>
    </w:p>
    <w:p w14:paraId="44643B90" w14:textId="6E826E73" w:rsidR="001E69FC" w:rsidRDefault="001E69FC" w:rsidP="00C418BE">
      <w:pPr>
        <w:pStyle w:val="NoSpacing"/>
        <w:rPr>
          <w:sz w:val="24"/>
          <w:szCs w:val="24"/>
        </w:rPr>
      </w:pPr>
      <w:r w:rsidRPr="004A401A">
        <w:rPr>
          <w:sz w:val="24"/>
          <w:szCs w:val="24"/>
        </w:rPr>
        <w:t>Hieroglyphs evolved through time and alongside traditional hieroglyphs there were hieratic and demotic script</w:t>
      </w:r>
      <w:r w:rsidR="00C16BF1">
        <w:rPr>
          <w:sz w:val="24"/>
          <w:szCs w:val="24"/>
        </w:rPr>
        <w:t>s</w:t>
      </w:r>
      <w:r w:rsidR="002A4C16" w:rsidRPr="004A401A">
        <w:rPr>
          <w:sz w:val="24"/>
          <w:szCs w:val="24"/>
        </w:rPr>
        <w:t xml:space="preserve"> (Scoville, 2015).</w:t>
      </w:r>
      <w:r w:rsidRPr="004A401A">
        <w:rPr>
          <w:sz w:val="24"/>
          <w:szCs w:val="24"/>
        </w:rPr>
        <w:t xml:space="preserve">  </w:t>
      </w:r>
      <w:r w:rsidR="002A4C16" w:rsidRPr="004A401A">
        <w:rPr>
          <w:sz w:val="24"/>
          <w:szCs w:val="24"/>
        </w:rPr>
        <w:t>It is believed that the hieratic script was developed alongside the hieroglyph script, but the former was encouraged by priests and temple scribes as it was a more simplified writing process (Scoville, 2015).</w:t>
      </w:r>
      <w:r w:rsidR="004A401A">
        <w:rPr>
          <w:sz w:val="24"/>
          <w:szCs w:val="24"/>
        </w:rPr>
        <w:t xml:space="preserve"> The development of hieratic allowed hieroglyphs to be used in everyday life. The lesser complicated script simplified the writing process which was used in the medical profession, letters and regulating surplus supplies and loans. </w:t>
      </w:r>
    </w:p>
    <w:p w14:paraId="6FB4AF9C" w14:textId="2E714796" w:rsidR="0083096B" w:rsidRDefault="0042124A" w:rsidP="00C418BE">
      <w:pPr>
        <w:pStyle w:val="NoSpacing"/>
        <w:rPr>
          <w:sz w:val="24"/>
          <w:szCs w:val="24"/>
        </w:rPr>
      </w:pPr>
      <w:r>
        <w:rPr>
          <w:sz w:val="24"/>
          <w:szCs w:val="24"/>
        </w:rPr>
        <w:t xml:space="preserve"> </w:t>
      </w:r>
      <w:r w:rsidR="0083096B">
        <w:rPr>
          <w:sz w:val="24"/>
          <w:szCs w:val="24"/>
        </w:rPr>
        <w:t xml:space="preserve"> </w:t>
      </w:r>
    </w:p>
    <w:p w14:paraId="4AD4240D" w14:textId="3DBAA61E" w:rsidR="00A07991" w:rsidRDefault="00A07991" w:rsidP="00C418BE">
      <w:pPr>
        <w:pStyle w:val="NoSpacing"/>
        <w:rPr>
          <w:sz w:val="24"/>
          <w:szCs w:val="24"/>
        </w:rPr>
      </w:pPr>
      <w:r>
        <w:rPr>
          <w:sz w:val="24"/>
          <w:szCs w:val="24"/>
        </w:rPr>
        <w:t xml:space="preserve">Hieroglyphs were </w:t>
      </w:r>
      <w:r w:rsidR="00665EA4">
        <w:rPr>
          <w:sz w:val="24"/>
          <w:szCs w:val="24"/>
        </w:rPr>
        <w:t>most commonly inscribed on monumental stone. They can also be found on</w:t>
      </w:r>
      <w:r>
        <w:rPr>
          <w:sz w:val="24"/>
          <w:szCs w:val="24"/>
        </w:rPr>
        <w:t xml:space="preserve"> papyrus and/or on the surface of ceramic containers (</w:t>
      </w:r>
      <w:proofErr w:type="spellStart"/>
      <w:r>
        <w:rPr>
          <w:sz w:val="24"/>
          <w:szCs w:val="24"/>
        </w:rPr>
        <w:t>Wengrow</w:t>
      </w:r>
      <w:proofErr w:type="spellEnd"/>
      <w:r>
        <w:rPr>
          <w:sz w:val="24"/>
          <w:szCs w:val="24"/>
        </w:rPr>
        <w:t>, 201</w:t>
      </w:r>
      <w:r w:rsidR="00C16BF1">
        <w:rPr>
          <w:sz w:val="24"/>
          <w:szCs w:val="24"/>
        </w:rPr>
        <w:t>0</w:t>
      </w:r>
      <w:r w:rsidR="00B454C4">
        <w:rPr>
          <w:sz w:val="24"/>
          <w:szCs w:val="24"/>
        </w:rPr>
        <w:t xml:space="preserve">, </w:t>
      </w:r>
      <w:r w:rsidR="00013DFB">
        <w:rPr>
          <w:sz w:val="24"/>
          <w:szCs w:val="24"/>
        </w:rPr>
        <w:t>p.</w:t>
      </w:r>
      <w:r w:rsidR="00B454C4">
        <w:rPr>
          <w:sz w:val="24"/>
          <w:szCs w:val="24"/>
        </w:rPr>
        <w:t xml:space="preserve"> 25</w:t>
      </w:r>
      <w:r>
        <w:rPr>
          <w:sz w:val="24"/>
          <w:szCs w:val="24"/>
        </w:rPr>
        <w:t>). Other surfaces which were used to write on include wood</w:t>
      </w:r>
      <w:r w:rsidR="00B16394">
        <w:rPr>
          <w:sz w:val="24"/>
          <w:szCs w:val="24"/>
        </w:rPr>
        <w:t>en boards</w:t>
      </w:r>
      <w:r>
        <w:rPr>
          <w:sz w:val="24"/>
          <w:szCs w:val="24"/>
        </w:rPr>
        <w:t xml:space="preserve">, which </w:t>
      </w:r>
      <w:r w:rsidR="00C16BF1">
        <w:rPr>
          <w:sz w:val="24"/>
          <w:szCs w:val="24"/>
        </w:rPr>
        <w:t xml:space="preserve">were </w:t>
      </w:r>
      <w:r>
        <w:rPr>
          <w:sz w:val="24"/>
          <w:szCs w:val="24"/>
        </w:rPr>
        <w:t xml:space="preserve">generally used by priests </w:t>
      </w:r>
      <w:r w:rsidR="00B16394">
        <w:rPr>
          <w:sz w:val="24"/>
          <w:szCs w:val="24"/>
        </w:rPr>
        <w:t>as well as bone, leather, metal and stone (Scoville, 2015).  The wooden boards were covered in white plaster which could be washed and resurfaced creating a reusable clean surface,</w:t>
      </w:r>
      <w:r w:rsidR="00C16BF1">
        <w:rPr>
          <w:sz w:val="24"/>
          <w:szCs w:val="24"/>
        </w:rPr>
        <w:t xml:space="preserve"> which was</w:t>
      </w:r>
      <w:r w:rsidR="00B16394">
        <w:rPr>
          <w:sz w:val="24"/>
          <w:szCs w:val="24"/>
        </w:rPr>
        <w:t xml:space="preserve"> very convenient for teaching (Scoville, 2015). </w:t>
      </w:r>
    </w:p>
    <w:p w14:paraId="0E864F0B" w14:textId="5F7959EC" w:rsidR="0083096B" w:rsidRDefault="0083096B" w:rsidP="00C418BE">
      <w:pPr>
        <w:pStyle w:val="NoSpacing"/>
        <w:rPr>
          <w:sz w:val="24"/>
          <w:szCs w:val="24"/>
        </w:rPr>
      </w:pPr>
    </w:p>
    <w:p w14:paraId="7ADB0737" w14:textId="3C83A58A" w:rsidR="00B454C4" w:rsidRDefault="001D6AB8" w:rsidP="00B454C4">
      <w:pPr>
        <w:pStyle w:val="NoSpacing"/>
        <w:rPr>
          <w:sz w:val="24"/>
          <w:szCs w:val="24"/>
        </w:rPr>
      </w:pPr>
      <w:r>
        <w:rPr>
          <w:sz w:val="24"/>
          <w:szCs w:val="24"/>
        </w:rPr>
        <w:t>In relation to the practical sciences, Murry (1977</w:t>
      </w:r>
      <w:r w:rsidR="00665EA4">
        <w:rPr>
          <w:sz w:val="24"/>
          <w:szCs w:val="24"/>
        </w:rPr>
        <w:t>, p. 187</w:t>
      </w:r>
      <w:r>
        <w:rPr>
          <w:sz w:val="24"/>
          <w:szCs w:val="24"/>
        </w:rPr>
        <w:t>) claimed that the Egyptians ‘excelled’ in mathematics and medicine</w:t>
      </w:r>
      <w:r w:rsidR="00665EA4">
        <w:rPr>
          <w:sz w:val="24"/>
          <w:szCs w:val="24"/>
        </w:rPr>
        <w:t>.</w:t>
      </w:r>
    </w:p>
    <w:p w14:paraId="2F77A870" w14:textId="3EE86205" w:rsidR="00B454C4" w:rsidRPr="00050235" w:rsidRDefault="00B454C4" w:rsidP="00B454C4">
      <w:pPr>
        <w:pStyle w:val="NoSpacing"/>
        <w:rPr>
          <w:sz w:val="24"/>
          <w:szCs w:val="24"/>
        </w:rPr>
      </w:pPr>
      <w:r w:rsidRPr="00050235">
        <w:rPr>
          <w:sz w:val="24"/>
          <w:szCs w:val="24"/>
        </w:rPr>
        <w:t>Evidence suggest</w:t>
      </w:r>
      <w:r w:rsidR="00C16BF1">
        <w:rPr>
          <w:sz w:val="24"/>
          <w:szCs w:val="24"/>
        </w:rPr>
        <w:t>s</w:t>
      </w:r>
      <w:r w:rsidRPr="00050235">
        <w:rPr>
          <w:sz w:val="24"/>
          <w:szCs w:val="24"/>
        </w:rPr>
        <w:t xml:space="preserve"> that prehistoric Egyptians had a vast knowledge in advanced engineering.  </w:t>
      </w:r>
    </w:p>
    <w:p w14:paraId="03424128" w14:textId="77777777" w:rsidR="00832230" w:rsidRDefault="0005428E" w:rsidP="00C418BE">
      <w:pPr>
        <w:pStyle w:val="NoSpacing"/>
        <w:rPr>
          <w:sz w:val="24"/>
          <w:szCs w:val="24"/>
        </w:rPr>
      </w:pPr>
      <w:r w:rsidRPr="00050235">
        <w:rPr>
          <w:sz w:val="24"/>
          <w:szCs w:val="24"/>
        </w:rPr>
        <w:t xml:space="preserve">This is shown by the water channels which were dug to control the Nile water supply. </w:t>
      </w:r>
    </w:p>
    <w:p w14:paraId="6277621D" w14:textId="5AA31CCB" w:rsidR="00B211D8" w:rsidRDefault="004A401A" w:rsidP="00C418BE">
      <w:pPr>
        <w:pStyle w:val="NoSpacing"/>
        <w:rPr>
          <w:sz w:val="24"/>
          <w:szCs w:val="24"/>
        </w:rPr>
      </w:pPr>
      <w:r>
        <w:rPr>
          <w:sz w:val="24"/>
          <w:szCs w:val="24"/>
        </w:rPr>
        <w:t xml:space="preserve">The structure of </w:t>
      </w:r>
      <w:r w:rsidR="00050235">
        <w:rPr>
          <w:sz w:val="24"/>
          <w:szCs w:val="24"/>
        </w:rPr>
        <w:t>Egyptian</w:t>
      </w:r>
      <w:r>
        <w:rPr>
          <w:sz w:val="24"/>
          <w:szCs w:val="24"/>
        </w:rPr>
        <w:t xml:space="preserve"> society was built </w:t>
      </w:r>
      <w:r w:rsidR="00050235">
        <w:rPr>
          <w:sz w:val="24"/>
          <w:szCs w:val="24"/>
        </w:rPr>
        <w:t>around t</w:t>
      </w:r>
      <w:r>
        <w:rPr>
          <w:sz w:val="24"/>
          <w:szCs w:val="24"/>
        </w:rPr>
        <w:t xml:space="preserve">he cannels </w:t>
      </w:r>
      <w:r w:rsidR="00050235">
        <w:rPr>
          <w:sz w:val="24"/>
          <w:szCs w:val="24"/>
        </w:rPr>
        <w:t>changing the course of the Nile</w:t>
      </w:r>
      <w:r>
        <w:rPr>
          <w:sz w:val="24"/>
          <w:szCs w:val="24"/>
        </w:rPr>
        <w:t xml:space="preserve">. </w:t>
      </w:r>
      <w:r w:rsidR="00050235">
        <w:rPr>
          <w:sz w:val="24"/>
          <w:szCs w:val="24"/>
        </w:rPr>
        <w:t xml:space="preserve">The structural change had begun as early as the rule of the first king, Menes undertook </w:t>
      </w:r>
      <w:r w:rsidR="00C16BF1">
        <w:rPr>
          <w:sz w:val="24"/>
          <w:szCs w:val="24"/>
        </w:rPr>
        <w:t>the</w:t>
      </w:r>
      <w:r w:rsidR="00050235">
        <w:rPr>
          <w:sz w:val="24"/>
          <w:szCs w:val="24"/>
        </w:rPr>
        <w:t xml:space="preserve"> gigantic task of changing the Niles flow in order to build the city Memphis where the river once </w:t>
      </w:r>
      <w:r w:rsidR="00C16BF1">
        <w:rPr>
          <w:sz w:val="24"/>
          <w:szCs w:val="24"/>
        </w:rPr>
        <w:t>ran</w:t>
      </w:r>
      <w:r w:rsidR="00050235">
        <w:rPr>
          <w:sz w:val="24"/>
          <w:szCs w:val="24"/>
        </w:rPr>
        <w:t xml:space="preserve"> (Murry, 1977, p.188).  The reasoning behind the construction of c</w:t>
      </w:r>
      <w:r w:rsidR="00C16BF1">
        <w:rPr>
          <w:sz w:val="24"/>
          <w:szCs w:val="24"/>
        </w:rPr>
        <w:t>h</w:t>
      </w:r>
      <w:r w:rsidR="00050235">
        <w:rPr>
          <w:sz w:val="24"/>
          <w:szCs w:val="24"/>
        </w:rPr>
        <w:t>annels was the knowledge that if the river was to</w:t>
      </w:r>
      <w:r w:rsidR="0005428E">
        <w:rPr>
          <w:sz w:val="24"/>
          <w:szCs w:val="24"/>
        </w:rPr>
        <w:t xml:space="preserve"> flood dramatically, it would have the power to wash away villages</w:t>
      </w:r>
      <w:r w:rsidR="00C16BF1">
        <w:rPr>
          <w:sz w:val="24"/>
          <w:szCs w:val="24"/>
        </w:rPr>
        <w:t>,</w:t>
      </w:r>
      <w:r w:rsidR="0005428E">
        <w:rPr>
          <w:sz w:val="24"/>
          <w:szCs w:val="24"/>
        </w:rPr>
        <w:t xml:space="preserve"> yet, if it </w:t>
      </w:r>
      <w:r w:rsidR="00C16BF1">
        <w:rPr>
          <w:sz w:val="24"/>
          <w:szCs w:val="24"/>
        </w:rPr>
        <w:t>carried</w:t>
      </w:r>
      <w:r w:rsidR="0005428E">
        <w:rPr>
          <w:sz w:val="24"/>
          <w:szCs w:val="24"/>
        </w:rPr>
        <w:t xml:space="preserve"> too little, famine would occur (Murry, 19</w:t>
      </w:r>
      <w:r w:rsidR="00665EA4">
        <w:rPr>
          <w:sz w:val="24"/>
          <w:szCs w:val="24"/>
        </w:rPr>
        <w:t>7</w:t>
      </w:r>
      <w:r w:rsidR="0005428E">
        <w:rPr>
          <w:sz w:val="24"/>
          <w:szCs w:val="24"/>
        </w:rPr>
        <w:t xml:space="preserve">7, </w:t>
      </w:r>
      <w:r w:rsidR="00013DFB">
        <w:rPr>
          <w:sz w:val="24"/>
          <w:szCs w:val="24"/>
        </w:rPr>
        <w:t>p.</w:t>
      </w:r>
      <w:r w:rsidR="0005428E">
        <w:rPr>
          <w:sz w:val="24"/>
          <w:szCs w:val="24"/>
        </w:rPr>
        <w:t xml:space="preserve"> 188). </w:t>
      </w:r>
    </w:p>
    <w:p w14:paraId="33125C4A" w14:textId="626B475E" w:rsidR="00F721A2" w:rsidRDefault="00F721A2" w:rsidP="00C418BE">
      <w:pPr>
        <w:pStyle w:val="NoSpacing"/>
        <w:rPr>
          <w:sz w:val="24"/>
          <w:szCs w:val="24"/>
        </w:rPr>
      </w:pPr>
    </w:p>
    <w:p w14:paraId="7C413B2E" w14:textId="4666C183" w:rsidR="00611463" w:rsidRPr="00C418BE" w:rsidRDefault="00C16BF1" w:rsidP="00611463">
      <w:pPr>
        <w:pStyle w:val="NoSpacing"/>
        <w:rPr>
          <w:sz w:val="24"/>
          <w:szCs w:val="24"/>
        </w:rPr>
      </w:pPr>
      <w:r>
        <w:rPr>
          <w:sz w:val="24"/>
          <w:szCs w:val="24"/>
        </w:rPr>
        <w:t>Regarding</w:t>
      </w:r>
      <w:r w:rsidR="00F721A2">
        <w:rPr>
          <w:sz w:val="24"/>
          <w:szCs w:val="24"/>
        </w:rPr>
        <w:t xml:space="preserve"> the scientific concept of medicine, </w:t>
      </w:r>
      <w:r>
        <w:rPr>
          <w:sz w:val="24"/>
          <w:szCs w:val="24"/>
        </w:rPr>
        <w:t>Egyptians</w:t>
      </w:r>
      <w:r w:rsidR="00F721A2">
        <w:rPr>
          <w:sz w:val="24"/>
          <w:szCs w:val="24"/>
        </w:rPr>
        <w:t xml:space="preserve"> had the understanding that disease could</w:t>
      </w:r>
      <w:r>
        <w:rPr>
          <w:sz w:val="24"/>
          <w:szCs w:val="24"/>
        </w:rPr>
        <w:t xml:space="preserve"> with</w:t>
      </w:r>
      <w:r w:rsidR="00F721A2">
        <w:rPr>
          <w:sz w:val="24"/>
          <w:szCs w:val="24"/>
        </w:rPr>
        <w:t xml:space="preserve"> treated by drugs, recognised the healing potential in massag</w:t>
      </w:r>
      <w:r>
        <w:rPr>
          <w:sz w:val="24"/>
          <w:szCs w:val="24"/>
        </w:rPr>
        <w:t>e</w:t>
      </w:r>
      <w:r w:rsidR="00F721A2">
        <w:rPr>
          <w:sz w:val="24"/>
          <w:szCs w:val="24"/>
        </w:rPr>
        <w:t xml:space="preserve"> and aromas as well as the importance of cleanliness when treating patients (Mark, 2017). Doctors in Ancient Egypt could be male and female and were to bath regular</w:t>
      </w:r>
      <w:r>
        <w:rPr>
          <w:sz w:val="24"/>
          <w:szCs w:val="24"/>
        </w:rPr>
        <w:t>ly</w:t>
      </w:r>
      <w:r w:rsidR="00F721A2">
        <w:rPr>
          <w:sz w:val="24"/>
          <w:szCs w:val="24"/>
        </w:rPr>
        <w:t xml:space="preserve"> and ha</w:t>
      </w:r>
      <w:r>
        <w:rPr>
          <w:sz w:val="24"/>
          <w:szCs w:val="24"/>
        </w:rPr>
        <w:t>d</w:t>
      </w:r>
      <w:r w:rsidR="00F721A2">
        <w:rPr>
          <w:sz w:val="24"/>
          <w:szCs w:val="24"/>
        </w:rPr>
        <w:t xml:space="preserve"> their own speci</w:t>
      </w:r>
      <w:r>
        <w:rPr>
          <w:sz w:val="24"/>
          <w:szCs w:val="24"/>
        </w:rPr>
        <w:t>alism</w:t>
      </w:r>
      <w:r w:rsidR="00F721A2">
        <w:rPr>
          <w:sz w:val="24"/>
          <w:szCs w:val="24"/>
        </w:rPr>
        <w:t xml:space="preserve"> (Mark, 2017).</w:t>
      </w:r>
      <w:r w:rsidR="00611463" w:rsidRPr="00611463">
        <w:rPr>
          <w:sz w:val="24"/>
          <w:szCs w:val="24"/>
        </w:rPr>
        <w:t xml:space="preserve"> </w:t>
      </w:r>
      <w:r w:rsidR="00611463">
        <w:rPr>
          <w:sz w:val="24"/>
          <w:szCs w:val="24"/>
        </w:rPr>
        <w:t xml:space="preserve"> Medical knowledge was available universally as evidence of medical remedies written on papyrus have been found in </w:t>
      </w:r>
      <w:r>
        <w:rPr>
          <w:sz w:val="24"/>
          <w:szCs w:val="24"/>
        </w:rPr>
        <w:t xml:space="preserve">many </w:t>
      </w:r>
      <w:r w:rsidR="00611463">
        <w:rPr>
          <w:sz w:val="24"/>
          <w:szCs w:val="24"/>
        </w:rPr>
        <w:t xml:space="preserve">household (Shaw, 2000, </w:t>
      </w:r>
      <w:r w:rsidR="00013DFB">
        <w:rPr>
          <w:sz w:val="24"/>
          <w:szCs w:val="24"/>
        </w:rPr>
        <w:t>p.</w:t>
      </w:r>
      <w:r w:rsidR="00611463">
        <w:rPr>
          <w:sz w:val="24"/>
          <w:szCs w:val="24"/>
        </w:rPr>
        <w:t xml:space="preserve"> 166). </w:t>
      </w:r>
    </w:p>
    <w:p w14:paraId="1B886392" w14:textId="77777777" w:rsidR="00F721A2" w:rsidRDefault="00F721A2" w:rsidP="00C418BE">
      <w:pPr>
        <w:pStyle w:val="NoSpacing"/>
        <w:rPr>
          <w:sz w:val="24"/>
          <w:szCs w:val="24"/>
        </w:rPr>
      </w:pPr>
    </w:p>
    <w:p w14:paraId="489DD2BD" w14:textId="53A528E3" w:rsidR="00F721A2" w:rsidRDefault="00F721A2" w:rsidP="00C418BE">
      <w:pPr>
        <w:pStyle w:val="NoSpacing"/>
        <w:rPr>
          <w:sz w:val="24"/>
          <w:szCs w:val="24"/>
        </w:rPr>
      </w:pPr>
      <w:r>
        <w:rPr>
          <w:sz w:val="24"/>
          <w:szCs w:val="24"/>
        </w:rPr>
        <w:t xml:space="preserve">The process which they followed to diagnose and treat patients included the </w:t>
      </w:r>
      <w:r w:rsidR="00C16BF1">
        <w:rPr>
          <w:sz w:val="24"/>
          <w:szCs w:val="24"/>
        </w:rPr>
        <w:t>name</w:t>
      </w:r>
      <w:r>
        <w:rPr>
          <w:sz w:val="24"/>
          <w:szCs w:val="24"/>
        </w:rPr>
        <w:t>, the description of the symptoms, diagnosis and prognosis, the prescription and the incantation</w:t>
      </w:r>
      <w:r w:rsidR="00C16BF1">
        <w:rPr>
          <w:sz w:val="24"/>
          <w:szCs w:val="24"/>
        </w:rPr>
        <w:t>/spell</w:t>
      </w:r>
      <w:r>
        <w:rPr>
          <w:sz w:val="24"/>
          <w:szCs w:val="24"/>
        </w:rPr>
        <w:t xml:space="preserve"> (</w:t>
      </w:r>
      <w:proofErr w:type="spellStart"/>
      <w:r>
        <w:rPr>
          <w:sz w:val="24"/>
          <w:szCs w:val="24"/>
        </w:rPr>
        <w:t>Szpakowska</w:t>
      </w:r>
      <w:proofErr w:type="spellEnd"/>
      <w:r>
        <w:rPr>
          <w:sz w:val="24"/>
          <w:szCs w:val="24"/>
        </w:rPr>
        <w:t xml:space="preserve">, 2009 </w:t>
      </w:r>
      <w:r w:rsidR="00013DFB">
        <w:rPr>
          <w:sz w:val="24"/>
          <w:szCs w:val="24"/>
        </w:rPr>
        <w:t>p.</w:t>
      </w:r>
      <w:r>
        <w:rPr>
          <w:sz w:val="24"/>
          <w:szCs w:val="24"/>
        </w:rPr>
        <w:t xml:space="preserve"> 171).</w:t>
      </w:r>
    </w:p>
    <w:p w14:paraId="1029825B" w14:textId="03FCAA27" w:rsidR="00F721A2" w:rsidRDefault="00F721A2" w:rsidP="00C418BE">
      <w:pPr>
        <w:pStyle w:val="NoSpacing"/>
        <w:rPr>
          <w:sz w:val="24"/>
          <w:szCs w:val="24"/>
        </w:rPr>
      </w:pPr>
      <w:r>
        <w:rPr>
          <w:sz w:val="24"/>
          <w:szCs w:val="24"/>
        </w:rPr>
        <w:t xml:space="preserve">Surgery was common and </w:t>
      </w:r>
      <w:r w:rsidR="00C16BF1">
        <w:rPr>
          <w:sz w:val="24"/>
          <w:szCs w:val="24"/>
        </w:rPr>
        <w:t xml:space="preserve">generally successful </w:t>
      </w:r>
      <w:r>
        <w:rPr>
          <w:sz w:val="24"/>
          <w:szCs w:val="24"/>
        </w:rPr>
        <w:t xml:space="preserve">the instrument used </w:t>
      </w:r>
      <w:r w:rsidR="00611463">
        <w:rPr>
          <w:sz w:val="24"/>
          <w:szCs w:val="24"/>
        </w:rPr>
        <w:t xml:space="preserve">are often seen today (Mark, 2017). </w:t>
      </w:r>
    </w:p>
    <w:p w14:paraId="11FFD0B9" w14:textId="1DF709DF" w:rsidR="00611463" w:rsidRDefault="00611463" w:rsidP="00C418BE">
      <w:pPr>
        <w:pStyle w:val="NoSpacing"/>
        <w:rPr>
          <w:sz w:val="24"/>
          <w:szCs w:val="24"/>
        </w:rPr>
      </w:pPr>
    </w:p>
    <w:p w14:paraId="41DE2D9E" w14:textId="228F62E6" w:rsidR="00285D26" w:rsidRDefault="00611463" w:rsidP="00C418BE">
      <w:pPr>
        <w:pStyle w:val="NoSpacing"/>
        <w:rPr>
          <w:sz w:val="24"/>
          <w:szCs w:val="24"/>
        </w:rPr>
      </w:pPr>
      <w:r>
        <w:rPr>
          <w:sz w:val="24"/>
          <w:szCs w:val="24"/>
        </w:rPr>
        <w:t xml:space="preserve">Embalmment would have provided embalmers </w:t>
      </w:r>
      <w:r w:rsidR="00C16BF1">
        <w:rPr>
          <w:sz w:val="24"/>
          <w:szCs w:val="24"/>
        </w:rPr>
        <w:t xml:space="preserve">with </w:t>
      </w:r>
      <w:r>
        <w:rPr>
          <w:sz w:val="24"/>
          <w:szCs w:val="24"/>
        </w:rPr>
        <w:t>a large amount of knowledge about the internal organs. Murry (1977) also suggest</w:t>
      </w:r>
      <w:r w:rsidR="00C16BF1">
        <w:rPr>
          <w:sz w:val="24"/>
          <w:szCs w:val="24"/>
        </w:rPr>
        <w:t>s</w:t>
      </w:r>
      <w:r>
        <w:rPr>
          <w:sz w:val="24"/>
          <w:szCs w:val="24"/>
        </w:rPr>
        <w:t xml:space="preserve"> the possibility of embalmers having learnt to distinguish the effects of certain disease but, as no observations were written down, it is impossible to know</w:t>
      </w:r>
      <w:r w:rsidR="00C16BF1">
        <w:rPr>
          <w:sz w:val="24"/>
          <w:szCs w:val="24"/>
        </w:rPr>
        <w:t xml:space="preserve"> whether that was really the case</w:t>
      </w:r>
      <w:r>
        <w:rPr>
          <w:sz w:val="24"/>
          <w:szCs w:val="24"/>
        </w:rPr>
        <w:t xml:space="preserve"> (Murry, 1977, </w:t>
      </w:r>
      <w:r w:rsidR="00013DFB">
        <w:rPr>
          <w:sz w:val="24"/>
          <w:szCs w:val="24"/>
        </w:rPr>
        <w:t>p.</w:t>
      </w:r>
      <w:r>
        <w:rPr>
          <w:sz w:val="24"/>
          <w:szCs w:val="24"/>
        </w:rPr>
        <w:t xml:space="preserve"> 192). Embalmers were seen to be a </w:t>
      </w:r>
      <w:r w:rsidR="00285D26">
        <w:rPr>
          <w:sz w:val="24"/>
          <w:szCs w:val="24"/>
        </w:rPr>
        <w:t>sacred</w:t>
      </w:r>
      <w:r>
        <w:rPr>
          <w:sz w:val="24"/>
          <w:szCs w:val="24"/>
        </w:rPr>
        <w:t xml:space="preserve"> </w:t>
      </w:r>
      <w:r w:rsidR="00AA4550">
        <w:rPr>
          <w:sz w:val="24"/>
          <w:szCs w:val="24"/>
        </w:rPr>
        <w:t>profession,</w:t>
      </w:r>
      <w:r>
        <w:rPr>
          <w:sz w:val="24"/>
          <w:szCs w:val="24"/>
        </w:rPr>
        <w:t xml:space="preserve"> and </w:t>
      </w:r>
      <w:r w:rsidR="00AA4550">
        <w:rPr>
          <w:sz w:val="24"/>
          <w:szCs w:val="24"/>
        </w:rPr>
        <w:t xml:space="preserve">which meant that </w:t>
      </w:r>
      <w:r>
        <w:rPr>
          <w:sz w:val="24"/>
          <w:szCs w:val="24"/>
        </w:rPr>
        <w:t xml:space="preserve">the </w:t>
      </w:r>
      <w:r w:rsidR="00285D26">
        <w:rPr>
          <w:sz w:val="24"/>
          <w:szCs w:val="24"/>
        </w:rPr>
        <w:t>knowledge</w:t>
      </w:r>
      <w:r>
        <w:rPr>
          <w:sz w:val="24"/>
          <w:szCs w:val="24"/>
        </w:rPr>
        <w:t xml:space="preserve"> they acquired could not be shared to the outside population creating a</w:t>
      </w:r>
      <w:r w:rsidR="00AA4550">
        <w:rPr>
          <w:sz w:val="24"/>
          <w:szCs w:val="24"/>
        </w:rPr>
        <w:t>n obstacle to</w:t>
      </w:r>
      <w:r>
        <w:rPr>
          <w:sz w:val="24"/>
          <w:szCs w:val="24"/>
        </w:rPr>
        <w:t xml:space="preserve"> medical </w:t>
      </w:r>
      <w:r w:rsidR="00285D26">
        <w:rPr>
          <w:sz w:val="24"/>
          <w:szCs w:val="24"/>
        </w:rPr>
        <w:t xml:space="preserve">progression. </w:t>
      </w:r>
    </w:p>
    <w:p w14:paraId="2C35E5BC" w14:textId="31F8D966" w:rsidR="00611463" w:rsidRDefault="00611463">
      <w:pPr>
        <w:pStyle w:val="NoSpacing"/>
        <w:rPr>
          <w:sz w:val="24"/>
          <w:szCs w:val="24"/>
        </w:rPr>
      </w:pPr>
    </w:p>
    <w:p w14:paraId="32B8E5D6" w14:textId="7A561D07" w:rsidR="00285D26" w:rsidRDefault="00285D26">
      <w:pPr>
        <w:pStyle w:val="NoSpacing"/>
        <w:rPr>
          <w:sz w:val="24"/>
          <w:szCs w:val="24"/>
        </w:rPr>
      </w:pPr>
    </w:p>
    <w:p w14:paraId="54A49106" w14:textId="485C7A35" w:rsidR="00285D26" w:rsidRDefault="00285D26">
      <w:pPr>
        <w:pStyle w:val="NoSpacing"/>
        <w:rPr>
          <w:sz w:val="24"/>
          <w:szCs w:val="24"/>
        </w:rPr>
      </w:pPr>
    </w:p>
    <w:p w14:paraId="1EC913BB" w14:textId="2306A38F" w:rsidR="00285D26" w:rsidRDefault="00285D26">
      <w:pPr>
        <w:pStyle w:val="NoSpacing"/>
        <w:rPr>
          <w:sz w:val="24"/>
          <w:szCs w:val="24"/>
        </w:rPr>
      </w:pPr>
    </w:p>
    <w:p w14:paraId="50BD6862" w14:textId="6B35BAAD" w:rsidR="00285D26" w:rsidRDefault="00285D26">
      <w:pPr>
        <w:pStyle w:val="NoSpacing"/>
        <w:rPr>
          <w:sz w:val="24"/>
          <w:szCs w:val="24"/>
        </w:rPr>
      </w:pPr>
    </w:p>
    <w:p w14:paraId="07476D98" w14:textId="5A4425AD" w:rsidR="00BF4ADE" w:rsidRDefault="00BF4ADE">
      <w:pPr>
        <w:pStyle w:val="NoSpacing"/>
        <w:rPr>
          <w:sz w:val="24"/>
          <w:szCs w:val="24"/>
        </w:rPr>
      </w:pPr>
    </w:p>
    <w:p w14:paraId="0366464D" w14:textId="05A3B365" w:rsidR="00BF4ADE" w:rsidRDefault="00BF4ADE">
      <w:pPr>
        <w:pStyle w:val="NoSpacing"/>
        <w:rPr>
          <w:sz w:val="24"/>
          <w:szCs w:val="24"/>
        </w:rPr>
      </w:pPr>
    </w:p>
    <w:p w14:paraId="7425DEBD" w14:textId="6BDEE993" w:rsidR="00BF4ADE" w:rsidRDefault="00BF4ADE">
      <w:pPr>
        <w:pStyle w:val="NoSpacing"/>
        <w:rPr>
          <w:sz w:val="24"/>
          <w:szCs w:val="24"/>
        </w:rPr>
      </w:pPr>
    </w:p>
    <w:p w14:paraId="61B3A26A" w14:textId="436A99A5" w:rsidR="00BF4ADE" w:rsidRDefault="00BF4ADE">
      <w:pPr>
        <w:pStyle w:val="NoSpacing"/>
        <w:rPr>
          <w:sz w:val="24"/>
          <w:szCs w:val="24"/>
        </w:rPr>
      </w:pPr>
    </w:p>
    <w:p w14:paraId="6B952050" w14:textId="530580F1" w:rsidR="00BF4ADE" w:rsidRDefault="00BF4ADE">
      <w:pPr>
        <w:pStyle w:val="NoSpacing"/>
        <w:rPr>
          <w:sz w:val="24"/>
          <w:szCs w:val="24"/>
        </w:rPr>
      </w:pPr>
    </w:p>
    <w:p w14:paraId="15307C57" w14:textId="001EC078" w:rsidR="00BF4ADE" w:rsidRDefault="00BF4ADE">
      <w:pPr>
        <w:pStyle w:val="NoSpacing"/>
        <w:rPr>
          <w:sz w:val="24"/>
          <w:szCs w:val="24"/>
        </w:rPr>
      </w:pPr>
    </w:p>
    <w:p w14:paraId="36CA6B2D" w14:textId="0E7E5DF1" w:rsidR="00BF4ADE" w:rsidRDefault="00BF4ADE">
      <w:pPr>
        <w:pStyle w:val="NoSpacing"/>
        <w:rPr>
          <w:sz w:val="24"/>
          <w:szCs w:val="24"/>
        </w:rPr>
      </w:pPr>
    </w:p>
    <w:p w14:paraId="59053EE9" w14:textId="394B68FB" w:rsidR="00BF4ADE" w:rsidRDefault="00BF4ADE">
      <w:pPr>
        <w:pStyle w:val="NoSpacing"/>
        <w:rPr>
          <w:sz w:val="24"/>
          <w:szCs w:val="24"/>
        </w:rPr>
      </w:pPr>
    </w:p>
    <w:sdt>
      <w:sdtPr>
        <w:rPr>
          <w:rFonts w:asciiTheme="minorHAnsi" w:eastAsiaTheme="minorHAnsi" w:hAnsiTheme="minorHAnsi" w:cstheme="minorBidi"/>
          <w:color w:val="auto"/>
          <w:sz w:val="22"/>
          <w:szCs w:val="22"/>
          <w:lang w:val="en-GB"/>
        </w:rPr>
        <w:id w:val="892390665"/>
        <w:docPartObj>
          <w:docPartGallery w:val="Bibliographies"/>
          <w:docPartUnique/>
        </w:docPartObj>
      </w:sdtPr>
      <w:sdtEndPr/>
      <w:sdtContent>
        <w:p w14:paraId="0BD97AA7" w14:textId="77777777" w:rsidR="004A401A" w:rsidRDefault="004A401A">
          <w:pPr>
            <w:pStyle w:val="Heading1"/>
            <w:rPr>
              <w:rFonts w:asciiTheme="minorHAnsi" w:eastAsiaTheme="minorHAnsi" w:hAnsiTheme="minorHAnsi" w:cstheme="minorBidi"/>
              <w:color w:val="auto"/>
              <w:sz w:val="22"/>
              <w:szCs w:val="22"/>
              <w:lang w:val="en-GB"/>
            </w:rPr>
          </w:pPr>
        </w:p>
        <w:p w14:paraId="41175C4C" w14:textId="63032CC5" w:rsidR="00BF4ADE" w:rsidRPr="00BF4ADE" w:rsidRDefault="00BF4ADE">
          <w:pPr>
            <w:pStyle w:val="Heading1"/>
            <w:rPr>
              <w:color w:val="auto"/>
            </w:rPr>
          </w:pPr>
          <w:r w:rsidRPr="00BF4ADE">
            <w:rPr>
              <w:color w:val="auto"/>
            </w:rPr>
            <w:t>References</w:t>
          </w:r>
        </w:p>
        <w:sdt>
          <w:sdtPr>
            <w:id w:val="-573587230"/>
            <w:bibliography/>
          </w:sdtPr>
          <w:sdtEndPr/>
          <w:sdtContent>
            <w:p w14:paraId="10F43581" w14:textId="626F9FFD" w:rsidR="00BF4ADE" w:rsidRDefault="00BF4ADE" w:rsidP="00BF4ADE">
              <w:pPr>
                <w:pStyle w:val="Bibliography"/>
                <w:rPr>
                  <w:noProof/>
                  <w:lang w:val="en-US"/>
                </w:rPr>
              </w:pPr>
              <w:r>
                <w:fldChar w:fldCharType="begin"/>
              </w:r>
              <w:r>
                <w:instrText xml:space="preserve"> BIBLIOGRAPHY </w:instrText>
              </w:r>
              <w:r>
                <w:fldChar w:fldCharType="separate"/>
              </w:r>
              <w:r>
                <w:rPr>
                  <w:noProof/>
                  <w:lang w:val="en-US"/>
                </w:rPr>
                <w:t xml:space="preserve">Mark, J.J., 2017. </w:t>
              </w:r>
              <w:r>
                <w:rPr>
                  <w:i/>
                  <w:iCs/>
                  <w:noProof/>
                  <w:lang w:val="en-US"/>
                </w:rPr>
                <w:t xml:space="preserve">Ancinet History Encyclopedia: Egyptian Medicine. </w:t>
              </w:r>
              <w:r>
                <w:rPr>
                  <w:noProof/>
                  <w:lang w:val="en-US"/>
                </w:rPr>
                <w:t xml:space="preserve">[Online] </w:t>
              </w:r>
              <w:r>
                <w:rPr>
                  <w:noProof/>
                  <w:lang w:val="en-US"/>
                </w:rPr>
                <w:br/>
                <w:t xml:space="preserve">Available at: </w:t>
              </w:r>
              <w:r>
                <w:rPr>
                  <w:noProof/>
                  <w:u w:val="single"/>
                  <w:lang w:val="en-US"/>
                </w:rPr>
                <w:t>https://www.ancient.eu/Egyptian_Medicine/</w:t>
              </w:r>
              <w:r>
                <w:rPr>
                  <w:noProof/>
                  <w:lang w:val="en-US"/>
                </w:rPr>
                <w:br/>
                <w:t>[Accessed</w:t>
              </w:r>
              <w:r w:rsidR="008B5C3F">
                <w:rPr>
                  <w:noProof/>
                  <w:lang w:val="en-US"/>
                </w:rPr>
                <w:t>:</w:t>
              </w:r>
              <w:r>
                <w:rPr>
                  <w:noProof/>
                  <w:lang w:val="en-US"/>
                </w:rPr>
                <w:t xml:space="preserve"> 23 01 2019].</w:t>
              </w:r>
            </w:p>
            <w:p w14:paraId="6F02B943" w14:textId="57E0064B" w:rsidR="008B5C3F" w:rsidRDefault="00A54DE4" w:rsidP="008B5C3F">
              <w:pPr>
                <w:pStyle w:val="NoSpacing"/>
                <w:rPr>
                  <w:lang w:val="en-US"/>
                </w:rPr>
              </w:pPr>
              <w:r>
                <w:rPr>
                  <w:lang w:val="en-US"/>
                </w:rPr>
                <w:t xml:space="preserve">Mark, J.J., 2017. Ancient History Encyclopedia: </w:t>
              </w:r>
              <w:r w:rsidR="008B5C3F">
                <w:rPr>
                  <w:lang w:val="en-US"/>
                </w:rPr>
                <w:t>Jobs in Ancient Egypt. [Online]</w:t>
              </w:r>
            </w:p>
            <w:p w14:paraId="485E52A6" w14:textId="1028FB0C" w:rsidR="008B5C3F" w:rsidRDefault="008B5C3F" w:rsidP="008B5C3F">
              <w:pPr>
                <w:pStyle w:val="NoSpacing"/>
                <w:rPr>
                  <w:lang w:val="en-US"/>
                </w:rPr>
              </w:pPr>
              <w:r>
                <w:rPr>
                  <w:lang w:val="en-US"/>
                </w:rPr>
                <w:t xml:space="preserve">Available at: </w:t>
              </w:r>
              <w:r w:rsidRPr="008B5C3F">
                <w:rPr>
                  <w:lang w:val="en-US"/>
                </w:rPr>
                <w:t>https://www.ancient.eu/article/1073/jobs-in-ancient-egypt/</w:t>
              </w:r>
            </w:p>
            <w:p w14:paraId="0F33B7FB" w14:textId="7CE4C3D8" w:rsidR="008B5C3F" w:rsidRDefault="008B5C3F" w:rsidP="008B5C3F">
              <w:pPr>
                <w:pStyle w:val="NoSpacing"/>
                <w:rPr>
                  <w:lang w:val="en-US"/>
                </w:rPr>
              </w:pPr>
              <w:r>
                <w:rPr>
                  <w:lang w:val="en-US"/>
                </w:rPr>
                <w:t>[Accessed: 25/01/2019].</w:t>
              </w:r>
            </w:p>
            <w:p w14:paraId="39DD6126" w14:textId="77777777" w:rsidR="008B5C3F" w:rsidRPr="008B5C3F" w:rsidRDefault="008B5C3F" w:rsidP="008B5C3F">
              <w:pPr>
                <w:pStyle w:val="NoSpacing"/>
                <w:rPr>
                  <w:lang w:val="en-US"/>
                </w:rPr>
              </w:pPr>
            </w:p>
            <w:p w14:paraId="03B55089" w14:textId="6F59AA90" w:rsidR="00BF4ADE" w:rsidRDefault="00BF4ADE" w:rsidP="00BF4ADE">
              <w:pPr>
                <w:pStyle w:val="Bibliography"/>
                <w:rPr>
                  <w:noProof/>
                  <w:lang w:val="en-US"/>
                </w:rPr>
              </w:pPr>
              <w:r>
                <w:rPr>
                  <w:noProof/>
                  <w:lang w:val="en-US"/>
                </w:rPr>
                <w:t xml:space="preserve">Mark, J. J., 2009. </w:t>
              </w:r>
              <w:r>
                <w:rPr>
                  <w:i/>
                  <w:iCs/>
                  <w:noProof/>
                  <w:lang w:val="en-US"/>
                </w:rPr>
                <w:t xml:space="preserve">Ancient History Encyclopediea: Pharaoh. </w:t>
              </w:r>
              <w:r>
                <w:rPr>
                  <w:noProof/>
                  <w:lang w:val="en-US"/>
                </w:rPr>
                <w:t xml:space="preserve">[Online] </w:t>
              </w:r>
              <w:r>
                <w:rPr>
                  <w:noProof/>
                  <w:lang w:val="en-US"/>
                </w:rPr>
                <w:br/>
                <w:t xml:space="preserve">Available at: </w:t>
              </w:r>
              <w:r>
                <w:rPr>
                  <w:noProof/>
                  <w:u w:val="single"/>
                  <w:lang w:val="en-US"/>
                </w:rPr>
                <w:t>https://www.ancient.eu/pharaoh/</w:t>
              </w:r>
              <w:r>
                <w:rPr>
                  <w:noProof/>
                  <w:lang w:val="en-US"/>
                </w:rPr>
                <w:br/>
                <w:t>[Accessed</w:t>
              </w:r>
              <w:r w:rsidR="008B5C3F">
                <w:rPr>
                  <w:noProof/>
                  <w:lang w:val="en-US"/>
                </w:rPr>
                <w:t>:</w:t>
              </w:r>
              <w:r>
                <w:rPr>
                  <w:noProof/>
                  <w:lang w:val="en-US"/>
                </w:rPr>
                <w:t xml:space="preserve"> 23 01 2019].</w:t>
              </w:r>
            </w:p>
            <w:p w14:paraId="5DDF53DC" w14:textId="77777777" w:rsidR="00BF4ADE" w:rsidRDefault="00BF4ADE" w:rsidP="00BF4ADE">
              <w:pPr>
                <w:pStyle w:val="Bibliography"/>
                <w:rPr>
                  <w:noProof/>
                  <w:lang w:val="en-US"/>
                </w:rPr>
              </w:pPr>
              <w:r>
                <w:rPr>
                  <w:noProof/>
                  <w:lang w:val="en-US"/>
                </w:rPr>
                <w:t xml:space="preserve">Mieroop, M. V. D., 2011. </w:t>
              </w:r>
              <w:r>
                <w:rPr>
                  <w:i/>
                  <w:iCs/>
                  <w:noProof/>
                  <w:lang w:val="en-US"/>
                </w:rPr>
                <w:t xml:space="preserve">A History of Ancient Egypt. </w:t>
              </w:r>
              <w:r>
                <w:rPr>
                  <w:noProof/>
                  <w:lang w:val="en-US"/>
                </w:rPr>
                <w:t>Sussex: Wiley-Blackwell.</w:t>
              </w:r>
            </w:p>
            <w:p w14:paraId="5BA112AF" w14:textId="0C9DF2A5" w:rsidR="00BF4ADE" w:rsidRDefault="00BF4ADE" w:rsidP="00BF4ADE">
              <w:pPr>
                <w:pStyle w:val="Bibliography"/>
                <w:rPr>
                  <w:noProof/>
                  <w:lang w:val="en-US"/>
                </w:rPr>
              </w:pPr>
              <w:r>
                <w:rPr>
                  <w:noProof/>
                  <w:lang w:val="en-US"/>
                </w:rPr>
                <w:t xml:space="preserve">Murry, M. A., 1977. </w:t>
              </w:r>
              <w:r>
                <w:rPr>
                  <w:i/>
                  <w:iCs/>
                  <w:noProof/>
                  <w:lang w:val="en-US"/>
                </w:rPr>
                <w:t xml:space="preserve">The Splendour that was Egypt. </w:t>
              </w:r>
              <w:r>
                <w:rPr>
                  <w:noProof/>
                  <w:lang w:val="en-US"/>
                </w:rPr>
                <w:t>London: Bissled td,. Guildford.</w:t>
              </w:r>
            </w:p>
            <w:p w14:paraId="36BA2B12" w14:textId="3AC4F8D2" w:rsidR="007A613C" w:rsidRDefault="007A613C" w:rsidP="007A613C">
              <w:pPr>
                <w:pStyle w:val="NoSpacing"/>
                <w:rPr>
                  <w:lang w:val="en-US"/>
                </w:rPr>
              </w:pPr>
              <w:r>
                <w:rPr>
                  <w:lang w:val="en-US"/>
                </w:rPr>
                <w:t>Neiman, David., 2017. The history of Egypt: Decoding Hieroglyphics [video].</w:t>
              </w:r>
            </w:p>
            <w:p w14:paraId="318A5D2B" w14:textId="0AE02123" w:rsidR="007A613C" w:rsidRDefault="007A613C" w:rsidP="007A613C">
              <w:pPr>
                <w:pStyle w:val="NoSpacing"/>
                <w:rPr>
                  <w:lang w:val="en-US"/>
                </w:rPr>
              </w:pPr>
              <w:r>
                <w:rPr>
                  <w:lang w:val="en-US"/>
                </w:rPr>
                <w:t>Available at:</w:t>
              </w:r>
            </w:p>
            <w:p w14:paraId="5363EB12" w14:textId="14390769" w:rsidR="007A613C" w:rsidRDefault="007A613C" w:rsidP="007A613C">
              <w:pPr>
                <w:pStyle w:val="NoSpacing"/>
                <w:rPr>
                  <w:lang w:val="en-US"/>
                </w:rPr>
              </w:pPr>
              <w:r w:rsidRPr="007A613C">
                <w:rPr>
                  <w:lang w:val="en-US"/>
                </w:rPr>
                <w:t>https://www.ancient.eu/video/1158/</w:t>
              </w:r>
            </w:p>
            <w:p w14:paraId="6ADE0183" w14:textId="3B5A1F6C" w:rsidR="007A613C" w:rsidRDefault="007A613C" w:rsidP="007A613C">
              <w:pPr>
                <w:pStyle w:val="NoSpacing"/>
                <w:rPr>
                  <w:lang w:val="en-US"/>
                </w:rPr>
              </w:pPr>
              <w:r>
                <w:rPr>
                  <w:lang w:val="en-US"/>
                </w:rPr>
                <w:t xml:space="preserve">(Accessed: 25 January 2019). </w:t>
              </w:r>
            </w:p>
            <w:p w14:paraId="0B744A34" w14:textId="77777777" w:rsidR="007A613C" w:rsidRPr="007A613C" w:rsidRDefault="007A613C" w:rsidP="007A613C">
              <w:pPr>
                <w:pStyle w:val="NoSpacing"/>
                <w:rPr>
                  <w:lang w:val="en-US"/>
                </w:rPr>
              </w:pPr>
            </w:p>
            <w:p w14:paraId="4D56B5C4" w14:textId="77777777" w:rsidR="00BF4ADE" w:rsidRDefault="00BF4ADE" w:rsidP="00BF4ADE">
              <w:pPr>
                <w:pStyle w:val="Bibliography"/>
                <w:rPr>
                  <w:noProof/>
                  <w:lang w:val="en-US"/>
                </w:rPr>
              </w:pPr>
              <w:r>
                <w:rPr>
                  <w:noProof/>
                  <w:lang w:val="en-US"/>
                </w:rPr>
                <w:t xml:space="preserve">Scoville, P., 2015. </w:t>
              </w:r>
              <w:r>
                <w:rPr>
                  <w:i/>
                  <w:iCs/>
                  <w:noProof/>
                  <w:lang w:val="en-US"/>
                </w:rPr>
                <w:t xml:space="preserve">Ancient History Encyclopedia: Egyptain Hieroglyphs. </w:t>
              </w:r>
              <w:r>
                <w:rPr>
                  <w:noProof/>
                  <w:lang w:val="en-US"/>
                </w:rPr>
                <w:t xml:space="preserve">[Online] </w:t>
              </w:r>
              <w:r>
                <w:rPr>
                  <w:noProof/>
                  <w:lang w:val="en-US"/>
                </w:rPr>
                <w:br/>
                <w:t xml:space="preserve">Available at: </w:t>
              </w:r>
              <w:r>
                <w:rPr>
                  <w:noProof/>
                  <w:u w:val="single"/>
                  <w:lang w:val="en-US"/>
                </w:rPr>
                <w:t>https://www.ancient.eu/Egyptian_Hieroglyphs/</w:t>
              </w:r>
              <w:r>
                <w:rPr>
                  <w:noProof/>
                  <w:lang w:val="en-US"/>
                </w:rPr>
                <w:br/>
                <w:t>[Accessed 23 01 2019].</w:t>
              </w:r>
            </w:p>
            <w:p w14:paraId="1287F327" w14:textId="77777777" w:rsidR="00BF4ADE" w:rsidRDefault="00BF4ADE" w:rsidP="00BF4ADE">
              <w:pPr>
                <w:pStyle w:val="Bibliography"/>
                <w:rPr>
                  <w:noProof/>
                  <w:lang w:val="en-US"/>
                </w:rPr>
              </w:pPr>
              <w:r>
                <w:rPr>
                  <w:noProof/>
                  <w:lang w:val="en-US"/>
                </w:rPr>
                <w:t xml:space="preserve">Trigger, B. G., 2003. </w:t>
              </w:r>
              <w:r>
                <w:rPr>
                  <w:i/>
                  <w:iCs/>
                  <w:noProof/>
                  <w:lang w:val="en-US"/>
                </w:rPr>
                <w:t xml:space="preserve">Understanding Early Civilizations. </w:t>
              </w:r>
              <w:r>
                <w:rPr>
                  <w:noProof/>
                  <w:lang w:val="en-US"/>
                </w:rPr>
                <w:t>Cambridge: Cambridge University Press.</w:t>
              </w:r>
            </w:p>
            <w:p w14:paraId="0487D592" w14:textId="77777777" w:rsidR="00BF4ADE" w:rsidRDefault="00BF4ADE" w:rsidP="00BF4ADE">
              <w:pPr>
                <w:pStyle w:val="Bibliography"/>
                <w:rPr>
                  <w:noProof/>
                  <w:lang w:val="en-US"/>
                </w:rPr>
              </w:pPr>
              <w:r>
                <w:rPr>
                  <w:noProof/>
                  <w:lang w:val="en-US"/>
                </w:rPr>
                <w:t xml:space="preserve">Wengrow, D., 2010. </w:t>
              </w:r>
              <w:r>
                <w:rPr>
                  <w:i/>
                  <w:iCs/>
                  <w:noProof/>
                  <w:lang w:val="en-US"/>
                </w:rPr>
                <w:t xml:space="preserve">What makes civilization?. </w:t>
              </w:r>
              <w:r>
                <w:rPr>
                  <w:noProof/>
                  <w:lang w:val="en-US"/>
                </w:rPr>
                <w:t>Oxford: Oxford Univeristy Press.</w:t>
              </w:r>
            </w:p>
            <w:p w14:paraId="383CB058" w14:textId="59D1E329" w:rsidR="00BF4ADE" w:rsidRDefault="00BF4ADE" w:rsidP="00BF4ADE">
              <w:r>
                <w:rPr>
                  <w:b/>
                  <w:bCs/>
                  <w:noProof/>
                </w:rPr>
                <w:fldChar w:fldCharType="end"/>
              </w:r>
            </w:p>
          </w:sdtContent>
        </w:sdt>
      </w:sdtContent>
    </w:sdt>
    <w:p w14:paraId="1D073416" w14:textId="77777777" w:rsidR="00BF4ADE" w:rsidRDefault="00BF4ADE">
      <w:pPr>
        <w:pStyle w:val="NoSpacing"/>
        <w:rPr>
          <w:sz w:val="24"/>
          <w:szCs w:val="24"/>
        </w:rPr>
      </w:pPr>
    </w:p>
    <w:p w14:paraId="5FB08E2A" w14:textId="134AD8EC" w:rsidR="00285D26" w:rsidRDefault="00285D26">
      <w:pPr>
        <w:pStyle w:val="NoSpacing"/>
        <w:rPr>
          <w:sz w:val="24"/>
          <w:szCs w:val="24"/>
        </w:rPr>
      </w:pPr>
    </w:p>
    <w:p w14:paraId="714C4E73" w14:textId="77777777" w:rsidR="00285D26" w:rsidRPr="00C418BE" w:rsidRDefault="00285D26">
      <w:pPr>
        <w:pStyle w:val="NoSpacing"/>
        <w:rPr>
          <w:sz w:val="24"/>
          <w:szCs w:val="24"/>
        </w:rPr>
      </w:pPr>
    </w:p>
    <w:sectPr w:rsidR="00285D26" w:rsidRPr="00C418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8BE"/>
    <w:rsid w:val="00013DFB"/>
    <w:rsid w:val="00050235"/>
    <w:rsid w:val="0005428E"/>
    <w:rsid w:val="00081C72"/>
    <w:rsid w:val="000C61B6"/>
    <w:rsid w:val="000E39C4"/>
    <w:rsid w:val="001345FD"/>
    <w:rsid w:val="001B62D5"/>
    <w:rsid w:val="001C7350"/>
    <w:rsid w:val="001D6AB8"/>
    <w:rsid w:val="001E69FC"/>
    <w:rsid w:val="001F77C6"/>
    <w:rsid w:val="00276F40"/>
    <w:rsid w:val="00285D26"/>
    <w:rsid w:val="002A4C16"/>
    <w:rsid w:val="00347601"/>
    <w:rsid w:val="00366856"/>
    <w:rsid w:val="00367C56"/>
    <w:rsid w:val="003806CF"/>
    <w:rsid w:val="003D4194"/>
    <w:rsid w:val="0042124A"/>
    <w:rsid w:val="00433679"/>
    <w:rsid w:val="004A401A"/>
    <w:rsid w:val="005C3744"/>
    <w:rsid w:val="00611463"/>
    <w:rsid w:val="00665EA4"/>
    <w:rsid w:val="006848E7"/>
    <w:rsid w:val="006C677F"/>
    <w:rsid w:val="007A613C"/>
    <w:rsid w:val="007E3347"/>
    <w:rsid w:val="0083096B"/>
    <w:rsid w:val="00832230"/>
    <w:rsid w:val="008A63FD"/>
    <w:rsid w:val="008B5C3F"/>
    <w:rsid w:val="008D4074"/>
    <w:rsid w:val="00971F0A"/>
    <w:rsid w:val="009D6324"/>
    <w:rsid w:val="00A07991"/>
    <w:rsid w:val="00A54DE4"/>
    <w:rsid w:val="00A9567A"/>
    <w:rsid w:val="00A97DB0"/>
    <w:rsid w:val="00AA4550"/>
    <w:rsid w:val="00B16394"/>
    <w:rsid w:val="00B16733"/>
    <w:rsid w:val="00B211D8"/>
    <w:rsid w:val="00B454C4"/>
    <w:rsid w:val="00B46AF3"/>
    <w:rsid w:val="00B81CCE"/>
    <w:rsid w:val="00BF4ADE"/>
    <w:rsid w:val="00C16BF1"/>
    <w:rsid w:val="00C418BE"/>
    <w:rsid w:val="00D1017C"/>
    <w:rsid w:val="00E043B0"/>
    <w:rsid w:val="00E57844"/>
    <w:rsid w:val="00EC440A"/>
    <w:rsid w:val="00EE1E7E"/>
    <w:rsid w:val="00F721A2"/>
    <w:rsid w:val="00FD0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3635B"/>
  <w15:chartTrackingRefBased/>
  <w15:docId w15:val="{AC338A5E-C978-495D-B7E2-6824D57B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AD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18BE"/>
    <w:pPr>
      <w:spacing w:after="0" w:line="240" w:lineRule="auto"/>
    </w:pPr>
  </w:style>
  <w:style w:type="character" w:customStyle="1" w:styleId="Heading1Char">
    <w:name w:val="Heading 1 Char"/>
    <w:basedOn w:val="DefaultParagraphFont"/>
    <w:link w:val="Heading1"/>
    <w:uiPriority w:val="9"/>
    <w:rsid w:val="00BF4AD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F4ADE"/>
  </w:style>
  <w:style w:type="character" w:styleId="CommentReference">
    <w:name w:val="annotation reference"/>
    <w:basedOn w:val="DefaultParagraphFont"/>
    <w:uiPriority w:val="99"/>
    <w:semiHidden/>
    <w:unhideWhenUsed/>
    <w:rsid w:val="00665EA4"/>
    <w:rPr>
      <w:sz w:val="16"/>
      <w:szCs w:val="16"/>
    </w:rPr>
  </w:style>
  <w:style w:type="paragraph" w:styleId="CommentText">
    <w:name w:val="annotation text"/>
    <w:basedOn w:val="Normal"/>
    <w:link w:val="CommentTextChar"/>
    <w:uiPriority w:val="99"/>
    <w:semiHidden/>
    <w:unhideWhenUsed/>
    <w:rsid w:val="00665EA4"/>
    <w:pPr>
      <w:spacing w:line="240" w:lineRule="auto"/>
    </w:pPr>
    <w:rPr>
      <w:sz w:val="20"/>
      <w:szCs w:val="20"/>
    </w:rPr>
  </w:style>
  <w:style w:type="character" w:customStyle="1" w:styleId="CommentTextChar">
    <w:name w:val="Comment Text Char"/>
    <w:basedOn w:val="DefaultParagraphFont"/>
    <w:link w:val="CommentText"/>
    <w:uiPriority w:val="99"/>
    <w:semiHidden/>
    <w:rsid w:val="00665EA4"/>
    <w:rPr>
      <w:sz w:val="20"/>
      <w:szCs w:val="20"/>
    </w:rPr>
  </w:style>
  <w:style w:type="paragraph" w:styleId="CommentSubject">
    <w:name w:val="annotation subject"/>
    <w:basedOn w:val="CommentText"/>
    <w:next w:val="CommentText"/>
    <w:link w:val="CommentSubjectChar"/>
    <w:uiPriority w:val="99"/>
    <w:semiHidden/>
    <w:unhideWhenUsed/>
    <w:rsid w:val="00665EA4"/>
    <w:rPr>
      <w:b/>
      <w:bCs/>
    </w:rPr>
  </w:style>
  <w:style w:type="character" w:customStyle="1" w:styleId="CommentSubjectChar">
    <w:name w:val="Comment Subject Char"/>
    <w:basedOn w:val="CommentTextChar"/>
    <w:link w:val="CommentSubject"/>
    <w:uiPriority w:val="99"/>
    <w:semiHidden/>
    <w:rsid w:val="00665EA4"/>
    <w:rPr>
      <w:b/>
      <w:bCs/>
      <w:sz w:val="20"/>
      <w:szCs w:val="20"/>
    </w:rPr>
  </w:style>
  <w:style w:type="paragraph" w:styleId="BalloonText">
    <w:name w:val="Balloon Text"/>
    <w:basedOn w:val="Normal"/>
    <w:link w:val="BalloonTextChar"/>
    <w:uiPriority w:val="99"/>
    <w:semiHidden/>
    <w:unhideWhenUsed/>
    <w:rsid w:val="00665E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E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76395">
      <w:bodyDiv w:val="1"/>
      <w:marLeft w:val="0"/>
      <w:marRight w:val="0"/>
      <w:marTop w:val="0"/>
      <w:marBottom w:val="0"/>
      <w:divBdr>
        <w:top w:val="none" w:sz="0" w:space="0" w:color="auto"/>
        <w:left w:val="none" w:sz="0" w:space="0" w:color="auto"/>
        <w:bottom w:val="none" w:sz="0" w:space="0" w:color="auto"/>
        <w:right w:val="none" w:sz="0" w:space="0" w:color="auto"/>
      </w:divBdr>
    </w:div>
    <w:div w:id="471680012">
      <w:bodyDiv w:val="1"/>
      <w:marLeft w:val="0"/>
      <w:marRight w:val="0"/>
      <w:marTop w:val="0"/>
      <w:marBottom w:val="0"/>
      <w:divBdr>
        <w:top w:val="none" w:sz="0" w:space="0" w:color="auto"/>
        <w:left w:val="none" w:sz="0" w:space="0" w:color="auto"/>
        <w:bottom w:val="none" w:sz="0" w:space="0" w:color="auto"/>
        <w:right w:val="none" w:sz="0" w:space="0" w:color="auto"/>
      </w:divBdr>
    </w:div>
    <w:div w:id="560599982">
      <w:bodyDiv w:val="1"/>
      <w:marLeft w:val="0"/>
      <w:marRight w:val="0"/>
      <w:marTop w:val="0"/>
      <w:marBottom w:val="0"/>
      <w:divBdr>
        <w:top w:val="none" w:sz="0" w:space="0" w:color="auto"/>
        <w:left w:val="none" w:sz="0" w:space="0" w:color="auto"/>
        <w:bottom w:val="none" w:sz="0" w:space="0" w:color="auto"/>
        <w:right w:val="none" w:sz="0" w:space="0" w:color="auto"/>
      </w:divBdr>
    </w:div>
    <w:div w:id="920797173">
      <w:bodyDiv w:val="1"/>
      <w:marLeft w:val="0"/>
      <w:marRight w:val="0"/>
      <w:marTop w:val="0"/>
      <w:marBottom w:val="0"/>
      <w:divBdr>
        <w:top w:val="none" w:sz="0" w:space="0" w:color="auto"/>
        <w:left w:val="none" w:sz="0" w:space="0" w:color="auto"/>
        <w:bottom w:val="none" w:sz="0" w:space="0" w:color="auto"/>
        <w:right w:val="none" w:sz="0" w:space="0" w:color="auto"/>
      </w:divBdr>
    </w:div>
    <w:div w:id="1026440312">
      <w:bodyDiv w:val="1"/>
      <w:marLeft w:val="0"/>
      <w:marRight w:val="0"/>
      <w:marTop w:val="0"/>
      <w:marBottom w:val="0"/>
      <w:divBdr>
        <w:top w:val="none" w:sz="0" w:space="0" w:color="auto"/>
        <w:left w:val="none" w:sz="0" w:space="0" w:color="auto"/>
        <w:bottom w:val="none" w:sz="0" w:space="0" w:color="auto"/>
        <w:right w:val="none" w:sz="0" w:space="0" w:color="auto"/>
      </w:divBdr>
    </w:div>
    <w:div w:id="1115908362">
      <w:bodyDiv w:val="1"/>
      <w:marLeft w:val="0"/>
      <w:marRight w:val="0"/>
      <w:marTop w:val="0"/>
      <w:marBottom w:val="0"/>
      <w:divBdr>
        <w:top w:val="none" w:sz="0" w:space="0" w:color="auto"/>
        <w:left w:val="none" w:sz="0" w:space="0" w:color="auto"/>
        <w:bottom w:val="none" w:sz="0" w:space="0" w:color="auto"/>
        <w:right w:val="none" w:sz="0" w:space="0" w:color="auto"/>
      </w:divBdr>
    </w:div>
    <w:div w:id="1362632471">
      <w:bodyDiv w:val="1"/>
      <w:marLeft w:val="0"/>
      <w:marRight w:val="0"/>
      <w:marTop w:val="0"/>
      <w:marBottom w:val="0"/>
      <w:divBdr>
        <w:top w:val="none" w:sz="0" w:space="0" w:color="auto"/>
        <w:left w:val="none" w:sz="0" w:space="0" w:color="auto"/>
        <w:bottom w:val="none" w:sz="0" w:space="0" w:color="auto"/>
        <w:right w:val="none" w:sz="0" w:space="0" w:color="auto"/>
      </w:divBdr>
    </w:div>
    <w:div w:id="1558852882">
      <w:bodyDiv w:val="1"/>
      <w:marLeft w:val="0"/>
      <w:marRight w:val="0"/>
      <w:marTop w:val="0"/>
      <w:marBottom w:val="0"/>
      <w:divBdr>
        <w:top w:val="none" w:sz="0" w:space="0" w:color="auto"/>
        <w:left w:val="none" w:sz="0" w:space="0" w:color="auto"/>
        <w:bottom w:val="none" w:sz="0" w:space="0" w:color="auto"/>
        <w:right w:val="none" w:sz="0" w:space="0" w:color="auto"/>
      </w:divBdr>
    </w:div>
    <w:div w:id="1883177500">
      <w:bodyDiv w:val="1"/>
      <w:marLeft w:val="0"/>
      <w:marRight w:val="0"/>
      <w:marTop w:val="0"/>
      <w:marBottom w:val="0"/>
      <w:divBdr>
        <w:top w:val="none" w:sz="0" w:space="0" w:color="auto"/>
        <w:left w:val="none" w:sz="0" w:space="0" w:color="auto"/>
        <w:bottom w:val="none" w:sz="0" w:space="0" w:color="auto"/>
        <w:right w:val="none" w:sz="0" w:space="0" w:color="auto"/>
      </w:divBdr>
    </w:div>
    <w:div w:id="211971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Pri15</b:Tag>
    <b:SourceType>InternetSite</b:SourceType>
    <b:Guid>{6E53010A-06F7-4B7D-A6EB-D7BCB2C36C92}</b:Guid>
    <b:Title>Ancient History Encyclopedia: Egyptain Hieroglyphs</b:Title>
    <b:Year>2015</b:Year>
    <b:YearAccessed>2019</b:YearAccessed>
    <b:MonthAccessed>01</b:MonthAccessed>
    <b:DayAccessed>23</b:DayAccessed>
    <b:URL>https://www.ancient.eu/Egyptian_Hieroglyphs/</b:URL>
    <b:Author>
      <b:Author>
        <b:NameList>
          <b:Person>
            <b:Last>Scoville</b:Last>
            <b:First>Priscila</b:First>
          </b:Person>
        </b:NameList>
      </b:Author>
    </b:Author>
    <b:RefOrder>2</b:RefOrder>
  </b:Source>
  <b:Source>
    <b:Tag>Bru03</b:Tag>
    <b:SourceType>Book</b:SourceType>
    <b:Guid>{5E055696-2C0A-4029-A4E1-285FB1C937A9}</b:Guid>
    <b:Author>
      <b:Author>
        <b:NameList>
          <b:Person>
            <b:Last>Trigger</b:Last>
            <b:First>Bruce</b:First>
            <b:Middle>G.</b:Middle>
          </b:Person>
        </b:NameList>
      </b:Author>
    </b:Author>
    <b:Title>Understanding Early Civilizations</b:Title>
    <b:Year>2003</b:Year>
    <b:City>Cambridge</b:City>
    <b:Publisher>Cambridge University Press</b:Publisher>
    <b:RefOrder>3</b:RefOrder>
  </b:Source>
  <b:Source>
    <b:Tag>Mar77</b:Tag>
    <b:SourceType>Book</b:SourceType>
    <b:Guid>{522C939B-0F0A-4FBC-8555-B1C88CDEAA4F}</b:Guid>
    <b:Author>
      <b:Author>
        <b:NameList>
          <b:Person>
            <b:Last>Murry</b:Last>
            <b:First>Margaret</b:First>
            <b:Middle>A.</b:Middle>
          </b:Person>
        </b:NameList>
      </b:Author>
    </b:Author>
    <b:Title>The Splendour that was Egypt </b:Title>
    <b:Year>1977</b:Year>
    <b:City>London</b:City>
    <b:Publisher>Bissled td,. Guildford</b:Publisher>
    <b:RefOrder>4</b:RefOrder>
  </b:Source>
  <b:Source>
    <b:Tag>Mar11</b:Tag>
    <b:SourceType>Book</b:SourceType>
    <b:Guid>{5778556D-1BD7-4FC3-AA42-CB4EE0B5DE30}</b:Guid>
    <b:Author>
      <b:Author>
        <b:NameList>
          <b:Person>
            <b:Last>Mieroop</b:Last>
            <b:First>Marc</b:First>
            <b:Middle>Van De</b:Middle>
          </b:Person>
        </b:NameList>
      </b:Author>
    </b:Author>
    <b:Title>A History of Ancient Egypt</b:Title>
    <b:Year>2011</b:Year>
    <b:City>Sussex</b:City>
    <b:Publisher>Wiley-Blackwell</b:Publisher>
    <b:RefOrder>5</b:RefOrder>
  </b:Source>
  <b:Source>
    <b:Tag>Jos09</b:Tag>
    <b:SourceType>InternetSite</b:SourceType>
    <b:Guid>{13542E05-DF68-43C8-B2EB-FD27AB3196A1}</b:Guid>
    <b:Title>Ancient History Encyclopediea: Pharaoh</b:Title>
    <b:Year>2009</b:Year>
    <b:Author>
      <b:Author>
        <b:NameList>
          <b:Person>
            <b:Last>Mark</b:Last>
            <b:First>Joshua</b:First>
            <b:Middle>J.</b:Middle>
          </b:Person>
        </b:NameList>
      </b:Author>
    </b:Author>
    <b:YearAccessed>2019</b:YearAccessed>
    <b:MonthAccessed>01</b:MonthAccessed>
    <b:DayAccessed>23</b:DayAccessed>
    <b:URL>https://www.ancient.eu/pharaoh/</b:URL>
    <b:RefOrder>1</b:RefOrder>
  </b:Source>
  <b:Source>
    <b:Tag>Dav10</b:Tag>
    <b:SourceType>Book</b:SourceType>
    <b:Guid>{07843C59-103A-4D07-8B8C-B567F76A855A}</b:Guid>
    <b:Title>What makes civilization?</b:Title>
    <b:Year>2010</b:Year>
    <b:Author>
      <b:Author>
        <b:NameList>
          <b:Person>
            <b:Last>Wengrow</b:Last>
            <b:First>David</b:First>
          </b:Person>
        </b:NameList>
      </b:Author>
    </b:Author>
    <b:City>Oxford</b:City>
    <b:Publisher>Oxford Univeristy Press</b:Publisher>
    <b:RefOrder>6</b:RefOrder>
  </b:Source>
  <b:Source>
    <b:Tag>Jos17</b:Tag>
    <b:SourceType>InternetSite</b:SourceType>
    <b:Guid>{CE735C91-520E-45ED-8F2B-9DAB2EB52522}</b:Guid>
    <b:Title>Ancinet History Encyclopedia: Egyptian Medicine </b:Title>
    <b:Year>2017</b:Year>
    <b:Author>
      <b:Author>
        <b:NameList>
          <b:Person>
            <b:Last>Joshua J</b:Last>
            <b:First>Mark</b:First>
          </b:Person>
        </b:NameList>
      </b:Author>
    </b:Author>
    <b:YearAccessed>2019</b:YearAccessed>
    <b:MonthAccessed>01</b:MonthAccessed>
    <b:DayAccessed>23</b:DayAccessed>
    <b:URL>https://www.ancient.eu/Egyptian_Medicine/</b:URL>
    <b:RefOrder>7</b:RefOrder>
  </b:Source>
</b:Sources>
</file>

<file path=customXml/itemProps1.xml><?xml version="1.0" encoding="utf-8"?>
<ds:datastoreItem xmlns:ds="http://schemas.openxmlformats.org/officeDocument/2006/customXml" ds:itemID="{B5103C9A-5849-48D1-B0CA-4E657F2CD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982</Words>
  <Characters>5603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Issie Griffin</dc:creator>
  <cp:keywords/>
  <dc:description/>
  <cp:lastModifiedBy>Issie Griffin</cp:lastModifiedBy>
  <cp:revision>2</cp:revision>
  <dcterms:created xsi:type="dcterms:W3CDTF">2019-01-25T19:45:00Z</dcterms:created>
  <dcterms:modified xsi:type="dcterms:W3CDTF">2019-01-25T19:45:00Z</dcterms:modified>
</cp:coreProperties>
</file>