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70715939" w:rsidR="00063B4C" w:rsidRDefault="006B47DC" w:rsidP="00653F26">
      <w:r>
        <w:rPr>
          <w:noProof/>
        </w:rPr>
        <w:drawing>
          <wp:anchor distT="0" distB="0" distL="114300" distR="114300" simplePos="0" relativeHeight="251658752" behindDoc="1" locked="0" layoutInCell="1" allowOverlap="1" wp14:anchorId="28585CD4" wp14:editId="2269165A">
            <wp:simplePos x="0" y="0"/>
            <wp:positionH relativeFrom="margin">
              <wp:posOffset>932180</wp:posOffset>
            </wp:positionH>
            <wp:positionV relativeFrom="paragraph">
              <wp:posOffset>87630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765D32C3"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lastRenderedPageBreak/>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4139039" w:rsidR="00995444" w:rsidRPr="003B4F07" w:rsidRDefault="00E639D6" w:rsidP="00995444">
      <w:pPr>
        <w:jc w:val="center"/>
        <w:rPr>
          <w:rFonts w:eastAsia="Times New Roman" w:cs="Times New Roman"/>
          <w:b/>
          <w:bCs/>
          <w:sz w:val="20"/>
          <w:szCs w:val="20"/>
        </w:rPr>
      </w:pPr>
      <w:r w:rsidRPr="003B4F07">
        <w:rPr>
          <w:rFonts w:eastAsia="Times New Roman" w:cs="Times New Roman"/>
          <w:b/>
          <w:bCs/>
          <w:sz w:val="20"/>
          <w:szCs w:val="20"/>
        </w:rPr>
        <w:t>:  An exploration of How Cultural, Social, and Migration Pressures influence Help-seeking behaviours Among South-Asian Women experiencing domestic violence</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6F390C83" w:rsidR="00995444" w:rsidRPr="003B4F07" w:rsidRDefault="006B47D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rPr>
      </w:pPr>
      <w:r w:rsidRPr="003B4F07">
        <w:rPr>
          <w:rFonts w:eastAsia="Arial Unicode MS" w:cs="Arial"/>
          <w:b/>
        </w:rPr>
        <w:t>Anika Kathryn Hussain</w:t>
      </w:r>
      <w:r w:rsidR="00995444" w:rsidRPr="003B4F07">
        <w:rPr>
          <w:rFonts w:eastAsia="Arial Unicode MS" w:cs="Arial"/>
          <w:b/>
        </w:rPr>
        <w:t xml:space="preserve"> </w:t>
      </w:r>
    </w:p>
    <w:p w14:paraId="2EB57E91" w14:textId="68B52BA2" w:rsidR="006B47DC" w:rsidRPr="003B4F07" w:rsidRDefault="006B47D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rPr>
      </w:pPr>
      <w:r w:rsidRPr="003B4F07">
        <w:rPr>
          <w:rFonts w:eastAsia="Arial Unicode MS" w:cs="Arial"/>
          <w:b/>
        </w:rPr>
        <w:t>2319161</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lastRenderedPageBreak/>
        <w:t xml:space="preserve">The acknowledgements </w:t>
      </w:r>
      <w:proofErr w:type="gramStart"/>
      <w:r w:rsidRPr="00995444">
        <w:rPr>
          <w:rFonts w:ascii="Aptos" w:hAnsi="Aptos" w:cs="Arial"/>
          <w:color w:val="333333"/>
          <w:sz w:val="22"/>
          <w:szCs w:val="22"/>
        </w:rPr>
        <w:t>section  is</w:t>
      </w:r>
      <w:proofErr w:type="gramEnd"/>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w:t>
      </w:r>
      <w:r w:rsidR="00CE620E" w:rsidRPr="0025020C">
        <w:rPr>
          <w:rFonts w:eastAsia="Arial Unicode MS" w:cs="Arial"/>
        </w:rPr>
        <w:t>, yet</w:t>
      </w:r>
      <w:proofErr w:type="gramEnd"/>
      <w:r w:rsidR="00CE620E" w:rsidRPr="0025020C">
        <w:rPr>
          <w:rFonts w:eastAsia="Arial Unicode MS" w:cs="Arial"/>
        </w:rPr>
        <w:t xml:space="preserve">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2791088C" w:rsidR="00730C3C" w:rsidRPr="00EF6341" w:rsidRDefault="00730C3C" w:rsidP="00EF6341">
      <w:pPr>
        <w:pStyle w:val="Heading1"/>
        <w:spacing w:line="360" w:lineRule="auto"/>
        <w:ind w:left="0"/>
        <w:rPr>
          <w:rFonts w:ascii="Aptos" w:hAnsi="Aptos"/>
          <w:b w:val="0"/>
        </w:rPr>
      </w:pPr>
      <w:r w:rsidRPr="00730C3C">
        <w:rPr>
          <w:rFonts w:ascii="Aptos" w:hAnsi="Aptos"/>
        </w:rPr>
        <w:t>CHAPTER 1</w:t>
      </w:r>
    </w:p>
    <w:p w14:paraId="69941E5D" w14:textId="77777777" w:rsidR="00EF6341" w:rsidRPr="00EF6341" w:rsidRDefault="00EF6341" w:rsidP="00EF6341">
      <w:pPr>
        <w:pStyle w:val="BodyText"/>
        <w:spacing w:line="360" w:lineRule="auto"/>
        <w:rPr>
          <w:rFonts w:ascii="Aptos" w:hAnsi="Aptos"/>
        </w:rPr>
      </w:pPr>
    </w:p>
    <w:p w14:paraId="7EB24CC9" w14:textId="3E43CD3B" w:rsidR="00BD2909" w:rsidRPr="00BE290D" w:rsidRDefault="00BD2909" w:rsidP="00261738">
      <w:pPr>
        <w:pStyle w:val="paragraph"/>
        <w:numPr>
          <w:ilvl w:val="1"/>
          <w:numId w:val="104"/>
        </w:numPr>
        <w:spacing w:before="0" w:beforeAutospacing="0" w:after="0" w:afterAutospacing="0" w:line="360" w:lineRule="auto"/>
        <w:textAlignment w:val="baseline"/>
        <w:rPr>
          <w:rStyle w:val="eop"/>
          <w:rFonts w:ascii="Arial" w:hAnsi="Arial" w:cs="Arial"/>
          <w:color w:val="0F4761"/>
          <w:sz w:val="22"/>
          <w:szCs w:val="22"/>
          <w:u w:val="single"/>
        </w:rPr>
      </w:pPr>
      <w:r w:rsidRPr="00BE290D">
        <w:rPr>
          <w:rStyle w:val="normaltextrun"/>
          <w:rFonts w:ascii="Arial" w:hAnsi="Arial" w:cs="Arial"/>
          <w:sz w:val="22"/>
          <w:szCs w:val="22"/>
          <w:u w:val="single"/>
        </w:rPr>
        <w:t xml:space="preserve">Introduction </w:t>
      </w:r>
    </w:p>
    <w:p w14:paraId="780BCC18" w14:textId="40DF24D5" w:rsidR="00261738" w:rsidRPr="00261738" w:rsidRDefault="00261738" w:rsidP="00261738">
      <w:pPr>
        <w:pStyle w:val="paragraph"/>
        <w:spacing w:after="0" w:line="360" w:lineRule="auto"/>
        <w:textAlignment w:val="baseline"/>
        <w:rPr>
          <w:rFonts w:ascii="Arial" w:hAnsi="Arial" w:cs="Arial"/>
          <w:sz w:val="22"/>
          <w:szCs w:val="22"/>
        </w:rPr>
      </w:pPr>
      <w:r w:rsidRPr="00261738">
        <w:rPr>
          <w:rFonts w:ascii="Arial" w:hAnsi="Arial" w:cs="Arial"/>
          <w:sz w:val="22"/>
          <w:szCs w:val="22"/>
        </w:rPr>
        <w:t xml:space="preserve">Domestic violence and abuse (DVA) </w:t>
      </w:r>
      <w:proofErr w:type="gramStart"/>
      <w:r w:rsidRPr="00261738">
        <w:rPr>
          <w:rFonts w:ascii="Arial" w:hAnsi="Arial" w:cs="Arial"/>
          <w:sz w:val="22"/>
          <w:szCs w:val="22"/>
        </w:rPr>
        <w:t>is</w:t>
      </w:r>
      <w:proofErr w:type="gramEnd"/>
      <w:r w:rsidRPr="00261738">
        <w:rPr>
          <w:rFonts w:ascii="Arial" w:hAnsi="Arial" w:cs="Arial"/>
          <w:sz w:val="22"/>
          <w:szCs w:val="22"/>
        </w:rPr>
        <w:t xml:space="preserve"> a significant public health and social care concern that disproportionately affects women and is associated with physical, psychological, sexual and reproductive harms (World Health Organization, 202</w:t>
      </w:r>
      <w:r w:rsidR="00860304">
        <w:rPr>
          <w:rFonts w:ascii="Arial" w:hAnsi="Arial" w:cs="Arial"/>
          <w:sz w:val="22"/>
          <w:szCs w:val="22"/>
        </w:rPr>
        <w:t>4</w:t>
      </w:r>
      <w:r w:rsidRPr="00261738">
        <w:rPr>
          <w:rFonts w:ascii="Arial" w:hAnsi="Arial" w:cs="Arial"/>
          <w:sz w:val="22"/>
          <w:szCs w:val="22"/>
        </w:rPr>
        <w:t xml:space="preserve">). South Asian women (SAW) experiencing DVA may face intersecting cultural, social and migration-related pressures that influence their help-seeking </w:t>
      </w:r>
      <w:r w:rsidR="00D15AF9" w:rsidRPr="00261738">
        <w:rPr>
          <w:rFonts w:ascii="Arial" w:hAnsi="Arial" w:cs="Arial"/>
          <w:sz w:val="22"/>
          <w:szCs w:val="22"/>
        </w:rPr>
        <w:t>behaviours</w:t>
      </w:r>
      <w:r w:rsidR="00D15AF9">
        <w:rPr>
          <w:rFonts w:ascii="Arial" w:hAnsi="Arial" w:cs="Arial"/>
          <w:sz w:val="22"/>
          <w:szCs w:val="22"/>
        </w:rPr>
        <w:t xml:space="preserve">, </w:t>
      </w:r>
      <w:r w:rsidR="00D15AF9" w:rsidRPr="00261738">
        <w:rPr>
          <w:rFonts w:ascii="Arial" w:hAnsi="Arial" w:cs="Arial"/>
          <w:sz w:val="22"/>
          <w:szCs w:val="22"/>
        </w:rPr>
        <w:t>these</w:t>
      </w:r>
      <w:r w:rsidRPr="00261738">
        <w:rPr>
          <w:rFonts w:ascii="Arial" w:hAnsi="Arial" w:cs="Arial"/>
          <w:sz w:val="22"/>
          <w:szCs w:val="22"/>
        </w:rPr>
        <w:t xml:space="preserve"> may include expectations surrounding family honour and gender roles, stigma, fear of community judgement, insecure immigration status, language barriers and limited awareness of available services (Sultana et al., 2023; Baloch et al., 2025).</w:t>
      </w:r>
    </w:p>
    <w:p w14:paraId="0E4B1A14" w14:textId="77777777" w:rsidR="00261738" w:rsidRPr="00261738" w:rsidRDefault="00261738" w:rsidP="00261738">
      <w:pPr>
        <w:pStyle w:val="paragraph"/>
        <w:spacing w:after="0" w:line="360" w:lineRule="auto"/>
        <w:textAlignment w:val="baseline"/>
        <w:rPr>
          <w:rFonts w:ascii="Arial" w:hAnsi="Arial" w:cs="Arial"/>
          <w:sz w:val="22"/>
          <w:szCs w:val="22"/>
        </w:rPr>
      </w:pPr>
      <w:r w:rsidRPr="00261738">
        <w:rPr>
          <w:rFonts w:ascii="Arial" w:hAnsi="Arial" w:cs="Arial"/>
          <w:sz w:val="22"/>
          <w:szCs w:val="22"/>
        </w:rPr>
        <w:t>Although health and social care services can provide opportunities for disclosure and support, research indicates that South Asian women may encounter difficulties disclosing family violence and receiving responses that recognise their individual circumstances (Baloch et al., 2025). However, these experiences should not be assumed to be uniform across South Asian communities, as women’s circumstances, resources and support needs vary.</w:t>
      </w:r>
    </w:p>
    <w:p w14:paraId="3127F463" w14:textId="56135774" w:rsidR="00261738" w:rsidRPr="00261738" w:rsidRDefault="00261738" w:rsidP="00261738">
      <w:pPr>
        <w:pStyle w:val="paragraph"/>
        <w:spacing w:before="0" w:beforeAutospacing="0" w:after="0" w:afterAutospacing="0" w:line="360" w:lineRule="auto"/>
        <w:textAlignment w:val="baseline"/>
        <w:rPr>
          <w:rFonts w:ascii="Arial" w:hAnsi="Arial" w:cs="Arial"/>
          <w:sz w:val="22"/>
          <w:szCs w:val="22"/>
        </w:rPr>
      </w:pPr>
      <w:r w:rsidRPr="00261738">
        <w:rPr>
          <w:rFonts w:ascii="Arial" w:hAnsi="Arial" w:cs="Arial"/>
          <w:sz w:val="22"/>
          <w:szCs w:val="22"/>
        </w:rPr>
        <w:t>This dissertation critically reviews literature on cultural, social and migration-related influences on help-seeking among South Asian women experiencing DVA in the UK. Chapter 2 examines the historical, theoretical, international and UK contexts; Chapter 3 outlines the research methodology; Chapter 4 presents and critically discusses the findings; and Chapter 5 draws conclusions and makes evidence-informed recommendations for health and social care practice and policy.</w:t>
      </w:r>
    </w:p>
    <w:p w14:paraId="46B4DE9B" w14:textId="77777777" w:rsidR="00773697" w:rsidRDefault="00773697"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5B5FC031" w14:textId="035CF038" w:rsidR="00F42457" w:rsidRPr="0035142E" w:rsidRDefault="00BD2909" w:rsidP="00F42457">
      <w:pPr>
        <w:pStyle w:val="paragraph"/>
        <w:numPr>
          <w:ilvl w:val="1"/>
          <w:numId w:val="104"/>
        </w:numPr>
        <w:spacing w:before="0" w:beforeAutospacing="0" w:after="0" w:afterAutospacing="0" w:line="360" w:lineRule="auto"/>
        <w:textAlignment w:val="baseline"/>
        <w:rPr>
          <w:rStyle w:val="eop"/>
          <w:rFonts w:ascii="Arial" w:hAnsi="Arial" w:cs="Arial"/>
          <w:sz w:val="22"/>
          <w:szCs w:val="22"/>
          <w:u w:val="single"/>
        </w:rPr>
      </w:pPr>
      <w:r w:rsidRPr="0035142E">
        <w:rPr>
          <w:rStyle w:val="normaltextrun"/>
          <w:rFonts w:ascii="Arial" w:hAnsi="Arial" w:cs="Arial"/>
          <w:sz w:val="22"/>
          <w:szCs w:val="22"/>
          <w:u w:val="single"/>
        </w:rPr>
        <w:t xml:space="preserve">Definitions and Terminology </w:t>
      </w:r>
      <w:r w:rsidRPr="0035142E">
        <w:rPr>
          <w:rStyle w:val="eop"/>
          <w:rFonts w:ascii="Arial" w:hAnsi="Arial" w:cs="Arial"/>
          <w:sz w:val="22"/>
          <w:szCs w:val="22"/>
          <w:u w:val="single"/>
        </w:rPr>
        <w:t> </w:t>
      </w:r>
    </w:p>
    <w:p w14:paraId="7FF64174" w14:textId="6A81B91F" w:rsidR="00440133" w:rsidRPr="00F42457" w:rsidRDefault="00440133" w:rsidP="00F42457">
      <w:pPr>
        <w:pStyle w:val="paragraph"/>
        <w:spacing w:before="0" w:beforeAutospacing="0" w:after="0" w:afterAutospacing="0" w:line="360" w:lineRule="auto"/>
        <w:textAlignment w:val="baseline"/>
        <w:rPr>
          <w:rFonts w:ascii="Arial" w:hAnsi="Arial" w:cs="Arial"/>
          <w:color w:val="0F4761"/>
          <w:sz w:val="22"/>
          <w:szCs w:val="22"/>
        </w:rPr>
      </w:pPr>
      <w:r w:rsidRPr="00440133">
        <w:rPr>
          <w:rFonts w:ascii="Arial" w:hAnsi="Arial" w:cs="Arial"/>
          <w:sz w:val="22"/>
          <w:szCs w:val="22"/>
        </w:rPr>
        <w:t xml:space="preserve">Domestic violence and abuse (DVA) </w:t>
      </w:r>
      <w:r w:rsidR="000E3775" w:rsidRPr="00440133">
        <w:rPr>
          <w:rFonts w:ascii="Arial" w:hAnsi="Arial" w:cs="Arial"/>
          <w:sz w:val="22"/>
          <w:szCs w:val="22"/>
        </w:rPr>
        <w:t>refer</w:t>
      </w:r>
      <w:r w:rsidRPr="00440133">
        <w:rPr>
          <w:rFonts w:ascii="Arial" w:hAnsi="Arial" w:cs="Arial"/>
          <w:sz w:val="22"/>
          <w:szCs w:val="22"/>
        </w:rPr>
        <w:t xml:space="preserve"> to abusive behaviour between people aged 16 or over who are personally connected. Under section 1 of the Domestic Abuse Act 2021, abuse may include physical or sexual abuse, violent or threatening behaviour, controlling or coercive behaviour, economic abuse, and psychological, emotional or other abuse (Domestic Abuse Act 2021, s.1). This definition recognises that abuse can take different forms and does not have to involve physical violence.</w:t>
      </w:r>
    </w:p>
    <w:p w14:paraId="253A0125" w14:textId="77777777" w:rsidR="00440133" w:rsidRPr="00440133" w:rsidRDefault="00440133" w:rsidP="00F42457">
      <w:pPr>
        <w:pStyle w:val="NormalWeb"/>
        <w:spacing w:line="360" w:lineRule="auto"/>
        <w:rPr>
          <w:rFonts w:ascii="Arial" w:hAnsi="Arial" w:cs="Arial"/>
          <w:sz w:val="22"/>
          <w:szCs w:val="22"/>
        </w:rPr>
      </w:pPr>
    </w:p>
    <w:p w14:paraId="3D4AA19D" w14:textId="5182A823" w:rsidR="00440133" w:rsidRPr="00440133" w:rsidRDefault="00440133" w:rsidP="00F42457">
      <w:pPr>
        <w:pStyle w:val="NormalWeb"/>
        <w:spacing w:line="360" w:lineRule="auto"/>
        <w:rPr>
          <w:rFonts w:ascii="Arial" w:hAnsi="Arial" w:cs="Arial"/>
          <w:sz w:val="22"/>
          <w:szCs w:val="22"/>
        </w:rPr>
      </w:pPr>
      <w:r w:rsidRPr="00440133">
        <w:rPr>
          <w:rFonts w:ascii="Arial" w:hAnsi="Arial" w:cs="Arial"/>
          <w:sz w:val="22"/>
          <w:szCs w:val="22"/>
        </w:rPr>
        <w:t>For this dissertation, help-seeking</w:t>
      </w:r>
      <w:r w:rsidR="00DA337F">
        <w:rPr>
          <w:rFonts w:ascii="Arial" w:hAnsi="Arial" w:cs="Arial"/>
          <w:sz w:val="22"/>
          <w:szCs w:val="22"/>
        </w:rPr>
        <w:t xml:space="preserve"> re</w:t>
      </w:r>
      <w:r w:rsidRPr="00440133">
        <w:rPr>
          <w:rFonts w:ascii="Arial" w:hAnsi="Arial" w:cs="Arial"/>
          <w:sz w:val="22"/>
          <w:szCs w:val="22"/>
        </w:rPr>
        <w:t xml:space="preserve">fers to the process through which a person experiencing DVA recognises a need for assistance and considers, </w:t>
      </w:r>
      <w:r w:rsidR="00DA337F" w:rsidRPr="00440133">
        <w:rPr>
          <w:rFonts w:ascii="Arial" w:hAnsi="Arial" w:cs="Arial"/>
          <w:sz w:val="22"/>
          <w:szCs w:val="22"/>
        </w:rPr>
        <w:t>accesses,</w:t>
      </w:r>
      <w:r w:rsidRPr="00440133">
        <w:rPr>
          <w:rFonts w:ascii="Arial" w:hAnsi="Arial" w:cs="Arial"/>
          <w:sz w:val="22"/>
          <w:szCs w:val="22"/>
        </w:rPr>
        <w:t xml:space="preserve"> or attempts to access informal or formal support. This may include seeking help from trusted individuals, healthcare professionals, social care services, specialist domestic abuse </w:t>
      </w:r>
      <w:r w:rsidR="00DA337F" w:rsidRPr="00440133">
        <w:rPr>
          <w:rFonts w:ascii="Arial" w:hAnsi="Arial" w:cs="Arial"/>
          <w:sz w:val="22"/>
          <w:szCs w:val="22"/>
        </w:rPr>
        <w:t>organisations,</w:t>
      </w:r>
      <w:r w:rsidRPr="00440133">
        <w:rPr>
          <w:rFonts w:ascii="Arial" w:hAnsi="Arial" w:cs="Arial"/>
          <w:sz w:val="22"/>
          <w:szCs w:val="22"/>
        </w:rPr>
        <w:t xml:space="preserve"> or community-based services. Help-seeking may involve disclosure, but disclosure and access to effective support are not necessarily the same: a woman may disclose abuse without receiving an appropriate response (Sultana et al., 2023; Baloch et al., 2025).</w:t>
      </w:r>
    </w:p>
    <w:p w14:paraId="7326CE36" w14:textId="77777777" w:rsidR="00440133" w:rsidRPr="00440133" w:rsidRDefault="00440133" w:rsidP="00F42457">
      <w:pPr>
        <w:pStyle w:val="NormalWeb"/>
        <w:spacing w:line="360" w:lineRule="auto"/>
        <w:rPr>
          <w:rFonts w:ascii="Arial" w:hAnsi="Arial" w:cs="Arial"/>
          <w:sz w:val="22"/>
          <w:szCs w:val="22"/>
        </w:rPr>
      </w:pPr>
    </w:p>
    <w:p w14:paraId="32C1E714" w14:textId="41F4A2B5" w:rsidR="00440133" w:rsidRPr="00440133" w:rsidRDefault="00440133" w:rsidP="00F42457">
      <w:pPr>
        <w:pStyle w:val="NormalWeb"/>
        <w:spacing w:line="360" w:lineRule="auto"/>
        <w:rPr>
          <w:rFonts w:ascii="Arial" w:hAnsi="Arial" w:cs="Arial"/>
          <w:sz w:val="22"/>
          <w:szCs w:val="22"/>
        </w:rPr>
      </w:pPr>
      <w:r w:rsidRPr="00440133">
        <w:rPr>
          <w:rFonts w:ascii="Arial" w:hAnsi="Arial" w:cs="Arial"/>
          <w:sz w:val="22"/>
          <w:szCs w:val="22"/>
        </w:rPr>
        <w:t>For the purposes of this review, South Asian women refers to women of Pakistani, Indian, Bangladeshi, Sri Lankan and Nepali heritage living in the UK. This is an operational definition for the dissertation rather than a claim that these communities share a single culture or set of experiences. The review considers migration-related pressures where they are relevant, while recognising that not every South Asian woman is a migrant or experiences immigration-related insecurity.</w:t>
      </w:r>
    </w:p>
    <w:p w14:paraId="53CAAEAD" w14:textId="77777777" w:rsidR="00440133" w:rsidRPr="00440133" w:rsidRDefault="00440133" w:rsidP="00F42457">
      <w:pPr>
        <w:pStyle w:val="NormalWeb"/>
        <w:spacing w:line="360" w:lineRule="auto"/>
        <w:rPr>
          <w:rFonts w:ascii="Arial" w:hAnsi="Arial" w:cs="Arial"/>
          <w:sz w:val="22"/>
          <w:szCs w:val="22"/>
        </w:rPr>
      </w:pPr>
    </w:p>
    <w:p w14:paraId="13389C04" w14:textId="08F34709" w:rsidR="00440133" w:rsidRDefault="00440133" w:rsidP="00F42457">
      <w:pPr>
        <w:pStyle w:val="NormalWeb"/>
        <w:spacing w:line="360" w:lineRule="auto"/>
        <w:rPr>
          <w:rFonts w:ascii="Arial" w:hAnsi="Arial" w:cs="Arial"/>
          <w:sz w:val="22"/>
          <w:szCs w:val="22"/>
        </w:rPr>
      </w:pPr>
      <w:r w:rsidRPr="00440133">
        <w:rPr>
          <w:rFonts w:ascii="Arial" w:hAnsi="Arial" w:cs="Arial"/>
          <w:sz w:val="22"/>
          <w:szCs w:val="22"/>
        </w:rPr>
        <w:t>Cultural pressures</w:t>
      </w:r>
      <w:r>
        <w:rPr>
          <w:rFonts w:ascii="Arial" w:hAnsi="Arial" w:cs="Arial"/>
          <w:sz w:val="22"/>
          <w:szCs w:val="22"/>
        </w:rPr>
        <w:t xml:space="preserve"> </w:t>
      </w:r>
      <w:r w:rsidRPr="00440133">
        <w:rPr>
          <w:rFonts w:ascii="Arial" w:hAnsi="Arial" w:cs="Arial"/>
          <w:sz w:val="22"/>
          <w:szCs w:val="22"/>
        </w:rPr>
        <w:t xml:space="preserve">refer to expectations and beliefs concerning family relationships, gender roles, </w:t>
      </w:r>
      <w:r w:rsidR="00DA337F" w:rsidRPr="00440133">
        <w:rPr>
          <w:rFonts w:ascii="Arial" w:hAnsi="Arial" w:cs="Arial"/>
          <w:sz w:val="22"/>
          <w:szCs w:val="22"/>
        </w:rPr>
        <w:t>marriage,</w:t>
      </w:r>
      <w:r w:rsidRPr="00440133">
        <w:rPr>
          <w:rFonts w:ascii="Arial" w:hAnsi="Arial" w:cs="Arial"/>
          <w:sz w:val="22"/>
          <w:szCs w:val="22"/>
        </w:rPr>
        <w:t xml:space="preserve"> and family reputation</w:t>
      </w:r>
      <w:r w:rsidR="00877183" w:rsidRPr="00877183">
        <w:t xml:space="preserve"> </w:t>
      </w:r>
      <w:r w:rsidR="00877183" w:rsidRPr="00877183">
        <w:rPr>
          <w:rFonts w:ascii="Arial" w:hAnsi="Arial" w:cs="Arial"/>
          <w:sz w:val="22"/>
          <w:szCs w:val="22"/>
        </w:rPr>
        <w:t>(</w:t>
      </w:r>
      <w:proofErr w:type="spellStart"/>
      <w:r w:rsidR="00877183" w:rsidRPr="00877183">
        <w:rPr>
          <w:rFonts w:ascii="Arial" w:hAnsi="Arial" w:cs="Arial"/>
          <w:sz w:val="22"/>
          <w:szCs w:val="22"/>
        </w:rPr>
        <w:t>Raesi</w:t>
      </w:r>
      <w:proofErr w:type="spellEnd"/>
      <w:r w:rsidR="00877183" w:rsidRPr="00877183">
        <w:rPr>
          <w:rFonts w:ascii="Arial" w:hAnsi="Arial" w:cs="Arial"/>
          <w:sz w:val="22"/>
          <w:szCs w:val="22"/>
        </w:rPr>
        <w:t xml:space="preserve"> et al., 2025)</w:t>
      </w:r>
      <w:r w:rsidRPr="00440133">
        <w:rPr>
          <w:rFonts w:ascii="Arial" w:hAnsi="Arial" w:cs="Arial"/>
          <w:sz w:val="22"/>
          <w:szCs w:val="22"/>
        </w:rPr>
        <w:t xml:space="preserve">. Social pressures include stigma, fear of judgement, social </w:t>
      </w:r>
      <w:r w:rsidR="00DA337F" w:rsidRPr="00440133">
        <w:rPr>
          <w:rFonts w:ascii="Arial" w:hAnsi="Arial" w:cs="Arial"/>
          <w:sz w:val="22"/>
          <w:szCs w:val="22"/>
        </w:rPr>
        <w:t>exclusion,</w:t>
      </w:r>
      <w:r w:rsidRPr="00440133">
        <w:rPr>
          <w:rFonts w:ascii="Arial" w:hAnsi="Arial" w:cs="Arial"/>
          <w:sz w:val="22"/>
          <w:szCs w:val="22"/>
        </w:rPr>
        <w:t xml:space="preserve"> and concerns about community responses. Migration-related pressures</w:t>
      </w:r>
      <w:r w:rsidR="00AE3CC5">
        <w:rPr>
          <w:rFonts w:ascii="Arial" w:hAnsi="Arial" w:cs="Arial"/>
          <w:sz w:val="22"/>
          <w:szCs w:val="22"/>
        </w:rPr>
        <w:t xml:space="preserve"> </w:t>
      </w:r>
      <w:r w:rsidRPr="00440133">
        <w:rPr>
          <w:rFonts w:ascii="Arial" w:hAnsi="Arial" w:cs="Arial"/>
          <w:sz w:val="22"/>
          <w:szCs w:val="22"/>
        </w:rPr>
        <w:t xml:space="preserve">include insecure immigration status, concerns about residency, language and communication barriers, financial </w:t>
      </w:r>
      <w:r w:rsidR="00DA337F" w:rsidRPr="00440133">
        <w:rPr>
          <w:rFonts w:ascii="Arial" w:hAnsi="Arial" w:cs="Arial"/>
          <w:sz w:val="22"/>
          <w:szCs w:val="22"/>
        </w:rPr>
        <w:t>dependency,</w:t>
      </w:r>
      <w:r w:rsidRPr="00440133">
        <w:rPr>
          <w:rFonts w:ascii="Arial" w:hAnsi="Arial" w:cs="Arial"/>
          <w:sz w:val="22"/>
          <w:szCs w:val="22"/>
        </w:rPr>
        <w:t xml:space="preserve"> and limited knowledge of support services.</w:t>
      </w:r>
      <w:r w:rsidR="00B36C1C" w:rsidRPr="00B36C1C">
        <w:t xml:space="preserve"> </w:t>
      </w:r>
      <w:r w:rsidR="00B36C1C" w:rsidRPr="00B36C1C">
        <w:rPr>
          <w:rFonts w:ascii="Arial" w:hAnsi="Arial" w:cs="Arial"/>
          <w:sz w:val="22"/>
          <w:szCs w:val="22"/>
        </w:rPr>
        <w:t>(Sultana et al., 2024)</w:t>
      </w:r>
      <w:r w:rsidRPr="00440133">
        <w:rPr>
          <w:rFonts w:ascii="Arial" w:hAnsi="Arial" w:cs="Arial"/>
          <w:sz w:val="22"/>
          <w:szCs w:val="22"/>
        </w:rPr>
        <w:t xml:space="preserve"> These categories may overlap, and their significance depends on each woman’s circumstances.</w:t>
      </w:r>
    </w:p>
    <w:p w14:paraId="13AB5F5C" w14:textId="6E7B820A" w:rsidR="00ED30D7" w:rsidRPr="00DB37A9" w:rsidRDefault="00ED30D7" w:rsidP="00F42457">
      <w:pPr>
        <w:pStyle w:val="NormalWeb"/>
        <w:spacing w:line="360" w:lineRule="auto"/>
        <w:rPr>
          <w:rFonts w:ascii="Arial" w:hAnsi="Arial" w:cs="Arial"/>
          <w:sz w:val="22"/>
          <w:szCs w:val="22"/>
        </w:rPr>
      </w:pPr>
      <w:r w:rsidRPr="00DB37A9">
        <w:rPr>
          <w:rFonts w:ascii="Arial" w:hAnsi="Arial" w:cs="Arial"/>
          <w:sz w:val="22"/>
          <w:szCs w:val="22"/>
        </w:rPr>
        <w:t>To support clarity and consistency, the following acronyms and abbreviations are used throughout this dissertation:</w:t>
      </w:r>
    </w:p>
    <w:p w14:paraId="3075FEB3" w14:textId="5072ACAF" w:rsidR="00ED30D7" w:rsidRPr="00DB37A9" w:rsidRDefault="00ED30D7" w:rsidP="00DB37A9">
      <w:pPr>
        <w:pStyle w:val="NormalWeb"/>
        <w:numPr>
          <w:ilvl w:val="0"/>
          <w:numId w:val="101"/>
        </w:numPr>
        <w:spacing w:line="360" w:lineRule="auto"/>
        <w:rPr>
          <w:rFonts w:ascii="Arial" w:hAnsi="Arial" w:cs="Arial"/>
          <w:sz w:val="22"/>
          <w:szCs w:val="22"/>
        </w:rPr>
      </w:pPr>
      <w:r w:rsidRPr="00DB37A9">
        <w:rPr>
          <w:rFonts w:ascii="Arial" w:hAnsi="Arial" w:cs="Arial"/>
          <w:b/>
          <w:bCs/>
          <w:sz w:val="22"/>
          <w:szCs w:val="22"/>
        </w:rPr>
        <w:t>DVA</w:t>
      </w:r>
      <w:r w:rsidRPr="00DB37A9">
        <w:rPr>
          <w:rFonts w:ascii="Arial" w:hAnsi="Arial" w:cs="Arial"/>
          <w:sz w:val="22"/>
          <w:szCs w:val="22"/>
        </w:rPr>
        <w:t xml:space="preserve"> – Domestic Violence and Abuse: A broad term encompassing physical, emotional, sexual, </w:t>
      </w:r>
      <w:r w:rsidR="00DA337F" w:rsidRPr="00DB37A9">
        <w:rPr>
          <w:rFonts w:ascii="Arial" w:hAnsi="Arial" w:cs="Arial"/>
          <w:sz w:val="22"/>
          <w:szCs w:val="22"/>
        </w:rPr>
        <w:t>financial,</w:t>
      </w:r>
      <w:r w:rsidRPr="00DB37A9">
        <w:rPr>
          <w:rFonts w:ascii="Arial" w:hAnsi="Arial" w:cs="Arial"/>
          <w:sz w:val="22"/>
          <w:szCs w:val="22"/>
        </w:rPr>
        <w:t xml:space="preserve"> and coercive abuse.</w:t>
      </w:r>
    </w:p>
    <w:p w14:paraId="39B8EE4C" w14:textId="77777777" w:rsidR="00ED30D7" w:rsidRPr="00DB37A9" w:rsidRDefault="00ED30D7" w:rsidP="00DB37A9">
      <w:pPr>
        <w:pStyle w:val="NormalWeb"/>
        <w:numPr>
          <w:ilvl w:val="0"/>
          <w:numId w:val="101"/>
        </w:numPr>
        <w:spacing w:line="360" w:lineRule="auto"/>
        <w:rPr>
          <w:rFonts w:ascii="Arial" w:hAnsi="Arial" w:cs="Arial"/>
          <w:sz w:val="22"/>
          <w:szCs w:val="22"/>
        </w:rPr>
      </w:pPr>
      <w:r w:rsidRPr="00DB37A9">
        <w:rPr>
          <w:rFonts w:ascii="Arial" w:hAnsi="Arial" w:cs="Arial"/>
          <w:b/>
          <w:bCs/>
          <w:sz w:val="22"/>
          <w:szCs w:val="22"/>
        </w:rPr>
        <w:t>IPV</w:t>
      </w:r>
      <w:r w:rsidRPr="00DB37A9">
        <w:rPr>
          <w:rFonts w:ascii="Arial" w:hAnsi="Arial" w:cs="Arial"/>
          <w:sz w:val="22"/>
          <w:szCs w:val="22"/>
        </w:rPr>
        <w:t xml:space="preserve"> – Intimate Partner Violence: Abuse occurring within intimate relationships; relevant as many South Asian women experience DVA within marital or partner contexts.</w:t>
      </w:r>
    </w:p>
    <w:p w14:paraId="069AA837" w14:textId="77777777" w:rsidR="00ED30D7" w:rsidRPr="00DB37A9" w:rsidRDefault="00ED30D7" w:rsidP="00DB37A9">
      <w:pPr>
        <w:pStyle w:val="NormalWeb"/>
        <w:numPr>
          <w:ilvl w:val="0"/>
          <w:numId w:val="101"/>
        </w:numPr>
        <w:spacing w:line="360" w:lineRule="auto"/>
        <w:rPr>
          <w:rFonts w:ascii="Arial" w:hAnsi="Arial" w:cs="Arial"/>
          <w:sz w:val="22"/>
          <w:szCs w:val="22"/>
        </w:rPr>
      </w:pPr>
      <w:r w:rsidRPr="00DB37A9">
        <w:rPr>
          <w:rFonts w:ascii="Arial" w:hAnsi="Arial" w:cs="Arial"/>
          <w:b/>
          <w:bCs/>
          <w:sz w:val="22"/>
          <w:szCs w:val="22"/>
        </w:rPr>
        <w:lastRenderedPageBreak/>
        <w:t>NHS</w:t>
      </w:r>
      <w:r w:rsidRPr="00DB37A9">
        <w:rPr>
          <w:rFonts w:ascii="Arial" w:hAnsi="Arial" w:cs="Arial"/>
          <w:sz w:val="22"/>
          <w:szCs w:val="22"/>
        </w:rPr>
        <w:t xml:space="preserve"> – National Health Service: The UK’s publicly funded healthcare system, often a key point of contact for disclosure.</w:t>
      </w:r>
    </w:p>
    <w:p w14:paraId="7633E7D8" w14:textId="77777777" w:rsidR="00ED30D7" w:rsidRPr="00DB37A9" w:rsidRDefault="00ED30D7" w:rsidP="00DB37A9">
      <w:pPr>
        <w:pStyle w:val="NormalWeb"/>
        <w:numPr>
          <w:ilvl w:val="0"/>
          <w:numId w:val="101"/>
        </w:numPr>
        <w:spacing w:line="360" w:lineRule="auto"/>
        <w:rPr>
          <w:rFonts w:ascii="Arial" w:hAnsi="Arial" w:cs="Arial"/>
          <w:sz w:val="22"/>
          <w:szCs w:val="22"/>
        </w:rPr>
      </w:pPr>
      <w:r w:rsidRPr="00DB37A9">
        <w:rPr>
          <w:rFonts w:ascii="Arial" w:hAnsi="Arial" w:cs="Arial"/>
          <w:b/>
          <w:bCs/>
          <w:sz w:val="22"/>
          <w:szCs w:val="22"/>
        </w:rPr>
        <w:t>NGO</w:t>
      </w:r>
      <w:r w:rsidRPr="00DB37A9">
        <w:rPr>
          <w:rFonts w:ascii="Arial" w:hAnsi="Arial" w:cs="Arial"/>
          <w:sz w:val="22"/>
          <w:szCs w:val="22"/>
        </w:rPr>
        <w:t xml:space="preserve"> – Non</w:t>
      </w:r>
      <w:r w:rsidRPr="00DB37A9">
        <w:rPr>
          <w:rFonts w:ascii="Arial" w:hAnsi="Arial" w:cs="Arial"/>
          <w:sz w:val="22"/>
          <w:szCs w:val="22"/>
        </w:rPr>
        <w:noBreakHyphen/>
        <w:t>Governmental Organisation: Independent organisations providing specialist support, including domestic abuse services.</w:t>
      </w:r>
    </w:p>
    <w:p w14:paraId="40524D91" w14:textId="77777777" w:rsidR="00ED30D7" w:rsidRPr="00DB37A9" w:rsidRDefault="00ED30D7" w:rsidP="00DB37A9">
      <w:pPr>
        <w:pStyle w:val="NormalWeb"/>
        <w:numPr>
          <w:ilvl w:val="0"/>
          <w:numId w:val="101"/>
        </w:numPr>
        <w:spacing w:line="360" w:lineRule="auto"/>
        <w:rPr>
          <w:rFonts w:ascii="Arial" w:hAnsi="Arial" w:cs="Arial"/>
          <w:sz w:val="22"/>
          <w:szCs w:val="22"/>
        </w:rPr>
      </w:pPr>
      <w:r w:rsidRPr="00DB37A9">
        <w:rPr>
          <w:rFonts w:ascii="Arial" w:hAnsi="Arial" w:cs="Arial"/>
          <w:b/>
          <w:bCs/>
          <w:sz w:val="22"/>
          <w:szCs w:val="22"/>
        </w:rPr>
        <w:t>UK</w:t>
      </w:r>
      <w:r w:rsidRPr="00DB37A9">
        <w:rPr>
          <w:rFonts w:ascii="Arial" w:hAnsi="Arial" w:cs="Arial"/>
          <w:sz w:val="22"/>
          <w:szCs w:val="22"/>
        </w:rPr>
        <w:t xml:space="preserve"> </w:t>
      </w:r>
      <w:r w:rsidRPr="00DB37A9">
        <w:rPr>
          <w:rFonts w:ascii="Arial" w:hAnsi="Arial" w:cs="Arial"/>
          <w:i/>
          <w:iCs/>
          <w:sz w:val="22"/>
          <w:szCs w:val="22"/>
        </w:rPr>
        <w:t>–</w:t>
      </w:r>
      <w:r w:rsidRPr="00DB37A9">
        <w:rPr>
          <w:rFonts w:ascii="Arial" w:hAnsi="Arial" w:cs="Arial"/>
          <w:sz w:val="22"/>
          <w:szCs w:val="22"/>
        </w:rPr>
        <w:t xml:space="preserve"> United Kingdom</w:t>
      </w:r>
      <w:r w:rsidRPr="00DB37A9">
        <w:rPr>
          <w:rFonts w:ascii="Arial" w:hAnsi="Arial" w:cs="Arial"/>
          <w:i/>
          <w:iCs/>
          <w:sz w:val="22"/>
          <w:szCs w:val="22"/>
        </w:rPr>
        <w:t>:</w:t>
      </w:r>
      <w:r w:rsidRPr="00DB37A9">
        <w:rPr>
          <w:rFonts w:ascii="Arial" w:hAnsi="Arial" w:cs="Arial"/>
          <w:sz w:val="22"/>
          <w:szCs w:val="22"/>
        </w:rPr>
        <w:t xml:space="preserve"> The national context in which this dissertation is situated.</w:t>
      </w:r>
    </w:p>
    <w:p w14:paraId="30769682" w14:textId="4EED2FA0" w:rsidR="00ED30D7" w:rsidRPr="00DB37A9" w:rsidRDefault="00ED30D7" w:rsidP="00DB37A9">
      <w:pPr>
        <w:pStyle w:val="NormalWeb"/>
        <w:spacing w:line="360" w:lineRule="auto"/>
        <w:rPr>
          <w:rFonts w:ascii="Arial" w:hAnsi="Arial" w:cs="Arial"/>
          <w:sz w:val="22"/>
          <w:szCs w:val="22"/>
        </w:rPr>
      </w:pPr>
      <w:r w:rsidRPr="00DB37A9">
        <w:rPr>
          <w:rFonts w:ascii="Arial" w:hAnsi="Arial" w:cs="Arial"/>
          <w:sz w:val="22"/>
          <w:szCs w:val="22"/>
        </w:rPr>
        <w:t>These abbreviations are used consistently to support readability and ensure that readers can easily refer to key terms.</w:t>
      </w:r>
    </w:p>
    <w:p w14:paraId="4AF5E9EB" w14:textId="77777777" w:rsidR="00ED30D7" w:rsidRPr="00DB37A9" w:rsidRDefault="00ED30D7" w:rsidP="00DB37A9">
      <w:pPr>
        <w:pStyle w:val="NormalWeb"/>
        <w:spacing w:line="360" w:lineRule="auto"/>
        <w:rPr>
          <w:rFonts w:ascii="Arial" w:hAnsi="Arial" w:cs="Arial"/>
          <w:sz w:val="22"/>
          <w:szCs w:val="22"/>
        </w:rPr>
      </w:pPr>
    </w:p>
    <w:p w14:paraId="4BC66D2F" w14:textId="5B317F6B" w:rsidR="00BD2909" w:rsidRPr="00DB37A9" w:rsidRDefault="00BD2909" w:rsidP="00DB37A9">
      <w:pPr>
        <w:pStyle w:val="paragraph"/>
        <w:spacing w:before="0" w:beforeAutospacing="0" w:after="0" w:afterAutospacing="0" w:line="360" w:lineRule="auto"/>
        <w:ind w:left="1080"/>
        <w:textAlignment w:val="baseline"/>
        <w:rPr>
          <w:rFonts w:ascii="Arial" w:hAnsi="Arial" w:cs="Arial"/>
          <w:sz w:val="22"/>
          <w:szCs w:val="22"/>
        </w:rPr>
      </w:pPr>
      <w:r w:rsidRPr="00DB37A9">
        <w:rPr>
          <w:rStyle w:val="eop"/>
          <w:rFonts w:ascii="Arial" w:hAnsi="Arial" w:cs="Arial"/>
          <w:sz w:val="22"/>
          <w:szCs w:val="22"/>
        </w:rPr>
        <w:t>  </w:t>
      </w:r>
    </w:p>
    <w:p w14:paraId="165773A7" w14:textId="70891BB6" w:rsidR="00BD2909" w:rsidRPr="00DB37A9" w:rsidRDefault="00BD2909" w:rsidP="00650CFB">
      <w:pPr>
        <w:pStyle w:val="paragraph"/>
        <w:spacing w:before="0" w:beforeAutospacing="0" w:after="0" w:afterAutospacing="0" w:line="360" w:lineRule="auto"/>
        <w:textAlignment w:val="baseline"/>
        <w:rPr>
          <w:rFonts w:ascii="Arial" w:hAnsi="Arial" w:cs="Arial"/>
          <w:color w:val="0F4761"/>
          <w:sz w:val="22"/>
          <w:szCs w:val="22"/>
        </w:rPr>
      </w:pPr>
    </w:p>
    <w:p w14:paraId="0187E824" w14:textId="6FCDD543" w:rsidR="0020590F" w:rsidRPr="00DB37A9" w:rsidRDefault="00B81F2E" w:rsidP="00DB37A9">
      <w:pPr>
        <w:pStyle w:val="paragraph"/>
        <w:tabs>
          <w:tab w:val="num" w:pos="0"/>
        </w:tabs>
        <w:spacing w:before="0" w:beforeAutospacing="0" w:after="0" w:afterAutospacing="0" w:line="360" w:lineRule="auto"/>
        <w:textAlignment w:val="baseline"/>
        <w:rPr>
          <w:rStyle w:val="normaltextrun"/>
          <w:rFonts w:ascii="Arial" w:hAnsi="Arial" w:cs="Arial"/>
          <w:b/>
          <w:bCs/>
          <w:sz w:val="22"/>
          <w:szCs w:val="22"/>
        </w:rPr>
      </w:pPr>
      <w:r w:rsidRPr="00DB37A9">
        <w:rPr>
          <w:rStyle w:val="normaltextrun"/>
          <w:rFonts w:ascii="Arial" w:hAnsi="Arial" w:cs="Arial"/>
          <w:b/>
          <w:bCs/>
          <w:sz w:val="22"/>
          <w:szCs w:val="22"/>
        </w:rPr>
        <w:t>Background</w:t>
      </w:r>
    </w:p>
    <w:p w14:paraId="7264DA5E" w14:textId="32D9CB76" w:rsidR="008E7D0B" w:rsidRDefault="00BF2FD7" w:rsidP="002E7026">
      <w:pPr>
        <w:pStyle w:val="paragraph"/>
        <w:tabs>
          <w:tab w:val="num" w:pos="0"/>
        </w:tabs>
        <w:spacing w:after="0" w:line="360" w:lineRule="auto"/>
        <w:textAlignment w:val="baseline"/>
        <w:rPr>
          <w:rFonts w:ascii="Arial" w:hAnsi="Arial" w:cs="Arial"/>
          <w:sz w:val="22"/>
          <w:szCs w:val="22"/>
        </w:rPr>
      </w:pPr>
      <w:r w:rsidRPr="00BF2FD7">
        <w:rPr>
          <w:rFonts w:ascii="Arial" w:hAnsi="Arial" w:cs="Arial"/>
          <w:sz w:val="22"/>
          <w:szCs w:val="22"/>
        </w:rPr>
        <w:t xml:space="preserve">Domestic violence and abuse </w:t>
      </w:r>
      <w:r w:rsidR="00EB2B5B" w:rsidRPr="00BF2FD7">
        <w:rPr>
          <w:rFonts w:ascii="Arial" w:hAnsi="Arial" w:cs="Arial"/>
          <w:sz w:val="22"/>
          <w:szCs w:val="22"/>
        </w:rPr>
        <w:t>have</w:t>
      </w:r>
      <w:r w:rsidRPr="00BF2FD7">
        <w:rPr>
          <w:rFonts w:ascii="Arial" w:hAnsi="Arial" w:cs="Arial"/>
          <w:sz w:val="22"/>
          <w:szCs w:val="22"/>
        </w:rPr>
        <w:t xml:space="preserve"> increasingly been recognised as a social and public health issue rather than solely a private family matter. Feminist activism during the 1970s helped bring violence against women into public debate and supported the development of refuge and advocacy services</w:t>
      </w:r>
      <w:r w:rsidR="00E67E8B" w:rsidRPr="00E67E8B">
        <w:t xml:space="preserve"> </w:t>
      </w:r>
      <w:r w:rsidR="00E67E8B" w:rsidRPr="00E67E8B">
        <w:rPr>
          <w:rFonts w:ascii="Arial" w:hAnsi="Arial" w:cs="Arial"/>
          <w:sz w:val="22"/>
          <w:szCs w:val="22"/>
        </w:rPr>
        <w:t>(Women’s aid, 2021)</w:t>
      </w:r>
      <w:r w:rsidRPr="00BF2FD7">
        <w:rPr>
          <w:rFonts w:ascii="Arial" w:hAnsi="Arial" w:cs="Arial"/>
          <w:sz w:val="22"/>
          <w:szCs w:val="22"/>
        </w:rPr>
        <w:t xml:space="preserve">. The establishment of Chiswick Women’s Aid in 1971 and the formation of the National Women’s Aid Federation in 1974 were important developments in Britain’s response to domestic abuse </w:t>
      </w:r>
      <w:r w:rsidR="000611E2" w:rsidRPr="000611E2">
        <w:rPr>
          <w:rFonts w:ascii="Arial" w:hAnsi="Arial" w:cs="Arial"/>
          <w:sz w:val="22"/>
          <w:szCs w:val="22"/>
        </w:rPr>
        <w:t>(The National Archives, 2024)</w:t>
      </w:r>
      <w:r w:rsidRPr="00BF2FD7">
        <w:rPr>
          <w:rFonts w:ascii="Arial" w:hAnsi="Arial" w:cs="Arial"/>
          <w:sz w:val="22"/>
          <w:szCs w:val="22"/>
        </w:rPr>
        <w:t>.</w:t>
      </w:r>
      <w:r w:rsidR="002E7026">
        <w:rPr>
          <w:rFonts w:ascii="Arial" w:hAnsi="Arial" w:cs="Arial"/>
          <w:sz w:val="22"/>
          <w:szCs w:val="22"/>
        </w:rPr>
        <w:t xml:space="preserve"> </w:t>
      </w:r>
      <w:r w:rsidRPr="00BF2FD7">
        <w:rPr>
          <w:rFonts w:ascii="Arial" w:hAnsi="Arial" w:cs="Arial"/>
          <w:sz w:val="22"/>
          <w:szCs w:val="22"/>
        </w:rPr>
        <w:t xml:space="preserve">Subsequent legislative developments include the Domestic Violence, Crime and Victims Act 2004 and the Domestic Abuse Act 2021. The latter introduced a statutory definition of domestic abuse, while accompanying statutory guidance sets out expectations and good practice for identifying abuse, supporting victims and coordinating agency responses (Domestic Abuse Act 2021; Home Office, 2022). Nevertheless, the existence of legislation does not by itself ensure that all women can access safe, </w:t>
      </w:r>
      <w:r w:rsidR="00E3176D" w:rsidRPr="00BF2FD7">
        <w:rPr>
          <w:rFonts w:ascii="Arial" w:hAnsi="Arial" w:cs="Arial"/>
          <w:sz w:val="22"/>
          <w:szCs w:val="22"/>
        </w:rPr>
        <w:t>appropriate,</w:t>
      </w:r>
      <w:r w:rsidRPr="00BF2FD7">
        <w:rPr>
          <w:rFonts w:ascii="Arial" w:hAnsi="Arial" w:cs="Arial"/>
          <w:sz w:val="22"/>
          <w:szCs w:val="22"/>
        </w:rPr>
        <w:t xml:space="preserve"> and culturally responsive support.</w:t>
      </w:r>
      <w:r w:rsidR="00C14718">
        <w:rPr>
          <w:rFonts w:ascii="Arial" w:hAnsi="Arial" w:cs="Arial"/>
          <w:sz w:val="22"/>
          <w:szCs w:val="22"/>
        </w:rPr>
        <w:t xml:space="preserve"> </w:t>
      </w:r>
    </w:p>
    <w:p w14:paraId="0EFB1735" w14:textId="22BD4F6E" w:rsidR="00047582" w:rsidRPr="003F6110" w:rsidRDefault="00BF2FD7" w:rsidP="008E7D0B">
      <w:pPr>
        <w:pStyle w:val="paragraph"/>
        <w:tabs>
          <w:tab w:val="num" w:pos="0"/>
        </w:tabs>
        <w:spacing w:after="0" w:line="360" w:lineRule="auto"/>
        <w:textAlignment w:val="baseline"/>
        <w:rPr>
          <w:rFonts w:ascii="Arial" w:hAnsi="Arial" w:cs="Arial"/>
          <w:b/>
          <w:bCs/>
          <w:sz w:val="22"/>
          <w:szCs w:val="22"/>
        </w:rPr>
      </w:pPr>
      <w:r w:rsidRPr="003F6110">
        <w:rPr>
          <w:rFonts w:ascii="Arial" w:hAnsi="Arial" w:cs="Arial"/>
          <w:b/>
          <w:bCs/>
          <w:sz w:val="22"/>
          <w:szCs w:val="22"/>
        </w:rPr>
        <w:t>Current</w:t>
      </w:r>
      <w:r w:rsidR="000D6612" w:rsidRPr="003F6110">
        <w:rPr>
          <w:rFonts w:ascii="Arial" w:hAnsi="Arial" w:cs="Arial"/>
          <w:b/>
          <w:bCs/>
          <w:sz w:val="22"/>
          <w:szCs w:val="22"/>
        </w:rPr>
        <w:t xml:space="preserve"> Context</w:t>
      </w:r>
      <w:r w:rsidR="000866E6" w:rsidRPr="003F6110">
        <w:rPr>
          <w:rFonts w:ascii="Arial" w:hAnsi="Arial" w:cs="Arial"/>
          <w:b/>
          <w:bCs/>
          <w:sz w:val="22"/>
          <w:szCs w:val="22"/>
        </w:rPr>
        <w:t>:</w:t>
      </w:r>
    </w:p>
    <w:p w14:paraId="2A8A7FA5" w14:textId="2EAFDFF5" w:rsidR="00A5096C" w:rsidRDefault="00BF2FD7" w:rsidP="008E7D0B">
      <w:pPr>
        <w:pStyle w:val="paragraph"/>
        <w:tabs>
          <w:tab w:val="num" w:pos="0"/>
        </w:tabs>
        <w:spacing w:after="0" w:line="360" w:lineRule="auto"/>
        <w:textAlignment w:val="baseline"/>
        <w:rPr>
          <w:rFonts w:ascii="Arial" w:hAnsi="Arial" w:cs="Arial"/>
          <w:sz w:val="22"/>
          <w:szCs w:val="22"/>
        </w:rPr>
      </w:pPr>
      <w:r w:rsidRPr="00BF2FD7">
        <w:rPr>
          <w:rFonts w:ascii="Arial" w:hAnsi="Arial" w:cs="Arial"/>
          <w:sz w:val="22"/>
          <w:szCs w:val="22"/>
        </w:rPr>
        <w:t xml:space="preserve">The Crime Survey for England and Wales estimated that 2.2 million females aged 16 and over experienced domestic abuse in the year ending March 2025, equivalent to 9.1% of females in this age group </w:t>
      </w:r>
      <w:r w:rsidR="006039DC" w:rsidRPr="006039DC">
        <w:rPr>
          <w:rFonts w:ascii="Arial" w:hAnsi="Arial" w:cs="Arial"/>
          <w:sz w:val="22"/>
          <w:szCs w:val="22"/>
        </w:rPr>
        <w:t>(Office for National Statistics, 2025</w:t>
      </w:r>
      <w:r w:rsidRPr="00BF2FD7">
        <w:rPr>
          <w:rFonts w:ascii="Arial" w:hAnsi="Arial" w:cs="Arial"/>
          <w:sz w:val="22"/>
          <w:szCs w:val="22"/>
        </w:rPr>
        <w:t>. These figures establish the wider significance of DVA but do not, by themselves, explain the experiences of South Asian women or the specific barriers they may encounter.</w:t>
      </w:r>
    </w:p>
    <w:p w14:paraId="46BF6E02" w14:textId="41C86BEE" w:rsidR="0020590F" w:rsidRPr="00DB37A9" w:rsidRDefault="008E7D0B" w:rsidP="008E7D0B">
      <w:pPr>
        <w:pStyle w:val="paragraph"/>
        <w:tabs>
          <w:tab w:val="num" w:pos="0"/>
        </w:tabs>
        <w:spacing w:after="0" w:line="360" w:lineRule="auto"/>
        <w:textAlignment w:val="baseline"/>
        <w:rPr>
          <w:rFonts w:ascii="Arial" w:hAnsi="Arial" w:cs="Arial"/>
          <w:sz w:val="22"/>
          <w:szCs w:val="22"/>
        </w:rPr>
      </w:pPr>
      <w:r>
        <w:rPr>
          <w:rFonts w:ascii="Arial" w:hAnsi="Arial" w:cs="Arial"/>
          <w:sz w:val="22"/>
          <w:szCs w:val="22"/>
        </w:rPr>
        <w:lastRenderedPageBreak/>
        <w:t xml:space="preserve"> </w:t>
      </w:r>
      <w:r w:rsidR="00BF2FD7" w:rsidRPr="00BF2FD7">
        <w:rPr>
          <w:rFonts w:ascii="Arial" w:hAnsi="Arial" w:cs="Arial"/>
          <w:sz w:val="22"/>
          <w:szCs w:val="22"/>
        </w:rPr>
        <w:t xml:space="preserve">Research concerning ethnic minority and South Asian women highlights the importance of examining cultural expectations alongside social relationships, immigration-related </w:t>
      </w:r>
      <w:r w:rsidR="00E3176D" w:rsidRPr="00BF2FD7">
        <w:rPr>
          <w:rFonts w:ascii="Arial" w:hAnsi="Arial" w:cs="Arial"/>
          <w:sz w:val="22"/>
          <w:szCs w:val="22"/>
        </w:rPr>
        <w:t>circumstances,</w:t>
      </w:r>
      <w:r w:rsidR="00BF2FD7" w:rsidRPr="00BF2FD7">
        <w:rPr>
          <w:rFonts w:ascii="Arial" w:hAnsi="Arial" w:cs="Arial"/>
          <w:sz w:val="22"/>
          <w:szCs w:val="22"/>
        </w:rPr>
        <w:t xml:space="preserve"> and responses from support services (Femi-Ajao, Kendal and Lovell, 20</w:t>
      </w:r>
      <w:r w:rsidR="00B76A06">
        <w:rPr>
          <w:rFonts w:ascii="Arial" w:hAnsi="Arial" w:cs="Arial"/>
          <w:sz w:val="22"/>
          <w:szCs w:val="22"/>
        </w:rPr>
        <w:t>18</w:t>
      </w:r>
      <w:r w:rsidR="00BF2FD7" w:rsidRPr="00BF2FD7">
        <w:rPr>
          <w:rFonts w:ascii="Arial" w:hAnsi="Arial" w:cs="Arial"/>
          <w:sz w:val="22"/>
          <w:szCs w:val="22"/>
        </w:rPr>
        <w:t>; Sultana et al., 2023; Baloch et al., 2025). This provides the context for investigating how such factors may interact to influence help-seeking.</w:t>
      </w:r>
    </w:p>
    <w:p w14:paraId="75E17D56" w14:textId="77777777" w:rsidR="00BD2909" w:rsidRPr="00DB37A9" w:rsidRDefault="00BD2909" w:rsidP="00DB37A9">
      <w:pPr>
        <w:pStyle w:val="paragraph"/>
        <w:spacing w:before="0" w:beforeAutospacing="0" w:after="0" w:afterAutospacing="0" w:line="360" w:lineRule="auto"/>
        <w:ind w:left="1080"/>
        <w:textAlignment w:val="baseline"/>
        <w:rPr>
          <w:rFonts w:ascii="Arial" w:hAnsi="Arial" w:cs="Arial"/>
          <w:sz w:val="22"/>
          <w:szCs w:val="22"/>
        </w:rPr>
      </w:pPr>
      <w:r w:rsidRPr="00DB37A9">
        <w:rPr>
          <w:rStyle w:val="eop"/>
          <w:rFonts w:ascii="Arial" w:hAnsi="Arial" w:cs="Arial"/>
          <w:sz w:val="22"/>
          <w:szCs w:val="22"/>
        </w:rPr>
        <w:t> </w:t>
      </w:r>
    </w:p>
    <w:p w14:paraId="436513AB" w14:textId="77777777" w:rsidR="00A85DE9" w:rsidRPr="00DB37A9" w:rsidRDefault="00A85DE9"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9D756DF" w14:textId="73D286F2" w:rsidR="00FC2125" w:rsidRPr="00650CFB" w:rsidRDefault="0020590F" w:rsidP="00FC2125">
      <w:pPr>
        <w:pStyle w:val="paragraph"/>
        <w:numPr>
          <w:ilvl w:val="1"/>
          <w:numId w:val="100"/>
        </w:numPr>
        <w:spacing w:before="0" w:beforeAutospacing="0" w:after="0" w:afterAutospacing="0" w:line="360" w:lineRule="auto"/>
        <w:textAlignment w:val="baseline"/>
        <w:rPr>
          <w:rStyle w:val="eop"/>
          <w:rFonts w:ascii="Arial" w:hAnsi="Arial" w:cs="Arial"/>
          <w:sz w:val="22"/>
          <w:szCs w:val="22"/>
          <w:u w:val="single"/>
        </w:rPr>
      </w:pPr>
      <w:r w:rsidRPr="00650CFB">
        <w:rPr>
          <w:rStyle w:val="eop"/>
          <w:rFonts w:ascii="Arial" w:hAnsi="Arial" w:cs="Arial"/>
          <w:sz w:val="22"/>
          <w:szCs w:val="22"/>
          <w:u w:val="single"/>
        </w:rPr>
        <w:t xml:space="preserve">Rationale for Research / Problem Statement </w:t>
      </w:r>
    </w:p>
    <w:p w14:paraId="0638AFE6" w14:textId="77777777" w:rsidR="00FC2125" w:rsidRDefault="00FC2125" w:rsidP="00FC2125">
      <w:pPr>
        <w:pStyle w:val="paragraph"/>
        <w:spacing w:before="0" w:beforeAutospacing="0" w:after="0" w:afterAutospacing="0" w:line="360" w:lineRule="auto"/>
        <w:ind w:left="360"/>
        <w:textAlignment w:val="baseline"/>
        <w:rPr>
          <w:rStyle w:val="normaltextrun"/>
          <w:rFonts w:ascii="Arial" w:hAnsi="Arial" w:cs="Arial"/>
          <w:color w:val="0F4761"/>
          <w:sz w:val="22"/>
          <w:szCs w:val="22"/>
        </w:rPr>
      </w:pPr>
    </w:p>
    <w:p w14:paraId="4D9F3EFD" w14:textId="0401AABA" w:rsidR="009800AF" w:rsidRPr="00FC2125" w:rsidRDefault="009800AF" w:rsidP="00FC2125">
      <w:pPr>
        <w:pStyle w:val="paragraph"/>
        <w:spacing w:before="0" w:beforeAutospacing="0" w:after="0" w:afterAutospacing="0" w:line="360" w:lineRule="auto"/>
        <w:textAlignment w:val="baseline"/>
        <w:rPr>
          <w:rStyle w:val="normaltextrun"/>
          <w:rFonts w:ascii="Arial" w:hAnsi="Arial" w:cs="Arial"/>
          <w:color w:val="0F4761"/>
          <w:sz w:val="22"/>
          <w:szCs w:val="22"/>
        </w:rPr>
      </w:pPr>
      <w:r w:rsidRPr="009800AF">
        <w:rPr>
          <w:rStyle w:val="normaltextrun"/>
          <w:rFonts w:ascii="Arial" w:hAnsi="Arial" w:cs="Arial"/>
          <w:sz w:val="22"/>
          <w:szCs w:val="22"/>
        </w:rPr>
        <w:t xml:space="preserve">Understanding help-seeking among South Asian women experiencing DVA is important because cultural, </w:t>
      </w:r>
      <w:r w:rsidR="00E3176D" w:rsidRPr="009800AF">
        <w:rPr>
          <w:rStyle w:val="normaltextrun"/>
          <w:rFonts w:ascii="Arial" w:hAnsi="Arial" w:cs="Arial"/>
          <w:sz w:val="22"/>
          <w:szCs w:val="22"/>
        </w:rPr>
        <w:t>social,</w:t>
      </w:r>
      <w:r w:rsidRPr="009800AF">
        <w:rPr>
          <w:rStyle w:val="normaltextrun"/>
          <w:rFonts w:ascii="Arial" w:hAnsi="Arial" w:cs="Arial"/>
          <w:sz w:val="22"/>
          <w:szCs w:val="22"/>
        </w:rPr>
        <w:t xml:space="preserve"> and migration-related pressures may interact to influence whether women recognise abuse, disclose their experiences and access support. Research has identified concerns such as stigma, family and community responses, immigration-related </w:t>
      </w:r>
      <w:r w:rsidR="00E3176D" w:rsidRPr="009800AF">
        <w:rPr>
          <w:rStyle w:val="normaltextrun"/>
          <w:rFonts w:ascii="Arial" w:hAnsi="Arial" w:cs="Arial"/>
          <w:sz w:val="22"/>
          <w:szCs w:val="22"/>
        </w:rPr>
        <w:t>difficulties,</w:t>
      </w:r>
      <w:r w:rsidRPr="009800AF">
        <w:rPr>
          <w:rStyle w:val="normaltextrun"/>
          <w:rFonts w:ascii="Arial" w:hAnsi="Arial" w:cs="Arial"/>
          <w:sz w:val="22"/>
          <w:szCs w:val="22"/>
        </w:rPr>
        <w:t xml:space="preserve"> and challenges in accessing appropriate services (Femi-Ajao, Kendal and Lovell, 20</w:t>
      </w:r>
      <w:r w:rsidR="000F6C0D">
        <w:rPr>
          <w:rStyle w:val="normaltextrun"/>
          <w:rFonts w:ascii="Arial" w:hAnsi="Arial" w:cs="Arial"/>
          <w:sz w:val="22"/>
          <w:szCs w:val="22"/>
        </w:rPr>
        <w:t>18</w:t>
      </w:r>
      <w:r w:rsidRPr="009800AF">
        <w:rPr>
          <w:rStyle w:val="normaltextrun"/>
          <w:rFonts w:ascii="Arial" w:hAnsi="Arial" w:cs="Arial"/>
          <w:sz w:val="22"/>
          <w:szCs w:val="22"/>
        </w:rPr>
        <w:t xml:space="preserve">; Sultana et al., 2023). However, these factors should not be treated as universal characteristics of South Asian communities; their effects may differ according to individual circumstances, relationships, </w:t>
      </w:r>
      <w:r w:rsidR="00E3176D" w:rsidRPr="009800AF">
        <w:rPr>
          <w:rStyle w:val="normaltextrun"/>
          <w:rFonts w:ascii="Arial" w:hAnsi="Arial" w:cs="Arial"/>
          <w:sz w:val="22"/>
          <w:szCs w:val="22"/>
        </w:rPr>
        <w:t>resources,</w:t>
      </w:r>
      <w:r w:rsidRPr="009800AF">
        <w:rPr>
          <w:rStyle w:val="normaltextrun"/>
          <w:rFonts w:ascii="Arial" w:hAnsi="Arial" w:cs="Arial"/>
          <w:sz w:val="22"/>
          <w:szCs w:val="22"/>
        </w:rPr>
        <w:t xml:space="preserve"> and service responses.</w:t>
      </w:r>
    </w:p>
    <w:p w14:paraId="493209BE" w14:textId="6C384478" w:rsidR="009800AF" w:rsidRPr="009800AF" w:rsidRDefault="009800AF" w:rsidP="009800AF">
      <w:pPr>
        <w:pStyle w:val="paragraph"/>
        <w:spacing w:after="0" w:line="360" w:lineRule="auto"/>
        <w:textAlignment w:val="baseline"/>
        <w:rPr>
          <w:rStyle w:val="normaltextrun"/>
          <w:rFonts w:ascii="Arial" w:hAnsi="Arial" w:cs="Arial"/>
          <w:sz w:val="22"/>
          <w:szCs w:val="22"/>
        </w:rPr>
      </w:pPr>
      <w:r w:rsidRPr="009800AF">
        <w:rPr>
          <w:rStyle w:val="normaltextrun"/>
          <w:rFonts w:ascii="Arial" w:hAnsi="Arial" w:cs="Arial"/>
          <w:sz w:val="22"/>
          <w:szCs w:val="22"/>
        </w:rPr>
        <w:t>Femi-Ajao, Kendal and Lovell (20</w:t>
      </w:r>
      <w:r w:rsidR="000F6C0D">
        <w:rPr>
          <w:rStyle w:val="normaltextrun"/>
          <w:rFonts w:ascii="Arial" w:hAnsi="Arial" w:cs="Arial"/>
          <w:sz w:val="22"/>
          <w:szCs w:val="22"/>
        </w:rPr>
        <w:t>18</w:t>
      </w:r>
      <w:r w:rsidRPr="009800AF">
        <w:rPr>
          <w:rStyle w:val="normaltextrun"/>
          <w:rFonts w:ascii="Arial" w:hAnsi="Arial" w:cs="Arial"/>
          <w:sz w:val="22"/>
          <w:szCs w:val="22"/>
        </w:rPr>
        <w:t>) reviewed a limited UK evidence base at the time of their review, identifying eight papers across four studies. This finding highlights the limitations of the evidence available to that review, although it should not be interpreted as evidence that no further research has since been published. More recent research, including work examining South Asian women’s experiences of healthcare after disclosure, provides additional evidence but also reinforces the importance of examining the quality and appropriateness of responses (Baloch et al., 2025).</w:t>
      </w:r>
    </w:p>
    <w:p w14:paraId="7FA3F3C5" w14:textId="6854C7B1" w:rsidR="00BD2909" w:rsidRPr="00DB37A9" w:rsidRDefault="009800AF" w:rsidP="009800AF">
      <w:pPr>
        <w:pStyle w:val="paragraph"/>
        <w:spacing w:after="0" w:line="360" w:lineRule="auto"/>
        <w:textAlignment w:val="baseline"/>
        <w:rPr>
          <w:rStyle w:val="normaltextrun"/>
          <w:rFonts w:ascii="Arial" w:hAnsi="Arial" w:cs="Arial"/>
          <w:sz w:val="22"/>
          <w:szCs w:val="22"/>
        </w:rPr>
      </w:pPr>
      <w:r w:rsidRPr="009800AF">
        <w:rPr>
          <w:rStyle w:val="normaltextrun"/>
          <w:rFonts w:ascii="Arial" w:hAnsi="Arial" w:cs="Arial"/>
          <w:sz w:val="22"/>
          <w:szCs w:val="22"/>
        </w:rPr>
        <w:t xml:space="preserve">This dissertation therefore critically reviews and synthesises existing literature to examine how cultural, </w:t>
      </w:r>
      <w:r w:rsidR="00E3176D" w:rsidRPr="009800AF">
        <w:rPr>
          <w:rStyle w:val="normaltextrun"/>
          <w:rFonts w:ascii="Arial" w:hAnsi="Arial" w:cs="Arial"/>
          <w:sz w:val="22"/>
          <w:szCs w:val="22"/>
        </w:rPr>
        <w:t>social,</w:t>
      </w:r>
      <w:r w:rsidRPr="009800AF">
        <w:rPr>
          <w:rStyle w:val="normaltextrun"/>
          <w:rFonts w:ascii="Arial" w:hAnsi="Arial" w:cs="Arial"/>
          <w:sz w:val="22"/>
          <w:szCs w:val="22"/>
        </w:rPr>
        <w:t xml:space="preserve"> and migration-related factors shape help-seeking, with the aim of informing more accessible, equitable and culturally responsive health and social care practice.</w:t>
      </w:r>
    </w:p>
    <w:p w14:paraId="708D890C" w14:textId="1258D820" w:rsidR="00117750" w:rsidRPr="00DB37A9" w:rsidRDefault="00117750" w:rsidP="00DB37A9">
      <w:pPr>
        <w:pStyle w:val="paragraph"/>
        <w:tabs>
          <w:tab w:val="num" w:pos="360"/>
        </w:tabs>
        <w:spacing w:after="0" w:line="360" w:lineRule="auto"/>
        <w:ind w:left="720"/>
        <w:textAlignment w:val="baseline"/>
        <w:rPr>
          <w:rFonts w:ascii="Arial" w:hAnsi="Arial" w:cs="Arial"/>
          <w:sz w:val="22"/>
          <w:szCs w:val="22"/>
        </w:rPr>
      </w:pPr>
    </w:p>
    <w:p w14:paraId="47391051" w14:textId="77777777" w:rsidR="005E5B43" w:rsidRDefault="005E5B43"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25B5571C" w14:textId="77777777" w:rsidR="005E5B43" w:rsidRDefault="005E5B43"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5A72947D" w14:textId="77777777" w:rsidR="005E5B43" w:rsidRDefault="005E5B43"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FCBBEC2" w14:textId="7FF49CCC" w:rsidR="00BD2909" w:rsidRPr="00650CFB" w:rsidRDefault="00BD2909" w:rsidP="00DB37A9">
      <w:pPr>
        <w:pStyle w:val="paragraph"/>
        <w:spacing w:before="0" w:beforeAutospacing="0" w:after="0" w:afterAutospacing="0" w:line="360" w:lineRule="auto"/>
        <w:textAlignment w:val="baseline"/>
        <w:rPr>
          <w:rFonts w:ascii="Arial" w:hAnsi="Arial" w:cs="Arial"/>
          <w:sz w:val="22"/>
          <w:szCs w:val="22"/>
          <w:u w:val="single"/>
        </w:rPr>
      </w:pPr>
      <w:r w:rsidRPr="00650CFB">
        <w:rPr>
          <w:rStyle w:val="normaltextrun"/>
          <w:rFonts w:ascii="Arial" w:hAnsi="Arial" w:cs="Arial"/>
          <w:sz w:val="22"/>
          <w:szCs w:val="22"/>
          <w:u w:val="single"/>
        </w:rPr>
        <w:lastRenderedPageBreak/>
        <w:t xml:space="preserve">1.5 </w:t>
      </w:r>
      <w:r w:rsidR="00117750" w:rsidRPr="00650CFB">
        <w:rPr>
          <w:rStyle w:val="eop"/>
          <w:rFonts w:ascii="Arial" w:hAnsi="Arial" w:cs="Arial"/>
          <w:sz w:val="22"/>
          <w:szCs w:val="22"/>
          <w:u w:val="single"/>
        </w:rPr>
        <w:t xml:space="preserve">Aim and Objectives </w:t>
      </w:r>
    </w:p>
    <w:p w14:paraId="5661EB6C" w14:textId="45E9320B" w:rsidR="00BD2909" w:rsidRPr="00DB37A9" w:rsidRDefault="00117750" w:rsidP="00DB37A9">
      <w:pPr>
        <w:pStyle w:val="paragraph"/>
        <w:tabs>
          <w:tab w:val="num" w:pos="0"/>
        </w:tabs>
        <w:spacing w:before="0" w:beforeAutospacing="0" w:after="0" w:afterAutospacing="0" w:line="360" w:lineRule="auto"/>
        <w:textAlignment w:val="baseline"/>
        <w:rPr>
          <w:rFonts w:ascii="Arial" w:hAnsi="Arial" w:cs="Arial"/>
          <w:sz w:val="22"/>
          <w:szCs w:val="22"/>
        </w:rPr>
      </w:pPr>
      <w:r w:rsidRPr="00DB37A9">
        <w:rPr>
          <w:rStyle w:val="normaltextrun"/>
          <w:rFonts w:ascii="Arial" w:hAnsi="Arial" w:cs="Arial"/>
          <w:b/>
          <w:bCs/>
          <w:sz w:val="22"/>
          <w:szCs w:val="22"/>
        </w:rPr>
        <w:t>Research Aim</w:t>
      </w:r>
    </w:p>
    <w:p w14:paraId="36C28D88" w14:textId="64AA950D" w:rsidR="00BD2909" w:rsidRDefault="00C703A8" w:rsidP="00C703A8">
      <w:pPr>
        <w:pStyle w:val="paragraph"/>
        <w:tabs>
          <w:tab w:val="num" w:pos="0"/>
        </w:tabs>
        <w:spacing w:before="0" w:beforeAutospacing="0" w:after="0" w:afterAutospacing="0" w:line="360" w:lineRule="auto"/>
        <w:textAlignment w:val="baseline"/>
        <w:rPr>
          <w:rFonts w:ascii="Arial" w:hAnsi="Arial" w:cs="Arial"/>
          <w:sz w:val="22"/>
          <w:szCs w:val="22"/>
        </w:rPr>
      </w:pPr>
      <w:r w:rsidRPr="00C703A8">
        <w:rPr>
          <w:rFonts w:ascii="Arial" w:hAnsi="Arial" w:cs="Arial"/>
          <w:sz w:val="22"/>
          <w:szCs w:val="22"/>
        </w:rPr>
        <w:t xml:space="preserve">To critically review and synthesise existing literature on the cultural, </w:t>
      </w:r>
      <w:r w:rsidR="00E3176D" w:rsidRPr="00C703A8">
        <w:rPr>
          <w:rFonts w:ascii="Arial" w:hAnsi="Arial" w:cs="Arial"/>
          <w:sz w:val="22"/>
          <w:szCs w:val="22"/>
        </w:rPr>
        <w:t>social,</w:t>
      </w:r>
      <w:r w:rsidRPr="00C703A8">
        <w:rPr>
          <w:rFonts w:ascii="Arial" w:hAnsi="Arial" w:cs="Arial"/>
          <w:sz w:val="22"/>
          <w:szCs w:val="22"/>
        </w:rPr>
        <w:t xml:space="preserve"> and migration-related factors shaping help-seeking behaviours among South Asian women experiencing domestic violence and abuse in the UK.</w:t>
      </w:r>
    </w:p>
    <w:p w14:paraId="24E7E180" w14:textId="77777777" w:rsidR="003F6110" w:rsidRPr="00DB37A9" w:rsidRDefault="003F6110" w:rsidP="00C703A8">
      <w:pPr>
        <w:pStyle w:val="paragraph"/>
        <w:tabs>
          <w:tab w:val="num" w:pos="0"/>
        </w:tabs>
        <w:spacing w:before="0" w:beforeAutospacing="0" w:after="0" w:afterAutospacing="0" w:line="360" w:lineRule="auto"/>
        <w:textAlignment w:val="baseline"/>
        <w:rPr>
          <w:rFonts w:ascii="Arial" w:hAnsi="Arial" w:cs="Arial"/>
          <w:sz w:val="22"/>
          <w:szCs w:val="22"/>
        </w:rPr>
      </w:pPr>
    </w:p>
    <w:p w14:paraId="60BC6C87" w14:textId="71904901" w:rsidR="00BD2909" w:rsidRPr="00DB37A9" w:rsidRDefault="00117750" w:rsidP="00DB37A9">
      <w:pPr>
        <w:pStyle w:val="paragraph"/>
        <w:tabs>
          <w:tab w:val="num" w:pos="0"/>
        </w:tabs>
        <w:spacing w:before="0" w:beforeAutospacing="0" w:after="0" w:afterAutospacing="0" w:line="360" w:lineRule="auto"/>
        <w:ind w:left="142"/>
        <w:textAlignment w:val="baseline"/>
        <w:rPr>
          <w:rFonts w:ascii="Arial" w:hAnsi="Arial" w:cs="Arial"/>
          <w:sz w:val="22"/>
          <w:szCs w:val="22"/>
        </w:rPr>
      </w:pPr>
      <w:r w:rsidRPr="00DB37A9">
        <w:rPr>
          <w:rStyle w:val="normaltextrun"/>
          <w:rFonts w:ascii="Arial" w:hAnsi="Arial" w:cs="Arial"/>
          <w:b/>
          <w:bCs/>
          <w:sz w:val="22"/>
          <w:szCs w:val="22"/>
        </w:rPr>
        <w:t>Research Objectives</w:t>
      </w:r>
    </w:p>
    <w:p w14:paraId="347FE611" w14:textId="63F9E67F" w:rsidR="000E4685" w:rsidRPr="00DB37A9" w:rsidRDefault="000E4685" w:rsidP="00DB37A9">
      <w:pPr>
        <w:pStyle w:val="NormalWeb"/>
        <w:numPr>
          <w:ilvl w:val="0"/>
          <w:numId w:val="102"/>
        </w:numPr>
        <w:spacing w:line="360" w:lineRule="auto"/>
        <w:rPr>
          <w:rFonts w:ascii="Arial" w:hAnsi="Arial" w:cs="Arial"/>
          <w:sz w:val="22"/>
          <w:szCs w:val="22"/>
        </w:rPr>
      </w:pPr>
      <w:r w:rsidRPr="00DB37A9">
        <w:rPr>
          <w:rStyle w:val="Strong"/>
          <w:rFonts w:ascii="Arial" w:hAnsi="Arial" w:cs="Arial"/>
          <w:sz w:val="22"/>
          <w:szCs w:val="22"/>
        </w:rPr>
        <w:t>Identify</w:t>
      </w:r>
      <w:r w:rsidRPr="00DB37A9">
        <w:rPr>
          <w:rFonts w:ascii="Arial" w:hAnsi="Arial" w:cs="Arial"/>
          <w:sz w:val="22"/>
          <w:szCs w:val="22"/>
        </w:rPr>
        <w:t xml:space="preserve"> cultural, </w:t>
      </w:r>
      <w:r w:rsidR="00E3176D" w:rsidRPr="00DB37A9">
        <w:rPr>
          <w:rFonts w:ascii="Arial" w:hAnsi="Arial" w:cs="Arial"/>
          <w:sz w:val="22"/>
          <w:szCs w:val="22"/>
        </w:rPr>
        <w:t>social,</w:t>
      </w:r>
      <w:r w:rsidRPr="00DB37A9">
        <w:rPr>
          <w:rFonts w:ascii="Arial" w:hAnsi="Arial" w:cs="Arial"/>
          <w:sz w:val="22"/>
          <w:szCs w:val="22"/>
        </w:rPr>
        <w:t xml:space="preserve"> and migration</w:t>
      </w:r>
      <w:r w:rsidRPr="00DB37A9">
        <w:rPr>
          <w:rFonts w:ascii="Arial" w:hAnsi="Arial" w:cs="Arial"/>
          <w:sz w:val="22"/>
          <w:szCs w:val="22"/>
        </w:rPr>
        <w:noBreakHyphen/>
        <w:t>related factors influencing help</w:t>
      </w:r>
      <w:r w:rsidRPr="00DB37A9">
        <w:rPr>
          <w:rFonts w:ascii="Arial" w:hAnsi="Arial" w:cs="Arial"/>
          <w:sz w:val="22"/>
          <w:szCs w:val="22"/>
        </w:rPr>
        <w:noBreakHyphen/>
        <w:t>seeking among South Asian women experiencing DVA.</w:t>
      </w:r>
    </w:p>
    <w:p w14:paraId="29A9E076" w14:textId="3D5DF65E" w:rsidR="000E4685" w:rsidRPr="00DB37A9" w:rsidRDefault="000E4685" w:rsidP="00DB37A9">
      <w:pPr>
        <w:pStyle w:val="NormalWeb"/>
        <w:numPr>
          <w:ilvl w:val="0"/>
          <w:numId w:val="102"/>
        </w:numPr>
        <w:spacing w:line="360" w:lineRule="auto"/>
        <w:rPr>
          <w:rFonts w:ascii="Arial" w:hAnsi="Arial" w:cs="Arial"/>
          <w:sz w:val="22"/>
          <w:szCs w:val="22"/>
        </w:rPr>
      </w:pPr>
      <w:r w:rsidRPr="00DB37A9">
        <w:rPr>
          <w:rStyle w:val="Strong"/>
          <w:rFonts w:ascii="Arial" w:hAnsi="Arial" w:cs="Arial"/>
          <w:sz w:val="22"/>
          <w:szCs w:val="22"/>
        </w:rPr>
        <w:t>Analyse</w:t>
      </w:r>
      <w:r w:rsidRPr="00DB37A9">
        <w:rPr>
          <w:rFonts w:ascii="Arial" w:hAnsi="Arial" w:cs="Arial"/>
          <w:sz w:val="22"/>
          <w:szCs w:val="22"/>
        </w:rPr>
        <w:t xml:space="preserve"> how these intersecting pressures create barriers or pathways to support within health, social </w:t>
      </w:r>
      <w:r w:rsidR="00E3176D" w:rsidRPr="00DB37A9">
        <w:rPr>
          <w:rFonts w:ascii="Arial" w:hAnsi="Arial" w:cs="Arial"/>
          <w:sz w:val="22"/>
          <w:szCs w:val="22"/>
        </w:rPr>
        <w:t>care,</w:t>
      </w:r>
      <w:r w:rsidRPr="00DB37A9">
        <w:rPr>
          <w:rFonts w:ascii="Arial" w:hAnsi="Arial" w:cs="Arial"/>
          <w:sz w:val="22"/>
          <w:szCs w:val="22"/>
        </w:rPr>
        <w:t xml:space="preserve"> and community settings.</w:t>
      </w:r>
    </w:p>
    <w:p w14:paraId="7514D0E0" w14:textId="47C431E5" w:rsidR="000E4685" w:rsidRPr="00DB37A9" w:rsidRDefault="000E4685" w:rsidP="00DB37A9">
      <w:pPr>
        <w:pStyle w:val="NormalWeb"/>
        <w:numPr>
          <w:ilvl w:val="0"/>
          <w:numId w:val="102"/>
        </w:numPr>
        <w:spacing w:line="360" w:lineRule="auto"/>
        <w:rPr>
          <w:rFonts w:ascii="Arial" w:hAnsi="Arial" w:cs="Arial"/>
          <w:sz w:val="22"/>
          <w:szCs w:val="22"/>
        </w:rPr>
      </w:pPr>
      <w:r w:rsidRPr="00DB37A9">
        <w:rPr>
          <w:rStyle w:val="Strong"/>
          <w:rFonts w:ascii="Arial" w:hAnsi="Arial" w:cs="Arial"/>
          <w:sz w:val="22"/>
          <w:szCs w:val="22"/>
        </w:rPr>
        <w:t>Evaluate</w:t>
      </w:r>
      <w:r w:rsidR="0069433E" w:rsidRPr="0069433E">
        <w:rPr>
          <w:rFonts w:ascii="Arial" w:hAnsi="Arial" w:cs="Arial"/>
          <w:sz w:val="22"/>
          <w:szCs w:val="22"/>
        </w:rPr>
        <w:t xml:space="preserve"> the extent to which existing services, policies and interventions address the needs of South Asian women experiencing DVA, including the additional barriers that some migrant women may face.</w:t>
      </w:r>
    </w:p>
    <w:p w14:paraId="7F0EF1C1" w14:textId="77777777" w:rsidR="006271A6" w:rsidRDefault="000E4685" w:rsidP="006271A6">
      <w:pPr>
        <w:pStyle w:val="ListParagraph"/>
        <w:numPr>
          <w:ilvl w:val="0"/>
          <w:numId w:val="102"/>
        </w:numPr>
        <w:spacing w:line="360" w:lineRule="auto"/>
        <w:rPr>
          <w:rStyle w:val="Strong"/>
          <w:rFonts w:ascii="Arial" w:eastAsia="Times New Roman" w:hAnsi="Arial" w:cs="Arial"/>
          <w:b w:val="0"/>
          <w:bCs w:val="0"/>
          <w:lang w:bidi="ar-SA"/>
        </w:rPr>
      </w:pPr>
      <w:r w:rsidRPr="006D192B">
        <w:rPr>
          <w:rStyle w:val="Strong"/>
          <w:rFonts w:ascii="Arial" w:hAnsi="Arial" w:cs="Arial"/>
        </w:rPr>
        <w:t>Recommend</w:t>
      </w:r>
      <w:r w:rsidR="006D192B" w:rsidRPr="006D192B">
        <w:t xml:space="preserve"> </w:t>
      </w:r>
      <w:r w:rsidR="006D192B" w:rsidRPr="006D192B">
        <w:rPr>
          <w:rStyle w:val="Strong"/>
          <w:rFonts w:ascii="Arial" w:eastAsia="Times New Roman" w:hAnsi="Arial" w:cs="Arial"/>
          <w:b w:val="0"/>
          <w:bCs w:val="0"/>
          <w:lang w:bidi="ar-SA"/>
        </w:rPr>
        <w:t>evidence-based improvements for health and social care practice, policy and service provision to enhance accessibility and cultural sensitivity.</w:t>
      </w:r>
    </w:p>
    <w:p w14:paraId="5FA05AC1" w14:textId="4BB3D032" w:rsidR="000E4685" w:rsidRPr="006271A6" w:rsidRDefault="000E4685" w:rsidP="006271A6">
      <w:pPr>
        <w:ind w:left="284"/>
        <w:rPr>
          <w:rFonts w:ascii="Arial" w:eastAsia="Times New Roman" w:hAnsi="Arial" w:cs="Arial"/>
        </w:rPr>
      </w:pPr>
      <w:r w:rsidRPr="006271A6">
        <w:rPr>
          <w:rFonts w:ascii="Arial" w:hAnsi="Arial" w:cs="Arial"/>
        </w:rPr>
        <w:t xml:space="preserve"> These objectives directly support the dissertation aim and guide the thematic analysis presented in later chapters.</w:t>
      </w:r>
    </w:p>
    <w:p w14:paraId="3C6C2FD0" w14:textId="77777777" w:rsidR="009B4352" w:rsidRPr="00DB37A9" w:rsidRDefault="009B4352" w:rsidP="00DB37A9">
      <w:pPr>
        <w:pStyle w:val="paragraph"/>
        <w:tabs>
          <w:tab w:val="num" w:pos="0"/>
        </w:tabs>
        <w:spacing w:before="0" w:beforeAutospacing="0" w:after="0" w:afterAutospacing="0" w:line="360" w:lineRule="auto"/>
        <w:ind w:left="360"/>
        <w:textAlignment w:val="baseline"/>
        <w:rPr>
          <w:rStyle w:val="normaltextrun"/>
          <w:rFonts w:ascii="Arial" w:hAnsi="Arial" w:cs="Arial"/>
          <w:b/>
          <w:bCs/>
          <w:sz w:val="22"/>
          <w:szCs w:val="22"/>
        </w:rPr>
      </w:pPr>
    </w:p>
    <w:p w14:paraId="69D56E51" w14:textId="77777777" w:rsidR="00486126" w:rsidRPr="00DB37A9" w:rsidRDefault="00486126" w:rsidP="00DB37A9">
      <w:pPr>
        <w:pStyle w:val="paragraph"/>
        <w:tabs>
          <w:tab w:val="num" w:pos="0"/>
        </w:tabs>
        <w:spacing w:before="0" w:beforeAutospacing="0" w:after="0" w:afterAutospacing="0" w:line="360" w:lineRule="auto"/>
        <w:textAlignment w:val="baseline"/>
        <w:rPr>
          <w:rFonts w:ascii="Arial" w:hAnsi="Arial" w:cs="Arial"/>
          <w:sz w:val="22"/>
          <w:szCs w:val="22"/>
        </w:rPr>
      </w:pPr>
    </w:p>
    <w:p w14:paraId="10A86F79" w14:textId="39A539E8" w:rsidR="00802BD4" w:rsidRPr="00650CFB" w:rsidRDefault="00486126" w:rsidP="00BC230A">
      <w:pPr>
        <w:pStyle w:val="paragraph"/>
        <w:numPr>
          <w:ilvl w:val="1"/>
          <w:numId w:val="103"/>
        </w:numPr>
        <w:spacing w:before="0" w:beforeAutospacing="0" w:after="0" w:afterAutospacing="0" w:line="360" w:lineRule="auto"/>
        <w:textAlignment w:val="baseline"/>
        <w:rPr>
          <w:rStyle w:val="eop"/>
          <w:rFonts w:ascii="Arial" w:hAnsi="Arial" w:cs="Arial"/>
          <w:sz w:val="22"/>
          <w:szCs w:val="22"/>
          <w:u w:val="single"/>
        </w:rPr>
      </w:pPr>
      <w:r w:rsidRPr="00650CFB">
        <w:rPr>
          <w:rStyle w:val="eop"/>
          <w:rFonts w:ascii="Arial" w:hAnsi="Arial" w:cs="Arial"/>
          <w:sz w:val="22"/>
          <w:szCs w:val="22"/>
          <w:u w:val="single"/>
        </w:rPr>
        <w:t xml:space="preserve">Conclusion </w:t>
      </w:r>
    </w:p>
    <w:p w14:paraId="034ABA9B" w14:textId="3F33117E" w:rsidR="00BD2909" w:rsidRDefault="00BD2909" w:rsidP="00BB4E4F">
      <w:pPr>
        <w:pStyle w:val="paragraph"/>
        <w:spacing w:before="0" w:beforeAutospacing="0" w:after="0" w:afterAutospacing="0" w:line="360" w:lineRule="auto"/>
        <w:textAlignment w:val="baseline"/>
        <w:rPr>
          <w:rStyle w:val="eop"/>
          <w:rFonts w:ascii="Arial" w:hAnsi="Arial" w:cs="Arial"/>
          <w:sz w:val="22"/>
          <w:szCs w:val="22"/>
        </w:rPr>
      </w:pPr>
      <w:r w:rsidRPr="00DB37A9">
        <w:rPr>
          <w:rStyle w:val="eop"/>
          <w:rFonts w:ascii="Arial" w:hAnsi="Arial" w:cs="Arial"/>
          <w:sz w:val="22"/>
          <w:szCs w:val="22"/>
        </w:rPr>
        <w:t> </w:t>
      </w:r>
      <w:r w:rsidR="00BB4E4F" w:rsidRPr="00BB4E4F">
        <w:rPr>
          <w:rStyle w:val="eop"/>
          <w:rFonts w:ascii="Arial" w:hAnsi="Arial" w:cs="Arial"/>
          <w:sz w:val="22"/>
          <w:szCs w:val="22"/>
        </w:rPr>
        <w:t xml:space="preserve">This chapter has introduced DVA as a public health and social care concern, defined the key terminology and established the focus of the dissertation. It has outlined relevant historical and policy developments, identified the continuing importance of barriers to help-seeking and explained the rationale for examining how cultural, </w:t>
      </w:r>
      <w:r w:rsidR="00E3176D" w:rsidRPr="00BB4E4F">
        <w:rPr>
          <w:rStyle w:val="eop"/>
          <w:rFonts w:ascii="Arial" w:hAnsi="Arial" w:cs="Arial"/>
          <w:sz w:val="22"/>
          <w:szCs w:val="22"/>
        </w:rPr>
        <w:t>social,</w:t>
      </w:r>
      <w:r w:rsidR="00BB4E4F" w:rsidRPr="00BB4E4F">
        <w:rPr>
          <w:rStyle w:val="eop"/>
          <w:rFonts w:ascii="Arial" w:hAnsi="Arial" w:cs="Arial"/>
          <w:sz w:val="22"/>
          <w:szCs w:val="22"/>
        </w:rPr>
        <w:t xml:space="preserve"> and migration-related pressures may intersect. The research aims and objectives provide the direction for the subsequent chapters. Chapter 2 develops this foundation by examining the historical, theoretical, international and UK contexts relevant to help-seeking among South Asian women experiencing DVA.</w:t>
      </w:r>
    </w:p>
    <w:p w14:paraId="13394100" w14:textId="77777777" w:rsidR="00BB4E4F" w:rsidRPr="00DB37A9" w:rsidRDefault="00BB4E4F" w:rsidP="00DB37A9">
      <w:pPr>
        <w:pStyle w:val="paragraph"/>
        <w:spacing w:before="0" w:beforeAutospacing="0" w:after="0" w:afterAutospacing="0" w:line="360" w:lineRule="auto"/>
        <w:textAlignment w:val="baseline"/>
        <w:rPr>
          <w:rFonts w:ascii="Arial" w:hAnsi="Arial" w:cs="Arial"/>
          <w:sz w:val="22"/>
          <w:szCs w:val="22"/>
        </w:rPr>
      </w:pPr>
    </w:p>
    <w:p w14:paraId="64E573F2" w14:textId="5B62366C" w:rsidR="00BD2909" w:rsidRPr="00DB37A9" w:rsidRDefault="00BD2909" w:rsidP="00DB37A9">
      <w:pPr>
        <w:pStyle w:val="paragraph"/>
        <w:spacing w:before="0" w:beforeAutospacing="0" w:after="0" w:afterAutospacing="0" w:line="360" w:lineRule="auto"/>
        <w:jc w:val="both"/>
        <w:textAlignment w:val="baseline"/>
        <w:rPr>
          <w:rFonts w:ascii="Arial" w:hAnsi="Arial" w:cs="Arial"/>
          <w:sz w:val="22"/>
          <w:szCs w:val="22"/>
        </w:rPr>
      </w:pPr>
    </w:p>
    <w:p w14:paraId="4A886E55" w14:textId="77777777" w:rsidR="00730C3C" w:rsidRPr="00DB37A9" w:rsidRDefault="00730C3C" w:rsidP="00DB37A9">
      <w:pPr>
        <w:rPr>
          <w:rFonts w:ascii="Arial" w:hAnsi="Arial" w:cs="Arial"/>
        </w:rPr>
      </w:pPr>
    </w:p>
    <w:p w14:paraId="115C9163" w14:textId="77777777" w:rsidR="00730C3C" w:rsidRPr="00DB37A9" w:rsidRDefault="00730C3C" w:rsidP="00DB37A9">
      <w:pPr>
        <w:rPr>
          <w:rFonts w:ascii="Arial" w:hAnsi="Arial" w:cs="Arial"/>
        </w:rPr>
      </w:pPr>
    </w:p>
    <w:p w14:paraId="47D34B52" w14:textId="77777777" w:rsidR="00730C3C" w:rsidRPr="00DB37A9" w:rsidRDefault="00730C3C" w:rsidP="00DB37A9">
      <w:pPr>
        <w:rPr>
          <w:rFonts w:ascii="Arial" w:hAnsi="Arial" w:cs="Arial"/>
        </w:rPr>
      </w:pPr>
    </w:p>
    <w:p w14:paraId="093E8F53" w14:textId="77777777" w:rsidR="00730C3C" w:rsidRPr="00DB37A9" w:rsidRDefault="00730C3C" w:rsidP="00DB37A9">
      <w:pPr>
        <w:rPr>
          <w:rFonts w:ascii="Arial" w:hAnsi="Arial" w:cs="Arial"/>
        </w:rPr>
      </w:pPr>
    </w:p>
    <w:p w14:paraId="0DBC5AAB" w14:textId="77777777" w:rsidR="003135AD" w:rsidRPr="00DB37A9" w:rsidRDefault="003135AD" w:rsidP="00DB37A9">
      <w:pPr>
        <w:rPr>
          <w:rFonts w:ascii="Arial" w:hAnsi="Arial" w:cs="Arial"/>
        </w:rPr>
      </w:pPr>
    </w:p>
    <w:p w14:paraId="69C79371" w14:textId="77777777" w:rsidR="006A4515" w:rsidRPr="00DB37A9" w:rsidRDefault="006A4515" w:rsidP="00DB37A9">
      <w:pPr>
        <w:rPr>
          <w:rFonts w:ascii="Arial" w:hAnsi="Arial" w:cs="Arial"/>
        </w:rPr>
      </w:pPr>
    </w:p>
    <w:p w14:paraId="1E1A58B1" w14:textId="77777777" w:rsidR="00804B94" w:rsidRPr="00DB37A9" w:rsidRDefault="00804B94" w:rsidP="00DB37A9">
      <w:pPr>
        <w:rPr>
          <w:rFonts w:ascii="Arial" w:hAnsi="Arial" w:cs="Arial"/>
        </w:rPr>
      </w:pPr>
    </w:p>
    <w:p w14:paraId="33D4B98F" w14:textId="22E02831" w:rsidR="000D0641" w:rsidRPr="00DB37A9" w:rsidRDefault="000D0641" w:rsidP="00DB37A9">
      <w:pPr>
        <w:pStyle w:val="Heading1"/>
        <w:spacing w:line="360" w:lineRule="auto"/>
        <w:ind w:left="0"/>
        <w:rPr>
          <w:rFonts w:cs="Arial"/>
          <w:sz w:val="22"/>
          <w:szCs w:val="22"/>
        </w:rPr>
      </w:pPr>
      <w:r w:rsidRPr="00DB37A9">
        <w:rPr>
          <w:rFonts w:cs="Arial"/>
          <w:sz w:val="22"/>
          <w:szCs w:val="22"/>
        </w:rPr>
        <w:t xml:space="preserve">CHAPTER 2 – </w:t>
      </w:r>
      <w:r w:rsidR="00BD2909" w:rsidRPr="00192F31">
        <w:rPr>
          <w:rFonts w:cs="Arial"/>
          <w:b w:val="0"/>
          <w:bCs/>
          <w:sz w:val="22"/>
          <w:szCs w:val="22"/>
          <w:u w:val="single"/>
        </w:rPr>
        <w:t xml:space="preserve">Background </w:t>
      </w:r>
      <w:r w:rsidR="00F44833" w:rsidRPr="00192F31">
        <w:rPr>
          <w:rFonts w:cs="Arial"/>
          <w:b w:val="0"/>
          <w:bCs/>
          <w:sz w:val="22"/>
          <w:szCs w:val="22"/>
          <w:u w:val="single"/>
        </w:rPr>
        <w:t xml:space="preserve">Information and </w:t>
      </w:r>
      <w:r w:rsidR="00BD2909" w:rsidRPr="00192F31">
        <w:rPr>
          <w:rFonts w:cs="Arial"/>
          <w:b w:val="0"/>
          <w:bCs/>
          <w:sz w:val="22"/>
          <w:szCs w:val="22"/>
          <w:u w:val="single"/>
        </w:rPr>
        <w:t>Analysis</w:t>
      </w:r>
      <w:r w:rsidRPr="00192F31">
        <w:rPr>
          <w:rFonts w:cs="Arial"/>
          <w:b w:val="0"/>
          <w:bCs/>
          <w:sz w:val="22"/>
          <w:szCs w:val="22"/>
          <w:u w:val="single"/>
        </w:rPr>
        <w:t xml:space="preserve"> </w:t>
      </w:r>
    </w:p>
    <w:p w14:paraId="3A28157F" w14:textId="77777777" w:rsidR="000D0641" w:rsidRPr="00DB37A9" w:rsidRDefault="000D0641" w:rsidP="00DB37A9">
      <w:pPr>
        <w:rPr>
          <w:rFonts w:ascii="Arial" w:hAnsi="Arial" w:cs="Arial"/>
        </w:rPr>
      </w:pPr>
    </w:p>
    <w:p w14:paraId="6BA7DF87" w14:textId="77777777" w:rsidR="00BD2909" w:rsidRPr="00DB37A9" w:rsidRDefault="00BD2909" w:rsidP="00DB37A9">
      <w:pPr>
        <w:pStyle w:val="paragraph"/>
        <w:spacing w:before="0" w:beforeAutospacing="0" w:after="0" w:afterAutospacing="0" w:line="360" w:lineRule="auto"/>
        <w:textAlignment w:val="baseline"/>
        <w:rPr>
          <w:rFonts w:ascii="Arial" w:hAnsi="Arial" w:cs="Arial"/>
          <w:color w:val="0F4761"/>
          <w:sz w:val="22"/>
          <w:szCs w:val="22"/>
        </w:rPr>
      </w:pPr>
      <w:r w:rsidRPr="00DB37A9">
        <w:rPr>
          <w:rStyle w:val="eop"/>
          <w:rFonts w:ascii="Arial" w:eastAsia="Calibri Light" w:hAnsi="Arial" w:cs="Arial"/>
          <w:color w:val="0F4761"/>
          <w:sz w:val="22"/>
          <w:szCs w:val="22"/>
        </w:rPr>
        <w:t> </w:t>
      </w:r>
    </w:p>
    <w:p w14:paraId="223734F5" w14:textId="2B88B289" w:rsidR="00BD2909" w:rsidRPr="00F87611" w:rsidRDefault="00BD2909" w:rsidP="00DB37A9">
      <w:pPr>
        <w:pStyle w:val="paragraph"/>
        <w:spacing w:before="0" w:beforeAutospacing="0" w:after="0" w:afterAutospacing="0" w:line="360" w:lineRule="auto"/>
        <w:textAlignment w:val="baseline"/>
        <w:rPr>
          <w:rFonts w:ascii="Arial" w:hAnsi="Arial" w:cs="Arial"/>
          <w:sz w:val="22"/>
          <w:szCs w:val="22"/>
        </w:rPr>
      </w:pPr>
      <w:r w:rsidRPr="00F87611">
        <w:rPr>
          <w:rStyle w:val="normaltextrun"/>
          <w:rFonts w:ascii="Arial" w:hAnsi="Arial" w:cs="Arial"/>
          <w:sz w:val="22"/>
          <w:szCs w:val="22"/>
        </w:rPr>
        <w:t xml:space="preserve">2.1 </w:t>
      </w:r>
      <w:r w:rsidRPr="00F87611">
        <w:rPr>
          <w:rStyle w:val="normaltextrun"/>
          <w:rFonts w:ascii="Arial" w:hAnsi="Arial" w:cs="Arial"/>
          <w:sz w:val="22"/>
          <w:szCs w:val="22"/>
          <w:u w:val="single"/>
        </w:rPr>
        <w:t xml:space="preserve">Introduction </w:t>
      </w:r>
    </w:p>
    <w:p w14:paraId="75C12655" w14:textId="587DB3EF" w:rsidR="00BE608B" w:rsidRPr="00E51789" w:rsidRDefault="00BD2909" w:rsidP="00E51789">
      <w:pPr>
        <w:pStyle w:val="paragraph"/>
        <w:spacing w:before="0" w:beforeAutospacing="0" w:after="0" w:afterAutospacing="0" w:line="360" w:lineRule="auto"/>
        <w:textAlignment w:val="baseline"/>
        <w:rPr>
          <w:rStyle w:val="eop"/>
          <w:rFonts w:ascii="Arial" w:hAnsi="Arial" w:cs="Arial"/>
          <w:sz w:val="22"/>
          <w:szCs w:val="22"/>
        </w:rPr>
      </w:pPr>
      <w:r w:rsidRPr="00DB37A9">
        <w:rPr>
          <w:rStyle w:val="eop"/>
          <w:rFonts w:ascii="Arial" w:eastAsia="Calibri Light" w:hAnsi="Arial" w:cs="Arial"/>
          <w:sz w:val="22"/>
          <w:szCs w:val="22"/>
        </w:rPr>
        <w:t> </w:t>
      </w:r>
      <w:r w:rsidR="00E51789" w:rsidRPr="00E51789">
        <w:rPr>
          <w:rStyle w:val="eop"/>
          <w:rFonts w:ascii="Arial" w:eastAsia="Calibri Light" w:hAnsi="Arial" w:cs="Arial"/>
          <w:sz w:val="22"/>
          <w:szCs w:val="22"/>
        </w:rPr>
        <w:t>Understanding help-seeking among South Asian women experiencing DVA requires consideration of the historical development of responses to abuse, the theories used to interpret women’s experiences, and the policy and service contexts in which help is sought</w:t>
      </w:r>
      <w:r w:rsidR="006C420C" w:rsidRPr="006C420C">
        <w:t xml:space="preserve"> </w:t>
      </w:r>
      <w:r w:rsidR="006C420C" w:rsidRPr="006C420C">
        <w:rPr>
          <w:rStyle w:val="eop"/>
          <w:rFonts w:ascii="Arial" w:eastAsia="Calibri Light" w:hAnsi="Arial" w:cs="Arial"/>
          <w:sz w:val="22"/>
          <w:szCs w:val="22"/>
        </w:rPr>
        <w:t>(Cheng et al., 2025)</w:t>
      </w:r>
      <w:r w:rsidR="00E51789" w:rsidRPr="00E51789">
        <w:rPr>
          <w:rStyle w:val="eop"/>
          <w:rFonts w:ascii="Arial" w:eastAsia="Calibri Light" w:hAnsi="Arial" w:cs="Arial"/>
          <w:sz w:val="22"/>
          <w:szCs w:val="22"/>
        </w:rPr>
        <w:t xml:space="preserve">. This chapter examines these areas to establish a foundation for the critical review. It considers the development of refuge and advocacy services, the relevance and limitations of intersectionality and help-seeking concepts, international human rights frameworks, and the current policy and service context in England and Wales. These perspectives help explain why access to support cannot be understood solely as an individual </w:t>
      </w:r>
      <w:r w:rsidR="00AA3AEB" w:rsidRPr="00E51789">
        <w:rPr>
          <w:rStyle w:val="eop"/>
          <w:rFonts w:ascii="Arial" w:eastAsia="Calibri Light" w:hAnsi="Arial" w:cs="Arial"/>
          <w:sz w:val="22"/>
          <w:szCs w:val="22"/>
        </w:rPr>
        <w:t>decision but</w:t>
      </w:r>
      <w:r w:rsidR="00E51789" w:rsidRPr="00E51789">
        <w:rPr>
          <w:rStyle w:val="eop"/>
          <w:rFonts w:ascii="Arial" w:eastAsia="Calibri Light" w:hAnsi="Arial" w:cs="Arial"/>
          <w:sz w:val="22"/>
          <w:szCs w:val="22"/>
        </w:rPr>
        <w:t xml:space="preserve"> must also be considered in relation to social relationships, structural </w:t>
      </w:r>
      <w:r w:rsidR="00E3176D" w:rsidRPr="00E51789">
        <w:rPr>
          <w:rStyle w:val="eop"/>
          <w:rFonts w:ascii="Arial" w:eastAsia="Calibri Light" w:hAnsi="Arial" w:cs="Arial"/>
          <w:sz w:val="22"/>
          <w:szCs w:val="22"/>
        </w:rPr>
        <w:t>inequalities,</w:t>
      </w:r>
      <w:r w:rsidR="00E51789" w:rsidRPr="00E51789">
        <w:rPr>
          <w:rStyle w:val="eop"/>
          <w:rFonts w:ascii="Arial" w:eastAsia="Calibri Light" w:hAnsi="Arial" w:cs="Arial"/>
          <w:sz w:val="22"/>
          <w:szCs w:val="22"/>
        </w:rPr>
        <w:t xml:space="preserve"> and institutional responses.</w:t>
      </w:r>
    </w:p>
    <w:p w14:paraId="0BEDA4BC" w14:textId="77777777" w:rsidR="00544C17" w:rsidRPr="00F87611" w:rsidRDefault="00544C17" w:rsidP="00DB37A9">
      <w:pPr>
        <w:pStyle w:val="paragraph"/>
        <w:spacing w:before="0" w:beforeAutospacing="0" w:after="0" w:afterAutospacing="0" w:line="360" w:lineRule="auto"/>
        <w:textAlignment w:val="baseline"/>
        <w:rPr>
          <w:rFonts w:ascii="Arial" w:hAnsi="Arial" w:cs="Arial"/>
          <w:sz w:val="22"/>
          <w:szCs w:val="22"/>
        </w:rPr>
      </w:pPr>
    </w:p>
    <w:p w14:paraId="0AAAB744" w14:textId="0D40CC16" w:rsidR="00BD2909" w:rsidRPr="00F87611" w:rsidRDefault="00BD2909" w:rsidP="00DB37A9">
      <w:pPr>
        <w:pStyle w:val="paragraph"/>
        <w:spacing w:before="0" w:beforeAutospacing="0" w:after="0" w:afterAutospacing="0" w:line="360" w:lineRule="auto"/>
        <w:textAlignment w:val="baseline"/>
        <w:rPr>
          <w:rFonts w:ascii="Arial" w:hAnsi="Arial" w:cs="Arial"/>
          <w:sz w:val="22"/>
          <w:szCs w:val="22"/>
        </w:rPr>
      </w:pPr>
      <w:r w:rsidRPr="00F87611">
        <w:rPr>
          <w:rStyle w:val="normaltextrun"/>
          <w:rFonts w:ascii="Arial" w:hAnsi="Arial" w:cs="Arial"/>
          <w:sz w:val="22"/>
          <w:szCs w:val="22"/>
        </w:rPr>
        <w:t xml:space="preserve">2.2 </w:t>
      </w:r>
      <w:r w:rsidRPr="00F87611">
        <w:rPr>
          <w:rStyle w:val="normaltextrun"/>
          <w:rFonts w:ascii="Arial" w:hAnsi="Arial" w:cs="Arial"/>
          <w:sz w:val="22"/>
          <w:szCs w:val="22"/>
          <w:u w:val="single"/>
        </w:rPr>
        <w:t>Historical Background</w:t>
      </w:r>
    </w:p>
    <w:p w14:paraId="5B7837A5" w14:textId="114A064D" w:rsidR="000C0C01" w:rsidRPr="000C0C01" w:rsidRDefault="000C0C01" w:rsidP="000C0C01">
      <w:pPr>
        <w:pStyle w:val="paragraph"/>
        <w:spacing w:after="0" w:line="360" w:lineRule="auto"/>
        <w:textAlignment w:val="baseline"/>
        <w:rPr>
          <w:rFonts w:ascii="Arial" w:hAnsi="Arial" w:cs="Arial"/>
          <w:sz w:val="22"/>
          <w:szCs w:val="22"/>
        </w:rPr>
      </w:pPr>
      <w:r w:rsidRPr="000C0C01">
        <w:rPr>
          <w:rFonts w:ascii="Arial" w:hAnsi="Arial" w:cs="Arial"/>
          <w:sz w:val="22"/>
          <w:szCs w:val="22"/>
        </w:rPr>
        <w:t>The recognition of DVA as a social issue has developed significantly over recent decades. Historically, violence within intimate relationships was frequently treated as a private family matter, limiting public recognition of its wider social consequences</w:t>
      </w:r>
      <w:r w:rsidR="00B302E1" w:rsidRPr="00B302E1">
        <w:t xml:space="preserve"> </w:t>
      </w:r>
      <w:r w:rsidR="00B302E1" w:rsidRPr="00B302E1">
        <w:rPr>
          <w:rFonts w:ascii="Arial" w:hAnsi="Arial" w:cs="Arial"/>
          <w:sz w:val="22"/>
          <w:szCs w:val="22"/>
        </w:rPr>
        <w:t>(McPhee et al., 2021)</w:t>
      </w:r>
      <w:r w:rsidRPr="000C0C01">
        <w:rPr>
          <w:rFonts w:ascii="Arial" w:hAnsi="Arial" w:cs="Arial"/>
          <w:sz w:val="22"/>
          <w:szCs w:val="22"/>
        </w:rPr>
        <w:t xml:space="preserve">. Feminist activism and the women’s liberation movement during the late 1960s and 1970s challenged these assumptions by presenting violence against women as an issue of gender inequality, social </w:t>
      </w:r>
      <w:r w:rsidR="00E3176D" w:rsidRPr="000C0C01">
        <w:rPr>
          <w:rFonts w:ascii="Arial" w:hAnsi="Arial" w:cs="Arial"/>
          <w:sz w:val="22"/>
          <w:szCs w:val="22"/>
        </w:rPr>
        <w:t>justice,</w:t>
      </w:r>
      <w:r w:rsidRPr="000C0C01">
        <w:rPr>
          <w:rFonts w:ascii="Arial" w:hAnsi="Arial" w:cs="Arial"/>
          <w:sz w:val="22"/>
          <w:szCs w:val="22"/>
        </w:rPr>
        <w:t xml:space="preserve"> and public responsibility (The National Archives, </w:t>
      </w:r>
      <w:r w:rsidR="001C36A1">
        <w:rPr>
          <w:rFonts w:ascii="Arial" w:hAnsi="Arial" w:cs="Arial"/>
          <w:sz w:val="22"/>
          <w:szCs w:val="22"/>
        </w:rPr>
        <w:t>2024</w:t>
      </w:r>
      <w:r w:rsidRPr="000C0C01">
        <w:rPr>
          <w:rFonts w:ascii="Arial" w:hAnsi="Arial" w:cs="Arial"/>
          <w:sz w:val="22"/>
          <w:szCs w:val="22"/>
        </w:rPr>
        <w:t xml:space="preserve">.; Women’s Aid, </w:t>
      </w:r>
      <w:r w:rsidR="001C36A1">
        <w:rPr>
          <w:rFonts w:ascii="Arial" w:hAnsi="Arial" w:cs="Arial"/>
          <w:sz w:val="22"/>
          <w:szCs w:val="22"/>
        </w:rPr>
        <w:t>2021</w:t>
      </w:r>
      <w:r w:rsidRPr="000C0C01">
        <w:rPr>
          <w:rFonts w:ascii="Arial" w:hAnsi="Arial" w:cs="Arial"/>
          <w:sz w:val="22"/>
          <w:szCs w:val="22"/>
        </w:rPr>
        <w:t>).</w:t>
      </w:r>
    </w:p>
    <w:p w14:paraId="1641E77B" w14:textId="145FA1DB" w:rsidR="000600F6" w:rsidRDefault="000C0C01" w:rsidP="000C0C01">
      <w:pPr>
        <w:pStyle w:val="paragraph"/>
        <w:spacing w:after="0" w:line="360" w:lineRule="auto"/>
        <w:textAlignment w:val="baseline"/>
        <w:rPr>
          <w:rFonts w:ascii="Arial" w:hAnsi="Arial" w:cs="Arial"/>
          <w:sz w:val="22"/>
          <w:szCs w:val="22"/>
        </w:rPr>
      </w:pPr>
      <w:r w:rsidRPr="000C0C01">
        <w:rPr>
          <w:rFonts w:ascii="Arial" w:hAnsi="Arial" w:cs="Arial"/>
          <w:sz w:val="22"/>
          <w:szCs w:val="22"/>
        </w:rPr>
        <w:t xml:space="preserve">An important development in Britain was the establishment of Chiswick Women’s Aid in 1971, which provided refuge for women and children escaping violence. The formation of the National Women’s Aid Federation in 1974 helped bring independent refuge services together within a national network and strengthened campaigning for protection and support (The National Archives, </w:t>
      </w:r>
      <w:r w:rsidR="006907A2">
        <w:rPr>
          <w:rFonts w:ascii="Arial" w:hAnsi="Arial" w:cs="Arial"/>
          <w:sz w:val="22"/>
          <w:szCs w:val="22"/>
        </w:rPr>
        <w:t>202</w:t>
      </w:r>
      <w:r w:rsidR="004A572D">
        <w:rPr>
          <w:rFonts w:ascii="Arial" w:hAnsi="Arial" w:cs="Arial"/>
          <w:sz w:val="22"/>
          <w:szCs w:val="22"/>
        </w:rPr>
        <w:t>4</w:t>
      </w:r>
      <w:r w:rsidRPr="000C0C01">
        <w:rPr>
          <w:rFonts w:ascii="Arial" w:hAnsi="Arial" w:cs="Arial"/>
          <w:sz w:val="22"/>
          <w:szCs w:val="22"/>
        </w:rPr>
        <w:t xml:space="preserve">.; Women’s Aid, </w:t>
      </w:r>
      <w:r w:rsidR="004A572D">
        <w:rPr>
          <w:rFonts w:ascii="Arial" w:hAnsi="Arial" w:cs="Arial"/>
          <w:sz w:val="22"/>
          <w:szCs w:val="22"/>
        </w:rPr>
        <w:t>2021</w:t>
      </w:r>
      <w:r w:rsidRPr="000C0C01">
        <w:rPr>
          <w:rFonts w:ascii="Arial" w:hAnsi="Arial" w:cs="Arial"/>
          <w:sz w:val="22"/>
          <w:szCs w:val="22"/>
        </w:rPr>
        <w:t xml:space="preserve">.). These developments marked a shift towards </w:t>
      </w:r>
      <w:r w:rsidRPr="000C0C01">
        <w:rPr>
          <w:rFonts w:ascii="Arial" w:hAnsi="Arial" w:cs="Arial"/>
          <w:sz w:val="22"/>
          <w:szCs w:val="22"/>
        </w:rPr>
        <w:lastRenderedPageBreak/>
        <w:t>recognising the need for specialist services and safer alternatives for women experiencing abuse.</w:t>
      </w:r>
    </w:p>
    <w:p w14:paraId="141B183D" w14:textId="067380D2" w:rsidR="000C0C01" w:rsidRPr="000C0C01" w:rsidRDefault="000C0C01" w:rsidP="000C0C01">
      <w:pPr>
        <w:pStyle w:val="paragraph"/>
        <w:spacing w:after="0" w:line="360" w:lineRule="auto"/>
        <w:textAlignment w:val="baseline"/>
        <w:rPr>
          <w:rFonts w:ascii="Arial" w:hAnsi="Arial" w:cs="Arial"/>
          <w:sz w:val="22"/>
          <w:szCs w:val="22"/>
        </w:rPr>
      </w:pPr>
      <w:r w:rsidRPr="000C0C01">
        <w:rPr>
          <w:rFonts w:ascii="Arial" w:hAnsi="Arial" w:cs="Arial"/>
          <w:sz w:val="22"/>
          <w:szCs w:val="22"/>
        </w:rPr>
        <w:t xml:space="preserve">However, historical progress should not be interpreted as evidence that all women’s experiences were equally represented in early responses. A focus on gender inequality was important, but a single account of women’s experiences can overlook differences associated with ethnicity, migration, financial resources, </w:t>
      </w:r>
      <w:r w:rsidR="00E3176D" w:rsidRPr="000C0C01">
        <w:rPr>
          <w:rFonts w:ascii="Arial" w:hAnsi="Arial" w:cs="Arial"/>
          <w:sz w:val="22"/>
          <w:szCs w:val="22"/>
        </w:rPr>
        <w:t>language,</w:t>
      </w:r>
      <w:r w:rsidRPr="000C0C01">
        <w:rPr>
          <w:rFonts w:ascii="Arial" w:hAnsi="Arial" w:cs="Arial"/>
          <w:sz w:val="22"/>
          <w:szCs w:val="22"/>
        </w:rPr>
        <w:t xml:space="preserve"> and access to services. An intersectional perspective is therefore useful when considering how the development of domestic abuse provision has related to the needs of minoritised women</w:t>
      </w:r>
      <w:r w:rsidR="009F1A04" w:rsidRPr="009F1A04">
        <w:t xml:space="preserve"> </w:t>
      </w:r>
      <w:r w:rsidR="009F1A04" w:rsidRPr="009F1A04">
        <w:rPr>
          <w:rFonts w:ascii="Arial" w:hAnsi="Arial" w:cs="Arial"/>
          <w:sz w:val="22"/>
          <w:szCs w:val="22"/>
        </w:rPr>
        <w:t xml:space="preserve">(Green, Satyen and </w:t>
      </w:r>
      <w:proofErr w:type="spellStart"/>
      <w:r w:rsidR="009F1A04" w:rsidRPr="009F1A04">
        <w:rPr>
          <w:rFonts w:ascii="Arial" w:hAnsi="Arial" w:cs="Arial"/>
          <w:sz w:val="22"/>
          <w:szCs w:val="22"/>
        </w:rPr>
        <w:t>Toumbourou</w:t>
      </w:r>
      <w:proofErr w:type="spellEnd"/>
      <w:r w:rsidR="009F1A04" w:rsidRPr="009F1A04">
        <w:rPr>
          <w:rFonts w:ascii="Arial" w:hAnsi="Arial" w:cs="Arial"/>
          <w:sz w:val="22"/>
          <w:szCs w:val="22"/>
        </w:rPr>
        <w:t>, 2023)</w:t>
      </w:r>
      <w:r w:rsidRPr="000C0C01">
        <w:rPr>
          <w:rFonts w:ascii="Arial" w:hAnsi="Arial" w:cs="Arial"/>
          <w:sz w:val="22"/>
          <w:szCs w:val="22"/>
        </w:rPr>
        <w:t>.</w:t>
      </w:r>
    </w:p>
    <w:p w14:paraId="6304A5FD" w14:textId="77777777" w:rsidR="000C0C01" w:rsidRPr="000C0C01" w:rsidRDefault="000C0C01" w:rsidP="000C0C01">
      <w:pPr>
        <w:pStyle w:val="paragraph"/>
        <w:spacing w:after="0" w:line="360" w:lineRule="auto"/>
        <w:textAlignment w:val="baseline"/>
        <w:rPr>
          <w:rFonts w:ascii="Arial" w:hAnsi="Arial" w:cs="Arial"/>
          <w:sz w:val="22"/>
          <w:szCs w:val="22"/>
        </w:rPr>
      </w:pPr>
      <w:r w:rsidRPr="000C0C01">
        <w:rPr>
          <w:rFonts w:ascii="Arial" w:hAnsi="Arial" w:cs="Arial"/>
          <w:sz w:val="22"/>
          <w:szCs w:val="22"/>
        </w:rPr>
        <w:t>Legislative and policy responses have also developed. The Domestic Violence, Crime and Victims Act 2004 was one part of the changing legal response, while the Domestic Abuse Act 2021 subsequently established a statutory definition of domestic abuse. The accompanying statutory guidance provides further direction on recognising abuse, supporting victims and coordinating responses across agencies (Domestic Abuse Act 2021; Home Office, 2022).</w:t>
      </w:r>
    </w:p>
    <w:p w14:paraId="4460B8F2" w14:textId="77777777" w:rsidR="000C0C01" w:rsidRPr="000C0C01" w:rsidRDefault="000C0C01" w:rsidP="000C0C01">
      <w:pPr>
        <w:pStyle w:val="paragraph"/>
        <w:spacing w:after="0" w:line="360" w:lineRule="auto"/>
        <w:textAlignment w:val="baseline"/>
        <w:rPr>
          <w:rFonts w:ascii="Arial" w:hAnsi="Arial" w:cs="Arial"/>
          <w:sz w:val="22"/>
          <w:szCs w:val="22"/>
        </w:rPr>
      </w:pPr>
    </w:p>
    <w:p w14:paraId="3C2D503E" w14:textId="4DA3F42E" w:rsidR="008F2628" w:rsidRDefault="000C0C01" w:rsidP="000C0C01">
      <w:pPr>
        <w:pStyle w:val="paragraph"/>
        <w:spacing w:before="0" w:beforeAutospacing="0" w:after="0" w:afterAutospacing="0" w:line="360" w:lineRule="auto"/>
        <w:textAlignment w:val="baseline"/>
        <w:rPr>
          <w:rFonts w:ascii="Arial" w:hAnsi="Arial" w:cs="Arial"/>
          <w:sz w:val="22"/>
          <w:szCs w:val="22"/>
        </w:rPr>
      </w:pPr>
      <w:r w:rsidRPr="000C0C01">
        <w:rPr>
          <w:rFonts w:ascii="Arial" w:hAnsi="Arial" w:cs="Arial"/>
          <w:sz w:val="22"/>
          <w:szCs w:val="22"/>
        </w:rPr>
        <w:t>Despite these developments, the existence of legislation and specialist services does not guarantee equal access to support. A UK systematic review identified barriers to disclosure and help-seeking among women from ethnic minority populations, while a review focused on South Asian women in high-income countries highlighted the relevance of cultural, social and migration-related factors (Femi-Ajao, Kendal and Lovell, 2020; Sultana et al., 2023). More recent research has also examined South Asian women’s experiences of healthcare following disclosure of family violence (Baloch et al., 2025). Taken together, this literature indicates that the historical expansion of recognition and services needs to be considered alongside the continuing question of whether responses meet women’s differing needs.</w:t>
      </w:r>
    </w:p>
    <w:p w14:paraId="69380F18" w14:textId="77777777" w:rsidR="000600F6" w:rsidRPr="00DB37A9" w:rsidRDefault="000600F6" w:rsidP="000C0C01">
      <w:pPr>
        <w:pStyle w:val="paragraph"/>
        <w:spacing w:before="0" w:beforeAutospacing="0" w:after="0" w:afterAutospacing="0" w:line="360" w:lineRule="auto"/>
        <w:textAlignment w:val="baseline"/>
        <w:rPr>
          <w:rFonts w:ascii="Arial" w:hAnsi="Arial" w:cs="Arial"/>
          <w:sz w:val="22"/>
          <w:szCs w:val="22"/>
        </w:rPr>
      </w:pPr>
    </w:p>
    <w:p w14:paraId="1885D7A2" w14:textId="77777777" w:rsidR="0047445C" w:rsidRDefault="0047445C"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72ED15B7" w14:textId="77777777" w:rsidR="0047445C" w:rsidRDefault="0047445C"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41DF704" w14:textId="77777777" w:rsidR="0047445C" w:rsidRDefault="0047445C" w:rsidP="00DB37A9">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7CD6820C" w14:textId="5710A418" w:rsidR="00BD2909" w:rsidRDefault="00BD2909" w:rsidP="00DB37A9">
      <w:pPr>
        <w:pStyle w:val="paragraph"/>
        <w:spacing w:before="0" w:beforeAutospacing="0" w:after="0" w:afterAutospacing="0" w:line="360" w:lineRule="auto"/>
        <w:textAlignment w:val="baseline"/>
        <w:rPr>
          <w:rStyle w:val="eop"/>
          <w:rFonts w:ascii="Arial" w:eastAsia="Calibri Light" w:hAnsi="Arial" w:cs="Arial"/>
          <w:color w:val="0F4761"/>
          <w:sz w:val="22"/>
          <w:szCs w:val="22"/>
        </w:rPr>
      </w:pPr>
      <w:r w:rsidRPr="00DB37A9">
        <w:rPr>
          <w:rStyle w:val="normaltextrun"/>
          <w:rFonts w:ascii="Arial" w:hAnsi="Arial" w:cs="Arial"/>
          <w:color w:val="0F4761"/>
          <w:sz w:val="22"/>
          <w:szCs w:val="22"/>
        </w:rPr>
        <w:t xml:space="preserve">2.3 </w:t>
      </w:r>
      <w:r w:rsidRPr="007B7A3B">
        <w:rPr>
          <w:rStyle w:val="normaltextrun"/>
          <w:rFonts w:ascii="Arial" w:hAnsi="Arial" w:cs="Arial"/>
          <w:sz w:val="22"/>
          <w:szCs w:val="22"/>
          <w:u w:val="single"/>
        </w:rPr>
        <w:t>Theoretical Background</w:t>
      </w:r>
      <w:r w:rsidRPr="007B7A3B">
        <w:rPr>
          <w:rStyle w:val="eop"/>
          <w:rFonts w:ascii="Arial" w:eastAsia="Calibri Light" w:hAnsi="Arial" w:cs="Arial"/>
          <w:sz w:val="22"/>
          <w:szCs w:val="22"/>
        </w:rPr>
        <w:t> </w:t>
      </w:r>
    </w:p>
    <w:p w14:paraId="01CC20E8" w14:textId="77777777" w:rsidR="005605B1" w:rsidRPr="00DB37A9" w:rsidRDefault="005605B1" w:rsidP="00DB37A9">
      <w:pPr>
        <w:pStyle w:val="paragraph"/>
        <w:spacing w:before="0" w:beforeAutospacing="0" w:after="0" w:afterAutospacing="0" w:line="360" w:lineRule="auto"/>
        <w:textAlignment w:val="baseline"/>
        <w:rPr>
          <w:rStyle w:val="eop"/>
          <w:rFonts w:ascii="Arial" w:eastAsia="Calibri Light" w:hAnsi="Arial" w:cs="Arial"/>
          <w:color w:val="0F4761"/>
          <w:sz w:val="22"/>
          <w:szCs w:val="22"/>
        </w:rPr>
      </w:pPr>
    </w:p>
    <w:p w14:paraId="5757578B" w14:textId="2FD63280" w:rsidR="00C95F59" w:rsidRDefault="005605B1" w:rsidP="00DB37A9">
      <w:pPr>
        <w:pStyle w:val="paragraph"/>
        <w:spacing w:before="0" w:beforeAutospacing="0" w:after="0" w:afterAutospacing="0" w:line="360" w:lineRule="auto"/>
        <w:textAlignment w:val="baseline"/>
        <w:rPr>
          <w:rStyle w:val="eop"/>
          <w:rFonts w:ascii="Arial" w:eastAsia="Calibri Light" w:hAnsi="Arial" w:cs="Arial"/>
          <w:sz w:val="22"/>
          <w:szCs w:val="22"/>
        </w:rPr>
      </w:pPr>
      <w:r w:rsidRPr="005605B1">
        <w:rPr>
          <w:rStyle w:val="eop"/>
          <w:rFonts w:ascii="Arial" w:eastAsia="Calibri Light" w:hAnsi="Arial" w:cs="Arial"/>
          <w:sz w:val="22"/>
          <w:szCs w:val="22"/>
        </w:rPr>
        <w:t xml:space="preserve">Understanding DVA among South Asian women requires frameworks that explain how social position, relationships and institutional conditions can influence help-seeking. </w:t>
      </w:r>
      <w:r w:rsidRPr="005605B1">
        <w:rPr>
          <w:rStyle w:val="eop"/>
          <w:rFonts w:ascii="Arial" w:eastAsia="Calibri Light" w:hAnsi="Arial" w:cs="Arial"/>
          <w:sz w:val="22"/>
          <w:szCs w:val="22"/>
        </w:rPr>
        <w:lastRenderedPageBreak/>
        <w:t>Intersectionality and concepts relating to social norms and help-seeking offer complementary perspectives. However, these frameworks should be applied critically rather than used to assume that all women from a particular ethnic background experience abuse or respond to it in the same way.</w:t>
      </w:r>
    </w:p>
    <w:p w14:paraId="024252D0" w14:textId="77777777" w:rsidR="005605B1" w:rsidRPr="00DB37A9" w:rsidRDefault="005605B1" w:rsidP="00DB37A9">
      <w:pPr>
        <w:pStyle w:val="paragraph"/>
        <w:spacing w:before="0" w:beforeAutospacing="0" w:after="0" w:afterAutospacing="0" w:line="360" w:lineRule="auto"/>
        <w:textAlignment w:val="baseline"/>
        <w:rPr>
          <w:rStyle w:val="eop"/>
          <w:rFonts w:ascii="Arial" w:eastAsia="Calibri Light" w:hAnsi="Arial" w:cs="Arial"/>
          <w:sz w:val="22"/>
          <w:szCs w:val="22"/>
        </w:rPr>
      </w:pPr>
    </w:p>
    <w:p w14:paraId="02952F9D" w14:textId="7B5A8D91" w:rsidR="00BD2909" w:rsidRPr="00713DA7" w:rsidRDefault="00BD2909" w:rsidP="00DB37A9">
      <w:pPr>
        <w:pStyle w:val="paragraph"/>
        <w:spacing w:before="0" w:beforeAutospacing="0" w:after="0" w:afterAutospacing="0" w:line="360" w:lineRule="auto"/>
        <w:textAlignment w:val="baseline"/>
        <w:rPr>
          <w:rFonts w:ascii="Arial" w:hAnsi="Arial" w:cs="Arial"/>
          <w:sz w:val="22"/>
          <w:szCs w:val="22"/>
          <w:u w:val="single"/>
        </w:rPr>
      </w:pPr>
      <w:r w:rsidRPr="00713DA7">
        <w:rPr>
          <w:rStyle w:val="normaltextrun"/>
          <w:rFonts w:ascii="Arial" w:hAnsi="Arial" w:cs="Arial"/>
          <w:sz w:val="22"/>
          <w:szCs w:val="22"/>
          <w:u w:val="single"/>
        </w:rPr>
        <w:t>Key Theories and Concepts:</w:t>
      </w:r>
      <w:r w:rsidRPr="00713DA7">
        <w:rPr>
          <w:rStyle w:val="eop"/>
          <w:rFonts w:ascii="Arial" w:eastAsia="Calibri Light" w:hAnsi="Arial" w:cs="Arial"/>
          <w:sz w:val="22"/>
          <w:szCs w:val="22"/>
          <w:u w:val="single"/>
        </w:rPr>
        <w:t> </w:t>
      </w:r>
    </w:p>
    <w:p w14:paraId="5A312B38" w14:textId="0E819FBC" w:rsidR="00670B64" w:rsidRPr="00EB5998" w:rsidRDefault="00670B64" w:rsidP="00670B64">
      <w:pPr>
        <w:pStyle w:val="paragraph"/>
        <w:tabs>
          <w:tab w:val="num" w:pos="0"/>
        </w:tabs>
        <w:spacing w:after="0"/>
        <w:textAlignment w:val="baseline"/>
        <w:rPr>
          <w:rFonts w:ascii="Arial" w:hAnsi="Arial" w:cs="Arial"/>
          <w:sz w:val="22"/>
          <w:szCs w:val="22"/>
          <w:u w:val="single"/>
        </w:rPr>
      </w:pPr>
      <w:r w:rsidRPr="00EB5998">
        <w:rPr>
          <w:rFonts w:ascii="Arial" w:hAnsi="Arial" w:cs="Arial"/>
          <w:sz w:val="22"/>
          <w:szCs w:val="22"/>
          <w:u w:val="single"/>
        </w:rPr>
        <w:t>Intersectionality</w:t>
      </w:r>
    </w:p>
    <w:p w14:paraId="5FC80580" w14:textId="2743C474" w:rsidR="00BD2909" w:rsidRDefault="00670B64" w:rsidP="00670B64">
      <w:pPr>
        <w:pStyle w:val="paragraph"/>
        <w:tabs>
          <w:tab w:val="num" w:pos="0"/>
        </w:tabs>
        <w:spacing w:before="0" w:beforeAutospacing="0" w:after="0" w:afterAutospacing="0" w:line="360" w:lineRule="auto"/>
        <w:textAlignment w:val="baseline"/>
        <w:rPr>
          <w:rFonts w:ascii="Arial" w:hAnsi="Arial" w:cs="Arial"/>
          <w:sz w:val="22"/>
          <w:szCs w:val="22"/>
        </w:rPr>
      </w:pPr>
      <w:r w:rsidRPr="00670B64">
        <w:rPr>
          <w:rFonts w:ascii="Arial" w:hAnsi="Arial" w:cs="Arial"/>
          <w:sz w:val="22"/>
          <w:szCs w:val="22"/>
        </w:rPr>
        <w:t xml:space="preserve">Intersectionality examines how social positions and systems of power, including gender, </w:t>
      </w:r>
      <w:r w:rsidR="005C4458" w:rsidRPr="00670B64">
        <w:rPr>
          <w:rFonts w:ascii="Arial" w:hAnsi="Arial" w:cs="Arial"/>
          <w:sz w:val="22"/>
          <w:szCs w:val="22"/>
        </w:rPr>
        <w:t>ethnicity,</w:t>
      </w:r>
      <w:r w:rsidRPr="00670B64">
        <w:rPr>
          <w:rFonts w:ascii="Arial" w:hAnsi="Arial" w:cs="Arial"/>
          <w:sz w:val="22"/>
          <w:szCs w:val="22"/>
        </w:rPr>
        <w:t xml:space="preserve"> and socioeconomic position, interact to shape people’s experiences (Crenshaw, 1989). Applied to help-seeking, this framework suggests that barriers may not operate independently. For example, a woman experiencing financial dependency may also face language barriers, concerns about her immigration status or uncertainty about whether services can support her</w:t>
      </w:r>
      <w:r w:rsidR="00E5034D">
        <w:rPr>
          <w:rFonts w:ascii="Arial" w:hAnsi="Arial" w:cs="Arial"/>
          <w:sz w:val="22"/>
          <w:szCs w:val="22"/>
        </w:rPr>
        <w:t xml:space="preserve"> </w:t>
      </w:r>
      <w:r w:rsidR="00E5034D" w:rsidRPr="00E5034D">
        <w:rPr>
          <w:rFonts w:ascii="Arial" w:hAnsi="Arial" w:cs="Arial"/>
          <w:sz w:val="22"/>
          <w:szCs w:val="22"/>
        </w:rPr>
        <w:t>(Sanhueza-Morales et al., 2025)</w:t>
      </w:r>
      <w:r w:rsidRPr="00670B64">
        <w:rPr>
          <w:rFonts w:ascii="Arial" w:hAnsi="Arial" w:cs="Arial"/>
          <w:sz w:val="22"/>
          <w:szCs w:val="22"/>
        </w:rPr>
        <w:t>. The combined effect may influence her perceived options and the risks associated with disclosure.</w:t>
      </w:r>
    </w:p>
    <w:p w14:paraId="03FB711D" w14:textId="77777777" w:rsidR="00BD6336" w:rsidRPr="00DB37A9" w:rsidRDefault="00BD6336" w:rsidP="00670B64">
      <w:pPr>
        <w:pStyle w:val="paragraph"/>
        <w:tabs>
          <w:tab w:val="num" w:pos="0"/>
        </w:tabs>
        <w:spacing w:before="0" w:beforeAutospacing="0" w:after="0" w:afterAutospacing="0" w:line="360" w:lineRule="auto"/>
        <w:textAlignment w:val="baseline"/>
        <w:rPr>
          <w:rFonts w:ascii="Arial" w:hAnsi="Arial" w:cs="Arial"/>
          <w:sz w:val="22"/>
          <w:szCs w:val="22"/>
        </w:rPr>
      </w:pPr>
    </w:p>
    <w:p w14:paraId="4E51CE5B" w14:textId="33277894" w:rsidR="00BD6336" w:rsidRDefault="00BD6336" w:rsidP="00BD6336">
      <w:pPr>
        <w:rPr>
          <w:rFonts w:ascii="Arial" w:eastAsia="Times New Roman" w:hAnsi="Arial" w:cs="Arial"/>
          <w:kern w:val="0"/>
          <w14:ligatures w14:val="none"/>
        </w:rPr>
      </w:pPr>
      <w:r w:rsidRPr="00BD6336">
        <w:rPr>
          <w:rFonts w:ascii="Arial" w:eastAsia="Times New Roman" w:hAnsi="Arial" w:cs="Arial"/>
          <w:kern w:val="0"/>
          <w14:ligatures w14:val="none"/>
        </w:rPr>
        <w:t>Research on ethnic minority women’s experiences of domestic abuse and research focused on South Asian women identify the importance of considering social and structural factors alongside individual experiences (Femi-Ajao, Kendal and Lovell, 20</w:t>
      </w:r>
      <w:r w:rsidR="00AE54D2">
        <w:rPr>
          <w:rFonts w:ascii="Arial" w:eastAsia="Times New Roman" w:hAnsi="Arial" w:cs="Arial"/>
          <w:kern w:val="0"/>
          <w14:ligatures w14:val="none"/>
        </w:rPr>
        <w:t>18</w:t>
      </w:r>
      <w:r w:rsidRPr="00BD6336">
        <w:rPr>
          <w:rFonts w:ascii="Arial" w:eastAsia="Times New Roman" w:hAnsi="Arial" w:cs="Arial"/>
          <w:kern w:val="0"/>
          <w14:ligatures w14:val="none"/>
        </w:rPr>
        <w:t>; Sultana et al., 2023). This supports an intersectional approach because it moves the analysis beyond explanations that attribute help-seeking difficulties solely to culture or individual choice.</w:t>
      </w:r>
    </w:p>
    <w:p w14:paraId="015D62E1" w14:textId="04F939FD" w:rsidR="00051097" w:rsidRDefault="00051097" w:rsidP="00BD6336">
      <w:pPr>
        <w:rPr>
          <w:rFonts w:ascii="Arial" w:eastAsia="Times New Roman" w:hAnsi="Arial" w:cs="Arial"/>
          <w:kern w:val="0"/>
          <w14:ligatures w14:val="none"/>
        </w:rPr>
      </w:pPr>
      <w:r w:rsidRPr="00051097">
        <w:rPr>
          <w:rFonts w:ascii="Arial" w:eastAsia="Times New Roman" w:hAnsi="Arial" w:cs="Arial"/>
          <w:kern w:val="0"/>
          <w14:ligatures w14:val="none"/>
        </w:rPr>
        <w:t xml:space="preserve">Nevertheless, intersectionality is a framework for analysis rather than a checklist of disadvantages. If applied too broadly, it may describe women </w:t>
      </w:r>
      <w:r w:rsidR="005C4458" w:rsidRPr="00051097">
        <w:rPr>
          <w:rFonts w:ascii="Arial" w:eastAsia="Times New Roman" w:hAnsi="Arial" w:cs="Arial"/>
          <w:kern w:val="0"/>
          <w14:ligatures w14:val="none"/>
        </w:rPr>
        <w:t>through</w:t>
      </w:r>
      <w:r w:rsidRPr="00051097">
        <w:rPr>
          <w:rFonts w:ascii="Arial" w:eastAsia="Times New Roman" w:hAnsi="Arial" w:cs="Arial"/>
          <w:kern w:val="0"/>
          <w14:ligatures w14:val="none"/>
        </w:rPr>
        <w:t xml:space="preserve"> the barriers they face and give insufficient attention to their agency, relationships, strategies for safety and access to supportive networks. Its value therefore depends on using evidence to examine how particular circumstances interact, while recognising differences within and between South Asian communities.</w:t>
      </w:r>
    </w:p>
    <w:p w14:paraId="731466FC" w14:textId="77777777" w:rsidR="00DF7C5F" w:rsidRPr="00BD6336" w:rsidRDefault="00DF7C5F" w:rsidP="00BD6336">
      <w:pPr>
        <w:rPr>
          <w:rFonts w:ascii="Arial" w:eastAsia="Times New Roman" w:hAnsi="Arial" w:cs="Arial"/>
          <w:kern w:val="0"/>
          <w14:ligatures w14:val="none"/>
        </w:rPr>
      </w:pPr>
    </w:p>
    <w:p w14:paraId="6E88C0F6" w14:textId="6EC2B800" w:rsidR="00073870" w:rsidRPr="007B7A3B" w:rsidRDefault="006D1C01" w:rsidP="00073870">
      <w:pPr>
        <w:pStyle w:val="paragraph"/>
        <w:tabs>
          <w:tab w:val="num" w:pos="0"/>
        </w:tabs>
        <w:spacing w:before="0" w:beforeAutospacing="0" w:after="0" w:afterAutospacing="0" w:line="360" w:lineRule="auto"/>
        <w:textAlignment w:val="baseline"/>
        <w:rPr>
          <w:rFonts w:ascii="Arial" w:hAnsi="Arial" w:cs="Arial"/>
          <w:sz w:val="22"/>
          <w:szCs w:val="22"/>
          <w:u w:val="single"/>
        </w:rPr>
      </w:pPr>
      <w:r w:rsidRPr="007B7A3B">
        <w:rPr>
          <w:rFonts w:ascii="Arial" w:hAnsi="Arial" w:cs="Arial"/>
          <w:sz w:val="22"/>
          <w:szCs w:val="22"/>
          <w:u w:val="single"/>
        </w:rPr>
        <w:t>Social and cultural norms</w:t>
      </w:r>
      <w:r w:rsidR="003F6110" w:rsidRPr="007B7A3B">
        <w:rPr>
          <w:rFonts w:ascii="Arial" w:hAnsi="Arial" w:cs="Arial"/>
          <w:sz w:val="22"/>
          <w:szCs w:val="22"/>
          <w:u w:val="single"/>
        </w:rPr>
        <w:t>:</w:t>
      </w:r>
    </w:p>
    <w:p w14:paraId="06CAC164" w14:textId="4404C121" w:rsidR="00073870" w:rsidRDefault="00073870" w:rsidP="0002111C">
      <w:pPr>
        <w:pStyle w:val="paragraph"/>
        <w:tabs>
          <w:tab w:val="num" w:pos="0"/>
        </w:tabs>
        <w:spacing w:before="0" w:beforeAutospacing="0" w:after="0" w:afterAutospacing="0" w:line="360" w:lineRule="auto"/>
        <w:textAlignment w:val="baseline"/>
        <w:rPr>
          <w:rFonts w:ascii="Arial" w:hAnsi="Arial" w:cs="Arial"/>
          <w:sz w:val="22"/>
          <w:szCs w:val="22"/>
        </w:rPr>
      </w:pPr>
      <w:r w:rsidRPr="00073870">
        <w:rPr>
          <w:rFonts w:ascii="Arial" w:hAnsi="Arial" w:cs="Arial"/>
          <w:sz w:val="22"/>
          <w:szCs w:val="22"/>
        </w:rPr>
        <w:t>Social norms can influence behaviour through expectations about what is acceptable, how others may respond and what consequences may follow from departing from community or family expectations</w:t>
      </w:r>
      <w:r w:rsidR="00EA42E2" w:rsidRPr="00EA42E2">
        <w:t xml:space="preserve"> </w:t>
      </w:r>
      <w:r w:rsidR="00EA42E2" w:rsidRPr="00EA42E2">
        <w:rPr>
          <w:rFonts w:ascii="Arial" w:hAnsi="Arial" w:cs="Arial"/>
          <w:sz w:val="22"/>
          <w:szCs w:val="22"/>
        </w:rPr>
        <w:t>(Álvarez-Benjumea, 2025)</w:t>
      </w:r>
      <w:r w:rsidRPr="00073870">
        <w:rPr>
          <w:rFonts w:ascii="Arial" w:hAnsi="Arial" w:cs="Arial"/>
          <w:sz w:val="22"/>
          <w:szCs w:val="22"/>
        </w:rPr>
        <w:t xml:space="preserve">. Research concerning South Asian women has identified the relevance of family reputation, stigma, gender expectations and anticipated negative responses when women consider disclosing domestic abuse (Sultana et al., 2023). </w:t>
      </w:r>
      <w:r w:rsidRPr="00073870">
        <w:rPr>
          <w:rFonts w:ascii="Arial" w:hAnsi="Arial" w:cs="Arial"/>
          <w:sz w:val="22"/>
          <w:szCs w:val="22"/>
        </w:rPr>
        <w:lastRenderedPageBreak/>
        <w:t>Such pressures may make disclosure feel risky, particularly where women fear social exclusion, damage to family relationships or repercussions for themselves or their children</w:t>
      </w:r>
      <w:r w:rsidR="00401378" w:rsidRPr="00401378">
        <w:t xml:space="preserve"> </w:t>
      </w:r>
      <w:r w:rsidR="00401378" w:rsidRPr="00401378">
        <w:rPr>
          <w:rFonts w:ascii="Arial" w:hAnsi="Arial" w:cs="Arial"/>
          <w:sz w:val="22"/>
          <w:szCs w:val="22"/>
        </w:rPr>
        <w:t>(</w:t>
      </w:r>
      <w:proofErr w:type="spellStart"/>
      <w:r w:rsidR="00401378" w:rsidRPr="00401378">
        <w:rPr>
          <w:rFonts w:ascii="Arial" w:hAnsi="Arial" w:cs="Arial"/>
          <w:sz w:val="22"/>
          <w:szCs w:val="22"/>
        </w:rPr>
        <w:t>Barakati</w:t>
      </w:r>
      <w:proofErr w:type="spellEnd"/>
      <w:r w:rsidR="00401378" w:rsidRPr="00401378">
        <w:rPr>
          <w:rFonts w:ascii="Arial" w:hAnsi="Arial" w:cs="Arial"/>
          <w:sz w:val="22"/>
          <w:szCs w:val="22"/>
        </w:rPr>
        <w:t xml:space="preserve"> et al., 2026)</w:t>
      </w:r>
      <w:r w:rsidRPr="00073870">
        <w:rPr>
          <w:rFonts w:ascii="Arial" w:hAnsi="Arial" w:cs="Arial"/>
          <w:sz w:val="22"/>
          <w:szCs w:val="22"/>
        </w:rPr>
        <w:t>.</w:t>
      </w:r>
    </w:p>
    <w:p w14:paraId="4DD55199" w14:textId="77777777" w:rsidR="003263B9" w:rsidRDefault="003263B9" w:rsidP="00D82051">
      <w:pPr>
        <w:pStyle w:val="paragraph"/>
        <w:tabs>
          <w:tab w:val="num" w:pos="0"/>
        </w:tabs>
        <w:spacing w:before="0" w:beforeAutospacing="0" w:after="0" w:afterAutospacing="0" w:line="360" w:lineRule="auto"/>
        <w:textAlignment w:val="baseline"/>
        <w:rPr>
          <w:rFonts w:ascii="Arial" w:hAnsi="Arial" w:cs="Arial"/>
          <w:sz w:val="22"/>
          <w:szCs w:val="22"/>
        </w:rPr>
      </w:pPr>
    </w:p>
    <w:p w14:paraId="01183784" w14:textId="6B5242B0" w:rsidR="00D82051" w:rsidRDefault="00D82051" w:rsidP="00D82051">
      <w:pPr>
        <w:pStyle w:val="paragraph"/>
        <w:tabs>
          <w:tab w:val="num" w:pos="0"/>
        </w:tabs>
        <w:spacing w:before="0" w:beforeAutospacing="0" w:after="0" w:afterAutospacing="0" w:line="360" w:lineRule="auto"/>
        <w:textAlignment w:val="baseline"/>
        <w:rPr>
          <w:rFonts w:ascii="Arial" w:hAnsi="Arial" w:cs="Arial"/>
          <w:sz w:val="22"/>
          <w:szCs w:val="22"/>
        </w:rPr>
      </w:pPr>
      <w:r w:rsidRPr="00D82051">
        <w:rPr>
          <w:rFonts w:ascii="Arial" w:hAnsi="Arial" w:cs="Arial"/>
          <w:sz w:val="22"/>
          <w:szCs w:val="22"/>
        </w:rPr>
        <w:t xml:space="preserve">However, these findings should not be interpreted as evidence that South Asian culture itself causes domestic abuse or uniformly prevents women from seeking help. Cultural expectations are not fixed, and women may interpret, </w:t>
      </w:r>
      <w:r w:rsidR="005C4458" w:rsidRPr="00D82051">
        <w:rPr>
          <w:rFonts w:ascii="Arial" w:hAnsi="Arial" w:cs="Arial"/>
          <w:sz w:val="22"/>
          <w:szCs w:val="22"/>
        </w:rPr>
        <w:t>negotiate,</w:t>
      </w:r>
      <w:r w:rsidRPr="00D82051">
        <w:rPr>
          <w:rFonts w:ascii="Arial" w:hAnsi="Arial" w:cs="Arial"/>
          <w:sz w:val="22"/>
          <w:szCs w:val="22"/>
        </w:rPr>
        <w:t xml:space="preserve"> or challenge them in different ways. Families and communities may also provide practical and emotional support. A critical analysis must therefore consider how particular expectations operate in specific circumstances rather than treating culture as a single, consistent explanation.</w:t>
      </w:r>
    </w:p>
    <w:p w14:paraId="57127279" w14:textId="77777777" w:rsidR="00065828" w:rsidRPr="006062A8" w:rsidRDefault="00065828" w:rsidP="00D82051">
      <w:pPr>
        <w:pStyle w:val="paragraph"/>
        <w:tabs>
          <w:tab w:val="num" w:pos="0"/>
        </w:tabs>
        <w:spacing w:before="0" w:beforeAutospacing="0" w:after="0" w:afterAutospacing="0" w:line="360" w:lineRule="auto"/>
        <w:textAlignment w:val="baseline"/>
        <w:rPr>
          <w:rFonts w:ascii="Arial" w:hAnsi="Arial" w:cs="Arial"/>
          <w:sz w:val="22"/>
          <w:szCs w:val="22"/>
        </w:rPr>
      </w:pPr>
    </w:p>
    <w:p w14:paraId="3F8F658D" w14:textId="51A00533" w:rsidR="00D0656B" w:rsidRPr="007B7A3B" w:rsidRDefault="00AE1B0A" w:rsidP="00DB37A9">
      <w:pPr>
        <w:pStyle w:val="paragraph"/>
        <w:tabs>
          <w:tab w:val="num" w:pos="0"/>
        </w:tabs>
        <w:spacing w:before="0" w:beforeAutospacing="0" w:after="0" w:afterAutospacing="0" w:line="360" w:lineRule="auto"/>
        <w:textAlignment w:val="baseline"/>
        <w:rPr>
          <w:rFonts w:ascii="Arial" w:hAnsi="Arial" w:cs="Arial"/>
          <w:sz w:val="22"/>
          <w:szCs w:val="22"/>
          <w:u w:val="single"/>
        </w:rPr>
      </w:pPr>
      <w:r w:rsidRPr="007B7A3B">
        <w:rPr>
          <w:rFonts w:ascii="Arial" w:hAnsi="Arial" w:cs="Arial"/>
          <w:sz w:val="22"/>
          <w:szCs w:val="22"/>
          <w:u w:val="single"/>
        </w:rPr>
        <w:t xml:space="preserve">Help-seeking as a </w:t>
      </w:r>
      <w:r w:rsidR="003F6110" w:rsidRPr="007B7A3B">
        <w:rPr>
          <w:rFonts w:ascii="Arial" w:hAnsi="Arial" w:cs="Arial"/>
          <w:sz w:val="22"/>
          <w:szCs w:val="22"/>
          <w:u w:val="single"/>
        </w:rPr>
        <w:t>P</w:t>
      </w:r>
      <w:r w:rsidRPr="007B7A3B">
        <w:rPr>
          <w:rFonts w:ascii="Arial" w:hAnsi="Arial" w:cs="Arial"/>
          <w:sz w:val="22"/>
          <w:szCs w:val="22"/>
          <w:u w:val="single"/>
        </w:rPr>
        <w:t>rocess</w:t>
      </w:r>
      <w:r w:rsidR="003F6110" w:rsidRPr="007B7A3B">
        <w:rPr>
          <w:rFonts w:ascii="Arial" w:hAnsi="Arial" w:cs="Arial"/>
          <w:sz w:val="22"/>
          <w:szCs w:val="22"/>
          <w:u w:val="single"/>
        </w:rPr>
        <w:t>:</w:t>
      </w:r>
    </w:p>
    <w:p w14:paraId="3C71BFFC" w14:textId="77777777" w:rsidR="00882E6B" w:rsidRDefault="00882E6B" w:rsidP="00882E6B">
      <w:pPr>
        <w:rPr>
          <w:rFonts w:ascii="Arial" w:eastAsia="Times New Roman" w:hAnsi="Arial" w:cs="Arial"/>
          <w:kern w:val="0"/>
          <w14:ligatures w14:val="none"/>
        </w:rPr>
      </w:pPr>
      <w:r w:rsidRPr="00882E6B">
        <w:rPr>
          <w:rFonts w:ascii="Arial" w:eastAsia="Times New Roman" w:hAnsi="Arial" w:cs="Arial"/>
          <w:kern w:val="0"/>
          <w14:ligatures w14:val="none"/>
        </w:rPr>
        <w:t xml:space="preserve">Help-seeking can be understood as a process involving recognition of a problem, consideration of possible responses, assessment of risks and benefits, and decisions about whether to approach informal or formal sources of support. </w:t>
      </w:r>
      <w:proofErr w:type="spellStart"/>
      <w:r w:rsidRPr="00882E6B">
        <w:rPr>
          <w:rFonts w:ascii="Arial" w:eastAsia="Times New Roman" w:hAnsi="Arial" w:cs="Arial"/>
          <w:kern w:val="0"/>
          <w14:ligatures w14:val="none"/>
        </w:rPr>
        <w:t>Cornally</w:t>
      </w:r>
      <w:proofErr w:type="spellEnd"/>
      <w:r w:rsidRPr="00882E6B">
        <w:rPr>
          <w:rFonts w:ascii="Arial" w:eastAsia="Times New Roman" w:hAnsi="Arial" w:cs="Arial"/>
          <w:kern w:val="0"/>
          <w14:ligatures w14:val="none"/>
        </w:rPr>
        <w:t xml:space="preserve"> and McCarthy (2011) provide a general conceptual account of help-seeking behaviour. In the context of DVA, however, decisions cannot be reduced to individual cognition alone. A woman may recognise that she is experiencing abuse but still judge that disclosure could increase danger, jeopardise housing or finances, or result in an unsupportive response.</w:t>
      </w:r>
    </w:p>
    <w:p w14:paraId="324B3B4F" w14:textId="330A3FED" w:rsidR="00644327" w:rsidRPr="00882E6B" w:rsidRDefault="00644327" w:rsidP="00882E6B">
      <w:pPr>
        <w:rPr>
          <w:rFonts w:ascii="Arial" w:eastAsia="Times New Roman" w:hAnsi="Arial" w:cs="Arial"/>
          <w:kern w:val="0"/>
          <w14:ligatures w14:val="none"/>
        </w:rPr>
      </w:pPr>
      <w:r w:rsidRPr="00644327">
        <w:rPr>
          <w:rFonts w:ascii="Arial" w:eastAsia="Times New Roman" w:hAnsi="Arial" w:cs="Arial"/>
          <w:kern w:val="0"/>
          <w14:ligatures w14:val="none"/>
        </w:rPr>
        <w:t>Research with women experiencing DVA highlights the importance of fear, stigma, economic constraints and the accessibility and appropriateness of support (Femi-Ajao, Kendal and Lovell, 20</w:t>
      </w:r>
      <w:r w:rsidR="00772B57">
        <w:rPr>
          <w:rFonts w:ascii="Arial" w:eastAsia="Times New Roman" w:hAnsi="Arial" w:cs="Arial"/>
          <w:kern w:val="0"/>
          <w14:ligatures w14:val="none"/>
        </w:rPr>
        <w:t>18</w:t>
      </w:r>
      <w:r w:rsidRPr="00644327">
        <w:rPr>
          <w:rFonts w:ascii="Arial" w:eastAsia="Times New Roman" w:hAnsi="Arial" w:cs="Arial"/>
          <w:kern w:val="0"/>
          <w14:ligatures w14:val="none"/>
        </w:rPr>
        <w:t xml:space="preserve">; Sultana et al., 2023). Baloch et al. (2025) also examine South Asian women’s experiences of healthcare after disclosure, making their work particularly relevant to whether contact with services results in a helpful response. </w:t>
      </w:r>
      <w:r w:rsidR="00C76285" w:rsidRPr="00C76285">
        <w:rPr>
          <w:rFonts w:ascii="Arial" w:eastAsia="Times New Roman" w:hAnsi="Arial" w:cs="Arial"/>
          <w:kern w:val="0"/>
          <w14:ligatures w14:val="none"/>
        </w:rPr>
        <w:t>These findings suggest that help-seeking should be examined as more than a decision to disclose; it also involves the responses women receive and whether those responses lead to meaningful support.</w:t>
      </w:r>
    </w:p>
    <w:p w14:paraId="0ED6CDDB" w14:textId="77777777" w:rsidR="00D0656B" w:rsidRPr="00DB37A9" w:rsidRDefault="00D0656B" w:rsidP="00DB37A9">
      <w:pPr>
        <w:pStyle w:val="paragraph"/>
        <w:tabs>
          <w:tab w:val="num" w:pos="0"/>
        </w:tabs>
        <w:spacing w:before="0" w:beforeAutospacing="0" w:after="0" w:afterAutospacing="0" w:line="360" w:lineRule="auto"/>
        <w:textAlignment w:val="baseline"/>
        <w:rPr>
          <w:rFonts w:ascii="Arial" w:hAnsi="Arial" w:cs="Arial"/>
          <w:sz w:val="22"/>
          <w:szCs w:val="22"/>
        </w:rPr>
      </w:pPr>
    </w:p>
    <w:p w14:paraId="30CF3740" w14:textId="77777777" w:rsidR="00D159E6" w:rsidRDefault="00D159E6" w:rsidP="00DB37A9">
      <w:pPr>
        <w:pStyle w:val="paragraph"/>
        <w:spacing w:after="0" w:line="360" w:lineRule="auto"/>
        <w:textAlignment w:val="baseline"/>
        <w:rPr>
          <w:rStyle w:val="eop"/>
          <w:rFonts w:ascii="Arial" w:eastAsia="Calibri Light" w:hAnsi="Arial" w:cs="Arial"/>
          <w:b/>
          <w:bCs/>
          <w:sz w:val="22"/>
          <w:szCs w:val="22"/>
          <w:u w:val="single"/>
        </w:rPr>
      </w:pPr>
    </w:p>
    <w:p w14:paraId="1E5BBF41" w14:textId="77777777" w:rsidR="00D159E6" w:rsidRPr="006062A8" w:rsidRDefault="00D159E6" w:rsidP="00DB37A9">
      <w:pPr>
        <w:pStyle w:val="paragraph"/>
        <w:spacing w:after="0" w:line="360" w:lineRule="auto"/>
        <w:textAlignment w:val="baseline"/>
        <w:rPr>
          <w:rStyle w:val="eop"/>
          <w:rFonts w:ascii="Arial" w:eastAsia="Calibri Light" w:hAnsi="Arial" w:cs="Arial"/>
          <w:sz w:val="22"/>
          <w:szCs w:val="22"/>
          <w:u w:val="single"/>
        </w:rPr>
      </w:pPr>
    </w:p>
    <w:p w14:paraId="53E8410F" w14:textId="77777777" w:rsidR="003263B9" w:rsidRDefault="00BD2909" w:rsidP="00C54AC8">
      <w:pPr>
        <w:pStyle w:val="paragraph"/>
        <w:spacing w:after="0" w:line="360" w:lineRule="auto"/>
        <w:textAlignment w:val="baseline"/>
        <w:rPr>
          <w:rStyle w:val="eop"/>
          <w:rFonts w:ascii="Arial" w:eastAsia="Calibri Light" w:hAnsi="Arial" w:cs="Arial"/>
          <w:sz w:val="22"/>
          <w:szCs w:val="22"/>
          <w:u w:val="single"/>
        </w:rPr>
      </w:pPr>
      <w:r w:rsidRPr="003263B9">
        <w:rPr>
          <w:rStyle w:val="eop"/>
          <w:rFonts w:ascii="Arial" w:eastAsia="Calibri Light" w:hAnsi="Arial" w:cs="Arial"/>
          <w:sz w:val="22"/>
          <w:szCs w:val="22"/>
          <w:u w:val="single"/>
        </w:rPr>
        <w:t> </w:t>
      </w:r>
      <w:r w:rsidR="00F76086" w:rsidRPr="003263B9">
        <w:rPr>
          <w:rStyle w:val="eop"/>
          <w:rFonts w:ascii="Arial" w:eastAsia="Calibri Light" w:hAnsi="Arial" w:cs="Arial"/>
          <w:sz w:val="22"/>
          <w:szCs w:val="22"/>
          <w:u w:val="single"/>
        </w:rPr>
        <w:t>Application of Theories in Previous Research</w:t>
      </w:r>
      <w:r w:rsidR="003F6110" w:rsidRPr="003263B9">
        <w:rPr>
          <w:rStyle w:val="eop"/>
          <w:rFonts w:ascii="Arial" w:eastAsia="Calibri Light" w:hAnsi="Arial" w:cs="Arial"/>
          <w:sz w:val="22"/>
          <w:szCs w:val="22"/>
          <w:u w:val="single"/>
        </w:rPr>
        <w:t>:</w:t>
      </w:r>
    </w:p>
    <w:p w14:paraId="48B10AE5" w14:textId="1CC886CE" w:rsidR="00C54AC8" w:rsidRPr="003263B9" w:rsidRDefault="00C54AC8" w:rsidP="00C54AC8">
      <w:pPr>
        <w:pStyle w:val="paragraph"/>
        <w:spacing w:after="0" w:line="360" w:lineRule="auto"/>
        <w:textAlignment w:val="baseline"/>
        <w:rPr>
          <w:rStyle w:val="eop"/>
          <w:rFonts w:ascii="Arial" w:eastAsia="Calibri Light" w:hAnsi="Arial" w:cs="Arial"/>
          <w:sz w:val="22"/>
          <w:szCs w:val="22"/>
          <w:u w:val="single"/>
        </w:rPr>
      </w:pPr>
      <w:r w:rsidRPr="00C54AC8">
        <w:rPr>
          <w:rStyle w:val="eop"/>
          <w:rFonts w:ascii="Arial" w:eastAsia="Calibri Light" w:hAnsi="Arial" w:cs="Arial"/>
          <w:sz w:val="22"/>
          <w:szCs w:val="22"/>
        </w:rPr>
        <w:t>Together, these perspectives provide a useful framework for examining how cultural expectations, social relationships and structural conditions may interact to shape help-</w:t>
      </w:r>
      <w:r w:rsidRPr="00C54AC8">
        <w:rPr>
          <w:rStyle w:val="eop"/>
          <w:rFonts w:ascii="Arial" w:eastAsia="Calibri Light" w:hAnsi="Arial" w:cs="Arial"/>
          <w:sz w:val="22"/>
          <w:szCs w:val="22"/>
        </w:rPr>
        <w:lastRenderedPageBreak/>
        <w:t xml:space="preserve">seeking. Intersectionality helps consider how multiple circumstances operate together; social-norm concepts help examine anticipated judgement and expectations; and help-seeking concepts help organise analysis of recognition, </w:t>
      </w:r>
      <w:r w:rsidR="005C4458" w:rsidRPr="00C54AC8">
        <w:rPr>
          <w:rStyle w:val="eop"/>
          <w:rFonts w:ascii="Arial" w:eastAsia="Calibri Light" w:hAnsi="Arial" w:cs="Arial"/>
          <w:sz w:val="22"/>
          <w:szCs w:val="22"/>
        </w:rPr>
        <w:t>disclosure,</w:t>
      </w:r>
      <w:r w:rsidRPr="00C54AC8">
        <w:rPr>
          <w:rStyle w:val="eop"/>
          <w:rFonts w:ascii="Arial" w:eastAsia="Calibri Light" w:hAnsi="Arial" w:cs="Arial"/>
          <w:sz w:val="22"/>
          <w:szCs w:val="22"/>
        </w:rPr>
        <w:t xml:space="preserve"> and access to assistance</w:t>
      </w:r>
      <w:r w:rsidR="00247588" w:rsidRPr="00247588">
        <w:t xml:space="preserve"> </w:t>
      </w:r>
      <w:r w:rsidR="00247588" w:rsidRPr="00247588">
        <w:rPr>
          <w:rStyle w:val="eop"/>
          <w:rFonts w:ascii="Arial" w:eastAsia="Calibri Light" w:hAnsi="Arial" w:cs="Arial"/>
          <w:sz w:val="22"/>
          <w:szCs w:val="22"/>
        </w:rPr>
        <w:t xml:space="preserve">(King-Mullins, </w:t>
      </w:r>
      <w:proofErr w:type="spellStart"/>
      <w:r w:rsidR="00247588" w:rsidRPr="00247588">
        <w:rPr>
          <w:rStyle w:val="eop"/>
          <w:rFonts w:ascii="Arial" w:eastAsia="Calibri Light" w:hAnsi="Arial" w:cs="Arial"/>
          <w:sz w:val="22"/>
          <w:szCs w:val="22"/>
        </w:rPr>
        <w:t>Maccou</w:t>
      </w:r>
      <w:proofErr w:type="spellEnd"/>
      <w:r w:rsidR="00247588" w:rsidRPr="00247588">
        <w:rPr>
          <w:rStyle w:val="eop"/>
          <w:rFonts w:ascii="Arial" w:eastAsia="Calibri Light" w:hAnsi="Arial" w:cs="Arial"/>
          <w:sz w:val="22"/>
          <w:szCs w:val="22"/>
        </w:rPr>
        <w:t xml:space="preserve"> and Miller, 2023)</w:t>
      </w:r>
      <w:r w:rsidRPr="00C54AC8">
        <w:rPr>
          <w:rStyle w:val="eop"/>
          <w:rFonts w:ascii="Arial" w:eastAsia="Calibri Light" w:hAnsi="Arial" w:cs="Arial"/>
          <w:sz w:val="22"/>
          <w:szCs w:val="22"/>
        </w:rPr>
        <w:t>.</w:t>
      </w:r>
    </w:p>
    <w:p w14:paraId="404CEB53" w14:textId="4C71D807" w:rsidR="00C54AC8" w:rsidRPr="00C54AC8" w:rsidRDefault="00C54AC8" w:rsidP="00C54AC8">
      <w:pPr>
        <w:pStyle w:val="paragraph"/>
        <w:spacing w:after="0" w:line="360" w:lineRule="auto"/>
        <w:textAlignment w:val="baseline"/>
        <w:rPr>
          <w:rStyle w:val="eop"/>
          <w:rFonts w:ascii="Arial" w:eastAsia="Calibri Light" w:hAnsi="Arial" w:cs="Arial"/>
          <w:sz w:val="22"/>
          <w:szCs w:val="22"/>
        </w:rPr>
      </w:pPr>
      <w:r w:rsidRPr="00C54AC8">
        <w:rPr>
          <w:rStyle w:val="eop"/>
          <w:rFonts w:ascii="Arial" w:eastAsia="Calibri Light" w:hAnsi="Arial" w:cs="Arial"/>
          <w:sz w:val="22"/>
          <w:szCs w:val="22"/>
        </w:rPr>
        <w:t xml:space="preserve">Each perspective also has limitations. An overly cultural explanation risks stereotyping South Asian women, while an individual decision-making model may understate the effects of immigration policy, financial dependency, service </w:t>
      </w:r>
      <w:r w:rsidR="005C4458" w:rsidRPr="00C54AC8">
        <w:rPr>
          <w:rStyle w:val="eop"/>
          <w:rFonts w:ascii="Arial" w:eastAsia="Calibri Light" w:hAnsi="Arial" w:cs="Arial"/>
          <w:sz w:val="22"/>
          <w:szCs w:val="22"/>
        </w:rPr>
        <w:t>accessibility,</w:t>
      </w:r>
      <w:r w:rsidRPr="00C54AC8">
        <w:rPr>
          <w:rStyle w:val="eop"/>
          <w:rFonts w:ascii="Arial" w:eastAsia="Calibri Light" w:hAnsi="Arial" w:cs="Arial"/>
          <w:sz w:val="22"/>
          <w:szCs w:val="22"/>
        </w:rPr>
        <w:t xml:space="preserve"> and institutional responses</w:t>
      </w:r>
      <w:r w:rsidR="006232ED" w:rsidRPr="006232ED">
        <w:t xml:space="preserve"> </w:t>
      </w:r>
      <w:r w:rsidR="006232ED" w:rsidRPr="006232ED">
        <w:rPr>
          <w:rStyle w:val="eop"/>
          <w:rFonts w:ascii="Arial" w:eastAsia="Calibri Light" w:hAnsi="Arial" w:cs="Arial"/>
          <w:sz w:val="22"/>
          <w:szCs w:val="22"/>
        </w:rPr>
        <w:t>(Rai and Choi, 2018)</w:t>
      </w:r>
      <w:r w:rsidRPr="00C54AC8">
        <w:rPr>
          <w:rStyle w:val="eop"/>
          <w:rFonts w:ascii="Arial" w:eastAsia="Calibri Light" w:hAnsi="Arial" w:cs="Arial"/>
          <w:sz w:val="22"/>
          <w:szCs w:val="22"/>
        </w:rPr>
        <w:t>. The dissertation will therefore use these concepts to interpret the evidence critically, paying attention to differences between studies, the quality and scope of the research, and the extent to which findings can be applied to South Asian women living in the UK.</w:t>
      </w:r>
    </w:p>
    <w:p w14:paraId="28DD3CB5" w14:textId="77777777" w:rsidR="00CE7CFC" w:rsidRPr="00DB37A9" w:rsidRDefault="00CE7CFC" w:rsidP="00DB37A9">
      <w:pPr>
        <w:pStyle w:val="paragraph"/>
        <w:spacing w:before="0" w:beforeAutospacing="0" w:after="0" w:afterAutospacing="0" w:line="360" w:lineRule="auto"/>
        <w:textAlignment w:val="baseline"/>
        <w:rPr>
          <w:rFonts w:ascii="Arial" w:hAnsi="Arial" w:cs="Arial"/>
          <w:sz w:val="22"/>
          <w:szCs w:val="22"/>
        </w:rPr>
      </w:pPr>
    </w:p>
    <w:p w14:paraId="529565AC" w14:textId="767B1D6A" w:rsidR="00BD2909" w:rsidRPr="00FF752D" w:rsidRDefault="00BD2909" w:rsidP="00DB37A9">
      <w:pPr>
        <w:pStyle w:val="paragraph"/>
        <w:spacing w:before="0" w:beforeAutospacing="0" w:after="0" w:afterAutospacing="0" w:line="360" w:lineRule="auto"/>
        <w:textAlignment w:val="baseline"/>
        <w:rPr>
          <w:rFonts w:ascii="Arial" w:hAnsi="Arial" w:cs="Arial"/>
          <w:sz w:val="22"/>
          <w:szCs w:val="22"/>
        </w:rPr>
      </w:pPr>
      <w:r w:rsidRPr="00FF752D">
        <w:rPr>
          <w:rStyle w:val="normaltextrun"/>
          <w:rFonts w:ascii="Arial" w:hAnsi="Arial" w:cs="Arial"/>
          <w:sz w:val="22"/>
          <w:szCs w:val="22"/>
        </w:rPr>
        <w:t xml:space="preserve">2.4 </w:t>
      </w:r>
      <w:r w:rsidRPr="00FF752D">
        <w:rPr>
          <w:rStyle w:val="normaltextrun"/>
          <w:rFonts w:ascii="Arial" w:hAnsi="Arial" w:cs="Arial"/>
          <w:sz w:val="22"/>
          <w:szCs w:val="22"/>
          <w:u w:val="single"/>
        </w:rPr>
        <w:t>International Context</w:t>
      </w:r>
      <w:r w:rsidRPr="00FF752D">
        <w:t xml:space="preserve"> </w:t>
      </w:r>
    </w:p>
    <w:p w14:paraId="4C51756F" w14:textId="77777777" w:rsidR="00A66F5E" w:rsidRDefault="00A66F5E" w:rsidP="002B34F4">
      <w:pPr>
        <w:pStyle w:val="paragraph"/>
        <w:spacing w:after="0" w:line="360" w:lineRule="auto"/>
        <w:textAlignment w:val="baseline"/>
        <w:rPr>
          <w:rFonts w:ascii="Arial" w:hAnsi="Arial" w:cs="Arial"/>
          <w:sz w:val="22"/>
          <w:szCs w:val="22"/>
        </w:rPr>
      </w:pPr>
      <w:r w:rsidRPr="00A66F5E">
        <w:rPr>
          <w:rFonts w:ascii="Arial" w:hAnsi="Arial" w:cs="Arial"/>
          <w:sz w:val="22"/>
          <w:szCs w:val="22"/>
        </w:rPr>
        <w:t>An international perspective helps situate DVA within broader human rights and policy frameworks. The World Health Organization recognises violence against women as a major public health and human rights concern, while international frameworks provide principles for preventing violence and improving protection and support (World Health Organization, 2026).</w:t>
      </w:r>
    </w:p>
    <w:p w14:paraId="4339965F" w14:textId="4FFA0BE9" w:rsidR="002B34F4" w:rsidRDefault="005D0097" w:rsidP="005D0097">
      <w:pPr>
        <w:pStyle w:val="paragraph"/>
        <w:spacing w:after="0" w:line="360" w:lineRule="auto"/>
        <w:textAlignment w:val="baseline"/>
        <w:rPr>
          <w:rFonts w:ascii="Arial" w:hAnsi="Arial" w:cs="Arial"/>
          <w:sz w:val="22"/>
          <w:szCs w:val="22"/>
        </w:rPr>
      </w:pPr>
      <w:r w:rsidRPr="005D0097">
        <w:rPr>
          <w:rFonts w:ascii="Arial" w:hAnsi="Arial" w:cs="Arial"/>
          <w:sz w:val="22"/>
          <w:szCs w:val="22"/>
        </w:rPr>
        <w:t>The Convention on the Elimination of All Forms of Discrimination against Women (CEDAW) is an international human rights treaty addressing discrimination against women (United Nations, 1979). The UN Declaration on the Elimination of Violence against Women, adopted in 1993, identifies violence against women as a manifestation of historically unequal power relations between women and men (United Nations, 1993).</w:t>
      </w:r>
      <w:r w:rsidRPr="002B34F4">
        <w:rPr>
          <w:rFonts w:ascii="Arial" w:hAnsi="Arial" w:cs="Arial"/>
          <w:sz w:val="22"/>
          <w:szCs w:val="22"/>
        </w:rPr>
        <w:t xml:space="preserve"> These</w:t>
      </w:r>
      <w:r w:rsidR="002B34F4" w:rsidRPr="002B34F4">
        <w:rPr>
          <w:rFonts w:ascii="Arial" w:hAnsi="Arial" w:cs="Arial"/>
          <w:sz w:val="22"/>
          <w:szCs w:val="22"/>
        </w:rPr>
        <w:t xml:space="preserve"> frameworks provide a basis for considering state responsibilities and the wider relationship between gender inequality and violence. They should not, however, be described as identical legal instruments: a treaty and a declaration have different legal status and mechanisms.</w:t>
      </w:r>
    </w:p>
    <w:p w14:paraId="1D772277" w14:textId="688376DB" w:rsidR="002B34F4" w:rsidRPr="002B34F4" w:rsidRDefault="002B34F4" w:rsidP="002B34F4">
      <w:pPr>
        <w:pStyle w:val="paragraph"/>
        <w:spacing w:after="0" w:line="360" w:lineRule="auto"/>
        <w:textAlignment w:val="baseline"/>
        <w:rPr>
          <w:rFonts w:ascii="Arial" w:hAnsi="Arial" w:cs="Arial"/>
          <w:sz w:val="22"/>
          <w:szCs w:val="22"/>
        </w:rPr>
      </w:pPr>
      <w:r w:rsidRPr="002B34F4">
        <w:rPr>
          <w:rFonts w:ascii="Arial" w:hAnsi="Arial" w:cs="Arial"/>
          <w:sz w:val="22"/>
          <w:szCs w:val="22"/>
        </w:rPr>
        <w:t xml:space="preserve">Regional frameworks also demonstrate different approaches to addressing violence against women. The Council of Europe’s Istanbul Convention is a legally binding treaty for its parties, setting out obligations concerning prevention, protection, </w:t>
      </w:r>
      <w:r w:rsidR="008D28D8" w:rsidRPr="002B34F4">
        <w:rPr>
          <w:rFonts w:ascii="Arial" w:hAnsi="Arial" w:cs="Arial"/>
          <w:sz w:val="22"/>
          <w:szCs w:val="22"/>
        </w:rPr>
        <w:t>prosecution,</w:t>
      </w:r>
      <w:r w:rsidRPr="002B34F4">
        <w:rPr>
          <w:rFonts w:ascii="Arial" w:hAnsi="Arial" w:cs="Arial"/>
          <w:sz w:val="22"/>
          <w:szCs w:val="22"/>
        </w:rPr>
        <w:t xml:space="preserve"> and coordinated policies</w:t>
      </w:r>
      <w:r w:rsidR="00D85F39">
        <w:rPr>
          <w:rFonts w:ascii="Arial" w:hAnsi="Arial" w:cs="Arial"/>
          <w:sz w:val="22"/>
          <w:szCs w:val="22"/>
        </w:rPr>
        <w:t xml:space="preserve"> </w:t>
      </w:r>
      <w:r w:rsidR="00D85F39" w:rsidRPr="00D85F39">
        <w:rPr>
          <w:rFonts w:ascii="Arial" w:hAnsi="Arial" w:cs="Arial"/>
          <w:sz w:val="22"/>
          <w:szCs w:val="22"/>
        </w:rPr>
        <w:t>(GOV.UK, 2021)</w:t>
      </w:r>
      <w:r w:rsidR="00D85F39" w:rsidRPr="00FF4B2C">
        <w:t>.</w:t>
      </w:r>
      <w:r w:rsidRPr="002B34F4">
        <w:rPr>
          <w:rFonts w:ascii="Arial" w:hAnsi="Arial" w:cs="Arial"/>
          <w:sz w:val="22"/>
          <w:szCs w:val="22"/>
        </w:rPr>
        <w:t xml:space="preserve"> In Africa, the Maputo Protocol addresses women’s rights, while the Inter-American Belém do Pará Convention specifically addresses the prevention, </w:t>
      </w:r>
      <w:r w:rsidR="008D28D8" w:rsidRPr="002B34F4">
        <w:rPr>
          <w:rFonts w:ascii="Arial" w:hAnsi="Arial" w:cs="Arial"/>
          <w:sz w:val="22"/>
          <w:szCs w:val="22"/>
        </w:rPr>
        <w:t>punishment,</w:t>
      </w:r>
      <w:r w:rsidRPr="002B34F4">
        <w:rPr>
          <w:rFonts w:ascii="Arial" w:hAnsi="Arial" w:cs="Arial"/>
          <w:sz w:val="22"/>
          <w:szCs w:val="22"/>
        </w:rPr>
        <w:t xml:space="preserve"> and eradication of violence against women. These frameworks </w:t>
      </w:r>
      <w:r w:rsidRPr="002B34F4">
        <w:rPr>
          <w:rFonts w:ascii="Arial" w:hAnsi="Arial" w:cs="Arial"/>
          <w:sz w:val="22"/>
          <w:szCs w:val="22"/>
        </w:rPr>
        <w:lastRenderedPageBreak/>
        <w:t>illustrate the international recognition of violence against women as a matter requiring legal and institutional responses</w:t>
      </w:r>
      <w:r w:rsidR="002F64A6" w:rsidRPr="002F64A6">
        <w:t xml:space="preserve"> </w:t>
      </w:r>
      <w:r w:rsidR="002F64A6" w:rsidRPr="002F64A6">
        <w:rPr>
          <w:rFonts w:ascii="Arial" w:hAnsi="Arial" w:cs="Arial"/>
          <w:sz w:val="22"/>
          <w:szCs w:val="22"/>
        </w:rPr>
        <w:t>(UN WOMEN and Social Development direct, 2020)</w:t>
      </w:r>
      <w:r w:rsidRPr="002B34F4">
        <w:rPr>
          <w:rFonts w:ascii="Arial" w:hAnsi="Arial" w:cs="Arial"/>
          <w:sz w:val="22"/>
          <w:szCs w:val="22"/>
        </w:rPr>
        <w:t>. Their provisions, implementation and legal effects differ, so regional approaches should not be treated as interchangeable.</w:t>
      </w:r>
    </w:p>
    <w:p w14:paraId="766E593F" w14:textId="02C4F29C" w:rsidR="002B34F4" w:rsidRPr="002B34F4" w:rsidRDefault="002B34F4" w:rsidP="002B34F4">
      <w:pPr>
        <w:pStyle w:val="paragraph"/>
        <w:spacing w:after="0" w:line="360" w:lineRule="auto"/>
        <w:textAlignment w:val="baseline"/>
        <w:rPr>
          <w:rFonts w:ascii="Arial" w:hAnsi="Arial" w:cs="Arial"/>
          <w:sz w:val="22"/>
          <w:szCs w:val="22"/>
        </w:rPr>
      </w:pPr>
      <w:r w:rsidRPr="002B34F4">
        <w:rPr>
          <w:rFonts w:ascii="Arial" w:hAnsi="Arial" w:cs="Arial"/>
          <w:sz w:val="22"/>
          <w:szCs w:val="22"/>
        </w:rPr>
        <w:t xml:space="preserve">For this dissertation, the relevance of international frameworks is not to assume that policies developed in other jurisdictions can be transferred directly to the UK. Rather, they provide a wider rights-based context for considering protection, access to support and institutional accountability. Formal legislation is important, but its existence alone cannot establish whether women can safely disclose abuse or receive appropriate assistance. Implementation, service capacity, </w:t>
      </w:r>
      <w:r w:rsidR="008D28D8" w:rsidRPr="002B34F4">
        <w:rPr>
          <w:rFonts w:ascii="Arial" w:hAnsi="Arial" w:cs="Arial"/>
          <w:sz w:val="22"/>
          <w:szCs w:val="22"/>
        </w:rPr>
        <w:t>accessibility,</w:t>
      </w:r>
      <w:r w:rsidRPr="002B34F4">
        <w:rPr>
          <w:rFonts w:ascii="Arial" w:hAnsi="Arial" w:cs="Arial"/>
          <w:sz w:val="22"/>
          <w:szCs w:val="22"/>
        </w:rPr>
        <w:t xml:space="preserve"> and the circumstances of women seeking help also matter.</w:t>
      </w:r>
    </w:p>
    <w:p w14:paraId="2F533184" w14:textId="33CE3DA9" w:rsidR="00CC1258" w:rsidRPr="00DB37A9" w:rsidRDefault="002B34F4" w:rsidP="002B34F4">
      <w:pPr>
        <w:pStyle w:val="paragraph"/>
        <w:spacing w:before="0" w:beforeAutospacing="0" w:after="0" w:afterAutospacing="0" w:line="360" w:lineRule="auto"/>
        <w:textAlignment w:val="baseline"/>
        <w:rPr>
          <w:rFonts w:ascii="Arial" w:hAnsi="Arial" w:cs="Arial"/>
          <w:sz w:val="22"/>
          <w:szCs w:val="22"/>
        </w:rPr>
      </w:pPr>
      <w:r w:rsidRPr="002B34F4">
        <w:rPr>
          <w:rFonts w:ascii="Arial" w:hAnsi="Arial" w:cs="Arial"/>
          <w:sz w:val="22"/>
          <w:szCs w:val="22"/>
        </w:rPr>
        <w:t xml:space="preserve">This distinction is particularly relevant to South Asian women living in the UK. International frameworks can establish broad principles of protection and equality, while the practical experience of help-seeking depends on national law, local </w:t>
      </w:r>
      <w:r w:rsidR="008D28D8" w:rsidRPr="002B34F4">
        <w:rPr>
          <w:rFonts w:ascii="Arial" w:hAnsi="Arial" w:cs="Arial"/>
          <w:sz w:val="22"/>
          <w:szCs w:val="22"/>
        </w:rPr>
        <w:t>services,</w:t>
      </w:r>
      <w:r w:rsidRPr="002B34F4">
        <w:rPr>
          <w:rFonts w:ascii="Arial" w:hAnsi="Arial" w:cs="Arial"/>
          <w:sz w:val="22"/>
          <w:szCs w:val="22"/>
        </w:rPr>
        <w:t xml:space="preserve"> and the responses of professionals. The following section therefore considers the legal and policy context in England and Wales and its relevance to accessible, coordinated and culturally responsive support.</w:t>
      </w:r>
    </w:p>
    <w:p w14:paraId="7DB25869" w14:textId="77777777" w:rsidR="001A3633" w:rsidRPr="00DB37A9" w:rsidRDefault="001A3633" w:rsidP="00DB37A9">
      <w:pPr>
        <w:pStyle w:val="paragraph"/>
        <w:tabs>
          <w:tab w:val="num" w:pos="0"/>
        </w:tabs>
        <w:spacing w:before="0" w:beforeAutospacing="0" w:after="0" w:afterAutospacing="0" w:line="360" w:lineRule="auto"/>
        <w:textAlignment w:val="baseline"/>
        <w:rPr>
          <w:rStyle w:val="normaltextrun"/>
          <w:rFonts w:ascii="Arial" w:hAnsi="Arial" w:cs="Arial"/>
          <w:b/>
          <w:bCs/>
          <w:sz w:val="22"/>
          <w:szCs w:val="22"/>
        </w:rPr>
      </w:pPr>
    </w:p>
    <w:p w14:paraId="32C722ED" w14:textId="548D4289" w:rsidR="00BD2909" w:rsidRPr="00FF752D" w:rsidRDefault="001D3FCD" w:rsidP="00DB37A9">
      <w:pPr>
        <w:pStyle w:val="paragraph"/>
        <w:tabs>
          <w:tab w:val="num" w:pos="0"/>
        </w:tabs>
        <w:spacing w:before="0" w:beforeAutospacing="0" w:after="0" w:afterAutospacing="0" w:line="360" w:lineRule="auto"/>
        <w:textAlignment w:val="baseline"/>
        <w:rPr>
          <w:rStyle w:val="eop"/>
          <w:rFonts w:ascii="Arial" w:eastAsia="Calibri Light" w:hAnsi="Arial" w:cs="Arial"/>
          <w:sz w:val="22"/>
          <w:szCs w:val="22"/>
          <w:u w:val="single"/>
        </w:rPr>
      </w:pPr>
      <w:r w:rsidRPr="003F6110">
        <w:rPr>
          <w:rStyle w:val="eop"/>
          <w:rFonts w:ascii="Arial" w:eastAsia="Calibri Light" w:hAnsi="Arial" w:cs="Arial"/>
          <w:sz w:val="22"/>
          <w:szCs w:val="22"/>
        </w:rPr>
        <w:t xml:space="preserve">2.5 </w:t>
      </w:r>
      <w:r w:rsidR="00683975" w:rsidRPr="00FF752D">
        <w:rPr>
          <w:rStyle w:val="eop"/>
          <w:rFonts w:ascii="Arial" w:eastAsia="Calibri Light" w:hAnsi="Arial" w:cs="Arial"/>
          <w:sz w:val="22"/>
          <w:szCs w:val="22"/>
          <w:u w:val="single"/>
        </w:rPr>
        <w:t>National and Local Context: England and Wales</w:t>
      </w:r>
      <w:r w:rsidR="003F6110" w:rsidRPr="00FF752D">
        <w:rPr>
          <w:rStyle w:val="eop"/>
          <w:rFonts w:ascii="Arial" w:eastAsia="Calibri Light" w:hAnsi="Arial" w:cs="Arial"/>
          <w:sz w:val="22"/>
          <w:szCs w:val="22"/>
          <w:u w:val="single"/>
        </w:rPr>
        <w:t>:</w:t>
      </w:r>
    </w:p>
    <w:p w14:paraId="466331FD" w14:textId="77777777" w:rsidR="00A732A5" w:rsidRPr="00A732A5" w:rsidRDefault="00A732A5" w:rsidP="004275DA">
      <w:pPr>
        <w:pStyle w:val="paragraph"/>
        <w:tabs>
          <w:tab w:val="num" w:pos="0"/>
        </w:tabs>
        <w:spacing w:after="0" w:line="360" w:lineRule="auto"/>
        <w:textAlignment w:val="baseline"/>
        <w:rPr>
          <w:rFonts w:ascii="Arial" w:hAnsi="Arial" w:cs="Arial"/>
          <w:sz w:val="22"/>
          <w:szCs w:val="22"/>
        </w:rPr>
      </w:pPr>
      <w:r w:rsidRPr="00A732A5">
        <w:rPr>
          <w:rFonts w:ascii="Arial" w:hAnsi="Arial" w:cs="Arial"/>
          <w:sz w:val="22"/>
          <w:szCs w:val="22"/>
        </w:rPr>
        <w:t xml:space="preserve">Domestic violence and abuse </w:t>
      </w:r>
      <w:proofErr w:type="gramStart"/>
      <w:r w:rsidRPr="00A732A5">
        <w:rPr>
          <w:rFonts w:ascii="Arial" w:hAnsi="Arial" w:cs="Arial"/>
          <w:sz w:val="22"/>
          <w:szCs w:val="22"/>
        </w:rPr>
        <w:t>is</w:t>
      </w:r>
      <w:proofErr w:type="gramEnd"/>
      <w:r w:rsidRPr="00A732A5">
        <w:rPr>
          <w:rFonts w:ascii="Arial" w:hAnsi="Arial" w:cs="Arial"/>
          <w:sz w:val="22"/>
          <w:szCs w:val="22"/>
        </w:rPr>
        <w:t xml:space="preserve"> recognised as a public health, social care and criminal justice concern in England and Wales. Office for National Statistics data for the year ending March 2025 estimated that 2.2 million females aged 16 and over experienced domestic abuse in the previous year, representing 9.1% of females in this age group (Office for National Statistics, 2025). These figures demonstrate the scale of the issue, although they do not by themselves identify the prevalence of DVA among South Asian women or explain differences in help-seeking between groups.</w:t>
      </w:r>
    </w:p>
    <w:p w14:paraId="165E079C" w14:textId="77777777" w:rsidR="00A732A5" w:rsidRPr="00A732A5" w:rsidRDefault="00A732A5" w:rsidP="004275DA">
      <w:pPr>
        <w:pStyle w:val="paragraph"/>
        <w:tabs>
          <w:tab w:val="num" w:pos="0"/>
        </w:tabs>
        <w:spacing w:after="0" w:line="360" w:lineRule="auto"/>
        <w:textAlignment w:val="baseline"/>
        <w:rPr>
          <w:rFonts w:ascii="Arial" w:hAnsi="Arial" w:cs="Arial"/>
          <w:sz w:val="22"/>
          <w:szCs w:val="22"/>
        </w:rPr>
      </w:pPr>
      <w:r w:rsidRPr="00A732A5">
        <w:rPr>
          <w:rFonts w:ascii="Arial" w:hAnsi="Arial" w:cs="Arial"/>
          <w:sz w:val="22"/>
          <w:szCs w:val="22"/>
        </w:rPr>
        <w:t xml:space="preserve">The Domestic Abuse Act 2021 established a statutory definition of domestic abuse and created the office of the Domestic Abuse Commissioner. It also introduced duties relating to the provision of support in safe accommodation by local authorities in England. The accompanying statutory guidance explains how agencies should identify and respond to domestic abuse and promotes effective multi-agency working (Domestic Abuse Act 2021; Home Office, 2022). As the legal and service arrangements differ across the UK’s devolved </w:t>
      </w:r>
      <w:r w:rsidRPr="00A732A5">
        <w:rPr>
          <w:rFonts w:ascii="Arial" w:hAnsi="Arial" w:cs="Arial"/>
          <w:sz w:val="22"/>
          <w:szCs w:val="22"/>
        </w:rPr>
        <w:lastRenderedPageBreak/>
        <w:t>nations, this section focuses primarily on England and Wales rather than treating the whole UK as having a single framework.</w:t>
      </w:r>
    </w:p>
    <w:p w14:paraId="0960213C" w14:textId="693835C6" w:rsidR="00A732A5" w:rsidRPr="00A732A5" w:rsidRDefault="00A732A5" w:rsidP="004275DA">
      <w:pPr>
        <w:pStyle w:val="paragraph"/>
        <w:tabs>
          <w:tab w:val="num" w:pos="0"/>
        </w:tabs>
        <w:spacing w:after="0" w:line="360" w:lineRule="auto"/>
        <w:textAlignment w:val="baseline"/>
        <w:rPr>
          <w:rFonts w:ascii="Arial" w:hAnsi="Arial" w:cs="Arial"/>
          <w:sz w:val="22"/>
          <w:szCs w:val="22"/>
        </w:rPr>
      </w:pPr>
      <w:r w:rsidRPr="00A732A5">
        <w:rPr>
          <w:rFonts w:ascii="Arial" w:hAnsi="Arial" w:cs="Arial"/>
          <w:sz w:val="22"/>
          <w:szCs w:val="22"/>
        </w:rPr>
        <w:t xml:space="preserve">National policy has continued to develop. The government’s </w:t>
      </w:r>
      <w:r w:rsidR="00363299">
        <w:rPr>
          <w:rFonts w:ascii="Arial" w:hAnsi="Arial" w:cs="Arial"/>
          <w:sz w:val="22"/>
          <w:szCs w:val="22"/>
        </w:rPr>
        <w:t>‘</w:t>
      </w:r>
      <w:r w:rsidRPr="00A732A5">
        <w:rPr>
          <w:rFonts w:ascii="Arial" w:hAnsi="Arial" w:cs="Arial"/>
          <w:sz w:val="22"/>
          <w:szCs w:val="22"/>
        </w:rPr>
        <w:t>Freedom from Violence and Abuse</w:t>
      </w:r>
      <w:r w:rsidR="00363299">
        <w:rPr>
          <w:rFonts w:ascii="Arial" w:hAnsi="Arial" w:cs="Arial"/>
          <w:sz w:val="22"/>
          <w:szCs w:val="22"/>
        </w:rPr>
        <w:t>’</w:t>
      </w:r>
      <w:r w:rsidRPr="00A732A5">
        <w:rPr>
          <w:rFonts w:ascii="Arial" w:hAnsi="Arial" w:cs="Arial"/>
          <w:sz w:val="22"/>
          <w:szCs w:val="22"/>
        </w:rPr>
        <w:t xml:space="preserve"> strategy sets out a cross-government ambition to prevent violence against women and girls, pursue perpetrators and improve support for victims and survivors. Its accompanying action plan outlines commitments for the 2026–2029 period (Home Office, 2025; Home Office, 2026). These policy commitments provide a relevant current context, but their existence should not be taken as proof that service gaps have already been resolved.</w:t>
      </w:r>
    </w:p>
    <w:p w14:paraId="1E6041BE" w14:textId="37E6AED4" w:rsidR="00A732A5" w:rsidRPr="00A732A5" w:rsidRDefault="00A732A5" w:rsidP="004275DA">
      <w:pPr>
        <w:pStyle w:val="paragraph"/>
        <w:tabs>
          <w:tab w:val="num" w:pos="0"/>
        </w:tabs>
        <w:spacing w:after="0" w:line="360" w:lineRule="auto"/>
        <w:textAlignment w:val="baseline"/>
        <w:rPr>
          <w:rFonts w:ascii="Arial" w:hAnsi="Arial" w:cs="Arial"/>
          <w:sz w:val="22"/>
          <w:szCs w:val="22"/>
        </w:rPr>
      </w:pPr>
      <w:r w:rsidRPr="00A732A5">
        <w:rPr>
          <w:rFonts w:ascii="Arial" w:hAnsi="Arial" w:cs="Arial"/>
          <w:sz w:val="22"/>
          <w:szCs w:val="22"/>
        </w:rPr>
        <w:t xml:space="preserve">Local authorities and local partnerships have </w:t>
      </w:r>
      <w:r w:rsidR="008F7804" w:rsidRPr="00A732A5">
        <w:rPr>
          <w:rFonts w:ascii="Arial" w:hAnsi="Arial" w:cs="Arial"/>
          <w:sz w:val="22"/>
          <w:szCs w:val="22"/>
        </w:rPr>
        <w:t>a vital role</w:t>
      </w:r>
      <w:r w:rsidRPr="00A732A5">
        <w:rPr>
          <w:rFonts w:ascii="Arial" w:hAnsi="Arial" w:cs="Arial"/>
          <w:sz w:val="22"/>
          <w:szCs w:val="22"/>
        </w:rPr>
        <w:t xml:space="preserve"> in assessing needs, commissioning </w:t>
      </w:r>
      <w:r w:rsidR="008F7804" w:rsidRPr="00A732A5">
        <w:rPr>
          <w:rFonts w:ascii="Arial" w:hAnsi="Arial" w:cs="Arial"/>
          <w:sz w:val="22"/>
          <w:szCs w:val="22"/>
        </w:rPr>
        <w:t>support,</w:t>
      </w:r>
      <w:r w:rsidRPr="00A732A5">
        <w:rPr>
          <w:rFonts w:ascii="Arial" w:hAnsi="Arial" w:cs="Arial"/>
          <w:sz w:val="22"/>
          <w:szCs w:val="22"/>
        </w:rPr>
        <w:t xml:space="preserve"> and coordinating responses. In practice, women’s access to help may depend on whether appropriate specialist services are available, whether professionals recognise abuse, and whether referrals lead to timely and suitable assistance. Multi-agency working can support identification and referral, but it must also consider confidentiality, safety, the woman’s </w:t>
      </w:r>
      <w:r w:rsidR="008F7804" w:rsidRPr="00A732A5">
        <w:rPr>
          <w:rFonts w:ascii="Arial" w:hAnsi="Arial" w:cs="Arial"/>
          <w:sz w:val="22"/>
          <w:szCs w:val="22"/>
        </w:rPr>
        <w:t>wishes,</w:t>
      </w:r>
      <w:r w:rsidRPr="00A732A5">
        <w:rPr>
          <w:rFonts w:ascii="Arial" w:hAnsi="Arial" w:cs="Arial"/>
          <w:sz w:val="22"/>
          <w:szCs w:val="22"/>
        </w:rPr>
        <w:t xml:space="preserve"> and the risk of placing additional burdens on someone experiencing abuse (Home Office, 2022).</w:t>
      </w:r>
    </w:p>
    <w:p w14:paraId="7F4C783C" w14:textId="6BC89852" w:rsidR="00A732A5" w:rsidRPr="00A732A5" w:rsidRDefault="00A732A5" w:rsidP="004275DA">
      <w:pPr>
        <w:pStyle w:val="paragraph"/>
        <w:tabs>
          <w:tab w:val="num" w:pos="0"/>
        </w:tabs>
        <w:spacing w:after="0" w:line="360" w:lineRule="auto"/>
        <w:textAlignment w:val="baseline"/>
        <w:rPr>
          <w:rFonts w:ascii="Arial" w:hAnsi="Arial" w:cs="Arial"/>
          <w:sz w:val="22"/>
          <w:szCs w:val="22"/>
        </w:rPr>
      </w:pPr>
      <w:r w:rsidRPr="00A732A5">
        <w:rPr>
          <w:rFonts w:ascii="Arial" w:hAnsi="Arial" w:cs="Arial"/>
          <w:sz w:val="22"/>
          <w:szCs w:val="22"/>
        </w:rPr>
        <w:t xml:space="preserve">These issues are relevant to South Asian women where service responses do not adequately recognise language needs, immigration-related concerns, family </w:t>
      </w:r>
      <w:r w:rsidR="008F7804" w:rsidRPr="00A732A5">
        <w:rPr>
          <w:rFonts w:ascii="Arial" w:hAnsi="Arial" w:cs="Arial"/>
          <w:sz w:val="22"/>
          <w:szCs w:val="22"/>
        </w:rPr>
        <w:t>circumstances,</w:t>
      </w:r>
      <w:r w:rsidRPr="00A732A5">
        <w:rPr>
          <w:rFonts w:ascii="Arial" w:hAnsi="Arial" w:cs="Arial"/>
          <w:sz w:val="22"/>
          <w:szCs w:val="22"/>
        </w:rPr>
        <w:t xml:space="preserve"> or the importance of trust. Evidence on ethnic minority women’s disclosure and help-seeking suggests that barriers can arise through the interaction of social pressures and service responses (Femi-Ajao, Kendal and Lovell, 20</w:t>
      </w:r>
      <w:r w:rsidR="007E5ED9">
        <w:rPr>
          <w:rFonts w:ascii="Arial" w:hAnsi="Arial" w:cs="Arial"/>
          <w:sz w:val="22"/>
          <w:szCs w:val="22"/>
        </w:rPr>
        <w:t>18</w:t>
      </w:r>
      <w:r w:rsidRPr="00A732A5">
        <w:rPr>
          <w:rFonts w:ascii="Arial" w:hAnsi="Arial" w:cs="Arial"/>
          <w:sz w:val="22"/>
          <w:szCs w:val="22"/>
        </w:rPr>
        <w:t>). Research specifically examining South Asian women’s experiences of healthcare after disclosure further highlights the importance of considering what happens after a woman seeks help, rather than measuring access only by whether a disclosure occurs (Baloch et al., 2025).</w:t>
      </w:r>
    </w:p>
    <w:p w14:paraId="51EF8E21" w14:textId="26D03F32" w:rsidR="006960E8" w:rsidRPr="00DB37A9" w:rsidRDefault="00A732A5" w:rsidP="004275DA">
      <w:pPr>
        <w:pStyle w:val="paragraph"/>
        <w:tabs>
          <w:tab w:val="num" w:pos="0"/>
        </w:tabs>
        <w:spacing w:before="0" w:beforeAutospacing="0" w:after="0" w:afterAutospacing="0" w:line="360" w:lineRule="auto"/>
        <w:textAlignment w:val="baseline"/>
        <w:rPr>
          <w:rFonts w:ascii="Arial" w:hAnsi="Arial" w:cs="Arial"/>
          <w:sz w:val="22"/>
          <w:szCs w:val="22"/>
        </w:rPr>
      </w:pPr>
      <w:r w:rsidRPr="00A732A5">
        <w:rPr>
          <w:rFonts w:ascii="Arial" w:hAnsi="Arial" w:cs="Arial"/>
          <w:sz w:val="22"/>
          <w:szCs w:val="22"/>
        </w:rPr>
        <w:t>A critical distinction is therefore needed between the existence of policy, the availability of services and women’s actual experiences of support. Legislation and national strategies can establish responsibilities and priorities, but they do not automatically guarantee that support is accessible, trusted or culturally responsive in every locality. The evidence reviewed in this dissertation will be used to examine these issues and identify implications for health and social care practice.</w:t>
      </w:r>
    </w:p>
    <w:p w14:paraId="7CC99806" w14:textId="77777777" w:rsidR="003E68E4" w:rsidRPr="003F6110" w:rsidRDefault="003E68E4" w:rsidP="00DB37A9">
      <w:pPr>
        <w:pStyle w:val="paragraph"/>
        <w:tabs>
          <w:tab w:val="num" w:pos="0"/>
        </w:tabs>
        <w:spacing w:before="0" w:beforeAutospacing="0" w:after="0" w:afterAutospacing="0" w:line="360" w:lineRule="auto"/>
        <w:textAlignment w:val="baseline"/>
        <w:rPr>
          <w:rStyle w:val="normaltextrun"/>
          <w:rFonts w:ascii="Arial" w:hAnsi="Arial" w:cs="Arial"/>
          <w:b/>
          <w:bCs/>
          <w:sz w:val="22"/>
          <w:szCs w:val="22"/>
        </w:rPr>
      </w:pPr>
    </w:p>
    <w:p w14:paraId="03867E69" w14:textId="4A3E65B9" w:rsidR="00BD2909" w:rsidRPr="003F6110" w:rsidRDefault="001D3FCD" w:rsidP="00DB37A9">
      <w:pPr>
        <w:pStyle w:val="paragraph"/>
        <w:tabs>
          <w:tab w:val="num" w:pos="0"/>
        </w:tabs>
        <w:spacing w:before="0" w:beforeAutospacing="0" w:after="0" w:afterAutospacing="0" w:line="360" w:lineRule="auto"/>
        <w:textAlignment w:val="baseline"/>
        <w:rPr>
          <w:rStyle w:val="eop"/>
          <w:rFonts w:ascii="Arial" w:eastAsia="Calibri Light" w:hAnsi="Arial" w:cs="Arial"/>
          <w:sz w:val="22"/>
          <w:szCs w:val="22"/>
        </w:rPr>
      </w:pPr>
      <w:r w:rsidRPr="003F6110">
        <w:rPr>
          <w:rStyle w:val="normaltextrun"/>
          <w:rFonts w:ascii="Arial" w:hAnsi="Arial" w:cs="Arial"/>
          <w:sz w:val="22"/>
          <w:szCs w:val="22"/>
        </w:rPr>
        <w:t xml:space="preserve">2.6 </w:t>
      </w:r>
      <w:r w:rsidR="00BD2909" w:rsidRPr="003F6110">
        <w:rPr>
          <w:rStyle w:val="normaltextrun"/>
          <w:rFonts w:ascii="Arial" w:hAnsi="Arial" w:cs="Arial"/>
          <w:sz w:val="22"/>
          <w:szCs w:val="22"/>
        </w:rPr>
        <w:t>C</w:t>
      </w:r>
      <w:r w:rsidR="00A252AE" w:rsidRPr="003F6110">
        <w:rPr>
          <w:rStyle w:val="normaltextrun"/>
          <w:rFonts w:ascii="Arial" w:hAnsi="Arial" w:cs="Arial"/>
          <w:sz w:val="22"/>
          <w:szCs w:val="22"/>
        </w:rPr>
        <w:t>onclusion</w:t>
      </w:r>
      <w:r w:rsidR="003F6110">
        <w:rPr>
          <w:rStyle w:val="normaltextrun"/>
          <w:rFonts w:ascii="Arial" w:hAnsi="Arial" w:cs="Arial"/>
          <w:sz w:val="22"/>
          <w:szCs w:val="22"/>
        </w:rPr>
        <w:t>:</w:t>
      </w:r>
    </w:p>
    <w:p w14:paraId="5D1B822C" w14:textId="32D623B0" w:rsidR="00B42800" w:rsidRPr="00B42800" w:rsidRDefault="00B42800" w:rsidP="00B42800">
      <w:pPr>
        <w:pStyle w:val="paragraph"/>
        <w:tabs>
          <w:tab w:val="num" w:pos="0"/>
        </w:tabs>
        <w:spacing w:after="0" w:line="360" w:lineRule="auto"/>
        <w:textAlignment w:val="baseline"/>
        <w:rPr>
          <w:rFonts w:ascii="Arial" w:hAnsi="Arial" w:cs="Arial"/>
          <w:sz w:val="22"/>
          <w:szCs w:val="22"/>
        </w:rPr>
      </w:pPr>
      <w:r w:rsidRPr="00B42800">
        <w:rPr>
          <w:rFonts w:ascii="Arial" w:hAnsi="Arial" w:cs="Arial"/>
          <w:sz w:val="22"/>
          <w:szCs w:val="22"/>
        </w:rPr>
        <w:lastRenderedPageBreak/>
        <w:t xml:space="preserve">This chapter has outlined the historical, </w:t>
      </w:r>
      <w:r w:rsidR="008F7804" w:rsidRPr="00B42800">
        <w:rPr>
          <w:rFonts w:ascii="Arial" w:hAnsi="Arial" w:cs="Arial"/>
          <w:sz w:val="22"/>
          <w:szCs w:val="22"/>
        </w:rPr>
        <w:t>theoretical,</w:t>
      </w:r>
      <w:r w:rsidRPr="00B42800">
        <w:rPr>
          <w:rFonts w:ascii="Arial" w:hAnsi="Arial" w:cs="Arial"/>
          <w:sz w:val="22"/>
          <w:szCs w:val="22"/>
        </w:rPr>
        <w:t xml:space="preserve"> and contextual foundations necessary to understand DVA among South Asian women. It traced the shift from viewing DVA as a private matter to recognising it as a social issue shaped by feminist activism and the development of refuge movements. The theoretical discussion introduced intersectionality, social </w:t>
      </w:r>
      <w:r w:rsidR="008F7804" w:rsidRPr="00B42800">
        <w:rPr>
          <w:rFonts w:ascii="Arial" w:hAnsi="Arial" w:cs="Arial"/>
          <w:sz w:val="22"/>
          <w:szCs w:val="22"/>
        </w:rPr>
        <w:t>norms,</w:t>
      </w:r>
      <w:r w:rsidRPr="00B42800">
        <w:rPr>
          <w:rFonts w:ascii="Arial" w:hAnsi="Arial" w:cs="Arial"/>
          <w:sz w:val="22"/>
          <w:szCs w:val="22"/>
        </w:rPr>
        <w:t xml:space="preserve"> and help-seeking concepts to explain how social expectations and structural inequalities may influence women’s experiences, while also considering the limitations of these perspectives. The international context highlighted human rights frameworks, and the national and local discussion examined legislation, policy developments and service responsibilities in England and Wales.</w:t>
      </w:r>
    </w:p>
    <w:p w14:paraId="01FB0391" w14:textId="3B0B9588" w:rsidR="0045369B" w:rsidRPr="00DB37A9" w:rsidRDefault="00B42800" w:rsidP="00B42800">
      <w:pPr>
        <w:pStyle w:val="paragraph"/>
        <w:tabs>
          <w:tab w:val="num" w:pos="0"/>
        </w:tabs>
        <w:spacing w:before="0" w:beforeAutospacing="0" w:after="0" w:afterAutospacing="0" w:line="360" w:lineRule="auto"/>
        <w:textAlignment w:val="baseline"/>
        <w:rPr>
          <w:rFonts w:ascii="Arial" w:hAnsi="Arial" w:cs="Arial"/>
          <w:sz w:val="22"/>
          <w:szCs w:val="22"/>
        </w:rPr>
      </w:pPr>
      <w:r w:rsidRPr="00B42800">
        <w:rPr>
          <w:rFonts w:ascii="Arial" w:hAnsi="Arial" w:cs="Arial"/>
          <w:sz w:val="22"/>
          <w:szCs w:val="22"/>
        </w:rPr>
        <w:t>Together, these sections provide a foundation for examining how multiple factors shape help-seeking behaviours. Chapter 3 will outline the methodological approach, explaining the research design, search strategy, selection of literature and analytical approach used to address the dissertation aim and objectives.</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27DFF1B3" w:rsidR="00880B2D" w:rsidRDefault="00363299" w:rsidP="00363299">
      <w:pPr>
        <w:tabs>
          <w:tab w:val="left" w:pos="2895"/>
        </w:tabs>
      </w:pPr>
      <w:r>
        <w:tab/>
      </w:r>
    </w:p>
    <w:p w14:paraId="407ABDAE" w14:textId="7E29E26A" w:rsidR="00880B2D" w:rsidRDefault="00363299" w:rsidP="00363299">
      <w:pPr>
        <w:tabs>
          <w:tab w:val="left" w:pos="2895"/>
        </w:tabs>
        <w:sectPr w:rsidR="00880B2D">
          <w:headerReference w:type="default" r:id="rId9"/>
          <w:pgSz w:w="11906" w:h="16838"/>
          <w:pgMar w:top="1440" w:right="1440" w:bottom="1440" w:left="1440" w:header="708" w:footer="708" w:gutter="0"/>
          <w:cols w:space="708"/>
          <w:docGrid w:linePitch="360"/>
        </w:sectPr>
      </w:pPr>
      <w:r>
        <w:tab/>
      </w: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5C2EC55E" w14:textId="77777777" w:rsidR="00B7073C" w:rsidRPr="00292A36" w:rsidRDefault="00B7073C" w:rsidP="00B7073C"/>
    <w:p w14:paraId="5A7AB555" w14:textId="460DCFAA" w:rsidR="003A66FD" w:rsidRPr="00FF752D" w:rsidRDefault="00292A36" w:rsidP="00E40B0D">
      <w:pPr>
        <w:pStyle w:val="Heading2"/>
        <w:rPr>
          <w:color w:val="auto"/>
          <w:u w:val="single"/>
        </w:rPr>
      </w:pPr>
      <w:r w:rsidRPr="00FF752D">
        <w:rPr>
          <w:color w:val="auto"/>
          <w:u w:val="single"/>
        </w:rPr>
        <w:t>3.</w:t>
      </w:r>
      <w:r w:rsidR="005D7A1E" w:rsidRPr="00FF752D">
        <w:rPr>
          <w:color w:val="auto"/>
          <w:u w:val="single"/>
        </w:rPr>
        <w:t>1</w:t>
      </w:r>
      <w:r w:rsidRPr="00FF752D">
        <w:rPr>
          <w:color w:val="auto"/>
          <w:u w:val="single"/>
        </w:rPr>
        <w:t xml:space="preserve"> –</w:t>
      </w:r>
      <w:r w:rsidR="0021364B" w:rsidRPr="00FF752D">
        <w:rPr>
          <w:color w:val="auto"/>
          <w:u w:val="single"/>
        </w:rPr>
        <w:t xml:space="preserve"> </w:t>
      </w:r>
      <w:r w:rsidRPr="00FF752D">
        <w:rPr>
          <w:color w:val="auto"/>
          <w:u w:val="single"/>
        </w:rPr>
        <w:t xml:space="preserve">Introduction </w:t>
      </w:r>
    </w:p>
    <w:p w14:paraId="07766C34" w14:textId="07B15229" w:rsidR="005B3EDE" w:rsidRPr="00D2690B" w:rsidRDefault="00B120AD" w:rsidP="00D2690B">
      <w:pPr>
        <w:pStyle w:val="NormalWeb"/>
        <w:spacing w:line="360" w:lineRule="auto"/>
        <w:rPr>
          <w:rFonts w:ascii="Arial" w:hAnsi="Arial" w:cs="Arial"/>
          <w:sz w:val="22"/>
          <w:szCs w:val="22"/>
        </w:rPr>
      </w:pPr>
      <w:r w:rsidRPr="00D2690B">
        <w:rPr>
          <w:rFonts w:ascii="Arial" w:hAnsi="Arial" w:cs="Arial"/>
          <w:sz w:val="22"/>
          <w:szCs w:val="22"/>
        </w:rPr>
        <w:t xml:space="preserve">This chapter explains the methodology used to identify, </w:t>
      </w:r>
      <w:r w:rsidR="008F7804" w:rsidRPr="00D2690B">
        <w:rPr>
          <w:rFonts w:ascii="Arial" w:hAnsi="Arial" w:cs="Arial"/>
          <w:sz w:val="22"/>
          <w:szCs w:val="22"/>
        </w:rPr>
        <w:t>evaluate,</w:t>
      </w:r>
      <w:r w:rsidRPr="00D2690B">
        <w:rPr>
          <w:rFonts w:ascii="Arial" w:hAnsi="Arial" w:cs="Arial"/>
          <w:sz w:val="22"/>
          <w:szCs w:val="22"/>
        </w:rPr>
        <w:t xml:space="preserve"> and analyse existing literature concerning the cultural, social and migration-related factors shaping help-seeking among South Asian women experiencing domestic violence and abuse (DVA) in the UK. A desk-based, literature-based approach was adopted, using existing academic research and relevant publications rather than collecting new primary data. </w:t>
      </w:r>
      <w:r w:rsidR="005A0B65" w:rsidRPr="00D2690B">
        <w:rPr>
          <w:rFonts w:ascii="Arial" w:hAnsi="Arial" w:cs="Arial"/>
          <w:sz w:val="22"/>
          <w:szCs w:val="22"/>
        </w:rPr>
        <w:t>An</w:t>
      </w:r>
      <w:r w:rsidRPr="00D2690B">
        <w:rPr>
          <w:rFonts w:ascii="Arial" w:hAnsi="Arial" w:cs="Arial"/>
          <w:sz w:val="22"/>
          <w:szCs w:val="22"/>
        </w:rPr>
        <w:t xml:space="preserve"> academic methodology poster</w:t>
      </w:r>
      <w:r w:rsidR="005A0B65" w:rsidRPr="00D2690B">
        <w:rPr>
          <w:rFonts w:ascii="Arial" w:hAnsi="Arial" w:cs="Arial"/>
          <w:sz w:val="22"/>
          <w:szCs w:val="22"/>
        </w:rPr>
        <w:t xml:space="preserve"> will be used </w:t>
      </w:r>
      <w:r w:rsidR="00D2690B" w:rsidRPr="00D2690B">
        <w:rPr>
          <w:rFonts w:ascii="Arial" w:hAnsi="Arial" w:cs="Arial"/>
          <w:sz w:val="22"/>
          <w:szCs w:val="22"/>
        </w:rPr>
        <w:t>to provide</w:t>
      </w:r>
      <w:r w:rsidRPr="00D2690B">
        <w:rPr>
          <w:rFonts w:ascii="Arial" w:hAnsi="Arial" w:cs="Arial"/>
          <w:sz w:val="22"/>
          <w:szCs w:val="22"/>
        </w:rPr>
        <w:t xml:space="preserve"> a visual summary of the research process, while this chapter explains the stages in greater detail. The methods described establish the basis for the thematic findings and critical discussion presented in Chapter 4.</w:t>
      </w:r>
    </w:p>
    <w:p w14:paraId="6CBC7EFF" w14:textId="3D73EA1A" w:rsidR="003A66FD" w:rsidRPr="00B7073C" w:rsidRDefault="003A66FD" w:rsidP="00C339E8">
      <w:pPr>
        <w:pStyle w:val="NormalWeb"/>
        <w:spacing w:line="360" w:lineRule="auto"/>
        <w:rPr>
          <w:rFonts w:ascii="Aptos" w:hAnsi="Aptos"/>
          <w:sz w:val="22"/>
          <w:szCs w:val="22"/>
        </w:rPr>
      </w:pPr>
    </w:p>
    <w:p w14:paraId="644CE1D2" w14:textId="51B6273C" w:rsidR="009E5B14" w:rsidRPr="00FF752D" w:rsidRDefault="00292A36" w:rsidP="009E5B14">
      <w:pPr>
        <w:pStyle w:val="Heading2"/>
        <w:rPr>
          <w:color w:val="auto"/>
          <w:u w:val="single"/>
        </w:rPr>
      </w:pPr>
      <w:r w:rsidRPr="00FF752D">
        <w:rPr>
          <w:color w:val="auto"/>
          <w:u w:val="single"/>
        </w:rPr>
        <w:t>3.</w:t>
      </w:r>
      <w:r w:rsidR="00E40B0D" w:rsidRPr="00FF752D">
        <w:rPr>
          <w:color w:val="auto"/>
          <w:u w:val="single"/>
        </w:rPr>
        <w:t>2</w:t>
      </w:r>
      <w:r w:rsidRPr="00FF752D">
        <w:rPr>
          <w:color w:val="auto"/>
          <w:u w:val="single"/>
        </w:rPr>
        <w:t xml:space="preserve"> – Search Strategy </w:t>
      </w:r>
    </w:p>
    <w:p w14:paraId="2B5C3282" w14:textId="64C92236" w:rsidR="005B3EDE" w:rsidRPr="00DF7FAC" w:rsidRDefault="00B7073C" w:rsidP="00DF7FAC">
      <w:pPr>
        <w:rPr>
          <w:rFonts w:ascii="Arial" w:hAnsi="Arial" w:cs="Arial"/>
        </w:rPr>
      </w:pPr>
      <w:r>
        <w:br/>
      </w:r>
      <w:r w:rsidR="00DF7FAC" w:rsidRPr="00DF7FAC">
        <w:rPr>
          <w:rFonts w:ascii="Arial" w:hAnsi="Arial" w:cs="Arial"/>
        </w:rPr>
        <w:t>The search strategy was guided by the dissertation aim and research objectives. Keywords were drawn from the research question and focused on domestic violence and abuse, South Asian women, help-seeking, disclosure, cultural and social barriers, migration and health and social care services. Relevant synonyms, including domestic abuse, intimate partner violence, service access and support-seeking, were considered to broaden the search. Boolean operators can help structure searches: AND combines concepts to narrow results, OR connects synonyms to broaden results, and NOT excludes specified terms where appropriate. Searches were organised around combinations of the main concepts to identify relevant literature. The search terms and combinations should be recorded consistently to support transparency and enable the search process to be explained clearly.</w:t>
      </w:r>
    </w:p>
    <w:p w14:paraId="0293381E" w14:textId="77777777" w:rsidR="00D13A82" w:rsidRPr="00D13A82" w:rsidRDefault="00D13A82" w:rsidP="00D13A82"/>
    <w:p w14:paraId="57AFDE7A" w14:textId="13047BEA" w:rsidR="00B575E2" w:rsidRPr="00FF752D" w:rsidRDefault="00292A36" w:rsidP="009C40BF">
      <w:pPr>
        <w:pStyle w:val="Heading2"/>
        <w:numPr>
          <w:ilvl w:val="1"/>
          <w:numId w:val="73"/>
        </w:numPr>
        <w:jc w:val="left"/>
        <w:rPr>
          <w:color w:val="auto"/>
          <w:u w:val="single"/>
        </w:rPr>
      </w:pPr>
      <w:r w:rsidRPr="00FF752D">
        <w:rPr>
          <w:color w:val="auto"/>
          <w:u w:val="single"/>
        </w:rPr>
        <w:t xml:space="preserve">– Searching for Information </w:t>
      </w:r>
    </w:p>
    <w:p w14:paraId="09D0DA0F" w14:textId="77777777" w:rsidR="00352E9A" w:rsidRPr="00352E9A" w:rsidRDefault="00352E9A" w:rsidP="00352E9A">
      <w:pPr>
        <w:rPr>
          <w:rFonts w:ascii="Arial" w:hAnsi="Arial" w:cs="Arial"/>
        </w:rPr>
      </w:pPr>
      <w:r w:rsidRPr="00352E9A">
        <w:rPr>
          <w:rFonts w:ascii="Arial" w:hAnsi="Arial" w:cs="Arial"/>
        </w:rPr>
        <w:t xml:space="preserve">Literature was sought through Google Scholar, PubMed and the university library platform. These sources were selected to identify relevant academic literature, including research relating to public health, healthcare, social care and domestic abuse. Google Scholar </w:t>
      </w:r>
      <w:r w:rsidRPr="00352E9A">
        <w:rPr>
          <w:rFonts w:ascii="Arial" w:hAnsi="Arial" w:cs="Arial"/>
        </w:rPr>
        <w:lastRenderedPageBreak/>
        <w:t>supported broader discovery of academic publications, PubMed provided access to health-related research, and the university library offered an additional route to academic resources.</w:t>
      </w:r>
    </w:p>
    <w:p w14:paraId="36AAA4EA" w14:textId="77777777" w:rsidR="00352E9A" w:rsidRPr="00352E9A" w:rsidRDefault="00352E9A" w:rsidP="00352E9A">
      <w:pPr>
        <w:rPr>
          <w:rFonts w:ascii="Arial" w:hAnsi="Arial" w:cs="Arial"/>
        </w:rPr>
      </w:pPr>
      <w:r w:rsidRPr="00352E9A">
        <w:rPr>
          <w:rFonts w:ascii="Arial" w:hAnsi="Arial" w:cs="Arial"/>
        </w:rPr>
        <w:t>The intended publication date range was 2015–2025, with English-language literature prioritised. Searches focused on studies relevant to South Asian women, DVA, disclosure and help-seeking, particularly within the UK. Research from other high-income countries and wider ethnic-minority populations could provide contextual evidence where relevant, although its findings require careful interpretation when applied to the UK South Asian population.</w:t>
      </w:r>
    </w:p>
    <w:p w14:paraId="6F09D47B" w14:textId="57C56604" w:rsidR="00B575E2" w:rsidRDefault="00352E9A" w:rsidP="00352E9A">
      <w:pPr>
        <w:rPr>
          <w:rFonts w:ascii="Arial" w:hAnsi="Arial" w:cs="Arial"/>
        </w:rPr>
      </w:pPr>
      <w:r w:rsidRPr="00352E9A">
        <w:rPr>
          <w:rFonts w:ascii="Arial" w:hAnsi="Arial" w:cs="Arial"/>
        </w:rPr>
        <w:t>The search process required attention to the relevance of results rather than reliance on keywords alone. Titles and abstracts were reviewed to identify potentially useful publications, followed by closer examination of relevant articles. References were managed using a reference manager to support organisation and accurate citation. The exact search combinations, any database filters and the number of results identified should be documented in the final methodology and, where appropriate, summarised in a search record or appendix.</w:t>
      </w:r>
    </w:p>
    <w:p w14:paraId="0CA4C9AA" w14:textId="77777777" w:rsidR="000E11FB" w:rsidRPr="00352E9A" w:rsidRDefault="000E11FB" w:rsidP="00352E9A">
      <w:pPr>
        <w:rPr>
          <w:rFonts w:ascii="Arial" w:hAnsi="Arial" w:cs="Arial"/>
        </w:rPr>
      </w:pPr>
    </w:p>
    <w:p w14:paraId="021ACDF5" w14:textId="16112A17" w:rsidR="00226BF8" w:rsidRPr="00226BF8" w:rsidRDefault="00292A36" w:rsidP="00226BF8">
      <w:pPr>
        <w:pStyle w:val="Heading2"/>
        <w:numPr>
          <w:ilvl w:val="1"/>
          <w:numId w:val="73"/>
        </w:numPr>
        <w:jc w:val="left"/>
        <w:rPr>
          <w:rFonts w:ascii="Arial" w:hAnsi="Arial" w:cs="Arial"/>
          <w:color w:val="auto"/>
          <w:sz w:val="22"/>
          <w:szCs w:val="22"/>
        </w:rPr>
      </w:pPr>
      <w:r w:rsidRPr="0021364B">
        <w:t xml:space="preserve">– </w:t>
      </w:r>
      <w:r w:rsidRPr="00FF752D">
        <w:rPr>
          <w:color w:val="auto"/>
          <w:u w:val="single"/>
        </w:rPr>
        <w:t>Research Validation</w:t>
      </w:r>
      <w:r w:rsidRPr="00FF752D">
        <w:rPr>
          <w:color w:val="auto"/>
        </w:rPr>
        <w:t xml:space="preserve"> </w:t>
      </w:r>
    </w:p>
    <w:p w14:paraId="0BEB0164" w14:textId="36282106" w:rsidR="00E325CF" w:rsidRPr="00226BF8" w:rsidRDefault="00E06530" w:rsidP="000E11FB">
      <w:pPr>
        <w:pStyle w:val="Heading2"/>
        <w:jc w:val="left"/>
        <w:rPr>
          <w:rFonts w:ascii="Arial" w:hAnsi="Arial" w:cs="Arial"/>
          <w:color w:val="auto"/>
          <w:sz w:val="22"/>
          <w:szCs w:val="22"/>
        </w:rPr>
      </w:pPr>
      <w:r w:rsidRPr="00E06530">
        <w:rPr>
          <w:rFonts w:ascii="Arial" w:hAnsi="Arial" w:cs="Arial"/>
          <w:color w:val="auto"/>
          <w:sz w:val="22"/>
          <w:szCs w:val="22"/>
        </w:rPr>
        <w:t xml:space="preserve">The relevance and credibility of potential sources were assessed by examining their titles, abstracts, </w:t>
      </w:r>
      <w:r w:rsidR="00226BF8" w:rsidRPr="00E06530">
        <w:rPr>
          <w:rFonts w:ascii="Arial" w:hAnsi="Arial" w:cs="Arial"/>
          <w:color w:val="auto"/>
          <w:sz w:val="22"/>
          <w:szCs w:val="22"/>
        </w:rPr>
        <w:t>introductions,</w:t>
      </w:r>
      <w:r w:rsidRPr="00E06530">
        <w:rPr>
          <w:rFonts w:ascii="Arial" w:hAnsi="Arial" w:cs="Arial"/>
          <w:color w:val="auto"/>
          <w:sz w:val="22"/>
          <w:szCs w:val="22"/>
        </w:rPr>
        <w:t xml:space="preserve"> and conclusions. These features helped establish whether publications addressed the dissertation aim, focused on an appropriate </w:t>
      </w:r>
      <w:r w:rsidR="00226BF8" w:rsidRPr="00E06530">
        <w:rPr>
          <w:rFonts w:ascii="Arial" w:hAnsi="Arial" w:cs="Arial"/>
          <w:color w:val="auto"/>
          <w:sz w:val="22"/>
          <w:szCs w:val="22"/>
        </w:rPr>
        <w:t>population,</w:t>
      </w:r>
      <w:r w:rsidRPr="00E06530">
        <w:rPr>
          <w:rFonts w:ascii="Arial" w:hAnsi="Arial" w:cs="Arial"/>
          <w:color w:val="auto"/>
          <w:sz w:val="22"/>
          <w:szCs w:val="22"/>
        </w:rPr>
        <w:t xml:space="preserve"> and offered evidence relevant to help-seeking or service responses. Author expertise, publication credibility and the connection between a study's findings and the research question were also </w:t>
      </w:r>
      <w:r w:rsidR="00226BF8" w:rsidRPr="00E06530">
        <w:rPr>
          <w:rFonts w:ascii="Arial" w:hAnsi="Arial" w:cs="Arial"/>
          <w:color w:val="auto"/>
          <w:sz w:val="22"/>
          <w:szCs w:val="22"/>
        </w:rPr>
        <w:t>considered.</w:t>
      </w:r>
      <w:r w:rsidR="00226BF8" w:rsidRPr="00226BF8">
        <w:rPr>
          <w:rFonts w:ascii="Arial" w:hAnsi="Arial" w:cs="Arial"/>
          <w:color w:val="auto"/>
          <w:sz w:val="22"/>
          <w:szCs w:val="22"/>
        </w:rPr>
        <w:t xml:space="preserve"> Attention</w:t>
      </w:r>
      <w:r w:rsidRPr="00226BF8">
        <w:rPr>
          <w:rFonts w:ascii="Arial" w:hAnsi="Arial" w:cs="Arial"/>
          <w:color w:val="auto"/>
          <w:sz w:val="22"/>
          <w:szCs w:val="22"/>
        </w:rPr>
        <w:t xml:space="preserve"> was given to whether findings related specifically to South Asian women or to broader populations. Studies involving wider ethnic-minority groups or international populations were considered for contextual relevance, rather than automatically treated as direct evidence about South Asian women in the UK. The relevance of a source also depended on its methodology and the limitations acknowledged by its authors. For example, research examining South Asian women's experiences of healthcare after disclosure was particularly relevant to understanding service responses, while evidence from broader populations required cautious interpretation. These checks supported informed source selection and reduced the risk of relying on evidence that did not adequately address the dissertation question.</w:t>
      </w:r>
    </w:p>
    <w:p w14:paraId="1C1CD00C" w14:textId="77777777" w:rsidR="00B575E2" w:rsidRPr="00B575E2" w:rsidRDefault="00B575E2" w:rsidP="00B575E2"/>
    <w:p w14:paraId="0E7E3997" w14:textId="10AA8B82" w:rsidR="0021364B" w:rsidRPr="006153EC" w:rsidRDefault="00292A36" w:rsidP="006153EC">
      <w:pPr>
        <w:pStyle w:val="Heading2"/>
        <w:numPr>
          <w:ilvl w:val="1"/>
          <w:numId w:val="73"/>
        </w:numPr>
        <w:jc w:val="left"/>
        <w:rPr>
          <w:rFonts w:ascii="Arial" w:hAnsi="Arial" w:cs="Arial"/>
        </w:rPr>
      </w:pPr>
      <w:r w:rsidRPr="000D2B00">
        <w:rPr>
          <w:rStyle w:val="Heading2Char"/>
        </w:rPr>
        <w:lastRenderedPageBreak/>
        <w:t xml:space="preserve">- </w:t>
      </w:r>
      <w:r w:rsidRPr="000E11FB">
        <w:rPr>
          <w:rStyle w:val="Heading2Char"/>
          <w:color w:val="auto"/>
        </w:rPr>
        <w:t xml:space="preserve">Inclusion and Exclusion Criteria </w:t>
      </w:r>
      <w:r w:rsidR="00C17A49">
        <w:rPr>
          <w:sz w:val="28"/>
          <w:szCs w:val="28"/>
        </w:rPr>
        <w:br/>
      </w:r>
    </w:p>
    <w:p w14:paraId="57357633" w14:textId="77777777" w:rsidR="006153EC" w:rsidRPr="006153EC" w:rsidRDefault="006153EC" w:rsidP="006153EC">
      <w:pPr>
        <w:rPr>
          <w:rFonts w:ascii="Arial" w:hAnsi="Arial" w:cs="Arial"/>
        </w:rPr>
      </w:pPr>
      <w:r w:rsidRPr="006153EC">
        <w:rPr>
          <w:rFonts w:ascii="Arial" w:hAnsi="Arial" w:cs="Arial"/>
        </w:rPr>
        <w:t>The review prioritised English-language academic literature published between 2015 and 2025 that addressed DVA, help-seeking, disclosure, barriers to support or service experiences relevant to South Asian women. UK-based research was particularly relevant, while selected international studies and research involving wider ethnic-minority populations could be included where they contributed useful contextual evidence. Relevant policy documents, legislation and foundational theoretical publications were also considered where necessary, including material published before 2015.</w:t>
      </w:r>
    </w:p>
    <w:p w14:paraId="79EFA533" w14:textId="6769065E" w:rsidR="00B575E2" w:rsidRDefault="006153EC" w:rsidP="006153EC">
      <w:pPr>
        <w:rPr>
          <w:rFonts w:ascii="Arial" w:hAnsi="Arial" w:cs="Arial"/>
        </w:rPr>
      </w:pPr>
      <w:r w:rsidRPr="006153EC">
        <w:rPr>
          <w:rFonts w:ascii="Arial" w:hAnsi="Arial" w:cs="Arial"/>
        </w:rPr>
        <w:t xml:space="preserve">Sources were excluded where they lacked a clear connection to the research question, offered insufficiently credible </w:t>
      </w:r>
      <w:r w:rsidR="00CB108B" w:rsidRPr="006153EC">
        <w:rPr>
          <w:rFonts w:ascii="Arial" w:hAnsi="Arial" w:cs="Arial"/>
        </w:rPr>
        <w:t>evidence,</w:t>
      </w:r>
      <w:r w:rsidRPr="006153EC">
        <w:rPr>
          <w:rFonts w:ascii="Arial" w:hAnsi="Arial" w:cs="Arial"/>
        </w:rPr>
        <w:t xml:space="preserve"> or did not provide relevant information about DVA, help-seeking or support services. The criteria helped maintain a clear research focus while allowing relevant contextual and theoretical material to inform the discussion. The final version should specify any additional exclusions </w:t>
      </w:r>
      <w:proofErr w:type="gramStart"/>
      <w:r w:rsidRPr="006153EC">
        <w:rPr>
          <w:rFonts w:ascii="Arial" w:hAnsi="Arial" w:cs="Arial"/>
        </w:rPr>
        <w:t>actually applied</w:t>
      </w:r>
      <w:proofErr w:type="gramEnd"/>
      <w:r w:rsidRPr="006153EC">
        <w:rPr>
          <w:rFonts w:ascii="Arial" w:hAnsi="Arial" w:cs="Arial"/>
        </w:rPr>
        <w:t xml:space="preserve"> during the search.</w:t>
      </w:r>
    </w:p>
    <w:p w14:paraId="41C30721" w14:textId="77777777" w:rsidR="003306B8" w:rsidRPr="006153EC" w:rsidRDefault="003306B8" w:rsidP="006153EC">
      <w:pPr>
        <w:rPr>
          <w:rFonts w:ascii="Arial" w:hAnsi="Arial" w:cs="Arial"/>
        </w:rPr>
      </w:pPr>
    </w:p>
    <w:p w14:paraId="01A5598C" w14:textId="01858D4B" w:rsidR="0021364B" w:rsidRPr="000E11FB" w:rsidRDefault="00292A36" w:rsidP="009C40BF">
      <w:pPr>
        <w:pStyle w:val="Heading2"/>
        <w:numPr>
          <w:ilvl w:val="1"/>
          <w:numId w:val="73"/>
        </w:numPr>
        <w:jc w:val="left"/>
        <w:rPr>
          <w:color w:val="auto"/>
          <w:u w:val="single"/>
        </w:rPr>
      </w:pPr>
      <w:r w:rsidRPr="001C3AF6">
        <w:t xml:space="preserve">– </w:t>
      </w:r>
      <w:r w:rsidRPr="000E11FB">
        <w:rPr>
          <w:color w:val="auto"/>
          <w:u w:val="single"/>
        </w:rPr>
        <w:t xml:space="preserve">Analysing Research </w:t>
      </w:r>
    </w:p>
    <w:p w14:paraId="677219A9" w14:textId="77777777" w:rsidR="003306B8" w:rsidRPr="003306B8" w:rsidRDefault="003306B8" w:rsidP="003306B8">
      <w:pPr>
        <w:rPr>
          <w:rFonts w:ascii="Arial" w:hAnsi="Arial" w:cs="Arial"/>
        </w:rPr>
      </w:pPr>
      <w:r w:rsidRPr="003306B8">
        <w:rPr>
          <w:rFonts w:ascii="Arial" w:hAnsi="Arial" w:cs="Arial"/>
        </w:rPr>
        <w:t>The selected literature was examined to identify recurring ideas, differences in findings and issues relevant to the research objectives. The analysis involved reading relevant publications and grouping similar findings and concepts into broader thematic categories. Initial areas of interest included cultural expectations and family reputation, stigma and community pressures, migration-related barriers, access to health and social care services, and the quality of responses following disclosure.</w:t>
      </w:r>
    </w:p>
    <w:p w14:paraId="701C686E" w14:textId="402278A8" w:rsidR="00C17A49" w:rsidRPr="003306B8" w:rsidRDefault="003306B8" w:rsidP="003306B8">
      <w:pPr>
        <w:rPr>
          <w:rFonts w:ascii="Arial" w:hAnsi="Arial" w:cs="Arial"/>
        </w:rPr>
      </w:pPr>
      <w:r w:rsidRPr="003306B8">
        <w:rPr>
          <w:rFonts w:ascii="Arial" w:hAnsi="Arial" w:cs="Arial"/>
        </w:rPr>
        <w:t>The emerging themes were considered in relation to the dissertation aim and objectives. Attention was given not only to repeated findings but also to differences between studies, limitations in the evidence and the extent to which conclusions could be applied to South Asian women living in the UK. This approach supported a critical synthesis rather than a simple summary of individual publications. Reference-management software assisted with organising sources and maintaining citation details. The resulting thematic organisation provides the foundation for Chapter 4, where the findings will be presented and discussed in relation to the research question.</w:t>
      </w:r>
    </w:p>
    <w:p w14:paraId="34D844F4" w14:textId="5D06BBC1" w:rsidR="00B01396" w:rsidRPr="000E11FB" w:rsidRDefault="00081EC6" w:rsidP="009C40BF">
      <w:pPr>
        <w:pStyle w:val="Heading2"/>
        <w:numPr>
          <w:ilvl w:val="1"/>
          <w:numId w:val="73"/>
        </w:numPr>
        <w:rPr>
          <w:color w:val="auto"/>
          <w:u w:val="single"/>
        </w:rPr>
      </w:pPr>
      <w:r>
        <w:rPr>
          <w:color w:val="auto"/>
          <w:u w:val="single"/>
        </w:rPr>
        <w:t xml:space="preserve"> </w:t>
      </w:r>
      <w:r w:rsidR="00292A36" w:rsidRPr="000E11FB">
        <w:rPr>
          <w:color w:val="auto"/>
          <w:u w:val="single"/>
        </w:rPr>
        <w:t xml:space="preserve">Ethical Considerations </w:t>
      </w:r>
    </w:p>
    <w:p w14:paraId="5569F915" w14:textId="404A44B8" w:rsidR="001C3AF6" w:rsidRDefault="003C711E" w:rsidP="003C711E">
      <w:pPr>
        <w:rPr>
          <w:rFonts w:ascii="Arial" w:hAnsi="Arial" w:cs="Arial"/>
        </w:rPr>
      </w:pPr>
      <w:r w:rsidRPr="003C711E">
        <w:rPr>
          <w:rFonts w:ascii="Arial" w:hAnsi="Arial" w:cs="Arial"/>
        </w:rPr>
        <w:t xml:space="preserve">This dissertation uses existing literature and does not involve collecting new data directly from participants. Nevertheless, ethical considerations remain important throughout the research </w:t>
      </w:r>
      <w:r w:rsidRPr="003C711E">
        <w:rPr>
          <w:rFonts w:ascii="Arial" w:hAnsi="Arial" w:cs="Arial"/>
        </w:rPr>
        <w:lastRenderedPageBreak/>
        <w:t>process. Academic integrity was supported by acknowledging sources through appropriate in-text citations and reference-list entries, using a consistent referencing style and representing authors' findings accurately. Care was taken to avoid presenting findings from wider populations as though they necessarily reflected the experiences of all South Asian women. The sensitive nature of DVA also requires respectful language and careful reporting that avoids victim-blaming, cultural stereotyping or unsupported generalisations. Literature was therefore considered in relation to its evidence, limitations, and relevance, with the intention of presenting a balanced and credible account of the research topic.</w:t>
      </w:r>
    </w:p>
    <w:p w14:paraId="34CE0B1E" w14:textId="77777777" w:rsidR="00573682" w:rsidRPr="003C711E" w:rsidRDefault="00573682" w:rsidP="003C711E">
      <w:pPr>
        <w:rPr>
          <w:rFonts w:ascii="Arial" w:hAnsi="Arial" w:cs="Arial"/>
        </w:rPr>
      </w:pPr>
    </w:p>
    <w:p w14:paraId="7F51675F" w14:textId="446F01DC" w:rsidR="00292A36" w:rsidRPr="00573682" w:rsidRDefault="00292A36" w:rsidP="00903DD5">
      <w:pPr>
        <w:pStyle w:val="Heading2"/>
        <w:numPr>
          <w:ilvl w:val="1"/>
          <w:numId w:val="73"/>
        </w:numPr>
        <w:rPr>
          <w:color w:val="auto"/>
          <w:u w:val="single"/>
        </w:rPr>
      </w:pPr>
      <w:r w:rsidRPr="00573682">
        <w:rPr>
          <w:color w:val="auto"/>
          <w:u w:val="single"/>
        </w:rPr>
        <w:t xml:space="preserve">– Chapter Conclusion </w:t>
      </w:r>
    </w:p>
    <w:p w14:paraId="1C8E42FF" w14:textId="566E84ED" w:rsidR="00903DD5" w:rsidRPr="00903DD5" w:rsidRDefault="00903DD5" w:rsidP="00903DD5">
      <w:pPr>
        <w:rPr>
          <w:rFonts w:ascii="Arial" w:hAnsi="Arial" w:cs="Arial"/>
        </w:rPr>
      </w:pPr>
      <w:r w:rsidRPr="00903DD5">
        <w:rPr>
          <w:rFonts w:ascii="Arial" w:hAnsi="Arial" w:cs="Arial"/>
        </w:rPr>
        <w:t>This chapter has outlined the desk-based methodology used to identify, evaluate, and analyse literature on help-seeking among South Asian women experiencing DVA in the UK. It has described the search platforms, the intended publication period, the assessment of source relevance and credibility, and the criteria guiding literature selection. The analysis involved identifying recurring ideas and organising them into themes related to the dissertation objectives. These methodological steps provide a foundation for a focused and critical synthesis of the available evidence. Chapter 4 presents the resulting themes and examines their implications for help-seeking, health and social care practice, policy, and service provision.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lastRenderedPageBreak/>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9C40BF">
      <w:pPr>
        <w:numPr>
          <w:ilvl w:val="0"/>
          <w:numId w:val="95"/>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9C40BF">
      <w:pPr>
        <w:numPr>
          <w:ilvl w:val="0"/>
          <w:numId w:val="96"/>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9C40BF">
      <w:pPr>
        <w:numPr>
          <w:ilvl w:val="0"/>
          <w:numId w:val="96"/>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9C40BF">
      <w:pPr>
        <w:numPr>
          <w:ilvl w:val="0"/>
          <w:numId w:val="66"/>
        </w:numPr>
        <w:spacing w:before="100" w:beforeAutospacing="1" w:after="100" w:afterAutospacing="1"/>
        <w:jc w:val="left"/>
      </w:pPr>
      <w:r w:rsidRPr="007063BA">
        <w:rPr>
          <w:rStyle w:val="Strong"/>
        </w:rPr>
        <w:t>Definition:</w:t>
      </w:r>
    </w:p>
    <w:p w14:paraId="5C1AAD9B" w14:textId="77777777" w:rsidR="007063BA" w:rsidRPr="007063BA" w:rsidRDefault="007063BA" w:rsidP="009C40BF">
      <w:pPr>
        <w:numPr>
          <w:ilvl w:val="1"/>
          <w:numId w:val="6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9C40BF">
      <w:pPr>
        <w:numPr>
          <w:ilvl w:val="1"/>
          <w:numId w:val="6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9C40BF">
      <w:pPr>
        <w:numPr>
          <w:ilvl w:val="0"/>
          <w:numId w:val="6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9C40BF">
      <w:pPr>
        <w:numPr>
          <w:ilvl w:val="1"/>
          <w:numId w:val="67"/>
        </w:numPr>
        <w:spacing w:before="100" w:beforeAutospacing="1" w:after="100" w:afterAutospacing="1"/>
        <w:jc w:val="left"/>
      </w:pPr>
      <w:r w:rsidRPr="007063BA">
        <w:lastRenderedPageBreak/>
        <w:t>Offer a brief overview of the background information related to the theme.</w:t>
      </w:r>
    </w:p>
    <w:p w14:paraId="6DE4A2E4" w14:textId="77777777" w:rsidR="007063BA" w:rsidRPr="007063BA" w:rsidRDefault="007063BA" w:rsidP="009C40BF">
      <w:pPr>
        <w:numPr>
          <w:ilvl w:val="1"/>
          <w:numId w:val="6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9C40BF">
      <w:pPr>
        <w:numPr>
          <w:ilvl w:val="0"/>
          <w:numId w:val="6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9C40BF">
      <w:pPr>
        <w:numPr>
          <w:ilvl w:val="1"/>
          <w:numId w:val="6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9C40BF">
      <w:pPr>
        <w:numPr>
          <w:ilvl w:val="1"/>
          <w:numId w:val="6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9C40BF">
      <w:pPr>
        <w:numPr>
          <w:ilvl w:val="0"/>
          <w:numId w:val="69"/>
        </w:numPr>
        <w:spacing w:before="100" w:beforeAutospacing="1" w:after="100" w:afterAutospacing="1"/>
        <w:jc w:val="left"/>
      </w:pPr>
      <w:r w:rsidRPr="007063BA">
        <w:rPr>
          <w:rStyle w:val="Strong"/>
        </w:rPr>
        <w:t>Data and Statistics:</w:t>
      </w:r>
    </w:p>
    <w:p w14:paraId="11E38E7B" w14:textId="77777777" w:rsidR="007063BA" w:rsidRPr="007063BA" w:rsidRDefault="007063BA" w:rsidP="009C40BF">
      <w:pPr>
        <w:numPr>
          <w:ilvl w:val="1"/>
          <w:numId w:val="6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9C40BF">
      <w:pPr>
        <w:numPr>
          <w:ilvl w:val="1"/>
          <w:numId w:val="6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9C40BF">
      <w:pPr>
        <w:numPr>
          <w:ilvl w:val="1"/>
          <w:numId w:val="70"/>
        </w:numPr>
        <w:spacing w:before="100" w:beforeAutospacing="1" w:after="100" w:afterAutospacing="1"/>
        <w:jc w:val="left"/>
      </w:pPr>
      <w:r w:rsidRPr="007063BA">
        <w:t>Discuss relevant theories that relate to your theme.</w:t>
      </w:r>
    </w:p>
    <w:p w14:paraId="5AB868F8" w14:textId="77777777" w:rsidR="007063BA" w:rsidRPr="007063BA" w:rsidRDefault="007063BA" w:rsidP="009C40BF">
      <w:pPr>
        <w:numPr>
          <w:ilvl w:val="1"/>
          <w:numId w:val="7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9C40BF">
      <w:pPr>
        <w:numPr>
          <w:ilvl w:val="1"/>
          <w:numId w:val="7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9C40BF">
      <w:pPr>
        <w:numPr>
          <w:ilvl w:val="1"/>
          <w:numId w:val="7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t>Implications</w:t>
      </w:r>
    </w:p>
    <w:p w14:paraId="383AC1AB" w14:textId="77777777" w:rsidR="007063BA" w:rsidRPr="007063BA" w:rsidRDefault="007063BA" w:rsidP="009C40BF">
      <w:pPr>
        <w:numPr>
          <w:ilvl w:val="0"/>
          <w:numId w:val="7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9C40BF">
      <w:pPr>
        <w:numPr>
          <w:ilvl w:val="1"/>
          <w:numId w:val="7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9C40BF">
      <w:pPr>
        <w:numPr>
          <w:ilvl w:val="1"/>
          <w:numId w:val="7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lastRenderedPageBreak/>
        <w:t>Say if the articles agree or show different points of view.</w:t>
      </w:r>
    </w:p>
    <w:p w14:paraId="3D98154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9C40BF">
      <w:pPr>
        <w:numPr>
          <w:ilvl w:val="0"/>
          <w:numId w:val="72"/>
        </w:numPr>
        <w:spacing w:before="100" w:beforeAutospacing="1" w:after="100" w:afterAutospacing="1"/>
        <w:jc w:val="left"/>
      </w:pPr>
      <w:r w:rsidRPr="007063BA">
        <w:rPr>
          <w:rStyle w:val="Strong"/>
        </w:rPr>
        <w:t>Interconnections:</w:t>
      </w:r>
    </w:p>
    <w:p w14:paraId="7864BC2D" w14:textId="77777777" w:rsidR="007063BA" w:rsidRPr="007063BA" w:rsidRDefault="007063BA" w:rsidP="009C40BF">
      <w:pPr>
        <w:numPr>
          <w:ilvl w:val="1"/>
          <w:numId w:val="72"/>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9C40BF">
      <w:pPr>
        <w:numPr>
          <w:ilvl w:val="1"/>
          <w:numId w:val="72"/>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43E13E8D"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lastRenderedPageBreak/>
        <w:t>Statistical Information</w:t>
      </w:r>
    </w:p>
    <w:p w14:paraId="1C81AACB"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3581FEF8"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1C5314A2"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1C706843"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77B25032"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9C40BF">
      <w:pPr>
        <w:numPr>
          <w:ilvl w:val="1"/>
          <w:numId w:val="72"/>
        </w:numPr>
        <w:spacing w:before="100" w:beforeAutospacing="1" w:after="100" w:afterAutospacing="1"/>
        <w:jc w:val="left"/>
      </w:pPr>
      <w:r w:rsidRPr="007063BA">
        <w:lastRenderedPageBreak/>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1EF6A2EF"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07AE33A3"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0013B9BD"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lastRenderedPageBreak/>
        <w:t>Implications</w:t>
      </w:r>
    </w:p>
    <w:p w14:paraId="02D216F1"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4EEABA30"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w:t>
      </w:r>
      <w:r w:rsidRPr="005C5E80">
        <w:lastRenderedPageBreak/>
        <w:t xml:space="preserve">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9C40BF">
      <w:pPr>
        <w:numPr>
          <w:ilvl w:val="0"/>
          <w:numId w:val="97"/>
        </w:numPr>
      </w:pPr>
      <w:r w:rsidRPr="000400E4">
        <w:rPr>
          <w:b/>
          <w:bCs/>
        </w:rPr>
        <w:t>Purpose of the Conclusion:</w:t>
      </w:r>
    </w:p>
    <w:p w14:paraId="07700957" w14:textId="77777777" w:rsidR="000400E4" w:rsidRPr="000400E4" w:rsidRDefault="000400E4" w:rsidP="009C40BF">
      <w:pPr>
        <w:numPr>
          <w:ilvl w:val="1"/>
          <w:numId w:val="97"/>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9C40BF">
      <w:pPr>
        <w:numPr>
          <w:ilvl w:val="0"/>
          <w:numId w:val="97"/>
        </w:numPr>
      </w:pPr>
      <w:r w:rsidRPr="000400E4">
        <w:rPr>
          <w:b/>
          <w:bCs/>
        </w:rPr>
        <w:t>Key Points to Include:</w:t>
      </w:r>
    </w:p>
    <w:p w14:paraId="08A6A1BB" w14:textId="77777777" w:rsidR="000400E4" w:rsidRPr="000400E4" w:rsidRDefault="000400E4" w:rsidP="009C40BF">
      <w:pPr>
        <w:numPr>
          <w:ilvl w:val="1"/>
          <w:numId w:val="97"/>
        </w:numPr>
      </w:pPr>
      <w:r w:rsidRPr="000400E4">
        <w:t>Summarise the main findings from each chapter, drawing together the most important ideas, insights, and outcomes of your work.</w:t>
      </w:r>
    </w:p>
    <w:p w14:paraId="7B972852" w14:textId="77777777" w:rsidR="000400E4" w:rsidRPr="000400E4" w:rsidRDefault="000400E4" w:rsidP="009C40BF">
      <w:pPr>
        <w:numPr>
          <w:ilvl w:val="1"/>
          <w:numId w:val="97"/>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9C40BF">
      <w:pPr>
        <w:numPr>
          <w:ilvl w:val="0"/>
          <w:numId w:val="97"/>
        </w:numPr>
      </w:pPr>
      <w:r w:rsidRPr="000400E4">
        <w:rPr>
          <w:b/>
          <w:bCs/>
        </w:rPr>
        <w:t>Important Reminders:</w:t>
      </w:r>
    </w:p>
    <w:p w14:paraId="2C5B0706" w14:textId="77777777" w:rsidR="000400E4" w:rsidRPr="000400E4" w:rsidRDefault="000400E4" w:rsidP="009C40BF">
      <w:pPr>
        <w:numPr>
          <w:ilvl w:val="1"/>
          <w:numId w:val="97"/>
        </w:numPr>
      </w:pPr>
      <w:r w:rsidRPr="000400E4">
        <w:t>Do not introduce any new information, analysis, or references in this section.</w:t>
      </w:r>
    </w:p>
    <w:p w14:paraId="4F1483CE" w14:textId="77777777" w:rsidR="000400E4" w:rsidRDefault="000400E4" w:rsidP="009C40BF">
      <w:pPr>
        <w:numPr>
          <w:ilvl w:val="1"/>
          <w:numId w:val="97"/>
        </w:numPr>
      </w:pPr>
      <w:r w:rsidRPr="000400E4">
        <w:t>Focus only on what has already been discussed and evidenced in your previous chapters.</w:t>
      </w:r>
      <w:r>
        <w:t xml:space="preserve"> </w:t>
      </w:r>
    </w:p>
    <w:p w14:paraId="5DD960CB" w14:textId="17B83E15" w:rsidR="000400E4" w:rsidRDefault="000400E4" w:rsidP="009C40BF">
      <w:pPr>
        <w:numPr>
          <w:ilvl w:val="1"/>
          <w:numId w:val="97"/>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9C40BF">
      <w:pPr>
        <w:numPr>
          <w:ilvl w:val="1"/>
          <w:numId w:val="97"/>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w:t>
      </w:r>
      <w:r>
        <w:lastRenderedPageBreak/>
        <w:t xml:space="preserve">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9C40BF">
      <w:pPr>
        <w:pStyle w:val="ListParagraph"/>
        <w:numPr>
          <w:ilvl w:val="0"/>
          <w:numId w:val="1"/>
        </w:numPr>
        <w:spacing w:line="360" w:lineRule="auto"/>
        <w:rPr>
          <w:rFonts w:ascii="Aptos" w:hAnsi="Aptos"/>
        </w:rPr>
      </w:pPr>
      <w:hyperlink r:id="rId10" w:history="1">
        <w:r w:rsidRPr="00621776">
          <w:rPr>
            <w:rStyle w:val="Hyperlink"/>
            <w:rFonts w:ascii="Aptos" w:hAnsi="Aptos"/>
          </w:rPr>
          <w:t>UWTSD Harvard Referencing Handbook</w:t>
        </w:r>
      </w:hyperlink>
    </w:p>
    <w:p w14:paraId="5AED8F63" w14:textId="58813447" w:rsidR="00621776" w:rsidRDefault="00621776" w:rsidP="009C40BF">
      <w:pPr>
        <w:pStyle w:val="ListParagraph"/>
        <w:numPr>
          <w:ilvl w:val="0"/>
          <w:numId w:val="1"/>
        </w:numPr>
        <w:spacing w:line="360" w:lineRule="auto"/>
        <w:rPr>
          <w:rFonts w:ascii="Aptos" w:hAnsi="Aptos"/>
        </w:rPr>
      </w:pPr>
      <w:hyperlink r:id="rId11" w:history="1">
        <w:r w:rsidRPr="00621776">
          <w:rPr>
            <w:rStyle w:val="Hyperlink"/>
            <w:rFonts w:ascii="Aptos" w:hAnsi="Aptos"/>
          </w:rPr>
          <w:t xml:space="preserve">Cite them </w:t>
        </w:r>
        <w:proofErr w:type="gramStart"/>
        <w:r w:rsidRPr="00621776">
          <w:rPr>
            <w:rStyle w:val="Hyperlink"/>
            <w:rFonts w:ascii="Aptos" w:hAnsi="Aptos"/>
          </w:rPr>
          <w:t>Right  -</w:t>
        </w:r>
        <w:proofErr w:type="gramEnd"/>
        <w:r w:rsidRPr="00621776">
          <w:rPr>
            <w:rStyle w:val="Hyperlink"/>
            <w:rFonts w:ascii="Aptos" w:hAnsi="Aptos"/>
          </w:rPr>
          <w:t xml:space="preserve">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9C40BF">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lastRenderedPageBreak/>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9C40BF">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9C40BF">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77053" w14:textId="77777777" w:rsidR="00D53527" w:rsidRDefault="00D53527" w:rsidP="00211184">
      <w:pPr>
        <w:spacing w:after="0" w:line="240" w:lineRule="auto"/>
      </w:pPr>
      <w:r>
        <w:separator/>
      </w:r>
    </w:p>
  </w:endnote>
  <w:endnote w:type="continuationSeparator" w:id="0">
    <w:p w14:paraId="03DDC0B5" w14:textId="77777777" w:rsidR="00D53527" w:rsidRDefault="00D5352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1DFBC" w14:textId="77777777" w:rsidR="00D53527" w:rsidRDefault="00D53527" w:rsidP="00211184">
      <w:pPr>
        <w:spacing w:after="0" w:line="240" w:lineRule="auto"/>
      </w:pPr>
      <w:r>
        <w:separator/>
      </w:r>
    </w:p>
  </w:footnote>
  <w:footnote w:type="continuationSeparator" w:id="0">
    <w:p w14:paraId="54C33762" w14:textId="77777777" w:rsidR="00D53527" w:rsidRDefault="00D53527"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46CF3E17" w14:textId="77777777" w:rsidR="009505E4" w:rsidRDefault="005032BF" w:rsidP="005032BF">
        <w:pPr>
          <w:pStyle w:val="Footer"/>
          <w:jc w:val="center"/>
          <w:rPr>
            <w:noProof/>
          </w:rPr>
        </w:pPr>
        <w:r>
          <w:fldChar w:fldCharType="begin"/>
        </w:r>
        <w:r>
          <w:instrText xml:space="preserve"> PAGE   \* MERGEFORMAT </w:instrText>
        </w:r>
        <w:r>
          <w:fldChar w:fldCharType="separate"/>
        </w:r>
        <w:r>
          <w:t>8</w:t>
        </w:r>
        <w:r>
          <w:rPr>
            <w:noProof/>
          </w:rPr>
          <w:fldChar w:fldCharType="end"/>
        </w:r>
      </w:p>
      <w:p w14:paraId="151177DA" w14:textId="1A7CF4FD" w:rsidR="005032BF" w:rsidRDefault="00000000" w:rsidP="005032BF">
        <w:pPr>
          <w:pStyle w:val="Footer"/>
          <w:jc w:val="center"/>
        </w:pPr>
      </w:p>
    </w:sdtContent>
  </w:sdt>
  <w:p w14:paraId="5A2F8FEE" w14:textId="77777777" w:rsidR="005032BF" w:rsidRDefault="005032BF" w:rsidP="005032BF">
    <w:pPr>
      <w:pStyle w:val="Footer"/>
    </w:pPr>
  </w:p>
  <w:p w14:paraId="01089685" w14:textId="77777777" w:rsidR="005032BF" w:rsidRDefault="005032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29"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BCF5FEA"/>
    <w:multiLevelType w:val="multilevel"/>
    <w:tmpl w:val="C04EE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E7D4064"/>
    <w:multiLevelType w:val="multilevel"/>
    <w:tmpl w:val="189C699E"/>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6A33770"/>
    <w:multiLevelType w:val="multilevel"/>
    <w:tmpl w:val="E3E6ACAC"/>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F70548"/>
    <w:multiLevelType w:val="multilevel"/>
    <w:tmpl w:val="863C22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98B750B"/>
    <w:multiLevelType w:val="multilevel"/>
    <w:tmpl w:val="EFBA58A6"/>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6"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5"/>
  </w:num>
  <w:num w:numId="2" w16cid:durableId="1500121260">
    <w:abstractNumId w:val="56"/>
  </w:num>
  <w:num w:numId="3" w16cid:durableId="438111508">
    <w:abstractNumId w:val="88"/>
  </w:num>
  <w:num w:numId="4" w16cid:durableId="106121269">
    <w:abstractNumId w:val="15"/>
  </w:num>
  <w:num w:numId="5" w16cid:durableId="1859468656">
    <w:abstractNumId w:val="100"/>
  </w:num>
  <w:num w:numId="6" w16cid:durableId="1173763238">
    <w:abstractNumId w:val="67"/>
  </w:num>
  <w:num w:numId="7" w16cid:durableId="515197422">
    <w:abstractNumId w:val="48"/>
  </w:num>
  <w:num w:numId="8" w16cid:durableId="676225712">
    <w:abstractNumId w:val="91"/>
  </w:num>
  <w:num w:numId="9" w16cid:durableId="654647421">
    <w:abstractNumId w:val="66"/>
  </w:num>
  <w:num w:numId="10" w16cid:durableId="972827862">
    <w:abstractNumId w:val="69"/>
  </w:num>
  <w:num w:numId="11" w16cid:durableId="73359902">
    <w:abstractNumId w:val="46"/>
  </w:num>
  <w:num w:numId="12" w16cid:durableId="1233615214">
    <w:abstractNumId w:val="9"/>
  </w:num>
  <w:num w:numId="13" w16cid:durableId="1037585576">
    <w:abstractNumId w:val="97"/>
  </w:num>
  <w:num w:numId="14" w16cid:durableId="1454127918">
    <w:abstractNumId w:val="82"/>
  </w:num>
  <w:num w:numId="15" w16cid:durableId="820851363">
    <w:abstractNumId w:val="2"/>
  </w:num>
  <w:num w:numId="16" w16cid:durableId="776406381">
    <w:abstractNumId w:val="8"/>
  </w:num>
  <w:num w:numId="17" w16cid:durableId="2003772795">
    <w:abstractNumId w:val="101"/>
  </w:num>
  <w:num w:numId="18" w16cid:durableId="471214588">
    <w:abstractNumId w:val="7"/>
  </w:num>
  <w:num w:numId="19" w16cid:durableId="1919750537">
    <w:abstractNumId w:val="93"/>
  </w:num>
  <w:num w:numId="20" w16cid:durableId="1917666381">
    <w:abstractNumId w:val="4"/>
  </w:num>
  <w:num w:numId="21" w16cid:durableId="881479433">
    <w:abstractNumId w:val="70"/>
  </w:num>
  <w:num w:numId="22" w16cid:durableId="164788852">
    <w:abstractNumId w:val="74"/>
  </w:num>
  <w:num w:numId="23" w16cid:durableId="735323509">
    <w:abstractNumId w:val="13"/>
  </w:num>
  <w:num w:numId="24" w16cid:durableId="1000431254">
    <w:abstractNumId w:val="45"/>
  </w:num>
  <w:num w:numId="25" w16cid:durableId="434404662">
    <w:abstractNumId w:val="20"/>
  </w:num>
  <w:num w:numId="26" w16cid:durableId="792409853">
    <w:abstractNumId w:val="54"/>
  </w:num>
  <w:num w:numId="27" w16cid:durableId="70469880">
    <w:abstractNumId w:val="58"/>
  </w:num>
  <w:num w:numId="28" w16cid:durableId="1255548974">
    <w:abstractNumId w:val="51"/>
  </w:num>
  <w:num w:numId="29" w16cid:durableId="509951972">
    <w:abstractNumId w:val="36"/>
  </w:num>
  <w:num w:numId="30" w16cid:durableId="1491873496">
    <w:abstractNumId w:val="62"/>
  </w:num>
  <w:num w:numId="31" w16cid:durableId="1277179892">
    <w:abstractNumId w:val="73"/>
  </w:num>
  <w:num w:numId="32" w16cid:durableId="1137721610">
    <w:abstractNumId w:val="59"/>
  </w:num>
  <w:num w:numId="33" w16cid:durableId="1569337486">
    <w:abstractNumId w:val="102"/>
  </w:num>
  <w:num w:numId="34" w16cid:durableId="1771851078">
    <w:abstractNumId w:val="5"/>
  </w:num>
  <w:num w:numId="35" w16cid:durableId="1096747610">
    <w:abstractNumId w:val="19"/>
  </w:num>
  <w:num w:numId="36" w16cid:durableId="1853105471">
    <w:abstractNumId w:val="83"/>
  </w:num>
  <w:num w:numId="37" w16cid:durableId="2016615092">
    <w:abstractNumId w:val="55"/>
  </w:num>
  <w:num w:numId="38" w16cid:durableId="439030946">
    <w:abstractNumId w:val="71"/>
  </w:num>
  <w:num w:numId="39" w16cid:durableId="315690756">
    <w:abstractNumId w:val="37"/>
  </w:num>
  <w:num w:numId="40" w16cid:durableId="1252278660">
    <w:abstractNumId w:val="11"/>
  </w:num>
  <w:num w:numId="41" w16cid:durableId="1719351677">
    <w:abstractNumId w:val="77"/>
  </w:num>
  <w:num w:numId="42" w16cid:durableId="1107427397">
    <w:abstractNumId w:val="22"/>
  </w:num>
  <w:num w:numId="43" w16cid:durableId="371266753">
    <w:abstractNumId w:val="72"/>
  </w:num>
  <w:num w:numId="44" w16cid:durableId="491869272">
    <w:abstractNumId w:val="27"/>
  </w:num>
  <w:num w:numId="45" w16cid:durableId="1351251430">
    <w:abstractNumId w:val="75"/>
  </w:num>
  <w:num w:numId="46" w16cid:durableId="1368607436">
    <w:abstractNumId w:val="94"/>
  </w:num>
  <w:num w:numId="47" w16cid:durableId="1588029100">
    <w:abstractNumId w:val="99"/>
  </w:num>
  <w:num w:numId="48" w16cid:durableId="415832180">
    <w:abstractNumId w:val="89"/>
  </w:num>
  <w:num w:numId="49" w16cid:durableId="1178735139">
    <w:abstractNumId w:val="47"/>
  </w:num>
  <w:num w:numId="50" w16cid:durableId="721834200">
    <w:abstractNumId w:val="57"/>
  </w:num>
  <w:num w:numId="51" w16cid:durableId="686251813">
    <w:abstractNumId w:val="1"/>
  </w:num>
  <w:num w:numId="52" w16cid:durableId="1960641414">
    <w:abstractNumId w:val="12"/>
  </w:num>
  <w:num w:numId="53" w16cid:durableId="39089564">
    <w:abstractNumId w:val="50"/>
  </w:num>
  <w:num w:numId="54" w16cid:durableId="1192718157">
    <w:abstractNumId w:val="18"/>
  </w:num>
  <w:num w:numId="55" w16cid:durableId="1777825955">
    <w:abstractNumId w:val="78"/>
  </w:num>
  <w:num w:numId="56" w16cid:durableId="286199487">
    <w:abstractNumId w:val="24"/>
  </w:num>
  <w:num w:numId="57" w16cid:durableId="1119490663">
    <w:abstractNumId w:val="61"/>
  </w:num>
  <w:num w:numId="58" w16cid:durableId="1353922786">
    <w:abstractNumId w:val="33"/>
  </w:num>
  <w:num w:numId="59" w16cid:durableId="492723980">
    <w:abstractNumId w:val="65"/>
  </w:num>
  <w:num w:numId="60" w16cid:durableId="526941613">
    <w:abstractNumId w:val="34"/>
  </w:num>
  <w:num w:numId="61" w16cid:durableId="320043301">
    <w:abstractNumId w:val="63"/>
  </w:num>
  <w:num w:numId="62" w16cid:durableId="2037610982">
    <w:abstractNumId w:val="6"/>
  </w:num>
  <w:num w:numId="63" w16cid:durableId="1079794559">
    <w:abstractNumId w:val="41"/>
  </w:num>
  <w:num w:numId="64" w16cid:durableId="503403534">
    <w:abstractNumId w:val="35"/>
  </w:num>
  <w:num w:numId="65" w16cid:durableId="194734275">
    <w:abstractNumId w:val="10"/>
  </w:num>
  <w:num w:numId="66" w16cid:durableId="424033359">
    <w:abstractNumId w:val="49"/>
  </w:num>
  <w:num w:numId="67" w16cid:durableId="1335066293">
    <w:abstractNumId w:val="85"/>
  </w:num>
  <w:num w:numId="68" w16cid:durableId="662587085">
    <w:abstractNumId w:val="38"/>
  </w:num>
  <w:num w:numId="69" w16cid:durableId="2071072074">
    <w:abstractNumId w:val="81"/>
  </w:num>
  <w:num w:numId="70" w16cid:durableId="1573662111">
    <w:abstractNumId w:val="96"/>
  </w:num>
  <w:num w:numId="71" w16cid:durableId="131678057">
    <w:abstractNumId w:val="90"/>
  </w:num>
  <w:num w:numId="72" w16cid:durableId="99565733">
    <w:abstractNumId w:val="26"/>
  </w:num>
  <w:num w:numId="73" w16cid:durableId="1810784339">
    <w:abstractNumId w:val="68"/>
  </w:num>
  <w:num w:numId="74" w16cid:durableId="1491748033">
    <w:abstractNumId w:val="80"/>
  </w:num>
  <w:num w:numId="75" w16cid:durableId="670565925">
    <w:abstractNumId w:val="17"/>
  </w:num>
  <w:num w:numId="76" w16cid:durableId="211696971">
    <w:abstractNumId w:val="25"/>
  </w:num>
  <w:num w:numId="77" w16cid:durableId="1773429901">
    <w:abstractNumId w:val="43"/>
  </w:num>
  <w:num w:numId="78" w16cid:durableId="804733676">
    <w:abstractNumId w:val="29"/>
  </w:num>
  <w:num w:numId="79" w16cid:durableId="488864096">
    <w:abstractNumId w:val="86"/>
  </w:num>
  <w:num w:numId="80" w16cid:durableId="1599749197">
    <w:abstractNumId w:val="42"/>
  </w:num>
  <w:num w:numId="81" w16cid:durableId="1726679607">
    <w:abstractNumId w:val="21"/>
  </w:num>
  <w:num w:numId="82" w16cid:durableId="1630209448">
    <w:abstractNumId w:val="52"/>
  </w:num>
  <w:num w:numId="83" w16cid:durableId="928663234">
    <w:abstractNumId w:val="64"/>
  </w:num>
  <w:num w:numId="84" w16cid:durableId="2017072952">
    <w:abstractNumId w:val="76"/>
  </w:num>
  <w:num w:numId="85" w16cid:durableId="58405484">
    <w:abstractNumId w:val="30"/>
  </w:num>
  <w:num w:numId="86" w16cid:durableId="1817530714">
    <w:abstractNumId w:val="14"/>
  </w:num>
  <w:num w:numId="87" w16cid:durableId="2141336387">
    <w:abstractNumId w:val="60"/>
  </w:num>
  <w:num w:numId="88" w16cid:durableId="1325282792">
    <w:abstractNumId w:val="3"/>
  </w:num>
  <w:num w:numId="89" w16cid:durableId="1319654748">
    <w:abstractNumId w:val="79"/>
  </w:num>
  <w:num w:numId="90" w16cid:durableId="556555801">
    <w:abstractNumId w:val="0"/>
  </w:num>
  <w:num w:numId="91" w16cid:durableId="1903828627">
    <w:abstractNumId w:val="16"/>
  </w:num>
  <w:num w:numId="92" w16cid:durableId="281425930">
    <w:abstractNumId w:val="53"/>
  </w:num>
  <w:num w:numId="93" w16cid:durableId="1491553762">
    <w:abstractNumId w:val="39"/>
  </w:num>
  <w:num w:numId="94" w16cid:durableId="965625632">
    <w:abstractNumId w:val="84"/>
  </w:num>
  <w:num w:numId="95" w16cid:durableId="1481145624">
    <w:abstractNumId w:val="103"/>
  </w:num>
  <w:num w:numId="96" w16cid:durableId="29957555">
    <w:abstractNumId w:val="98"/>
  </w:num>
  <w:num w:numId="97" w16cid:durableId="1042821728">
    <w:abstractNumId w:val="87"/>
  </w:num>
  <w:num w:numId="98" w16cid:durableId="633143735">
    <w:abstractNumId w:val="92"/>
  </w:num>
  <w:num w:numId="99" w16cid:durableId="1100951892">
    <w:abstractNumId w:val="23"/>
  </w:num>
  <w:num w:numId="100" w16cid:durableId="18512348">
    <w:abstractNumId w:val="28"/>
  </w:num>
  <w:num w:numId="101" w16cid:durableId="1964652731">
    <w:abstractNumId w:val="31"/>
  </w:num>
  <w:num w:numId="102" w16cid:durableId="472521869">
    <w:abstractNumId w:val="32"/>
  </w:num>
  <w:num w:numId="103" w16cid:durableId="1805076294">
    <w:abstractNumId w:val="40"/>
  </w:num>
  <w:num w:numId="104" w16cid:durableId="1042439276">
    <w:abstractNumId w:val="44"/>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0E70"/>
    <w:rsid w:val="000157F3"/>
    <w:rsid w:val="0002111C"/>
    <w:rsid w:val="000264A2"/>
    <w:rsid w:val="00027807"/>
    <w:rsid w:val="00032030"/>
    <w:rsid w:val="000400E4"/>
    <w:rsid w:val="00047582"/>
    <w:rsid w:val="00051097"/>
    <w:rsid w:val="000600F6"/>
    <w:rsid w:val="000611E2"/>
    <w:rsid w:val="00063B4C"/>
    <w:rsid w:val="00063DBA"/>
    <w:rsid w:val="00065828"/>
    <w:rsid w:val="000724ED"/>
    <w:rsid w:val="00073870"/>
    <w:rsid w:val="00077FD7"/>
    <w:rsid w:val="00081EC6"/>
    <w:rsid w:val="000866E6"/>
    <w:rsid w:val="000C0C01"/>
    <w:rsid w:val="000C2D99"/>
    <w:rsid w:val="000D05D8"/>
    <w:rsid w:val="000D0641"/>
    <w:rsid w:val="000D2B00"/>
    <w:rsid w:val="000D6612"/>
    <w:rsid w:val="000E11FB"/>
    <w:rsid w:val="000E3775"/>
    <w:rsid w:val="000E4685"/>
    <w:rsid w:val="000E7DBC"/>
    <w:rsid w:val="000F6C0D"/>
    <w:rsid w:val="00100CED"/>
    <w:rsid w:val="00110AA2"/>
    <w:rsid w:val="00111DC9"/>
    <w:rsid w:val="00117750"/>
    <w:rsid w:val="0014731D"/>
    <w:rsid w:val="00153D6F"/>
    <w:rsid w:val="001601E6"/>
    <w:rsid w:val="00185CB3"/>
    <w:rsid w:val="00186F3F"/>
    <w:rsid w:val="00192F31"/>
    <w:rsid w:val="001A3633"/>
    <w:rsid w:val="001B6FAC"/>
    <w:rsid w:val="001C36A1"/>
    <w:rsid w:val="001C3AF6"/>
    <w:rsid w:val="001D1485"/>
    <w:rsid w:val="001D3FCD"/>
    <w:rsid w:val="001F19A6"/>
    <w:rsid w:val="00200039"/>
    <w:rsid w:val="002039FA"/>
    <w:rsid w:val="0020590F"/>
    <w:rsid w:val="00211184"/>
    <w:rsid w:val="0021364B"/>
    <w:rsid w:val="00220065"/>
    <w:rsid w:val="0022325F"/>
    <w:rsid w:val="00226BF8"/>
    <w:rsid w:val="00247588"/>
    <w:rsid w:val="0025020C"/>
    <w:rsid w:val="00256951"/>
    <w:rsid w:val="00261738"/>
    <w:rsid w:val="002865F5"/>
    <w:rsid w:val="00292A36"/>
    <w:rsid w:val="002941FC"/>
    <w:rsid w:val="002953DD"/>
    <w:rsid w:val="002A0F10"/>
    <w:rsid w:val="002A51DA"/>
    <w:rsid w:val="002A7304"/>
    <w:rsid w:val="002B3152"/>
    <w:rsid w:val="002B34F4"/>
    <w:rsid w:val="002D64A3"/>
    <w:rsid w:val="002E7026"/>
    <w:rsid w:val="002F5E53"/>
    <w:rsid w:val="002F64A6"/>
    <w:rsid w:val="002F7414"/>
    <w:rsid w:val="00312A5A"/>
    <w:rsid w:val="003135AD"/>
    <w:rsid w:val="00314B8F"/>
    <w:rsid w:val="0032296B"/>
    <w:rsid w:val="003263B9"/>
    <w:rsid w:val="003306B8"/>
    <w:rsid w:val="0035142E"/>
    <w:rsid w:val="00352E9A"/>
    <w:rsid w:val="00363299"/>
    <w:rsid w:val="003640B0"/>
    <w:rsid w:val="00366379"/>
    <w:rsid w:val="00376AF5"/>
    <w:rsid w:val="003864B3"/>
    <w:rsid w:val="003928E8"/>
    <w:rsid w:val="00393F39"/>
    <w:rsid w:val="00397D4E"/>
    <w:rsid w:val="003A66FD"/>
    <w:rsid w:val="003B1E32"/>
    <w:rsid w:val="003B4F07"/>
    <w:rsid w:val="003C619B"/>
    <w:rsid w:val="003C711E"/>
    <w:rsid w:val="003D1D21"/>
    <w:rsid w:val="003D33F4"/>
    <w:rsid w:val="003E2FDA"/>
    <w:rsid w:val="003E68E4"/>
    <w:rsid w:val="003F3D42"/>
    <w:rsid w:val="003F5B15"/>
    <w:rsid w:val="003F6110"/>
    <w:rsid w:val="00400AF1"/>
    <w:rsid w:val="00401378"/>
    <w:rsid w:val="004275DA"/>
    <w:rsid w:val="00440133"/>
    <w:rsid w:val="0045153D"/>
    <w:rsid w:val="0045369B"/>
    <w:rsid w:val="00456B04"/>
    <w:rsid w:val="00461124"/>
    <w:rsid w:val="0047445C"/>
    <w:rsid w:val="00486126"/>
    <w:rsid w:val="00493E8A"/>
    <w:rsid w:val="004957ED"/>
    <w:rsid w:val="004A359E"/>
    <w:rsid w:val="004A4C1C"/>
    <w:rsid w:val="004A572D"/>
    <w:rsid w:val="004B5C72"/>
    <w:rsid w:val="004C1FD4"/>
    <w:rsid w:val="004C2C98"/>
    <w:rsid w:val="004C4D86"/>
    <w:rsid w:val="004D4021"/>
    <w:rsid w:val="004E181F"/>
    <w:rsid w:val="005004B6"/>
    <w:rsid w:val="005032BF"/>
    <w:rsid w:val="0050408B"/>
    <w:rsid w:val="00510F73"/>
    <w:rsid w:val="005119DE"/>
    <w:rsid w:val="00513382"/>
    <w:rsid w:val="00532D87"/>
    <w:rsid w:val="005446BF"/>
    <w:rsid w:val="00544C17"/>
    <w:rsid w:val="0054569C"/>
    <w:rsid w:val="0055147E"/>
    <w:rsid w:val="005605B1"/>
    <w:rsid w:val="00566E52"/>
    <w:rsid w:val="00573682"/>
    <w:rsid w:val="005907DA"/>
    <w:rsid w:val="005944EB"/>
    <w:rsid w:val="005A0B65"/>
    <w:rsid w:val="005A77B7"/>
    <w:rsid w:val="005B0220"/>
    <w:rsid w:val="005B2AAB"/>
    <w:rsid w:val="005B3EDE"/>
    <w:rsid w:val="005B6E67"/>
    <w:rsid w:val="005C3F01"/>
    <w:rsid w:val="005C4458"/>
    <w:rsid w:val="005C5E80"/>
    <w:rsid w:val="005D0097"/>
    <w:rsid w:val="005D7A1E"/>
    <w:rsid w:val="005E1650"/>
    <w:rsid w:val="005E5B43"/>
    <w:rsid w:val="005E5D00"/>
    <w:rsid w:val="005E7C9D"/>
    <w:rsid w:val="005F2CBE"/>
    <w:rsid w:val="005F4E4F"/>
    <w:rsid w:val="006039DC"/>
    <w:rsid w:val="00604A87"/>
    <w:rsid w:val="006062A8"/>
    <w:rsid w:val="006153EC"/>
    <w:rsid w:val="00621776"/>
    <w:rsid w:val="00621872"/>
    <w:rsid w:val="006232ED"/>
    <w:rsid w:val="006271A6"/>
    <w:rsid w:val="00630A7A"/>
    <w:rsid w:val="00636D9A"/>
    <w:rsid w:val="006416A7"/>
    <w:rsid w:val="00644327"/>
    <w:rsid w:val="00650CFB"/>
    <w:rsid w:val="006524E2"/>
    <w:rsid w:val="00653F26"/>
    <w:rsid w:val="00655415"/>
    <w:rsid w:val="00655889"/>
    <w:rsid w:val="00670B64"/>
    <w:rsid w:val="00672587"/>
    <w:rsid w:val="00674C98"/>
    <w:rsid w:val="00675E6A"/>
    <w:rsid w:val="00683975"/>
    <w:rsid w:val="006907A2"/>
    <w:rsid w:val="0069433E"/>
    <w:rsid w:val="006960E8"/>
    <w:rsid w:val="006A3F0D"/>
    <w:rsid w:val="006A4515"/>
    <w:rsid w:val="006B47DC"/>
    <w:rsid w:val="006C420C"/>
    <w:rsid w:val="006C6DF6"/>
    <w:rsid w:val="006C78AA"/>
    <w:rsid w:val="006D192B"/>
    <w:rsid w:val="006D1C01"/>
    <w:rsid w:val="006D2D0B"/>
    <w:rsid w:val="006E623A"/>
    <w:rsid w:val="006F04D4"/>
    <w:rsid w:val="006F4AB2"/>
    <w:rsid w:val="007063BA"/>
    <w:rsid w:val="00707F69"/>
    <w:rsid w:val="00713DA7"/>
    <w:rsid w:val="00714AF3"/>
    <w:rsid w:val="00720C6A"/>
    <w:rsid w:val="00730C3C"/>
    <w:rsid w:val="0073280B"/>
    <w:rsid w:val="00750B5B"/>
    <w:rsid w:val="0077163A"/>
    <w:rsid w:val="00772B57"/>
    <w:rsid w:val="00773697"/>
    <w:rsid w:val="007737C4"/>
    <w:rsid w:val="00773A68"/>
    <w:rsid w:val="00785752"/>
    <w:rsid w:val="007A0510"/>
    <w:rsid w:val="007A59C8"/>
    <w:rsid w:val="007A712E"/>
    <w:rsid w:val="007B3EDD"/>
    <w:rsid w:val="007B7A3B"/>
    <w:rsid w:val="007C0E20"/>
    <w:rsid w:val="007C246B"/>
    <w:rsid w:val="007C24D2"/>
    <w:rsid w:val="007C685B"/>
    <w:rsid w:val="007E5ED9"/>
    <w:rsid w:val="007F7847"/>
    <w:rsid w:val="00802BD4"/>
    <w:rsid w:val="00804B94"/>
    <w:rsid w:val="00807B11"/>
    <w:rsid w:val="00816711"/>
    <w:rsid w:val="008231C2"/>
    <w:rsid w:val="008244E6"/>
    <w:rsid w:val="0082760D"/>
    <w:rsid w:val="008365B4"/>
    <w:rsid w:val="00852A89"/>
    <w:rsid w:val="00860304"/>
    <w:rsid w:val="00860A3D"/>
    <w:rsid w:val="00863E4C"/>
    <w:rsid w:val="00867322"/>
    <w:rsid w:val="008701FE"/>
    <w:rsid w:val="0087283B"/>
    <w:rsid w:val="00877183"/>
    <w:rsid w:val="00880B2D"/>
    <w:rsid w:val="008828E8"/>
    <w:rsid w:val="00882E6B"/>
    <w:rsid w:val="00883AB0"/>
    <w:rsid w:val="00894108"/>
    <w:rsid w:val="00897FB0"/>
    <w:rsid w:val="008B1DFA"/>
    <w:rsid w:val="008C38C3"/>
    <w:rsid w:val="008D28D8"/>
    <w:rsid w:val="008D665E"/>
    <w:rsid w:val="008D6F0F"/>
    <w:rsid w:val="008E7B2E"/>
    <w:rsid w:val="008E7D0B"/>
    <w:rsid w:val="008F2041"/>
    <w:rsid w:val="008F2628"/>
    <w:rsid w:val="008F7804"/>
    <w:rsid w:val="00903DD5"/>
    <w:rsid w:val="009105AB"/>
    <w:rsid w:val="009147DE"/>
    <w:rsid w:val="00916814"/>
    <w:rsid w:val="009505E4"/>
    <w:rsid w:val="009510B4"/>
    <w:rsid w:val="009552C7"/>
    <w:rsid w:val="00955E14"/>
    <w:rsid w:val="00972B42"/>
    <w:rsid w:val="009737A4"/>
    <w:rsid w:val="0097647E"/>
    <w:rsid w:val="009800AF"/>
    <w:rsid w:val="00981499"/>
    <w:rsid w:val="009826AA"/>
    <w:rsid w:val="00995444"/>
    <w:rsid w:val="009B4352"/>
    <w:rsid w:val="009B5758"/>
    <w:rsid w:val="009B6628"/>
    <w:rsid w:val="009C40BF"/>
    <w:rsid w:val="009D00DD"/>
    <w:rsid w:val="009D06C5"/>
    <w:rsid w:val="009D534C"/>
    <w:rsid w:val="009D728C"/>
    <w:rsid w:val="009E5B14"/>
    <w:rsid w:val="009F1A04"/>
    <w:rsid w:val="009F3BC8"/>
    <w:rsid w:val="00A03581"/>
    <w:rsid w:val="00A20F4A"/>
    <w:rsid w:val="00A252AE"/>
    <w:rsid w:val="00A5096C"/>
    <w:rsid w:val="00A57C35"/>
    <w:rsid w:val="00A61B69"/>
    <w:rsid w:val="00A66F5E"/>
    <w:rsid w:val="00A72D3F"/>
    <w:rsid w:val="00A732A5"/>
    <w:rsid w:val="00A76269"/>
    <w:rsid w:val="00A85DE9"/>
    <w:rsid w:val="00A90A7A"/>
    <w:rsid w:val="00AA312D"/>
    <w:rsid w:val="00AA3AEB"/>
    <w:rsid w:val="00AA437C"/>
    <w:rsid w:val="00AB016E"/>
    <w:rsid w:val="00AB2152"/>
    <w:rsid w:val="00AB78F0"/>
    <w:rsid w:val="00AE1B0A"/>
    <w:rsid w:val="00AE3CC5"/>
    <w:rsid w:val="00AE54D2"/>
    <w:rsid w:val="00B01396"/>
    <w:rsid w:val="00B120AD"/>
    <w:rsid w:val="00B13302"/>
    <w:rsid w:val="00B158E0"/>
    <w:rsid w:val="00B2418B"/>
    <w:rsid w:val="00B26973"/>
    <w:rsid w:val="00B302E1"/>
    <w:rsid w:val="00B36C1C"/>
    <w:rsid w:val="00B41351"/>
    <w:rsid w:val="00B42800"/>
    <w:rsid w:val="00B42AF3"/>
    <w:rsid w:val="00B575E2"/>
    <w:rsid w:val="00B604E3"/>
    <w:rsid w:val="00B7073C"/>
    <w:rsid w:val="00B76A06"/>
    <w:rsid w:val="00B76DA0"/>
    <w:rsid w:val="00B81F2E"/>
    <w:rsid w:val="00B858A1"/>
    <w:rsid w:val="00B9307B"/>
    <w:rsid w:val="00BA48F3"/>
    <w:rsid w:val="00BB4507"/>
    <w:rsid w:val="00BB4E4F"/>
    <w:rsid w:val="00BB65AC"/>
    <w:rsid w:val="00BC230A"/>
    <w:rsid w:val="00BD2909"/>
    <w:rsid w:val="00BD5FDA"/>
    <w:rsid w:val="00BD6336"/>
    <w:rsid w:val="00BE290D"/>
    <w:rsid w:val="00BE608B"/>
    <w:rsid w:val="00BF2FD7"/>
    <w:rsid w:val="00BF6B14"/>
    <w:rsid w:val="00C049C7"/>
    <w:rsid w:val="00C14718"/>
    <w:rsid w:val="00C14DBE"/>
    <w:rsid w:val="00C17A49"/>
    <w:rsid w:val="00C23A86"/>
    <w:rsid w:val="00C339E8"/>
    <w:rsid w:val="00C54AC8"/>
    <w:rsid w:val="00C703A8"/>
    <w:rsid w:val="00C76285"/>
    <w:rsid w:val="00C847D0"/>
    <w:rsid w:val="00C91479"/>
    <w:rsid w:val="00C95F59"/>
    <w:rsid w:val="00CB108B"/>
    <w:rsid w:val="00CB3AF6"/>
    <w:rsid w:val="00CB3C13"/>
    <w:rsid w:val="00CB4CD8"/>
    <w:rsid w:val="00CC1258"/>
    <w:rsid w:val="00CE3FD1"/>
    <w:rsid w:val="00CE620E"/>
    <w:rsid w:val="00CE7CFC"/>
    <w:rsid w:val="00CF1ED5"/>
    <w:rsid w:val="00D03687"/>
    <w:rsid w:val="00D0656B"/>
    <w:rsid w:val="00D071C9"/>
    <w:rsid w:val="00D117EE"/>
    <w:rsid w:val="00D13A82"/>
    <w:rsid w:val="00D13DB7"/>
    <w:rsid w:val="00D14150"/>
    <w:rsid w:val="00D159E6"/>
    <w:rsid w:val="00D15AF9"/>
    <w:rsid w:val="00D16157"/>
    <w:rsid w:val="00D25D8D"/>
    <w:rsid w:val="00D2690B"/>
    <w:rsid w:val="00D32CFB"/>
    <w:rsid w:val="00D53527"/>
    <w:rsid w:val="00D60ED7"/>
    <w:rsid w:val="00D82051"/>
    <w:rsid w:val="00D85F39"/>
    <w:rsid w:val="00D876B7"/>
    <w:rsid w:val="00D9119A"/>
    <w:rsid w:val="00DA1CC4"/>
    <w:rsid w:val="00DA337F"/>
    <w:rsid w:val="00DB37A9"/>
    <w:rsid w:val="00DB71AC"/>
    <w:rsid w:val="00DC00D1"/>
    <w:rsid w:val="00DD02A4"/>
    <w:rsid w:val="00DE1A02"/>
    <w:rsid w:val="00DF208F"/>
    <w:rsid w:val="00DF7C5F"/>
    <w:rsid w:val="00DF7FAC"/>
    <w:rsid w:val="00E02A2E"/>
    <w:rsid w:val="00E02EC4"/>
    <w:rsid w:val="00E04E28"/>
    <w:rsid w:val="00E05C6C"/>
    <w:rsid w:val="00E06530"/>
    <w:rsid w:val="00E157E1"/>
    <w:rsid w:val="00E2182C"/>
    <w:rsid w:val="00E3176D"/>
    <w:rsid w:val="00E325CF"/>
    <w:rsid w:val="00E35308"/>
    <w:rsid w:val="00E40B0D"/>
    <w:rsid w:val="00E4287C"/>
    <w:rsid w:val="00E5034D"/>
    <w:rsid w:val="00E509BC"/>
    <w:rsid w:val="00E51789"/>
    <w:rsid w:val="00E56CEF"/>
    <w:rsid w:val="00E57D24"/>
    <w:rsid w:val="00E639D6"/>
    <w:rsid w:val="00E67E8B"/>
    <w:rsid w:val="00E71420"/>
    <w:rsid w:val="00E72084"/>
    <w:rsid w:val="00E75607"/>
    <w:rsid w:val="00E94DA0"/>
    <w:rsid w:val="00E95497"/>
    <w:rsid w:val="00EA42E2"/>
    <w:rsid w:val="00EA5CC3"/>
    <w:rsid w:val="00EB2B5B"/>
    <w:rsid w:val="00EB5998"/>
    <w:rsid w:val="00EB5CB7"/>
    <w:rsid w:val="00ED30D7"/>
    <w:rsid w:val="00EF6341"/>
    <w:rsid w:val="00F0560A"/>
    <w:rsid w:val="00F10C39"/>
    <w:rsid w:val="00F158D7"/>
    <w:rsid w:val="00F20EE5"/>
    <w:rsid w:val="00F34E76"/>
    <w:rsid w:val="00F42457"/>
    <w:rsid w:val="00F44833"/>
    <w:rsid w:val="00F544B0"/>
    <w:rsid w:val="00F57E7E"/>
    <w:rsid w:val="00F57EF9"/>
    <w:rsid w:val="00F67C87"/>
    <w:rsid w:val="00F76086"/>
    <w:rsid w:val="00F84C23"/>
    <w:rsid w:val="00F87611"/>
    <w:rsid w:val="00FC2125"/>
    <w:rsid w:val="00FC78FD"/>
    <w:rsid w:val="00FD29F9"/>
    <w:rsid w:val="00FD3DE0"/>
    <w:rsid w:val="00FD7729"/>
    <w:rsid w:val="00FD784E"/>
    <w:rsid w:val="00FD7C22"/>
    <w:rsid w:val="00FE5C58"/>
    <w:rsid w:val="00FF0339"/>
    <w:rsid w:val="00FF1C5A"/>
    <w:rsid w:val="00FF35E0"/>
    <w:rsid w:val="00FF4B2C"/>
    <w:rsid w:val="00FF6276"/>
    <w:rsid w:val="00FF75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7C0E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5259</TotalTime>
  <Pages>33</Pages>
  <Words>7611</Words>
  <Characters>43384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Anika Hussain</cp:lastModifiedBy>
  <cp:revision>268</cp:revision>
  <dcterms:created xsi:type="dcterms:W3CDTF">2026-10-15T20:12:00Z</dcterms:created>
  <dcterms:modified xsi:type="dcterms:W3CDTF">2026-10-23T15:44:00Z</dcterms:modified>
</cp:coreProperties>
</file>