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9F09038">
      <w:pPr>
        <w:jc w:val="center"/>
        <w:rPr>
          <w:rFonts w:ascii="Arial" w:hAnsi="Arial" w:cs="Arial"/>
          <w:b/>
          <w:bCs/>
        </w:rPr>
      </w:pPr>
      <w:r>
        <w:rPr>
          <w:rFonts w:ascii="Arial" w:hAnsi="Arial" w:cs="Arial"/>
          <w:b/>
          <w:bCs/>
        </w:rPr>
        <w:drawing>
          <wp:inline distT="0" distB="0" distL="0" distR="0">
            <wp:extent cx="4739640" cy="1897380"/>
            <wp:effectExtent l="0" t="0" r="0" b="7620"/>
            <wp:docPr id="1323353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53802"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739640" cy="1897380"/>
                    </a:xfrm>
                    <a:prstGeom prst="rect">
                      <a:avLst/>
                    </a:prstGeom>
                    <a:noFill/>
                    <a:ln>
                      <a:noFill/>
                    </a:ln>
                  </pic:spPr>
                </pic:pic>
              </a:graphicData>
            </a:graphic>
          </wp:inline>
        </w:drawing>
      </w:r>
    </w:p>
    <w:p w14:paraId="7CD98A82">
      <w:pPr>
        <w:jc w:val="center"/>
        <w:rPr>
          <w:rFonts w:ascii="Arial" w:hAnsi="Arial" w:cs="Arial"/>
          <w:b/>
          <w:bCs/>
        </w:rPr>
      </w:pPr>
    </w:p>
    <w:p w14:paraId="40A39915">
      <w:pPr>
        <w:jc w:val="center"/>
        <w:rPr>
          <w:rFonts w:ascii="Arial" w:hAnsi="Arial" w:cs="Arial"/>
          <w:b/>
          <w:bCs/>
        </w:rPr>
      </w:pPr>
    </w:p>
    <w:p w14:paraId="5F349E35">
      <w:pPr>
        <w:jc w:val="center"/>
        <w:rPr>
          <w:rFonts w:ascii="Arial" w:hAnsi="Arial" w:cs="Arial"/>
          <w:b/>
          <w:bCs/>
        </w:rPr>
      </w:pPr>
      <w:r>
        <w:rPr>
          <w:rFonts w:ascii="Arial" w:hAnsi="Arial" w:cs="Arial"/>
          <w:b/>
          <w:bCs/>
        </w:rPr>
        <w:t>Course Title: MBA - International Business</w:t>
      </w:r>
    </w:p>
    <w:p w14:paraId="00A64075">
      <w:pPr>
        <w:jc w:val="center"/>
        <w:rPr>
          <w:rFonts w:ascii="Arial" w:hAnsi="Arial" w:cs="Arial"/>
          <w:b/>
          <w:bCs/>
        </w:rPr>
      </w:pPr>
      <w:r>
        <w:rPr>
          <w:rFonts w:ascii="Arial" w:hAnsi="Arial" w:cs="Arial"/>
          <w:b/>
          <w:bCs/>
        </w:rPr>
        <w:t>Term 1</w:t>
      </w:r>
    </w:p>
    <w:p w14:paraId="05037CE2">
      <w:pPr>
        <w:jc w:val="center"/>
        <w:rPr>
          <w:rFonts w:ascii="Arial" w:hAnsi="Arial" w:cs="Arial"/>
          <w:b/>
          <w:bCs/>
        </w:rPr>
      </w:pPr>
    </w:p>
    <w:p w14:paraId="71DA9C4D">
      <w:pPr>
        <w:jc w:val="center"/>
        <w:rPr>
          <w:rFonts w:ascii="Arial" w:hAnsi="Arial" w:cs="Arial"/>
          <w:b/>
          <w:bCs/>
        </w:rPr>
      </w:pPr>
    </w:p>
    <w:p w14:paraId="6AAB3621">
      <w:pPr>
        <w:jc w:val="center"/>
        <w:rPr>
          <w:rFonts w:ascii="Arial" w:hAnsi="Arial" w:cs="Arial"/>
          <w:b/>
          <w:bCs/>
        </w:rPr>
      </w:pPr>
      <w:r>
        <w:rPr>
          <w:rFonts w:ascii="Arial" w:hAnsi="Arial" w:cs="Arial"/>
          <w:b/>
          <w:bCs/>
        </w:rPr>
        <w:t>Module Name: Marketing Management</w:t>
      </w:r>
    </w:p>
    <w:p w14:paraId="45489031">
      <w:pPr>
        <w:jc w:val="center"/>
        <w:rPr>
          <w:rFonts w:ascii="Arial" w:hAnsi="Arial" w:cs="Arial"/>
          <w:b/>
          <w:bCs/>
        </w:rPr>
      </w:pPr>
      <w:r>
        <w:rPr>
          <w:rFonts w:ascii="Arial" w:hAnsi="Arial" w:cs="Arial"/>
          <w:b/>
          <w:bCs/>
        </w:rPr>
        <w:t>Module Code: LCMB7024</w:t>
      </w:r>
    </w:p>
    <w:p w14:paraId="0BD0797A">
      <w:pPr>
        <w:jc w:val="center"/>
        <w:rPr>
          <w:rFonts w:ascii="Arial" w:hAnsi="Arial" w:cs="Arial"/>
          <w:b/>
          <w:bCs/>
        </w:rPr>
      </w:pPr>
    </w:p>
    <w:p w14:paraId="57D0F058">
      <w:pPr>
        <w:jc w:val="center"/>
        <w:rPr>
          <w:rFonts w:ascii="Arial" w:hAnsi="Arial" w:cs="Arial"/>
          <w:b/>
          <w:bCs/>
        </w:rPr>
      </w:pPr>
    </w:p>
    <w:p w14:paraId="00772A8E">
      <w:pPr>
        <w:jc w:val="center"/>
        <w:rPr>
          <w:rFonts w:hint="default" w:ascii="Arial" w:hAnsi="Arial" w:cs="Arial"/>
          <w:b/>
          <w:bCs/>
          <w:lang w:val="en-IN"/>
        </w:rPr>
      </w:pPr>
      <w:r>
        <w:rPr>
          <w:rFonts w:ascii="Arial" w:hAnsi="Arial" w:cs="Arial"/>
          <w:b/>
          <w:bCs/>
        </w:rPr>
        <w:t>Student Name:</w:t>
      </w:r>
      <w:r>
        <w:rPr>
          <w:rFonts w:hint="default" w:ascii="Arial" w:hAnsi="Arial" w:cs="Arial"/>
          <w:b/>
          <w:bCs/>
          <w:lang w:val="en-IN"/>
        </w:rPr>
        <w:t xml:space="preserve">odedara vivek bharatbhai </w:t>
      </w:r>
    </w:p>
    <w:p w14:paraId="1935BDB4">
      <w:pPr>
        <w:jc w:val="center"/>
        <w:rPr>
          <w:rFonts w:hint="default" w:ascii="Arial" w:hAnsi="Arial" w:cs="Arial"/>
          <w:b/>
          <w:bCs/>
          <w:lang w:val="en-IN"/>
        </w:rPr>
      </w:pPr>
      <w:r>
        <w:rPr>
          <w:rFonts w:ascii="Arial" w:hAnsi="Arial" w:cs="Arial"/>
          <w:b/>
          <w:bCs/>
        </w:rPr>
        <w:t>Student ID:</w:t>
      </w:r>
      <w:r>
        <w:rPr>
          <w:rFonts w:hint="default" w:ascii="Arial" w:hAnsi="Arial" w:cs="Arial"/>
          <w:b/>
          <w:bCs/>
          <w:lang w:val="en-IN"/>
        </w:rPr>
        <w:t>2505516</w:t>
      </w:r>
    </w:p>
    <w:p w14:paraId="3DBB6E5E">
      <w:pPr>
        <w:jc w:val="center"/>
        <w:rPr>
          <w:rFonts w:ascii="Arial" w:hAnsi="Arial" w:cs="Arial"/>
          <w:b/>
          <w:bCs/>
        </w:rPr>
      </w:pPr>
    </w:p>
    <w:p w14:paraId="5A85ED08">
      <w:pPr>
        <w:jc w:val="center"/>
        <w:rPr>
          <w:rFonts w:ascii="Arial" w:hAnsi="Arial" w:cs="Arial"/>
          <w:b/>
          <w:bCs/>
        </w:rPr>
      </w:pPr>
    </w:p>
    <w:p w14:paraId="57656FBD">
      <w:pPr>
        <w:spacing w:after="160"/>
        <w:ind w:firstLine="2281" w:firstLineChars="950"/>
        <w:rPr>
          <w:rFonts w:ascii="Arial" w:hAnsi="Arial" w:cs="Arial"/>
          <w:b/>
          <w:bCs/>
          <w:szCs w:val="24"/>
        </w:rPr>
      </w:pPr>
      <w:bookmarkStart w:id="22" w:name="_GoBack"/>
      <w:bookmarkEnd w:id="22"/>
      <w:r>
        <w:rPr>
          <w:rFonts w:ascii="Arial" w:hAnsi="Arial" w:cs="Arial"/>
          <w:b/>
          <w:bCs/>
        </w:rPr>
        <w:t>Lecturer’s Name: Dr. Laila Maazouz</w:t>
      </w:r>
    </w:p>
    <w:p w14:paraId="17CC835B">
      <w:pPr>
        <w:spacing w:after="160"/>
        <w:rPr>
          <w:rFonts w:ascii="Arial" w:hAnsi="Arial" w:cs="Arial"/>
          <w:b/>
          <w:bCs/>
          <w:szCs w:val="24"/>
        </w:rPr>
      </w:pPr>
    </w:p>
    <w:p w14:paraId="486F7388">
      <w:pPr>
        <w:spacing w:after="160"/>
        <w:rPr>
          <w:rFonts w:ascii="Arial" w:hAnsi="Arial" w:cs="Arial"/>
          <w:b/>
          <w:bCs/>
          <w:szCs w:val="24"/>
        </w:rPr>
      </w:pPr>
    </w:p>
    <w:p w14:paraId="5B21C7BC">
      <w:pPr>
        <w:spacing w:after="160"/>
        <w:rPr>
          <w:rFonts w:ascii="Arial" w:hAnsi="Arial" w:cs="Arial"/>
          <w:b/>
          <w:bCs/>
          <w:szCs w:val="24"/>
        </w:rPr>
      </w:pPr>
    </w:p>
    <w:p w14:paraId="0E4D6A0F">
      <w:pPr>
        <w:spacing w:after="160"/>
        <w:rPr>
          <w:rFonts w:ascii="Arial" w:hAnsi="Arial" w:cs="Arial"/>
          <w:b/>
          <w:bCs/>
          <w:szCs w:val="24"/>
        </w:rPr>
      </w:pPr>
    </w:p>
    <w:p w14:paraId="2012F415">
      <w:pPr>
        <w:spacing w:after="160"/>
        <w:rPr>
          <w:rFonts w:ascii="Arial" w:hAnsi="Arial" w:cs="Arial"/>
          <w:b/>
          <w:bCs/>
          <w:szCs w:val="24"/>
        </w:rPr>
      </w:pPr>
    </w:p>
    <w:p w14:paraId="5CF88550">
      <w:pPr>
        <w:spacing w:after="160"/>
        <w:rPr>
          <w:rFonts w:ascii="Arial" w:hAnsi="Arial" w:cs="Arial"/>
          <w:b/>
          <w:bCs/>
          <w:szCs w:val="24"/>
        </w:rPr>
      </w:pPr>
    </w:p>
    <w:p w14:paraId="32398B56">
      <w:pPr>
        <w:spacing w:after="160"/>
        <w:jc w:val="center"/>
        <w:rPr>
          <w:rFonts w:ascii="Arial" w:hAnsi="Arial" w:cs="Arial"/>
          <w:b/>
          <w:bCs/>
          <w:szCs w:val="24"/>
        </w:rPr>
      </w:pPr>
      <w:r>
        <w:rPr>
          <w:rFonts w:ascii="Arial" w:hAnsi="Arial" w:cs="Arial"/>
          <w:b/>
          <w:bCs/>
          <w:szCs w:val="24"/>
        </w:rPr>
        <w:t xml:space="preserve">A Portfolio on Brand Development Strategy for Microsoft: Introducing Microsoft HealthSync     </w:t>
      </w:r>
      <w:r>
        <w:rPr>
          <w:rFonts w:ascii="Arial" w:hAnsi="Arial" w:cs="Arial"/>
          <w:b/>
          <w:bCs/>
          <w:szCs w:val="24"/>
        </w:rPr>
        <w:br w:type="page"/>
      </w:r>
    </w:p>
    <w:sdt>
      <w:sdtPr>
        <w:rPr>
          <w:rFonts w:ascii="Arial" w:hAnsi="Arial" w:cs="Arial" w:eastAsiaTheme="minorHAnsi"/>
          <w:color w:val="auto"/>
          <w:sz w:val="24"/>
          <w:szCs w:val="24"/>
          <w:lang w:val="en-IN" w:eastAsia="en-IN"/>
        </w:rPr>
        <w:id w:val="2139219786"/>
        <w:docPartObj>
          <w:docPartGallery w:val="Table of Contents"/>
          <w:docPartUnique/>
        </w:docPartObj>
      </w:sdtPr>
      <w:sdtEndPr>
        <w:rPr>
          <w:rFonts w:ascii="Arial" w:hAnsi="Arial" w:cs="Arial" w:eastAsiaTheme="minorHAnsi"/>
          <w:b/>
          <w:bCs/>
          <w:color w:val="auto"/>
          <w:sz w:val="24"/>
          <w:szCs w:val="24"/>
          <w:lang w:val="en-IN" w:eastAsia="en-IN"/>
        </w:rPr>
      </w:sdtEndPr>
      <w:sdtContent>
        <w:p w14:paraId="495B3343">
          <w:pPr>
            <w:pStyle w:val="43"/>
            <w:spacing w:line="360" w:lineRule="auto"/>
            <w:jc w:val="both"/>
            <w:rPr>
              <w:rFonts w:ascii="Arial" w:hAnsi="Arial" w:cs="Arial"/>
              <w:b/>
              <w:bCs/>
              <w:color w:val="auto"/>
              <w:sz w:val="24"/>
              <w:szCs w:val="24"/>
            </w:rPr>
          </w:pPr>
          <w:r>
            <w:rPr>
              <w:rFonts w:ascii="Arial" w:hAnsi="Arial" w:cs="Arial"/>
              <w:b/>
              <w:bCs/>
              <w:color w:val="auto"/>
              <w:sz w:val="24"/>
              <w:szCs w:val="24"/>
            </w:rPr>
            <w:t>Table of Contents</w:t>
          </w:r>
        </w:p>
        <w:p w14:paraId="08133BE7">
          <w:pPr>
            <w:pStyle w:val="20"/>
            <w:tabs>
              <w:tab w:val="right" w:leader="dot" w:pos="9016"/>
            </w:tabs>
            <w:rPr>
              <w:rFonts w:ascii="Arial" w:hAnsi="Arial" w:cs="Arial"/>
              <w:szCs w:val="24"/>
            </w:rPr>
          </w:pPr>
          <w:r>
            <w:rPr>
              <w:rFonts w:ascii="Arial" w:hAnsi="Arial" w:cs="Arial"/>
              <w:szCs w:val="24"/>
            </w:rPr>
            <w:fldChar w:fldCharType="begin"/>
          </w:r>
          <w:r>
            <w:rPr>
              <w:rFonts w:ascii="Arial" w:hAnsi="Arial" w:cs="Arial"/>
              <w:szCs w:val="24"/>
            </w:rPr>
            <w:instrText xml:space="preserve"> TOC \o "1-3" \h \z \u </w:instrText>
          </w:r>
          <w:r>
            <w:rPr>
              <w:rFonts w:ascii="Arial" w:hAnsi="Arial" w:cs="Arial"/>
              <w:szCs w:val="24"/>
            </w:rPr>
            <w:fldChar w:fldCharType="separate"/>
          </w:r>
          <w:r>
            <w:fldChar w:fldCharType="begin"/>
          </w:r>
          <w:r>
            <w:instrText xml:space="preserve"> HYPERLINK \l "_Toc214881638" </w:instrText>
          </w:r>
          <w:r>
            <w:fldChar w:fldCharType="separate"/>
          </w:r>
          <w:r>
            <w:rPr>
              <w:rStyle w:val="16"/>
              <w:rFonts w:ascii="Arial" w:hAnsi="Arial" w:cs="Arial"/>
              <w:szCs w:val="24"/>
            </w:rPr>
            <w:t>1. Introduction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_Toc214881638 \h </w:instrText>
          </w:r>
          <w:r>
            <w:rPr>
              <w:rFonts w:ascii="Arial" w:hAnsi="Arial" w:cs="Arial"/>
              <w:szCs w:val="24"/>
            </w:rPr>
            <w:fldChar w:fldCharType="separate"/>
          </w:r>
          <w:r>
            <w:rPr>
              <w:rFonts w:ascii="Arial" w:hAnsi="Arial" w:cs="Arial"/>
              <w:szCs w:val="24"/>
            </w:rPr>
            <w:t>4</w:t>
          </w:r>
          <w:r>
            <w:rPr>
              <w:rFonts w:ascii="Arial" w:hAnsi="Arial" w:cs="Arial"/>
              <w:szCs w:val="24"/>
            </w:rPr>
            <w:fldChar w:fldCharType="end"/>
          </w:r>
          <w:r>
            <w:rPr>
              <w:rFonts w:ascii="Arial" w:hAnsi="Arial" w:cs="Arial"/>
              <w:szCs w:val="24"/>
            </w:rPr>
            <w:fldChar w:fldCharType="end"/>
          </w:r>
        </w:p>
        <w:p w14:paraId="64EDC14A">
          <w:pPr>
            <w:pStyle w:val="21"/>
            <w:tabs>
              <w:tab w:val="right" w:leader="dot" w:pos="9016"/>
            </w:tabs>
            <w:rPr>
              <w:rFonts w:ascii="Arial" w:hAnsi="Arial" w:cs="Arial"/>
              <w:szCs w:val="24"/>
            </w:rPr>
          </w:pPr>
          <w:r>
            <w:fldChar w:fldCharType="begin"/>
          </w:r>
          <w:r>
            <w:instrText xml:space="preserve"> HYPERLINK \l "_Toc214881639" </w:instrText>
          </w:r>
          <w:r>
            <w:fldChar w:fldCharType="separate"/>
          </w:r>
          <w:r>
            <w:rPr>
              <w:rStyle w:val="16"/>
              <w:rFonts w:ascii="Arial" w:hAnsi="Arial" w:cs="Arial"/>
              <w:szCs w:val="24"/>
            </w:rPr>
            <w:t>1.1 Company Overview</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_Toc214881639 \h </w:instrText>
          </w:r>
          <w:r>
            <w:rPr>
              <w:rFonts w:ascii="Arial" w:hAnsi="Arial" w:cs="Arial"/>
              <w:szCs w:val="24"/>
            </w:rPr>
            <w:fldChar w:fldCharType="separate"/>
          </w:r>
          <w:r>
            <w:rPr>
              <w:rFonts w:ascii="Arial" w:hAnsi="Arial" w:cs="Arial"/>
              <w:szCs w:val="24"/>
            </w:rPr>
            <w:t>4</w:t>
          </w:r>
          <w:r>
            <w:rPr>
              <w:rFonts w:ascii="Arial" w:hAnsi="Arial" w:cs="Arial"/>
              <w:szCs w:val="24"/>
            </w:rPr>
            <w:fldChar w:fldCharType="end"/>
          </w:r>
          <w:r>
            <w:rPr>
              <w:rFonts w:ascii="Arial" w:hAnsi="Arial" w:cs="Arial"/>
              <w:szCs w:val="24"/>
            </w:rPr>
            <w:fldChar w:fldCharType="end"/>
          </w:r>
        </w:p>
        <w:p w14:paraId="101D32D1">
          <w:pPr>
            <w:pStyle w:val="21"/>
            <w:tabs>
              <w:tab w:val="right" w:leader="dot" w:pos="9016"/>
            </w:tabs>
            <w:rPr>
              <w:rFonts w:ascii="Arial" w:hAnsi="Arial" w:cs="Arial"/>
              <w:szCs w:val="24"/>
            </w:rPr>
          </w:pPr>
          <w:r>
            <w:fldChar w:fldCharType="begin"/>
          </w:r>
          <w:r>
            <w:instrText xml:space="preserve"> HYPERLINK \l "_Toc214881640" </w:instrText>
          </w:r>
          <w:r>
            <w:fldChar w:fldCharType="separate"/>
          </w:r>
          <w:r>
            <w:rPr>
              <w:rStyle w:val="16"/>
              <w:rFonts w:ascii="Arial" w:hAnsi="Arial" w:cs="Arial"/>
              <w:szCs w:val="24"/>
            </w:rPr>
            <w:t>1.2 New Brand Concept Introduction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_Toc214881640 \h </w:instrText>
          </w:r>
          <w:r>
            <w:rPr>
              <w:rFonts w:ascii="Arial" w:hAnsi="Arial" w:cs="Arial"/>
              <w:szCs w:val="24"/>
            </w:rPr>
            <w:fldChar w:fldCharType="separate"/>
          </w:r>
          <w:r>
            <w:rPr>
              <w:rFonts w:ascii="Arial" w:hAnsi="Arial" w:cs="Arial"/>
              <w:szCs w:val="24"/>
            </w:rPr>
            <w:t>4</w:t>
          </w:r>
          <w:r>
            <w:rPr>
              <w:rFonts w:ascii="Arial" w:hAnsi="Arial" w:cs="Arial"/>
              <w:szCs w:val="24"/>
            </w:rPr>
            <w:fldChar w:fldCharType="end"/>
          </w:r>
          <w:r>
            <w:rPr>
              <w:rFonts w:ascii="Arial" w:hAnsi="Arial" w:cs="Arial"/>
              <w:szCs w:val="24"/>
            </w:rPr>
            <w:fldChar w:fldCharType="end"/>
          </w:r>
        </w:p>
        <w:p w14:paraId="4B3323DD">
          <w:pPr>
            <w:pStyle w:val="20"/>
            <w:tabs>
              <w:tab w:val="right" w:leader="dot" w:pos="9016"/>
            </w:tabs>
            <w:rPr>
              <w:rFonts w:ascii="Arial" w:hAnsi="Arial" w:cs="Arial"/>
              <w:szCs w:val="24"/>
            </w:rPr>
          </w:pPr>
          <w:r>
            <w:fldChar w:fldCharType="begin"/>
          </w:r>
          <w:r>
            <w:instrText xml:space="preserve"> HYPERLINK \l "_Toc214881641" </w:instrText>
          </w:r>
          <w:r>
            <w:fldChar w:fldCharType="separate"/>
          </w:r>
          <w:r>
            <w:rPr>
              <w:rStyle w:val="16"/>
              <w:rFonts w:ascii="Arial" w:hAnsi="Arial" w:cs="Arial"/>
              <w:szCs w:val="24"/>
            </w:rPr>
            <w:t>2. Segmentation, Targeting, Differentiation, And Positioning (STDP) Analysis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_Toc214881641 \h </w:instrText>
          </w:r>
          <w:r>
            <w:rPr>
              <w:rFonts w:ascii="Arial" w:hAnsi="Arial" w:cs="Arial"/>
              <w:szCs w:val="24"/>
            </w:rPr>
            <w:fldChar w:fldCharType="separate"/>
          </w:r>
          <w:r>
            <w:rPr>
              <w:rFonts w:ascii="Arial" w:hAnsi="Arial" w:cs="Arial"/>
              <w:szCs w:val="24"/>
            </w:rPr>
            <w:t>5</w:t>
          </w:r>
          <w:r>
            <w:rPr>
              <w:rFonts w:ascii="Arial" w:hAnsi="Arial" w:cs="Arial"/>
              <w:szCs w:val="24"/>
            </w:rPr>
            <w:fldChar w:fldCharType="end"/>
          </w:r>
          <w:r>
            <w:rPr>
              <w:rFonts w:ascii="Arial" w:hAnsi="Arial" w:cs="Arial"/>
              <w:szCs w:val="24"/>
            </w:rPr>
            <w:fldChar w:fldCharType="end"/>
          </w:r>
        </w:p>
        <w:p w14:paraId="03F3A803">
          <w:pPr>
            <w:pStyle w:val="21"/>
            <w:tabs>
              <w:tab w:val="right" w:leader="dot" w:pos="9016"/>
            </w:tabs>
            <w:rPr>
              <w:rFonts w:ascii="Arial" w:hAnsi="Arial" w:cs="Arial"/>
              <w:szCs w:val="24"/>
            </w:rPr>
          </w:pPr>
          <w:r>
            <w:fldChar w:fldCharType="begin"/>
          </w:r>
          <w:r>
            <w:instrText xml:space="preserve"> HYPERLINK \l "_Toc214881642" </w:instrText>
          </w:r>
          <w:r>
            <w:fldChar w:fldCharType="separate"/>
          </w:r>
          <w:r>
            <w:rPr>
              <w:rStyle w:val="16"/>
              <w:rFonts w:ascii="Arial" w:hAnsi="Arial" w:cs="Arial"/>
              <w:szCs w:val="24"/>
            </w:rPr>
            <w:t>2.1 Market Context and Emerging Trends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_Toc214881642 \h </w:instrText>
          </w:r>
          <w:r>
            <w:rPr>
              <w:rFonts w:ascii="Arial" w:hAnsi="Arial" w:cs="Arial"/>
              <w:szCs w:val="24"/>
            </w:rPr>
            <w:fldChar w:fldCharType="separate"/>
          </w:r>
          <w:r>
            <w:rPr>
              <w:rFonts w:ascii="Arial" w:hAnsi="Arial" w:cs="Arial"/>
              <w:szCs w:val="24"/>
            </w:rPr>
            <w:t>5</w:t>
          </w:r>
          <w:r>
            <w:rPr>
              <w:rFonts w:ascii="Arial" w:hAnsi="Arial" w:cs="Arial"/>
              <w:szCs w:val="24"/>
            </w:rPr>
            <w:fldChar w:fldCharType="end"/>
          </w:r>
          <w:r>
            <w:rPr>
              <w:rFonts w:ascii="Arial" w:hAnsi="Arial" w:cs="Arial"/>
              <w:szCs w:val="24"/>
            </w:rPr>
            <w:fldChar w:fldCharType="end"/>
          </w:r>
        </w:p>
        <w:p w14:paraId="35811C95">
          <w:pPr>
            <w:pStyle w:val="21"/>
            <w:tabs>
              <w:tab w:val="right" w:leader="dot" w:pos="9016"/>
            </w:tabs>
            <w:rPr>
              <w:rFonts w:ascii="Arial" w:hAnsi="Arial" w:cs="Arial"/>
              <w:szCs w:val="24"/>
            </w:rPr>
          </w:pPr>
          <w:r>
            <w:fldChar w:fldCharType="begin"/>
          </w:r>
          <w:r>
            <w:instrText xml:space="preserve"> HYPERLINK \l "_Toc214881643" </w:instrText>
          </w:r>
          <w:r>
            <w:fldChar w:fldCharType="separate"/>
          </w:r>
          <w:r>
            <w:rPr>
              <w:rStyle w:val="16"/>
              <w:rFonts w:ascii="Arial" w:hAnsi="Arial" w:cs="Arial"/>
              <w:szCs w:val="24"/>
            </w:rPr>
            <w:t>2.2 Market Segmentation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_Toc214881643 \h </w:instrText>
          </w:r>
          <w:r>
            <w:rPr>
              <w:rFonts w:ascii="Arial" w:hAnsi="Arial" w:cs="Arial"/>
              <w:szCs w:val="24"/>
            </w:rPr>
            <w:fldChar w:fldCharType="separate"/>
          </w:r>
          <w:r>
            <w:rPr>
              <w:rFonts w:ascii="Arial" w:hAnsi="Arial" w:cs="Arial"/>
              <w:szCs w:val="24"/>
            </w:rPr>
            <w:t>5</w:t>
          </w:r>
          <w:r>
            <w:rPr>
              <w:rFonts w:ascii="Arial" w:hAnsi="Arial" w:cs="Arial"/>
              <w:szCs w:val="24"/>
            </w:rPr>
            <w:fldChar w:fldCharType="end"/>
          </w:r>
          <w:r>
            <w:rPr>
              <w:rFonts w:ascii="Arial" w:hAnsi="Arial" w:cs="Arial"/>
              <w:szCs w:val="24"/>
            </w:rPr>
            <w:fldChar w:fldCharType="end"/>
          </w:r>
        </w:p>
        <w:p w14:paraId="35326163">
          <w:pPr>
            <w:pStyle w:val="21"/>
            <w:tabs>
              <w:tab w:val="right" w:leader="dot" w:pos="9016"/>
            </w:tabs>
            <w:rPr>
              <w:rFonts w:ascii="Arial" w:hAnsi="Arial" w:cs="Arial"/>
              <w:szCs w:val="24"/>
            </w:rPr>
          </w:pPr>
          <w:r>
            <w:fldChar w:fldCharType="begin"/>
          </w:r>
          <w:r>
            <w:instrText xml:space="preserve"> HYPERLINK \l "_Toc214881644" </w:instrText>
          </w:r>
          <w:r>
            <w:fldChar w:fldCharType="separate"/>
          </w:r>
          <w:r>
            <w:rPr>
              <w:rStyle w:val="16"/>
              <w:rFonts w:ascii="Arial" w:hAnsi="Arial" w:cs="Arial"/>
              <w:szCs w:val="24"/>
            </w:rPr>
            <w:t>2.3 Target Audience Selection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_Toc214881644 \h </w:instrText>
          </w:r>
          <w:r>
            <w:rPr>
              <w:rFonts w:ascii="Arial" w:hAnsi="Arial" w:cs="Arial"/>
              <w:szCs w:val="24"/>
            </w:rPr>
            <w:fldChar w:fldCharType="separate"/>
          </w:r>
          <w:r>
            <w:rPr>
              <w:rFonts w:ascii="Arial" w:hAnsi="Arial" w:cs="Arial"/>
              <w:szCs w:val="24"/>
            </w:rPr>
            <w:t>6</w:t>
          </w:r>
          <w:r>
            <w:rPr>
              <w:rFonts w:ascii="Arial" w:hAnsi="Arial" w:cs="Arial"/>
              <w:szCs w:val="24"/>
            </w:rPr>
            <w:fldChar w:fldCharType="end"/>
          </w:r>
          <w:r>
            <w:rPr>
              <w:rFonts w:ascii="Arial" w:hAnsi="Arial" w:cs="Arial"/>
              <w:szCs w:val="24"/>
            </w:rPr>
            <w:fldChar w:fldCharType="end"/>
          </w:r>
        </w:p>
        <w:p w14:paraId="68CEE3F6">
          <w:pPr>
            <w:pStyle w:val="21"/>
            <w:tabs>
              <w:tab w:val="right" w:leader="dot" w:pos="9016"/>
            </w:tabs>
            <w:rPr>
              <w:rFonts w:ascii="Arial" w:hAnsi="Arial" w:cs="Arial"/>
              <w:szCs w:val="24"/>
            </w:rPr>
          </w:pPr>
          <w:r>
            <w:fldChar w:fldCharType="begin"/>
          </w:r>
          <w:r>
            <w:instrText xml:space="preserve"> HYPERLINK \l "_Toc214881645" </w:instrText>
          </w:r>
          <w:r>
            <w:fldChar w:fldCharType="separate"/>
          </w:r>
          <w:r>
            <w:rPr>
              <w:rStyle w:val="16"/>
              <w:rFonts w:ascii="Arial" w:hAnsi="Arial" w:cs="Arial"/>
              <w:szCs w:val="24"/>
            </w:rPr>
            <w:t>2.4 Differentiation Strategy</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_Toc214881645 \h </w:instrText>
          </w:r>
          <w:r>
            <w:rPr>
              <w:rFonts w:ascii="Arial" w:hAnsi="Arial" w:cs="Arial"/>
              <w:szCs w:val="24"/>
            </w:rPr>
            <w:fldChar w:fldCharType="separate"/>
          </w:r>
          <w:r>
            <w:rPr>
              <w:rFonts w:ascii="Arial" w:hAnsi="Arial" w:cs="Arial"/>
              <w:szCs w:val="24"/>
            </w:rPr>
            <w:t>6</w:t>
          </w:r>
          <w:r>
            <w:rPr>
              <w:rFonts w:ascii="Arial" w:hAnsi="Arial" w:cs="Arial"/>
              <w:szCs w:val="24"/>
            </w:rPr>
            <w:fldChar w:fldCharType="end"/>
          </w:r>
          <w:r>
            <w:rPr>
              <w:rFonts w:ascii="Arial" w:hAnsi="Arial" w:cs="Arial"/>
              <w:szCs w:val="24"/>
            </w:rPr>
            <w:fldChar w:fldCharType="end"/>
          </w:r>
        </w:p>
        <w:p w14:paraId="640C3BC4">
          <w:pPr>
            <w:pStyle w:val="21"/>
            <w:tabs>
              <w:tab w:val="right" w:leader="dot" w:pos="9016"/>
            </w:tabs>
            <w:rPr>
              <w:rFonts w:ascii="Arial" w:hAnsi="Arial" w:cs="Arial"/>
              <w:szCs w:val="24"/>
            </w:rPr>
          </w:pPr>
          <w:r>
            <w:fldChar w:fldCharType="begin"/>
          </w:r>
          <w:r>
            <w:instrText xml:space="preserve"> HYPERLINK \l "_Toc214881646" </w:instrText>
          </w:r>
          <w:r>
            <w:fldChar w:fldCharType="separate"/>
          </w:r>
          <w:r>
            <w:rPr>
              <w:rStyle w:val="16"/>
              <w:rFonts w:ascii="Arial" w:hAnsi="Arial" w:cs="Arial"/>
              <w:szCs w:val="24"/>
            </w:rPr>
            <w:t>2.5 Positioning Strategy</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_Toc214881646 \h </w:instrText>
          </w:r>
          <w:r>
            <w:rPr>
              <w:rFonts w:ascii="Arial" w:hAnsi="Arial" w:cs="Arial"/>
              <w:szCs w:val="24"/>
            </w:rPr>
            <w:fldChar w:fldCharType="separate"/>
          </w:r>
          <w:r>
            <w:rPr>
              <w:rFonts w:ascii="Arial" w:hAnsi="Arial" w:cs="Arial"/>
              <w:szCs w:val="24"/>
            </w:rPr>
            <w:t>6</w:t>
          </w:r>
          <w:r>
            <w:rPr>
              <w:rFonts w:ascii="Arial" w:hAnsi="Arial" w:cs="Arial"/>
              <w:szCs w:val="24"/>
            </w:rPr>
            <w:fldChar w:fldCharType="end"/>
          </w:r>
          <w:r>
            <w:rPr>
              <w:rFonts w:ascii="Arial" w:hAnsi="Arial" w:cs="Arial"/>
              <w:szCs w:val="24"/>
            </w:rPr>
            <w:fldChar w:fldCharType="end"/>
          </w:r>
        </w:p>
        <w:p w14:paraId="445DC185">
          <w:pPr>
            <w:pStyle w:val="20"/>
            <w:tabs>
              <w:tab w:val="right" w:leader="dot" w:pos="9016"/>
            </w:tabs>
            <w:rPr>
              <w:rFonts w:ascii="Arial" w:hAnsi="Arial" w:cs="Arial"/>
              <w:szCs w:val="24"/>
            </w:rPr>
          </w:pPr>
          <w:r>
            <w:fldChar w:fldCharType="begin"/>
          </w:r>
          <w:r>
            <w:instrText xml:space="preserve"> HYPERLINK \l "_Toc214881647" </w:instrText>
          </w:r>
          <w:r>
            <w:fldChar w:fldCharType="separate"/>
          </w:r>
          <w:r>
            <w:rPr>
              <w:rStyle w:val="16"/>
              <w:rFonts w:ascii="Arial" w:hAnsi="Arial" w:cs="Arial"/>
              <w:szCs w:val="24"/>
            </w:rPr>
            <w:t>3. Marketing Mix (4Ps)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_Toc214881647 \h </w:instrText>
          </w:r>
          <w:r>
            <w:rPr>
              <w:rFonts w:ascii="Arial" w:hAnsi="Arial" w:cs="Arial"/>
              <w:szCs w:val="24"/>
            </w:rPr>
            <w:fldChar w:fldCharType="separate"/>
          </w:r>
          <w:r>
            <w:rPr>
              <w:rFonts w:ascii="Arial" w:hAnsi="Arial" w:cs="Arial"/>
              <w:szCs w:val="24"/>
            </w:rPr>
            <w:t>6</w:t>
          </w:r>
          <w:r>
            <w:rPr>
              <w:rFonts w:ascii="Arial" w:hAnsi="Arial" w:cs="Arial"/>
              <w:szCs w:val="24"/>
            </w:rPr>
            <w:fldChar w:fldCharType="end"/>
          </w:r>
          <w:r>
            <w:rPr>
              <w:rFonts w:ascii="Arial" w:hAnsi="Arial" w:cs="Arial"/>
              <w:szCs w:val="24"/>
            </w:rPr>
            <w:fldChar w:fldCharType="end"/>
          </w:r>
        </w:p>
        <w:p w14:paraId="5BD5D3B2">
          <w:pPr>
            <w:pStyle w:val="21"/>
            <w:tabs>
              <w:tab w:val="right" w:leader="dot" w:pos="9016"/>
            </w:tabs>
            <w:rPr>
              <w:rFonts w:ascii="Arial" w:hAnsi="Arial" w:cs="Arial"/>
              <w:szCs w:val="24"/>
            </w:rPr>
          </w:pPr>
          <w:r>
            <w:fldChar w:fldCharType="begin"/>
          </w:r>
          <w:r>
            <w:instrText xml:space="preserve"> HYPERLINK \l "_Toc214881648" </w:instrText>
          </w:r>
          <w:r>
            <w:fldChar w:fldCharType="separate"/>
          </w:r>
          <w:r>
            <w:rPr>
              <w:rStyle w:val="16"/>
              <w:rFonts w:ascii="Arial" w:hAnsi="Arial" w:cs="Arial"/>
              <w:szCs w:val="24"/>
            </w:rPr>
            <w:t>3.1 Product</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_Toc214881648 \h </w:instrText>
          </w:r>
          <w:r>
            <w:rPr>
              <w:rFonts w:ascii="Arial" w:hAnsi="Arial" w:cs="Arial"/>
              <w:szCs w:val="24"/>
            </w:rPr>
            <w:fldChar w:fldCharType="separate"/>
          </w:r>
          <w:r>
            <w:rPr>
              <w:rFonts w:ascii="Arial" w:hAnsi="Arial" w:cs="Arial"/>
              <w:szCs w:val="24"/>
            </w:rPr>
            <w:t>6</w:t>
          </w:r>
          <w:r>
            <w:rPr>
              <w:rFonts w:ascii="Arial" w:hAnsi="Arial" w:cs="Arial"/>
              <w:szCs w:val="24"/>
            </w:rPr>
            <w:fldChar w:fldCharType="end"/>
          </w:r>
          <w:r>
            <w:rPr>
              <w:rFonts w:ascii="Arial" w:hAnsi="Arial" w:cs="Arial"/>
              <w:szCs w:val="24"/>
            </w:rPr>
            <w:fldChar w:fldCharType="end"/>
          </w:r>
        </w:p>
        <w:p w14:paraId="35273F56">
          <w:pPr>
            <w:pStyle w:val="21"/>
            <w:tabs>
              <w:tab w:val="right" w:leader="dot" w:pos="9016"/>
            </w:tabs>
            <w:rPr>
              <w:rFonts w:ascii="Arial" w:hAnsi="Arial" w:cs="Arial"/>
              <w:szCs w:val="24"/>
            </w:rPr>
          </w:pPr>
          <w:r>
            <w:fldChar w:fldCharType="begin"/>
          </w:r>
          <w:r>
            <w:instrText xml:space="preserve"> HYPERLINK \l "_Toc214881649" </w:instrText>
          </w:r>
          <w:r>
            <w:fldChar w:fldCharType="separate"/>
          </w:r>
          <w:r>
            <w:rPr>
              <w:rStyle w:val="16"/>
              <w:rFonts w:ascii="Arial" w:hAnsi="Arial" w:cs="Arial"/>
              <w:szCs w:val="24"/>
            </w:rPr>
            <w:t>3.2 Price</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_Toc214881649 \h </w:instrText>
          </w:r>
          <w:r>
            <w:rPr>
              <w:rFonts w:ascii="Arial" w:hAnsi="Arial" w:cs="Arial"/>
              <w:szCs w:val="24"/>
            </w:rPr>
            <w:fldChar w:fldCharType="separate"/>
          </w:r>
          <w:r>
            <w:rPr>
              <w:rFonts w:ascii="Arial" w:hAnsi="Arial" w:cs="Arial"/>
              <w:szCs w:val="24"/>
            </w:rPr>
            <w:t>7</w:t>
          </w:r>
          <w:r>
            <w:rPr>
              <w:rFonts w:ascii="Arial" w:hAnsi="Arial" w:cs="Arial"/>
              <w:szCs w:val="24"/>
            </w:rPr>
            <w:fldChar w:fldCharType="end"/>
          </w:r>
          <w:r>
            <w:rPr>
              <w:rFonts w:ascii="Arial" w:hAnsi="Arial" w:cs="Arial"/>
              <w:szCs w:val="24"/>
            </w:rPr>
            <w:fldChar w:fldCharType="end"/>
          </w:r>
        </w:p>
        <w:p w14:paraId="3DB5A0C2">
          <w:pPr>
            <w:pStyle w:val="21"/>
            <w:tabs>
              <w:tab w:val="right" w:leader="dot" w:pos="9016"/>
            </w:tabs>
            <w:rPr>
              <w:rFonts w:ascii="Arial" w:hAnsi="Arial" w:cs="Arial"/>
              <w:szCs w:val="24"/>
            </w:rPr>
          </w:pPr>
          <w:r>
            <w:fldChar w:fldCharType="begin"/>
          </w:r>
          <w:r>
            <w:instrText xml:space="preserve"> HYPERLINK \l "_Toc214881650" </w:instrText>
          </w:r>
          <w:r>
            <w:fldChar w:fldCharType="separate"/>
          </w:r>
          <w:r>
            <w:rPr>
              <w:rStyle w:val="16"/>
              <w:rFonts w:ascii="Arial" w:hAnsi="Arial" w:cs="Arial"/>
              <w:szCs w:val="24"/>
            </w:rPr>
            <w:t>3.3 Place</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_Toc214881650 \h </w:instrText>
          </w:r>
          <w:r>
            <w:rPr>
              <w:rFonts w:ascii="Arial" w:hAnsi="Arial" w:cs="Arial"/>
              <w:szCs w:val="24"/>
            </w:rPr>
            <w:fldChar w:fldCharType="separate"/>
          </w:r>
          <w:r>
            <w:rPr>
              <w:rFonts w:ascii="Arial" w:hAnsi="Arial" w:cs="Arial"/>
              <w:szCs w:val="24"/>
            </w:rPr>
            <w:t>8</w:t>
          </w:r>
          <w:r>
            <w:rPr>
              <w:rFonts w:ascii="Arial" w:hAnsi="Arial" w:cs="Arial"/>
              <w:szCs w:val="24"/>
            </w:rPr>
            <w:fldChar w:fldCharType="end"/>
          </w:r>
          <w:r>
            <w:rPr>
              <w:rFonts w:ascii="Arial" w:hAnsi="Arial" w:cs="Arial"/>
              <w:szCs w:val="24"/>
            </w:rPr>
            <w:fldChar w:fldCharType="end"/>
          </w:r>
        </w:p>
        <w:p w14:paraId="7BE4F622">
          <w:pPr>
            <w:pStyle w:val="21"/>
            <w:tabs>
              <w:tab w:val="right" w:leader="dot" w:pos="9016"/>
            </w:tabs>
            <w:rPr>
              <w:rFonts w:ascii="Arial" w:hAnsi="Arial" w:cs="Arial"/>
              <w:szCs w:val="24"/>
            </w:rPr>
          </w:pPr>
          <w:r>
            <w:fldChar w:fldCharType="begin"/>
          </w:r>
          <w:r>
            <w:instrText xml:space="preserve"> HYPERLINK \l "_Toc214881651" </w:instrText>
          </w:r>
          <w:r>
            <w:fldChar w:fldCharType="separate"/>
          </w:r>
          <w:r>
            <w:rPr>
              <w:rStyle w:val="16"/>
              <w:rFonts w:ascii="Arial" w:hAnsi="Arial" w:cs="Arial"/>
              <w:szCs w:val="24"/>
            </w:rPr>
            <w:t>3.4 Promotion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_Toc214881651 \h </w:instrText>
          </w:r>
          <w:r>
            <w:rPr>
              <w:rFonts w:ascii="Arial" w:hAnsi="Arial" w:cs="Arial"/>
              <w:szCs w:val="24"/>
            </w:rPr>
            <w:fldChar w:fldCharType="separate"/>
          </w:r>
          <w:r>
            <w:rPr>
              <w:rFonts w:ascii="Arial" w:hAnsi="Arial" w:cs="Arial"/>
              <w:szCs w:val="24"/>
            </w:rPr>
            <w:t>9</w:t>
          </w:r>
          <w:r>
            <w:rPr>
              <w:rFonts w:ascii="Arial" w:hAnsi="Arial" w:cs="Arial"/>
              <w:szCs w:val="24"/>
            </w:rPr>
            <w:fldChar w:fldCharType="end"/>
          </w:r>
          <w:r>
            <w:rPr>
              <w:rFonts w:ascii="Arial" w:hAnsi="Arial" w:cs="Arial"/>
              <w:szCs w:val="24"/>
            </w:rPr>
            <w:fldChar w:fldCharType="end"/>
          </w:r>
        </w:p>
        <w:p w14:paraId="19C37761">
          <w:pPr>
            <w:pStyle w:val="20"/>
            <w:tabs>
              <w:tab w:val="right" w:leader="dot" w:pos="9016"/>
            </w:tabs>
            <w:rPr>
              <w:rFonts w:ascii="Arial" w:hAnsi="Arial" w:cs="Arial"/>
              <w:szCs w:val="24"/>
            </w:rPr>
          </w:pPr>
          <w:r>
            <w:fldChar w:fldCharType="begin"/>
          </w:r>
          <w:r>
            <w:instrText xml:space="preserve"> HYPERLINK \l "_Toc214881652" </w:instrText>
          </w:r>
          <w:r>
            <w:fldChar w:fldCharType="separate"/>
          </w:r>
          <w:r>
            <w:rPr>
              <w:rStyle w:val="16"/>
              <w:rFonts w:ascii="Arial" w:hAnsi="Arial" w:cs="Arial"/>
              <w:szCs w:val="24"/>
            </w:rPr>
            <w:t>4. Marketing Strategy Pitch</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_Toc214881652 \h </w:instrText>
          </w:r>
          <w:r>
            <w:rPr>
              <w:rFonts w:ascii="Arial" w:hAnsi="Arial" w:cs="Arial"/>
              <w:szCs w:val="24"/>
            </w:rPr>
            <w:fldChar w:fldCharType="separate"/>
          </w:r>
          <w:r>
            <w:rPr>
              <w:rFonts w:ascii="Arial" w:hAnsi="Arial" w:cs="Arial"/>
              <w:szCs w:val="24"/>
            </w:rPr>
            <w:t>10</w:t>
          </w:r>
          <w:r>
            <w:rPr>
              <w:rFonts w:ascii="Arial" w:hAnsi="Arial" w:cs="Arial"/>
              <w:szCs w:val="24"/>
            </w:rPr>
            <w:fldChar w:fldCharType="end"/>
          </w:r>
          <w:r>
            <w:rPr>
              <w:rFonts w:ascii="Arial" w:hAnsi="Arial" w:cs="Arial"/>
              <w:szCs w:val="24"/>
            </w:rPr>
            <w:fldChar w:fldCharType="end"/>
          </w:r>
        </w:p>
        <w:p w14:paraId="7AC795FB">
          <w:pPr>
            <w:pStyle w:val="20"/>
            <w:tabs>
              <w:tab w:val="right" w:leader="dot" w:pos="9016"/>
            </w:tabs>
            <w:rPr>
              <w:rFonts w:ascii="Arial" w:hAnsi="Arial" w:cs="Arial"/>
              <w:szCs w:val="24"/>
            </w:rPr>
          </w:pPr>
          <w:r>
            <w:fldChar w:fldCharType="begin"/>
          </w:r>
          <w:r>
            <w:instrText xml:space="preserve"> HYPERLINK \l "_Toc214881653" </w:instrText>
          </w:r>
          <w:r>
            <w:fldChar w:fldCharType="separate"/>
          </w:r>
          <w:r>
            <w:rPr>
              <w:rStyle w:val="16"/>
              <w:rFonts w:ascii="Arial" w:hAnsi="Arial" w:cs="Arial"/>
              <w:szCs w:val="24"/>
            </w:rPr>
            <w:t>5. Reflection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_Toc214881653 \h </w:instrText>
          </w:r>
          <w:r>
            <w:rPr>
              <w:rFonts w:ascii="Arial" w:hAnsi="Arial" w:cs="Arial"/>
              <w:szCs w:val="24"/>
            </w:rPr>
            <w:fldChar w:fldCharType="separate"/>
          </w:r>
          <w:r>
            <w:rPr>
              <w:rFonts w:ascii="Arial" w:hAnsi="Arial" w:cs="Arial"/>
              <w:szCs w:val="24"/>
            </w:rPr>
            <w:t>10</w:t>
          </w:r>
          <w:r>
            <w:rPr>
              <w:rFonts w:ascii="Arial" w:hAnsi="Arial" w:cs="Arial"/>
              <w:szCs w:val="24"/>
            </w:rPr>
            <w:fldChar w:fldCharType="end"/>
          </w:r>
          <w:r>
            <w:rPr>
              <w:rFonts w:ascii="Arial" w:hAnsi="Arial" w:cs="Arial"/>
              <w:szCs w:val="24"/>
            </w:rPr>
            <w:fldChar w:fldCharType="end"/>
          </w:r>
        </w:p>
        <w:p w14:paraId="55D1C4E7">
          <w:pPr>
            <w:pStyle w:val="21"/>
            <w:tabs>
              <w:tab w:val="right" w:leader="dot" w:pos="9016"/>
            </w:tabs>
            <w:rPr>
              <w:rFonts w:ascii="Arial" w:hAnsi="Arial" w:cs="Arial"/>
              <w:szCs w:val="24"/>
            </w:rPr>
          </w:pPr>
          <w:r>
            <w:fldChar w:fldCharType="begin"/>
          </w:r>
          <w:r>
            <w:instrText xml:space="preserve"> HYPERLINK \l "_Toc214881654" </w:instrText>
          </w:r>
          <w:r>
            <w:fldChar w:fldCharType="separate"/>
          </w:r>
          <w:r>
            <w:rPr>
              <w:rStyle w:val="16"/>
              <w:rFonts w:ascii="Arial" w:hAnsi="Arial" w:cs="Arial"/>
              <w:szCs w:val="24"/>
            </w:rPr>
            <w:t>5.1 Brand Development Experience</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_Toc214881654 \h </w:instrText>
          </w:r>
          <w:r>
            <w:rPr>
              <w:rFonts w:ascii="Arial" w:hAnsi="Arial" w:cs="Arial"/>
              <w:szCs w:val="24"/>
            </w:rPr>
            <w:fldChar w:fldCharType="separate"/>
          </w:r>
          <w:r>
            <w:rPr>
              <w:rFonts w:ascii="Arial" w:hAnsi="Arial" w:cs="Arial"/>
              <w:szCs w:val="24"/>
            </w:rPr>
            <w:t>10</w:t>
          </w:r>
          <w:r>
            <w:rPr>
              <w:rFonts w:ascii="Arial" w:hAnsi="Arial" w:cs="Arial"/>
              <w:szCs w:val="24"/>
            </w:rPr>
            <w:fldChar w:fldCharType="end"/>
          </w:r>
          <w:r>
            <w:rPr>
              <w:rFonts w:ascii="Arial" w:hAnsi="Arial" w:cs="Arial"/>
              <w:szCs w:val="24"/>
            </w:rPr>
            <w:fldChar w:fldCharType="end"/>
          </w:r>
        </w:p>
        <w:p w14:paraId="6B7BC288">
          <w:pPr>
            <w:pStyle w:val="21"/>
            <w:tabs>
              <w:tab w:val="right" w:leader="dot" w:pos="9016"/>
            </w:tabs>
            <w:rPr>
              <w:rFonts w:ascii="Arial" w:hAnsi="Arial" w:cs="Arial"/>
              <w:szCs w:val="24"/>
            </w:rPr>
          </w:pPr>
          <w:r>
            <w:fldChar w:fldCharType="begin"/>
          </w:r>
          <w:r>
            <w:instrText xml:space="preserve"> HYPERLINK \l "_Toc214881655" </w:instrText>
          </w:r>
          <w:r>
            <w:fldChar w:fldCharType="separate"/>
          </w:r>
          <w:r>
            <w:rPr>
              <w:rStyle w:val="16"/>
              <w:rFonts w:ascii="Arial" w:hAnsi="Arial" w:cs="Arial"/>
              <w:szCs w:val="24"/>
            </w:rPr>
            <w:t>5.2 Marketing Strategy Creation Insights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_Toc214881655 \h </w:instrText>
          </w:r>
          <w:r>
            <w:rPr>
              <w:rFonts w:ascii="Arial" w:hAnsi="Arial" w:cs="Arial"/>
              <w:szCs w:val="24"/>
            </w:rPr>
            <w:fldChar w:fldCharType="separate"/>
          </w:r>
          <w:r>
            <w:rPr>
              <w:rFonts w:ascii="Arial" w:hAnsi="Arial" w:cs="Arial"/>
              <w:szCs w:val="24"/>
            </w:rPr>
            <w:t>11</w:t>
          </w:r>
          <w:r>
            <w:rPr>
              <w:rFonts w:ascii="Arial" w:hAnsi="Arial" w:cs="Arial"/>
              <w:szCs w:val="24"/>
            </w:rPr>
            <w:fldChar w:fldCharType="end"/>
          </w:r>
          <w:r>
            <w:rPr>
              <w:rFonts w:ascii="Arial" w:hAnsi="Arial" w:cs="Arial"/>
              <w:szCs w:val="24"/>
            </w:rPr>
            <w:fldChar w:fldCharType="end"/>
          </w:r>
        </w:p>
        <w:p w14:paraId="05E2DBD6">
          <w:pPr>
            <w:pStyle w:val="21"/>
            <w:tabs>
              <w:tab w:val="right" w:leader="dot" w:pos="9016"/>
            </w:tabs>
            <w:rPr>
              <w:rFonts w:ascii="Arial" w:hAnsi="Arial" w:cs="Arial"/>
              <w:szCs w:val="24"/>
            </w:rPr>
          </w:pPr>
          <w:r>
            <w:fldChar w:fldCharType="begin"/>
          </w:r>
          <w:r>
            <w:instrText xml:space="preserve"> HYPERLINK \l "_Toc214881656" </w:instrText>
          </w:r>
          <w:r>
            <w:fldChar w:fldCharType="separate"/>
          </w:r>
          <w:r>
            <w:rPr>
              <w:rStyle w:val="16"/>
              <w:rFonts w:ascii="Arial" w:hAnsi="Arial" w:cs="Arial"/>
              <w:szCs w:val="24"/>
            </w:rPr>
            <w:t>5.3 Future Development Opportunities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_Toc214881656 \h </w:instrText>
          </w:r>
          <w:r>
            <w:rPr>
              <w:rFonts w:ascii="Arial" w:hAnsi="Arial" w:cs="Arial"/>
              <w:szCs w:val="24"/>
            </w:rPr>
            <w:fldChar w:fldCharType="separate"/>
          </w:r>
          <w:r>
            <w:rPr>
              <w:rFonts w:ascii="Arial" w:hAnsi="Arial" w:cs="Arial"/>
              <w:szCs w:val="24"/>
            </w:rPr>
            <w:t>12</w:t>
          </w:r>
          <w:r>
            <w:rPr>
              <w:rFonts w:ascii="Arial" w:hAnsi="Arial" w:cs="Arial"/>
              <w:szCs w:val="24"/>
            </w:rPr>
            <w:fldChar w:fldCharType="end"/>
          </w:r>
          <w:r>
            <w:rPr>
              <w:rFonts w:ascii="Arial" w:hAnsi="Arial" w:cs="Arial"/>
              <w:szCs w:val="24"/>
            </w:rPr>
            <w:fldChar w:fldCharType="end"/>
          </w:r>
        </w:p>
        <w:p w14:paraId="6B18611A">
          <w:pPr>
            <w:pStyle w:val="20"/>
            <w:tabs>
              <w:tab w:val="right" w:leader="dot" w:pos="9016"/>
            </w:tabs>
            <w:rPr>
              <w:rFonts w:ascii="Arial" w:hAnsi="Arial" w:cs="Arial"/>
              <w:szCs w:val="24"/>
            </w:rPr>
          </w:pPr>
          <w:r>
            <w:fldChar w:fldCharType="begin"/>
          </w:r>
          <w:r>
            <w:instrText xml:space="preserve"> HYPERLINK \l "_Toc214881657" </w:instrText>
          </w:r>
          <w:r>
            <w:fldChar w:fldCharType="separate"/>
          </w:r>
          <w:r>
            <w:rPr>
              <w:rStyle w:val="16"/>
              <w:rFonts w:ascii="Arial" w:hAnsi="Arial" w:cs="Arial"/>
              <w:szCs w:val="24"/>
            </w:rPr>
            <w:t>6. Conclusion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_Toc214881657 \h </w:instrText>
          </w:r>
          <w:r>
            <w:rPr>
              <w:rFonts w:ascii="Arial" w:hAnsi="Arial" w:cs="Arial"/>
              <w:szCs w:val="24"/>
            </w:rPr>
            <w:fldChar w:fldCharType="separate"/>
          </w:r>
          <w:r>
            <w:rPr>
              <w:rFonts w:ascii="Arial" w:hAnsi="Arial" w:cs="Arial"/>
              <w:szCs w:val="24"/>
            </w:rPr>
            <w:t>12</w:t>
          </w:r>
          <w:r>
            <w:rPr>
              <w:rFonts w:ascii="Arial" w:hAnsi="Arial" w:cs="Arial"/>
              <w:szCs w:val="24"/>
            </w:rPr>
            <w:fldChar w:fldCharType="end"/>
          </w:r>
          <w:r>
            <w:rPr>
              <w:rFonts w:ascii="Arial" w:hAnsi="Arial" w:cs="Arial"/>
              <w:szCs w:val="24"/>
            </w:rPr>
            <w:fldChar w:fldCharType="end"/>
          </w:r>
        </w:p>
        <w:p w14:paraId="215223C6">
          <w:pPr>
            <w:pStyle w:val="20"/>
            <w:tabs>
              <w:tab w:val="right" w:leader="dot" w:pos="9016"/>
            </w:tabs>
            <w:rPr>
              <w:rFonts w:ascii="Arial" w:hAnsi="Arial" w:cs="Arial"/>
              <w:szCs w:val="24"/>
            </w:rPr>
          </w:pPr>
          <w:r>
            <w:fldChar w:fldCharType="begin"/>
          </w:r>
          <w:r>
            <w:instrText xml:space="preserve"> HYPERLINK \l "_Toc214881658" </w:instrText>
          </w:r>
          <w:r>
            <w:fldChar w:fldCharType="separate"/>
          </w:r>
          <w:r>
            <w:rPr>
              <w:rStyle w:val="16"/>
              <w:rFonts w:ascii="Arial" w:hAnsi="Arial" w:cs="Arial"/>
              <w:szCs w:val="24"/>
            </w:rPr>
            <w:t>References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_Toc214881658 \h </w:instrText>
          </w:r>
          <w:r>
            <w:rPr>
              <w:rFonts w:ascii="Arial" w:hAnsi="Arial" w:cs="Arial"/>
              <w:szCs w:val="24"/>
            </w:rPr>
            <w:fldChar w:fldCharType="separate"/>
          </w:r>
          <w:r>
            <w:rPr>
              <w:rFonts w:ascii="Arial" w:hAnsi="Arial" w:cs="Arial"/>
              <w:szCs w:val="24"/>
            </w:rPr>
            <w:t>13</w:t>
          </w:r>
          <w:r>
            <w:rPr>
              <w:rFonts w:ascii="Arial" w:hAnsi="Arial" w:cs="Arial"/>
              <w:szCs w:val="24"/>
            </w:rPr>
            <w:fldChar w:fldCharType="end"/>
          </w:r>
          <w:r>
            <w:rPr>
              <w:rFonts w:ascii="Arial" w:hAnsi="Arial" w:cs="Arial"/>
              <w:szCs w:val="24"/>
            </w:rPr>
            <w:fldChar w:fldCharType="end"/>
          </w:r>
        </w:p>
        <w:p w14:paraId="67332A2F">
          <w:pPr>
            <w:pStyle w:val="20"/>
            <w:tabs>
              <w:tab w:val="right" w:leader="dot" w:pos="9016"/>
            </w:tabs>
            <w:rPr>
              <w:rFonts w:ascii="Arial" w:hAnsi="Arial" w:cs="Arial"/>
              <w:szCs w:val="24"/>
            </w:rPr>
          </w:pPr>
          <w:r>
            <w:fldChar w:fldCharType="begin"/>
          </w:r>
          <w:r>
            <w:instrText xml:space="preserve"> HYPERLINK \l "_Toc214881659" </w:instrText>
          </w:r>
          <w:r>
            <w:fldChar w:fldCharType="separate"/>
          </w:r>
          <w:r>
            <w:rPr>
              <w:rStyle w:val="16"/>
              <w:rFonts w:ascii="Arial" w:hAnsi="Arial" w:cs="Arial"/>
              <w:szCs w:val="24"/>
            </w:rPr>
            <w:t>Appendix</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_Toc214881659 \h </w:instrText>
          </w:r>
          <w:r>
            <w:rPr>
              <w:rFonts w:ascii="Arial" w:hAnsi="Arial" w:cs="Arial"/>
              <w:szCs w:val="24"/>
            </w:rPr>
            <w:fldChar w:fldCharType="separate"/>
          </w:r>
          <w:r>
            <w:rPr>
              <w:rFonts w:ascii="Arial" w:hAnsi="Arial" w:cs="Arial"/>
              <w:szCs w:val="24"/>
            </w:rPr>
            <w:t>15</w:t>
          </w:r>
          <w:r>
            <w:rPr>
              <w:rFonts w:ascii="Arial" w:hAnsi="Arial" w:cs="Arial"/>
              <w:szCs w:val="24"/>
            </w:rPr>
            <w:fldChar w:fldCharType="end"/>
          </w:r>
          <w:r>
            <w:rPr>
              <w:rFonts w:ascii="Arial" w:hAnsi="Arial" w:cs="Arial"/>
              <w:szCs w:val="24"/>
            </w:rPr>
            <w:fldChar w:fldCharType="end"/>
          </w:r>
        </w:p>
        <w:p w14:paraId="4ACA67E2">
          <w:pPr>
            <w:rPr>
              <w:rFonts w:ascii="Arial" w:hAnsi="Arial" w:cs="Arial"/>
              <w:szCs w:val="24"/>
            </w:rPr>
          </w:pPr>
          <w:r>
            <w:rPr>
              <w:rFonts w:ascii="Arial" w:hAnsi="Arial" w:cs="Arial"/>
              <w:b/>
              <w:bCs/>
              <w:szCs w:val="24"/>
            </w:rPr>
            <w:fldChar w:fldCharType="end"/>
          </w:r>
        </w:p>
      </w:sdtContent>
    </w:sdt>
    <w:p w14:paraId="5DD15F12">
      <w:pPr>
        <w:spacing w:after="160"/>
        <w:rPr>
          <w:rFonts w:ascii="Arial" w:hAnsi="Arial" w:cs="Arial" w:eastAsiaTheme="majorEastAsia"/>
          <w:b/>
          <w:szCs w:val="24"/>
        </w:rPr>
      </w:pPr>
      <w:r>
        <w:rPr>
          <w:rFonts w:ascii="Arial" w:hAnsi="Arial" w:cs="Arial"/>
          <w:szCs w:val="24"/>
        </w:rPr>
        <w:br w:type="page"/>
      </w:r>
    </w:p>
    <w:p w14:paraId="582FBB2F">
      <w:pPr>
        <w:pStyle w:val="2"/>
        <w:rPr>
          <w:rFonts w:ascii="Arial" w:hAnsi="Arial" w:cs="Arial"/>
          <w:szCs w:val="24"/>
        </w:rPr>
      </w:pPr>
      <w:bookmarkStart w:id="0" w:name="_Toc214881638"/>
      <w:r>
        <w:rPr>
          <w:rFonts w:ascii="Arial" w:hAnsi="Arial" w:cs="Arial"/>
          <w:szCs w:val="24"/>
        </w:rPr>
        <w:t>1. Introduction</w:t>
      </w:r>
      <w:bookmarkEnd w:id="0"/>
    </w:p>
    <w:p w14:paraId="3A2CE36D">
      <w:pPr>
        <w:pStyle w:val="3"/>
        <w:spacing w:line="360" w:lineRule="auto"/>
        <w:rPr>
          <w:rFonts w:ascii="Arial" w:hAnsi="Arial" w:cs="Arial"/>
          <w:szCs w:val="24"/>
        </w:rPr>
      </w:pPr>
      <w:bookmarkStart w:id="1" w:name="_Toc214881639"/>
      <w:r>
        <w:rPr>
          <w:rFonts w:ascii="Arial" w:hAnsi="Arial" w:cs="Arial"/>
          <w:szCs w:val="24"/>
        </w:rPr>
        <w:t>1.1 Company Overview</w:t>
      </w:r>
      <w:bookmarkEnd w:id="1"/>
    </w:p>
    <w:p w14:paraId="79E833F4">
      <w:pPr>
        <w:rPr>
          <w:rFonts w:ascii="Arial" w:hAnsi="Arial" w:cs="Arial"/>
          <w:szCs w:val="24"/>
        </w:rPr>
      </w:pPr>
      <w:r>
        <w:rPr>
          <w:rFonts w:ascii="Arial" w:hAnsi="Arial" w:cs="Arial"/>
          <w:szCs w:val="24"/>
        </w:rPr>
        <w:t xml:space="preserve">Microsoft Corporation is a multinational technology company, based in Redmond, Washington, which was started in 1975 and has a market capitalization of more than $3 trillion by the year 2025 (Patel, 2024). The company has diversification in its products on cloud computing software, collective productivity software (Microsoft 365), gaming systems (Xbox), professional networking software (LinkedIn), and artificial intelligence research and development (Remy et al., 2024). </w:t>
      </w:r>
    </w:p>
    <w:p w14:paraId="0AAABE07">
      <w:pPr>
        <w:rPr>
          <w:rFonts w:ascii="Arial" w:hAnsi="Arial" w:cs="Arial"/>
          <w:szCs w:val="24"/>
        </w:rPr>
      </w:pPr>
      <w:r>
        <w:rPr>
          <w:rFonts w:ascii="Arial" w:hAnsi="Arial" w:cs="Arial"/>
          <w:szCs w:val="24"/>
        </w:rPr>
        <w:drawing>
          <wp:inline distT="0" distB="0" distL="0" distR="0">
            <wp:extent cx="3228975" cy="1685925"/>
            <wp:effectExtent l="0" t="0" r="9525" b="9525"/>
            <wp:docPr id="1227048653" name="Picture 1" descr="What does the future hold for Microsoft? - Investment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48653" name="Picture 1" descr="What does the future hold for Microsoft? - Investment Monitor"/>
                    <pic:cNvPicPr>
                      <a:picLocks noChangeAspect="1" noChangeArrowheads="1"/>
                    </pic:cNvPicPr>
                  </pic:nvPicPr>
                  <pic:blipFill>
                    <a:blip r:embed="rId8" cstate="print">
                      <a:extLst>
                        <a:ext uri="{28A0092B-C50C-407E-A947-70E740481C1C}">
                          <a14:useLocalDpi xmlns:a14="http://schemas.microsoft.com/office/drawing/2010/main" val="0"/>
                        </a:ext>
                      </a:extLst>
                    </a:blip>
                    <a:srcRect l="7187" t="24176" r="5784" b="6787"/>
                    <a:stretch>
                      <a:fillRect/>
                    </a:stretch>
                  </pic:blipFill>
                  <pic:spPr>
                    <a:xfrm>
                      <a:off x="0" y="0"/>
                      <a:ext cx="3247547" cy="1695622"/>
                    </a:xfrm>
                    <a:prstGeom prst="rect">
                      <a:avLst/>
                    </a:prstGeom>
                    <a:noFill/>
                    <a:ln>
                      <a:noFill/>
                    </a:ln>
                  </pic:spPr>
                </pic:pic>
              </a:graphicData>
            </a:graphic>
          </wp:inline>
        </w:drawing>
      </w:r>
    </w:p>
    <w:p w14:paraId="2CF8396E">
      <w:pPr>
        <w:rPr>
          <w:rFonts w:ascii="Arial" w:hAnsi="Arial" w:cs="Arial"/>
          <w:szCs w:val="24"/>
        </w:rPr>
      </w:pPr>
      <w:r>
        <w:rPr>
          <w:rFonts w:ascii="Arial" w:hAnsi="Arial" w:cs="Arial"/>
          <w:szCs w:val="24"/>
        </w:rPr>
        <w:t>Figure 1: Microsoft</w:t>
      </w:r>
    </w:p>
    <w:p w14:paraId="6225B59E">
      <w:pPr>
        <w:rPr>
          <w:rFonts w:ascii="Arial" w:hAnsi="Arial" w:cs="Arial"/>
          <w:szCs w:val="24"/>
        </w:rPr>
      </w:pPr>
      <w:r>
        <w:rPr>
          <w:rFonts w:ascii="Arial" w:hAnsi="Arial" w:cs="Arial"/>
          <w:szCs w:val="24"/>
        </w:rPr>
        <w:t>Source: (Microsoft, 2025)</w:t>
      </w:r>
    </w:p>
    <w:p w14:paraId="7674D970">
      <w:pPr>
        <w:rPr>
          <w:rFonts w:ascii="Arial" w:hAnsi="Arial" w:cs="Arial"/>
          <w:szCs w:val="24"/>
        </w:rPr>
      </w:pPr>
      <w:r>
        <w:rPr>
          <w:rFonts w:ascii="Arial" w:hAnsi="Arial" w:cs="Arial"/>
          <w:szCs w:val="24"/>
        </w:rPr>
        <w:t xml:space="preserve">During the time of Satya Nadella leadership since 2014, Microsoft has managed to make a metamorphosis and become a cloud-first, AI-driven company. The 2024 financial year income of the company was 245 billion dollars, and cloud services were the quickest developing group (Remy et al., 2024). </w:t>
      </w:r>
    </w:p>
    <w:p w14:paraId="740050F7">
      <w:pPr>
        <w:pStyle w:val="3"/>
        <w:spacing w:line="360" w:lineRule="auto"/>
        <w:rPr>
          <w:rFonts w:ascii="Arial" w:hAnsi="Arial" w:cs="Arial"/>
          <w:szCs w:val="24"/>
        </w:rPr>
      </w:pPr>
      <w:bookmarkStart w:id="2" w:name="_Toc214881640"/>
      <w:r>
        <w:rPr>
          <w:rFonts w:ascii="Arial" w:hAnsi="Arial" w:cs="Arial"/>
          <w:szCs w:val="24"/>
        </w:rPr>
        <w:t>1.2 New Brand Concept Introduction</w:t>
      </w:r>
      <w:bookmarkEnd w:id="2"/>
    </w:p>
    <w:p w14:paraId="7E2D5507">
      <w:pPr>
        <w:rPr>
          <w:rFonts w:ascii="Arial" w:hAnsi="Arial" w:cs="Arial"/>
          <w:szCs w:val="24"/>
        </w:rPr>
      </w:pPr>
      <w:r>
        <w:rPr>
          <w:rFonts w:ascii="Arial" w:hAnsi="Arial" w:cs="Arial"/>
          <w:szCs w:val="24"/>
        </w:rPr>
        <w:t>Microsoft HealthSync is a radically new brand on the Microsoft ecosystem, a strategic move on entering the digital healthcare transformation market. The full package draws on the well-known capabilities of Microsoft in artificial intelligence, cloud systems, and enterprise software to deal with the most urgent issues of the healthcare industry, such as fragmented data systems, ineffective communication pathways, and restricted predictive health capabilities. HealthSync is compatible with already available Microsoft products, and it delivers independent value as AI-driven health forecasting, blockchain-secured electronic health records, telemedicine, and real-time data synchronization between healthcare stakeholders (Patel, 2024). The brand concept will directly address bootstrapped digital health adoption in the wake of the COVID-19 pandemic, and the increasing demands of consumers to have more personalized and technology-oriented healthcare experiences. HealthSync will enable Microsoft to take a strategic position in the market to secure a large market share in an industry that is changing its fundamental nature to be digital (Remy et al., 2024).</w:t>
      </w:r>
    </w:p>
    <w:p w14:paraId="223AF625">
      <w:pPr>
        <w:pStyle w:val="2"/>
        <w:rPr>
          <w:rFonts w:ascii="Arial" w:hAnsi="Arial" w:cs="Arial"/>
          <w:szCs w:val="24"/>
        </w:rPr>
      </w:pPr>
      <w:bookmarkStart w:id="3" w:name="_Toc214881641"/>
      <w:r>
        <w:rPr>
          <w:rFonts w:ascii="Arial" w:hAnsi="Arial" w:cs="Arial"/>
          <w:szCs w:val="24"/>
        </w:rPr>
        <w:t>2. Segmentation, Targeting, Differentiation, And Positioning (STDP) Analysis</w:t>
      </w:r>
      <w:bookmarkEnd w:id="3"/>
    </w:p>
    <w:p w14:paraId="2F929409">
      <w:pPr>
        <w:pStyle w:val="3"/>
        <w:spacing w:line="360" w:lineRule="auto"/>
        <w:rPr>
          <w:rFonts w:ascii="Arial" w:hAnsi="Arial" w:cs="Arial"/>
          <w:szCs w:val="24"/>
        </w:rPr>
      </w:pPr>
      <w:bookmarkStart w:id="4" w:name="_Toc214881642"/>
      <w:r>
        <w:rPr>
          <w:rFonts w:ascii="Arial" w:hAnsi="Arial" w:cs="Arial"/>
          <w:szCs w:val="24"/>
        </w:rPr>
        <w:t>2.1 Market Context and Emerging Trends</w:t>
      </w:r>
      <w:bookmarkEnd w:id="4"/>
    </w:p>
    <w:p w14:paraId="50E62D60">
      <w:pPr>
        <w:rPr>
          <w:rFonts w:ascii="Arial" w:hAnsi="Arial" w:cs="Arial"/>
          <w:szCs w:val="24"/>
        </w:rPr>
      </w:pPr>
      <w:r>
        <w:rPr>
          <w:rFonts w:ascii="Arial" w:hAnsi="Arial" w:cs="Arial"/>
          <w:szCs w:val="24"/>
        </w:rPr>
        <w:t xml:space="preserve">Digital health is witnessing unprecedented growth with increasing amounts of money being spent on it, making the projections that by 2030, the figure will be a whopping eight hundred billion dollars following aching growth rate of 27.7% growth annually. Such acceleration is indicative of the underlying transformational trends in the provision of healthcare (Syaeful, 2025). Virtual care has become the norm after the pandemic, and telehealth has grown by 154% during the same timeframe. There is also a change in patient expectations or expectations as 76% desire digital-first interaction (Blanchard and Atalay, 2022). The changes are supported by technological changes; Artificial intelligence-based diagnostic and predictive systems are up to 90% effective, and new clinical standards have been established. </w:t>
      </w:r>
    </w:p>
    <w:p w14:paraId="2967A60D">
      <w:pPr>
        <w:pStyle w:val="3"/>
        <w:spacing w:line="360" w:lineRule="auto"/>
        <w:rPr>
          <w:rFonts w:ascii="Arial" w:hAnsi="Arial" w:cs="Arial"/>
          <w:szCs w:val="24"/>
        </w:rPr>
      </w:pPr>
      <w:bookmarkStart w:id="5" w:name="_Toc214881643"/>
      <w:r>
        <w:rPr>
          <w:rFonts w:ascii="Arial" w:hAnsi="Arial" w:cs="Arial"/>
          <w:szCs w:val="24"/>
        </w:rPr>
        <w:t>2.2 Market Segmentation</w:t>
      </w:r>
      <w:bookmarkEnd w:id="5"/>
    </w:p>
    <w:p w14:paraId="085A02F7">
      <w:pPr>
        <w:rPr>
          <w:rFonts w:ascii="Arial" w:hAnsi="Arial" w:cs="Arial"/>
          <w:szCs w:val="24"/>
        </w:rPr>
      </w:pPr>
      <w:r>
        <w:rPr>
          <w:rFonts w:ascii="Arial" w:hAnsi="Arial" w:cs="Arial"/>
          <w:szCs w:val="24"/>
        </w:rPr>
        <w:t>Microsoft HealthSync uses multidimensional segmentation strategy that is inclusive of demographic, behavioral, technological and organizational attributes. The healthcare provider segment comprises of hospitals, medical centers, specialty clinics, and independent practices employing between 5 to 20 practitioners and large network of hospitals with more than 500,000 patients (Blanchard and Atalay, 2022). Their agendas are an improved approach to care coordination, regulatory conformity, operational effectiveness and streamlined revenue cycles. The customer group includes the population of health-sensitive professionals aged 25-55, the aged group in search of preventive treatment, chronically ill patients in need of regular check-ups and fitness oriented consumers (Syaeful, 2025). These consumers are big in terms of high digital adoption tendencies and have proactive health management. The insurance and payer segment consists of the private insurers, government schemes and company wellness administrators who are interested in data-driven risk assessment, frauds reduction, and more productive member engagement. The segments have individual motivations and value expectations and require a customized communication and product customization (Mogaji, 2025).</w:t>
      </w:r>
    </w:p>
    <w:p w14:paraId="003060BA">
      <w:pPr>
        <w:pStyle w:val="3"/>
        <w:spacing w:line="360" w:lineRule="auto"/>
        <w:rPr>
          <w:rFonts w:ascii="Arial" w:hAnsi="Arial" w:cs="Arial"/>
          <w:szCs w:val="24"/>
        </w:rPr>
      </w:pPr>
      <w:bookmarkStart w:id="6" w:name="_Toc214881644"/>
      <w:r>
        <w:rPr>
          <w:rFonts w:ascii="Arial" w:hAnsi="Arial" w:cs="Arial"/>
          <w:szCs w:val="24"/>
        </w:rPr>
        <w:t>2.3 Target Audience Selection</w:t>
      </w:r>
      <w:bookmarkEnd w:id="6"/>
    </w:p>
    <w:p w14:paraId="5AFB6C60">
      <w:pPr>
        <w:rPr>
          <w:rFonts w:ascii="Arial" w:hAnsi="Arial" w:cs="Arial"/>
          <w:szCs w:val="24"/>
        </w:rPr>
      </w:pPr>
      <w:r>
        <w:rPr>
          <w:rFonts w:ascii="Arial" w:hAnsi="Arial" w:cs="Arial"/>
          <w:szCs w:val="24"/>
        </w:rPr>
        <w:t>The targeting strategy of HealthSync is in the form of three high-value groups. Its main focus is medium-to-large healthcare facilities with 100-5,000 staff and gains of 50-2 billion, seeking out digital transformation in the wake of workforce limitations and increased expenditures in care delivery. The secondary one is a population of positive-income, urban, combative tech-focused professionals between 28 and 52 and with an income above 100,000 who care about maintaining health and getting high-quality digital experiences (Mogaji, 2025). Tertiary target involves progressive insurance companies and corporate wellness programmes with the population of more than 10,000, and are interested in advanced analytics to manage risk (Syaeful, 2025).</w:t>
      </w:r>
    </w:p>
    <w:p w14:paraId="7A79908A">
      <w:pPr>
        <w:pStyle w:val="3"/>
        <w:spacing w:line="360" w:lineRule="auto"/>
        <w:rPr>
          <w:rFonts w:ascii="Arial" w:hAnsi="Arial" w:cs="Arial"/>
          <w:szCs w:val="24"/>
        </w:rPr>
      </w:pPr>
      <w:bookmarkStart w:id="7" w:name="_Toc214881645"/>
      <w:r>
        <w:rPr>
          <w:rFonts w:ascii="Arial" w:hAnsi="Arial" w:cs="Arial"/>
          <w:szCs w:val="24"/>
        </w:rPr>
        <w:t>2.4 Differentiation Strategy</w:t>
      </w:r>
      <w:bookmarkEnd w:id="7"/>
    </w:p>
    <w:p w14:paraId="24AAFB6A">
      <w:pPr>
        <w:rPr>
          <w:rFonts w:ascii="Arial" w:hAnsi="Arial" w:cs="Arial"/>
          <w:szCs w:val="24"/>
        </w:rPr>
      </w:pPr>
      <w:r>
        <w:rPr>
          <w:rFonts w:ascii="Arial" w:hAnsi="Arial" w:cs="Arial"/>
          <w:szCs w:val="24"/>
        </w:rPr>
        <w:t>Technological leadership and integration into the ecosystem is the differentiator of Microsoft HealthSync. It is built on a 99.99% uptime platform created by Arizona with the help of Azure and uses advanced AI in the Microsoft Research team and blockchain-stabilized security to protect and interoperate with data in a way never seen before (Mogaji, 2025). The ability to integrate with Microsoft Teams, Office 365, and Power BI will provide customers with coherent workflows that are not available in their competitor products. The competitive advantage and the presence of nonstop innovation is further supported by the global nature of Microsoft, credibility in the industry, and investment of over 20 billion on R&amp;D each year (Syaeful, 2025).</w:t>
      </w:r>
    </w:p>
    <w:p w14:paraId="4E7BDFF5">
      <w:pPr>
        <w:pStyle w:val="3"/>
        <w:spacing w:line="360" w:lineRule="auto"/>
        <w:rPr>
          <w:rFonts w:ascii="Arial" w:hAnsi="Arial" w:cs="Arial"/>
          <w:szCs w:val="24"/>
        </w:rPr>
      </w:pPr>
      <w:bookmarkStart w:id="8" w:name="_Toc214881646"/>
      <w:r>
        <w:rPr>
          <w:rFonts w:ascii="Arial" w:hAnsi="Arial" w:cs="Arial"/>
          <w:szCs w:val="24"/>
        </w:rPr>
        <w:t>2.5 Positioning Strategy</w:t>
      </w:r>
      <w:bookmarkEnd w:id="8"/>
    </w:p>
    <w:p w14:paraId="014B9AAA">
      <w:pPr>
        <w:rPr>
          <w:rFonts w:ascii="Arial" w:hAnsi="Arial" w:cs="Arial"/>
          <w:szCs w:val="24"/>
        </w:rPr>
      </w:pPr>
      <w:r>
        <w:rPr>
          <w:rFonts w:ascii="Arial" w:hAnsi="Arial" w:cs="Arial"/>
          <w:szCs w:val="24"/>
        </w:rPr>
        <w:t>Microsoft HealthSync will be positioned as “The Powerful Healthcare Ecosystem Platform, which provides secure AI-driven information and integrated health information management. It is also intelligent, integrated and trustful in its positioning unlike the point solutions and the legacy systems. Predictable communication, the reliable language of design at Microsoft and a value proposition based on meaningful change in clinical results, cost-effectiveness and operational results reinforce its market presence (Blanchard and Atalay, 2022).</w:t>
      </w:r>
    </w:p>
    <w:p w14:paraId="4C792B5F">
      <w:pPr>
        <w:pStyle w:val="2"/>
        <w:rPr>
          <w:rFonts w:ascii="Arial" w:hAnsi="Arial" w:cs="Arial"/>
          <w:szCs w:val="24"/>
        </w:rPr>
      </w:pPr>
      <w:bookmarkStart w:id="9" w:name="_Toc214881647"/>
      <w:r>
        <w:rPr>
          <w:rFonts w:ascii="Arial" w:hAnsi="Arial" w:cs="Arial"/>
          <w:szCs w:val="24"/>
        </w:rPr>
        <w:t>3. Marketing Mix (4Ps)</w:t>
      </w:r>
      <w:bookmarkEnd w:id="9"/>
    </w:p>
    <w:p w14:paraId="5F81BD84">
      <w:pPr>
        <w:pStyle w:val="3"/>
        <w:spacing w:line="360" w:lineRule="auto"/>
        <w:rPr>
          <w:rFonts w:ascii="Arial" w:hAnsi="Arial" w:cs="Arial"/>
          <w:szCs w:val="24"/>
        </w:rPr>
      </w:pPr>
      <w:bookmarkStart w:id="10" w:name="_Toc214881648"/>
      <w:r>
        <w:rPr>
          <w:rFonts w:ascii="Arial" w:hAnsi="Arial" w:cs="Arial"/>
          <w:szCs w:val="24"/>
        </w:rPr>
        <w:t>3.1 Product</w:t>
      </w:r>
      <w:bookmarkEnd w:id="10"/>
    </w:p>
    <w:p w14:paraId="0A2585BC">
      <w:pPr>
        <w:rPr>
          <w:rFonts w:ascii="Arial" w:hAnsi="Arial" w:cs="Arial"/>
          <w:szCs w:val="24"/>
        </w:rPr>
      </w:pPr>
      <w:r>
        <w:rPr>
          <w:rFonts w:ascii="Arial" w:hAnsi="Arial" w:cs="Arial"/>
          <w:szCs w:val="24"/>
        </w:rPr>
        <w:t xml:space="preserve">Microsoft HealthSync is a fully oriented Software-as-a-Service (SaaS) solution that functions on three layers of connectivity that provide value to different groups of users. The Patient Experience level offers user-friendly mobile and web platforms with AI-driven symptom checkers that leverage natural language processing and machine learning to offer preliminary diagnoses with 87% accuracy, aggregated health records that combine data across numerous providers and wearable devices into personal health timelines secured with blockchain technology, telemedicine integration, which allows conducting a video session with a healthcare professional using Teams infrastructure, medication management, automatic drug prescriptions, and targeted wellness advice based on an analysis of biometrics data, activity logs, and health history (Goi, 2022). The Healthcare Provider layer provides enterprise- grade electronic health record (EHR) systems that are interoperability-compliant and externally analysis-based AI clinical decision support (CDS) tools that manage patient data against databases of medical literature (over 30 million clinical literature articles), provide clinical practice management tools (scheduling optimization, billing automation, and revenue cycle management), patient-at-risk identification (population health management dashboards) and collaboration tools (enabling care coordination on multidisciplinary teams) (Dominici, 2023). </w:t>
      </w:r>
    </w:p>
    <w:p w14:paraId="62D51B30">
      <w:pPr>
        <w:pStyle w:val="3"/>
        <w:spacing w:line="360" w:lineRule="auto"/>
        <w:rPr>
          <w:rFonts w:ascii="Arial" w:hAnsi="Arial" w:cs="Arial"/>
          <w:szCs w:val="24"/>
        </w:rPr>
      </w:pPr>
      <w:bookmarkStart w:id="11" w:name="_Toc214881649"/>
      <w:r>
        <w:rPr>
          <w:rFonts w:ascii="Arial" w:hAnsi="Arial" w:cs="Arial"/>
          <w:szCs w:val="24"/>
        </w:rPr>
        <w:t>3.2 Price</w:t>
      </w:r>
      <w:bookmarkEnd w:id="11"/>
    </w:p>
    <w:p w14:paraId="2480F2C8">
      <w:pPr>
        <w:rPr>
          <w:rFonts w:ascii="Arial" w:hAnsi="Arial" w:cs="Arial"/>
          <w:szCs w:val="24"/>
        </w:rPr>
      </w:pPr>
      <w:r>
        <w:rPr>
          <w:rFonts w:ascii="Arial" w:hAnsi="Arial" w:cs="Arial"/>
          <w:szCs w:val="24"/>
        </w:rPr>
        <w:t>Microsoft HealthSync is using advanced tiered pricing approaches in accordance with the customer segments and value delivery models. The pricing of healthcare providers is based on subscription plans at three tiers: Essential (499 per provider per month) which encompasses basic EHR features, telehealth functionality and basic support; Professional (1,299 per provider per month) which includes AI clinical decision support features, advanced analytics and standard support; and Enterprise (price varies based on requirements) providing full platform functionality, dedicated implementation and customization and priority support. Organizations implementing against 50 or more providers come at volume discounts of 15-30% (Goi, 2022). Individual consumer pricing uses freemium models that help customers access such basic features as personal health records, activity tracking, and symptom checkers without charge, which would trigger user base growth and data network effect, and premium subscriptions (14.99 a month, 149.99 a year) would unlock the use of AI health predictions, unlimited telemedicine consultations, advanced wellness analytics, and integration with high-end wearable devices. The pricing of insurance and corporate wellness is based on value-based schemes and pricing an insurance model with per-member-per-month rates of between 3.99 and 12.99 depending on the size of population of the members, the depth of analytics and the engagement functionality with performance guarantees that result in costs cut by delivering better population health results or through the cut in fees (Dominici, 2023).</w:t>
      </w:r>
    </w:p>
    <w:p w14:paraId="5BE9A843">
      <w:pPr>
        <w:rPr>
          <w:rFonts w:ascii="Arial" w:hAnsi="Arial" w:cs="Arial"/>
          <w:szCs w:val="24"/>
        </w:rPr>
      </w:pPr>
      <w:r>
        <w:rPr>
          <w:rFonts w:ascii="Arial" w:hAnsi="Arial" w:cs="Arial"/>
          <w:szCs w:val="24"/>
        </w:rPr>
        <w:drawing>
          <wp:inline distT="0" distB="0" distL="0" distR="0">
            <wp:extent cx="3914775" cy="2437765"/>
            <wp:effectExtent l="0" t="0" r="9525" b="635"/>
            <wp:docPr id="12188060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806016" name="Picture 3"/>
                    <pic:cNvPicPr>
                      <a:picLocks noChangeAspect="1" noChangeArrowheads="1"/>
                    </pic:cNvPicPr>
                  </pic:nvPicPr>
                  <pic:blipFill>
                    <a:blip r:embed="rId9">
                      <a:extLst>
                        <a:ext uri="{28A0092B-C50C-407E-A947-70E740481C1C}">
                          <a14:useLocalDpi xmlns:a14="http://schemas.microsoft.com/office/drawing/2010/main" val="0"/>
                        </a:ext>
                      </a:extLst>
                    </a:blip>
                    <a:srcRect l="9373" t="21455" r="6868" b="9001"/>
                    <a:stretch>
                      <a:fillRect/>
                    </a:stretch>
                  </pic:blipFill>
                  <pic:spPr>
                    <a:xfrm>
                      <a:off x="0" y="0"/>
                      <a:ext cx="3920294" cy="2441202"/>
                    </a:xfrm>
                    <a:prstGeom prst="rect">
                      <a:avLst/>
                    </a:prstGeom>
                    <a:noFill/>
                    <a:ln>
                      <a:noFill/>
                    </a:ln>
                  </pic:spPr>
                </pic:pic>
              </a:graphicData>
            </a:graphic>
          </wp:inline>
        </w:drawing>
      </w:r>
    </w:p>
    <w:p w14:paraId="52DA6B43">
      <w:pPr>
        <w:rPr>
          <w:rFonts w:ascii="Arial" w:hAnsi="Arial" w:cs="Arial"/>
          <w:szCs w:val="24"/>
        </w:rPr>
      </w:pPr>
      <w:r>
        <w:rPr>
          <w:rFonts w:ascii="Arial" w:hAnsi="Arial" w:cs="Arial"/>
          <w:szCs w:val="24"/>
        </w:rPr>
        <w:t>Figure 2: Marketing Mix (4Ps)</w:t>
      </w:r>
    </w:p>
    <w:p w14:paraId="40B9FF09">
      <w:pPr>
        <w:rPr>
          <w:rFonts w:ascii="Arial" w:hAnsi="Arial" w:cs="Arial"/>
          <w:szCs w:val="24"/>
        </w:rPr>
      </w:pPr>
      <w:r>
        <w:rPr>
          <w:rFonts w:ascii="Arial" w:hAnsi="Arial" w:cs="Arial"/>
          <w:szCs w:val="24"/>
        </w:rPr>
        <w:t>Source: (Nguyen, 2024)</w:t>
      </w:r>
    </w:p>
    <w:p w14:paraId="01EE9D2E">
      <w:pPr>
        <w:pStyle w:val="3"/>
        <w:spacing w:line="360" w:lineRule="auto"/>
        <w:rPr>
          <w:rFonts w:ascii="Arial" w:hAnsi="Arial" w:cs="Arial"/>
          <w:szCs w:val="24"/>
        </w:rPr>
      </w:pPr>
      <w:bookmarkStart w:id="12" w:name="_Toc214881650"/>
      <w:r>
        <w:rPr>
          <w:rFonts w:ascii="Arial" w:hAnsi="Arial" w:cs="Arial"/>
          <w:szCs w:val="24"/>
        </w:rPr>
        <w:t>3.3 Place</w:t>
      </w:r>
      <w:bookmarkEnd w:id="12"/>
    </w:p>
    <w:p w14:paraId="3A109BDE">
      <w:pPr>
        <w:rPr>
          <w:rFonts w:ascii="Arial" w:hAnsi="Arial" w:cs="Arial"/>
          <w:szCs w:val="24"/>
        </w:rPr>
      </w:pPr>
      <w:r>
        <w:rPr>
          <w:rFonts w:ascii="Arial" w:hAnsi="Arial" w:cs="Arial"/>
          <w:szCs w:val="24"/>
        </w:rPr>
        <w:t>The Microsoft HealthSync distribution represents the use of advanced omnichannel distribution strategies that can make distribution channels accessible to customers based on their preferences and segments. Direct sales channel implementation use HealthSync sales teams, focused on enterprise healthcare institutions under consultative selling models, with existing enterprise-level relationship with Microsoft, obtaining faster trust-building and implementation schedules, and using solution specialists who give technical demonstrations, implementation planning and ROI modeling (Dominici, 2023). In Phase One, geographic distribution will prioritize first launches in United States, United Kingdom, Canada, and Australia in 2026, and Phase Two launches in Western European markets, which encompass developed Asian markets, such as Japan, Singapore, and South Korea in 2027, and selective market entry in emerging countries, including India, Brazil, and United Arab Emirates in 2028, with market sequencing being based on rates of digital health adoption, maturity of the regulatory environment, level of healthcare spending, and current market presence and capabilities of Microsoft (Goi, 2022).</w:t>
      </w:r>
    </w:p>
    <w:p w14:paraId="2A38694C">
      <w:pPr>
        <w:pStyle w:val="3"/>
        <w:spacing w:line="360" w:lineRule="auto"/>
        <w:rPr>
          <w:rFonts w:ascii="Arial" w:hAnsi="Arial" w:cs="Arial"/>
          <w:szCs w:val="24"/>
        </w:rPr>
      </w:pPr>
      <w:bookmarkStart w:id="13" w:name="_Toc214881651"/>
      <w:r>
        <w:rPr>
          <w:rFonts w:ascii="Arial" w:hAnsi="Arial" w:cs="Arial"/>
          <w:szCs w:val="24"/>
        </w:rPr>
        <w:t>3.4 Promotion</w:t>
      </w:r>
      <w:bookmarkEnd w:id="13"/>
    </w:p>
    <w:p w14:paraId="5E97781E">
      <w:pPr>
        <w:rPr>
          <w:rFonts w:ascii="Arial" w:hAnsi="Arial" w:cs="Arial"/>
          <w:szCs w:val="24"/>
        </w:rPr>
      </w:pPr>
      <w:r>
        <w:rPr>
          <w:rFonts w:ascii="Arial" w:hAnsi="Arial" w:cs="Arial"/>
          <w:szCs w:val="24"/>
        </w:rPr>
        <w:t xml:space="preserve">Microsoft HealthSync marketing plans combine both offline and online efforts that provide complete awareness and demand building in the target markets. Digital marketing prioritizes search engine marketing of high intent key words such as healthcare management platform, AI health technology and content marketing producing thought leadership such as research reports on the trends in digital health, case studies on the success of implementation and later ROI realization, and educational webinars where healthcare decision-makers can attend attract attention (Goi, 2022). The standard methods of marketing will be the presence of the trade show within HIMSS Global Health Conference, Healthcare Information and Management Society events, and local healthcare IT conferences with demonstration booths, speaking spots, and networking receptions, print advertising in Healthcare IT News, Modern Healthcare, and Health Data Management publications with monthly readership of 250,000 healthcare executives, and direct mail delivery with personalized ROI calculators to reputable and interested healthcare organizations that have potential cost-saving applications (Dominici, 2023). The awareness created by PR is through press releases reporting launch of the product, partnering events, and milestone achievements among the customers; these are released via the leading healthcare and technology publications, executive thought leadership where Microsoft healthcare executives are featured in publications and conference keynote slots. </w:t>
      </w:r>
    </w:p>
    <w:p w14:paraId="4065BCA1">
      <w:pPr>
        <w:pStyle w:val="2"/>
        <w:rPr>
          <w:rFonts w:ascii="Arial" w:hAnsi="Arial" w:cs="Arial"/>
          <w:szCs w:val="24"/>
        </w:rPr>
      </w:pPr>
      <w:bookmarkStart w:id="14" w:name="_Toc214881652"/>
      <w:r>
        <w:rPr>
          <w:rFonts w:ascii="Arial" w:hAnsi="Arial" w:cs="Arial"/>
          <w:szCs w:val="24"/>
        </w:rPr>
        <w:t>4. Marketing Strategy Pitch</w:t>
      </w:r>
      <w:bookmarkEnd w:id="14"/>
      <w:r>
        <w:rPr>
          <w:rFonts w:ascii="Arial" w:hAnsi="Arial" w:cs="Arial"/>
          <w:szCs w:val="24"/>
        </w:rPr>
        <w:t xml:space="preserve"> </w:t>
      </w:r>
    </w:p>
    <w:p w14:paraId="40B08D80">
      <w:pPr>
        <w:rPr>
          <w:rFonts w:ascii="Arial" w:hAnsi="Arial" w:cs="Arial"/>
          <w:szCs w:val="24"/>
        </w:rPr>
      </w:pPr>
      <w:r>
        <w:rPr>
          <w:rFonts w:ascii="Arial" w:hAnsi="Arial" w:cs="Arial"/>
          <w:szCs w:val="24"/>
          <w14:ligatures w14:val="standardContextual"/>
        </w:rPr>
        <w:drawing>
          <wp:inline distT="0" distB="0" distL="0" distR="0">
            <wp:extent cx="4807585" cy="6800215"/>
            <wp:effectExtent l="0" t="0" r="0" b="635"/>
            <wp:docPr id="139338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8785"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18354" cy="6815948"/>
                    </a:xfrm>
                    <a:prstGeom prst="rect">
                      <a:avLst/>
                    </a:prstGeom>
                  </pic:spPr>
                </pic:pic>
              </a:graphicData>
            </a:graphic>
          </wp:inline>
        </w:drawing>
      </w:r>
    </w:p>
    <w:p w14:paraId="57C3565C">
      <w:pPr>
        <w:rPr>
          <w:rFonts w:ascii="Arial" w:hAnsi="Arial" w:cs="Arial"/>
          <w:szCs w:val="24"/>
        </w:rPr>
      </w:pPr>
      <w:r>
        <w:rPr>
          <w:rFonts w:ascii="Arial" w:hAnsi="Arial" w:cs="Arial"/>
          <w:szCs w:val="24"/>
        </w:rPr>
        <w:t>Figure 3: Marketing Strategy Pitch</w:t>
      </w:r>
    </w:p>
    <w:p w14:paraId="5031496E">
      <w:pPr>
        <w:pStyle w:val="2"/>
        <w:rPr>
          <w:rFonts w:ascii="Arial" w:hAnsi="Arial" w:cs="Arial"/>
          <w:szCs w:val="24"/>
        </w:rPr>
      </w:pPr>
      <w:bookmarkStart w:id="15" w:name="_Toc214881653"/>
      <w:r>
        <w:rPr>
          <w:rFonts w:ascii="Arial" w:hAnsi="Arial" w:cs="Arial"/>
          <w:szCs w:val="24"/>
        </w:rPr>
        <w:t>5. Reflection</w:t>
      </w:r>
      <w:bookmarkEnd w:id="15"/>
    </w:p>
    <w:p w14:paraId="0DDAEA50">
      <w:pPr>
        <w:pStyle w:val="3"/>
        <w:spacing w:line="360" w:lineRule="auto"/>
        <w:rPr>
          <w:rFonts w:ascii="Arial" w:hAnsi="Arial" w:cs="Arial"/>
          <w:szCs w:val="24"/>
        </w:rPr>
      </w:pPr>
      <w:bookmarkStart w:id="16" w:name="_Toc214881654"/>
      <w:r>
        <w:rPr>
          <w:rFonts w:ascii="Arial" w:hAnsi="Arial" w:cs="Arial"/>
          <w:szCs w:val="24"/>
        </w:rPr>
        <w:t>5.1 Brand Development Experience</w:t>
      </w:r>
      <w:bookmarkEnd w:id="16"/>
    </w:p>
    <w:p w14:paraId="029DA11B">
      <w:pPr>
        <w:rPr>
          <w:rFonts w:ascii="Arial" w:hAnsi="Arial" w:cs="Arial"/>
          <w:szCs w:val="24"/>
        </w:rPr>
      </w:pPr>
      <w:r>
        <w:rPr>
          <w:rFonts w:ascii="Arial" w:hAnsi="Arial" w:cs="Arial"/>
          <w:szCs w:val="24"/>
        </w:rPr>
        <w:t xml:space="preserve">Creating the Microsoft HealthSync brand idea gave invaluable experience in regard to what strategic brand development entails and how complicated introducing new services or offerings into an already developed business ecosystem can be. The experience elucidated the vital role of extensive market research and trends analysis in identification of potential opportunity availability since first idea concepts couldn’t be fully employed without further narrowing down once the dynamics of the competition and the needs of the customers were known to be different than the presumed ideas (Khan and Rahman, 2024). The segmentation analysis of a full studied basis made it clear that there was a need to shift beyond demographic categorization to a psychographic drives, behavioural pattern and organizational decision making process behind the purchase decisions. The STDP framework was particularly useful in designing strategic thinking, but the replication of these ideas into a complex B2B2C design model that fulfills the needs of healthcare which include insurers and individual consumers at once created the difficulty of the stability of the coherent positioning and, at the same time, the demand of various stakeholders (Clatworthy, 2022). </w:t>
      </w:r>
    </w:p>
    <w:p w14:paraId="35165033">
      <w:pPr>
        <w:pStyle w:val="3"/>
        <w:spacing w:line="360" w:lineRule="auto"/>
        <w:rPr>
          <w:rFonts w:ascii="Arial" w:hAnsi="Arial" w:cs="Arial"/>
          <w:szCs w:val="24"/>
        </w:rPr>
      </w:pPr>
      <w:bookmarkStart w:id="17" w:name="_Toc214881655"/>
      <w:r>
        <w:rPr>
          <w:rFonts w:ascii="Arial" w:hAnsi="Arial" w:cs="Arial"/>
          <w:szCs w:val="24"/>
        </w:rPr>
        <w:t>5.2 Marketing Strategy Creation Insights</w:t>
      </w:r>
      <w:bookmarkEnd w:id="17"/>
    </w:p>
    <w:p w14:paraId="6E7F853C">
      <w:pPr>
        <w:rPr>
          <w:rFonts w:ascii="Arial" w:hAnsi="Arial" w:cs="Arial"/>
          <w:szCs w:val="24"/>
        </w:rPr>
      </w:pPr>
      <w:r>
        <w:rPr>
          <w:rFonts w:ascii="Arial" w:hAnsi="Arial" w:cs="Arial"/>
          <w:szCs w:val="24"/>
        </w:rPr>
        <w:t xml:space="preserve">The formation of the overall marketing mix of Microsoft HealthSync helped to see that all marketing strategy decisions should be interdependent and that all aspects require internal consistency. Understanding the healthcare industry processes and regulatory guidelines, and how a product would be used necessitated a profound grasp of user experience, as well as challenges in change management and the complicated nature of integrating the product, suitability of the product to the healthcare system (Khan and Rahman, 2024). Development of pricing strategy helped to underline the tensions between market penetration targets based on aggressive pricing, value capture targets based on the need to position oneself at a premium, and competition issues based on the need to conduct prudent benchmarking. The process laid insusing importance on pricing as a strategic instrument that will communicate the sense of value other than merely recap the expenses. The process of distribution strategy development showed that such criteria as channel selection needs to be identical to customer preferences and their buying actions, and the enterprise healthcare organization demands consultation during direct sales, and the individual consumer demands frictionless online interactions (Josko, 2024). </w:t>
      </w:r>
    </w:p>
    <w:p w14:paraId="6641563C">
      <w:pPr>
        <w:pStyle w:val="3"/>
        <w:spacing w:line="360" w:lineRule="auto"/>
        <w:rPr>
          <w:rFonts w:ascii="Arial" w:hAnsi="Arial" w:cs="Arial"/>
          <w:szCs w:val="24"/>
        </w:rPr>
      </w:pPr>
      <w:bookmarkStart w:id="18" w:name="_Toc214881656"/>
      <w:r>
        <w:rPr>
          <w:rFonts w:ascii="Arial" w:hAnsi="Arial" w:cs="Arial"/>
          <w:szCs w:val="24"/>
        </w:rPr>
        <w:t>5.3 Future Development Opportunities</w:t>
      </w:r>
      <w:bookmarkEnd w:id="18"/>
    </w:p>
    <w:p w14:paraId="76C373E3">
      <w:pPr>
        <w:rPr>
          <w:rFonts w:ascii="Arial" w:hAnsi="Arial" w:cs="Arial"/>
          <w:szCs w:val="24"/>
        </w:rPr>
      </w:pPr>
      <w:r>
        <w:rPr>
          <w:rFonts w:ascii="Arial" w:hAnsi="Arial" w:cs="Arial"/>
          <w:szCs w:val="24"/>
        </w:rPr>
        <w:t xml:space="preserve">This experience in my portfolio revealed that there are still a few areas to improve the marketing strategy capabilities. Enhancing the competencies of quantitative analysis would facilitate the facilitation of more advanced market sizing, financial modeling and calculation of ROI to aid the formulation of a business case. Increasing industry-sensitive knowledge within such areas as healthcare, financial services and other improve upon the capacity to create context based strategies to unique compliance, operations and competitive forces (Clatworthy, 2022). Work-based experience such as internship or projects would be beneficial in seeing the challenges of strategy implementation that are not usually foreseen in the purely theoretical work. Having more sophisticated digital marketing (such as search engine optimization, programmatic advertising, and marketing automation) would improve the formation of the promotional strategies in the market that is becoming more digital-first (Khan and Rahman, 2024). </w:t>
      </w:r>
    </w:p>
    <w:p w14:paraId="4341D017">
      <w:pPr>
        <w:pStyle w:val="2"/>
        <w:rPr>
          <w:rFonts w:ascii="Arial" w:hAnsi="Arial" w:cs="Arial"/>
          <w:szCs w:val="24"/>
        </w:rPr>
      </w:pPr>
      <w:bookmarkStart w:id="19" w:name="_Toc214881657"/>
      <w:r>
        <w:rPr>
          <w:rFonts w:ascii="Arial" w:hAnsi="Arial" w:cs="Arial"/>
          <w:szCs w:val="24"/>
        </w:rPr>
        <w:t>6. Conclusion</w:t>
      </w:r>
      <w:bookmarkEnd w:id="19"/>
    </w:p>
    <w:p w14:paraId="0CEFD808">
      <w:pPr>
        <w:rPr>
          <w:rFonts w:ascii="Arial" w:hAnsi="Arial" w:cs="Arial"/>
          <w:szCs w:val="24"/>
        </w:rPr>
      </w:pPr>
      <w:r>
        <w:rPr>
          <w:rFonts w:ascii="Arial" w:hAnsi="Arial" w:cs="Arial"/>
          <w:szCs w:val="24"/>
        </w:rPr>
        <w:t>This portfolio has showcased a holistic approach to brand development of Microsoft HealthSync that shows an organized implementation of marketing models in generation of new brand ideas in existing organizational settings. The strategy, through the application of strict STDP analysis, determines viable target segments, a clear differentiation of Microsoft which has distinct strengths and places HealthSync in the right position in the game of competitive competitive market places. The full 4Ps marketing mix offers practical implementation remedy in relation to product development, pricing strategy, distribution strategies, promotional strategies, people needs, process optimization, and physical evidence development.</w:t>
      </w:r>
    </w:p>
    <w:p w14:paraId="680447D6">
      <w:pPr>
        <w:spacing w:after="160"/>
        <w:rPr>
          <w:rFonts w:ascii="Arial" w:hAnsi="Arial" w:cs="Arial"/>
          <w:szCs w:val="24"/>
        </w:rPr>
      </w:pPr>
      <w:r>
        <w:rPr>
          <w:rFonts w:ascii="Arial" w:hAnsi="Arial" w:cs="Arial"/>
          <w:szCs w:val="24"/>
        </w:rPr>
        <w:br w:type="page"/>
      </w:r>
    </w:p>
    <w:p w14:paraId="752BF767">
      <w:pPr>
        <w:pStyle w:val="2"/>
        <w:rPr>
          <w:rFonts w:ascii="Arial" w:hAnsi="Arial" w:cs="Arial"/>
          <w:szCs w:val="24"/>
        </w:rPr>
      </w:pPr>
      <w:bookmarkStart w:id="20" w:name="_Toc214881658"/>
      <w:r>
        <w:rPr>
          <w:rFonts w:ascii="Arial" w:hAnsi="Arial" w:cs="Arial"/>
          <w:szCs w:val="24"/>
        </w:rPr>
        <w:t>References</w:t>
      </w:r>
      <w:bookmarkEnd w:id="20"/>
      <w:r>
        <w:rPr>
          <w:rFonts w:ascii="Arial" w:hAnsi="Arial" w:cs="Arial"/>
          <w:szCs w:val="24"/>
        </w:rPr>
        <w:t xml:space="preserve"> </w:t>
      </w:r>
    </w:p>
    <w:p w14:paraId="175BD46F">
      <w:pPr>
        <w:pStyle w:val="17"/>
        <w:spacing w:before="0" w:beforeAutospacing="0" w:after="240" w:afterAutospacing="0" w:line="360" w:lineRule="auto"/>
        <w:jc w:val="both"/>
        <w:rPr>
          <w:rFonts w:ascii="Arial" w:hAnsi="Arial" w:cs="Arial"/>
        </w:rPr>
      </w:pPr>
      <w:r>
        <w:rPr>
          <w:rFonts w:ascii="Arial" w:hAnsi="Arial" w:cs="Arial"/>
        </w:rPr>
        <w:t xml:space="preserve">Blanchard, S.J. and Atalay, A.S. (2022). A new spatial classification methodology for simultaneous segmentation, targeting, and positioning (STP analysis) for marketing research. </w:t>
      </w:r>
      <w:r>
        <w:rPr>
          <w:rFonts w:ascii="Arial" w:hAnsi="Arial" w:cs="Arial"/>
          <w:i/>
          <w:iCs/>
        </w:rPr>
        <w:t>Review of Marketing Research</w:t>
      </w:r>
      <w:r>
        <w:rPr>
          <w:rFonts w:ascii="Arial" w:hAnsi="Arial" w:cs="Arial"/>
        </w:rPr>
        <w:t xml:space="preserve">, 5, pp.75–103. doi: </w:t>
      </w:r>
      <w:r>
        <w:fldChar w:fldCharType="begin"/>
      </w:r>
      <w:r>
        <w:instrText xml:space="preserve"> HYPERLINK "https://doi.org/10.4324/9781351550901-4" </w:instrText>
      </w:r>
      <w:r>
        <w:fldChar w:fldCharType="separate"/>
      </w:r>
      <w:r>
        <w:rPr>
          <w:rStyle w:val="16"/>
          <w:rFonts w:ascii="Arial" w:hAnsi="Arial" w:cs="Arial"/>
        </w:rPr>
        <w:t>https://doi.org/10.4324/9781351550901-4</w:t>
      </w:r>
      <w:r>
        <w:rPr>
          <w:rStyle w:val="16"/>
          <w:rFonts w:ascii="Arial" w:hAnsi="Arial" w:cs="Arial"/>
        </w:rPr>
        <w:fldChar w:fldCharType="end"/>
      </w:r>
      <w:r>
        <w:rPr>
          <w:rFonts w:ascii="Arial" w:hAnsi="Arial" w:cs="Arial"/>
        </w:rPr>
        <w:t xml:space="preserve">. </w:t>
      </w:r>
    </w:p>
    <w:p w14:paraId="38F15322">
      <w:pPr>
        <w:pStyle w:val="17"/>
        <w:spacing w:before="0" w:beforeAutospacing="0" w:after="240" w:afterAutospacing="0" w:line="360" w:lineRule="auto"/>
        <w:jc w:val="both"/>
        <w:rPr>
          <w:rFonts w:ascii="Arial" w:hAnsi="Arial" w:cs="Arial"/>
        </w:rPr>
      </w:pPr>
      <w:r>
        <w:rPr>
          <w:rFonts w:ascii="Arial" w:hAnsi="Arial" w:cs="Arial"/>
        </w:rPr>
        <w:t xml:space="preserve">Clatworthy, S. (2022). Bridging the gap between brand strategy and customer experience. </w:t>
      </w:r>
      <w:r>
        <w:rPr>
          <w:rFonts w:ascii="Arial" w:hAnsi="Arial" w:cs="Arial"/>
          <w:i/>
          <w:iCs/>
        </w:rPr>
        <w:t>Managing Service Quality: An International Journal</w:t>
      </w:r>
      <w:r>
        <w:rPr>
          <w:rFonts w:ascii="Arial" w:hAnsi="Arial" w:cs="Arial"/>
        </w:rPr>
        <w:t xml:space="preserve">, [online] 22(2), pp.108–127. doi: </w:t>
      </w:r>
      <w:r>
        <w:fldChar w:fldCharType="begin"/>
      </w:r>
      <w:r>
        <w:instrText xml:space="preserve"> HYPERLINK "https://doi.org/10.1108/09604521211218936" </w:instrText>
      </w:r>
      <w:r>
        <w:fldChar w:fldCharType="separate"/>
      </w:r>
      <w:r>
        <w:rPr>
          <w:rStyle w:val="16"/>
          <w:rFonts w:ascii="Arial" w:hAnsi="Arial" w:cs="Arial"/>
        </w:rPr>
        <w:t>https://doi.org/10.1108/09604521211218936</w:t>
      </w:r>
      <w:r>
        <w:rPr>
          <w:rStyle w:val="16"/>
          <w:rFonts w:ascii="Arial" w:hAnsi="Arial" w:cs="Arial"/>
        </w:rPr>
        <w:fldChar w:fldCharType="end"/>
      </w:r>
      <w:r>
        <w:rPr>
          <w:rFonts w:ascii="Arial" w:hAnsi="Arial" w:cs="Arial"/>
        </w:rPr>
        <w:t xml:space="preserve">. </w:t>
      </w:r>
    </w:p>
    <w:p w14:paraId="1D0F0AA8">
      <w:pPr>
        <w:pStyle w:val="17"/>
        <w:spacing w:before="0" w:beforeAutospacing="0" w:after="240" w:afterAutospacing="0" w:line="360" w:lineRule="auto"/>
        <w:jc w:val="both"/>
        <w:rPr>
          <w:rFonts w:ascii="Arial" w:hAnsi="Arial" w:cs="Arial"/>
        </w:rPr>
      </w:pPr>
      <w:r>
        <w:rPr>
          <w:rFonts w:ascii="Arial" w:hAnsi="Arial" w:cs="Arial"/>
        </w:rPr>
        <w:t xml:space="preserve">Dominici, G. (2023). </w:t>
      </w:r>
      <w:r>
        <w:rPr>
          <w:rFonts w:ascii="Arial" w:hAnsi="Arial" w:cs="Arial"/>
          <w:i/>
          <w:iCs/>
        </w:rPr>
        <w:t>From Marketing Mix to E-Marketing Mix: a Literature Overview and Classification</w:t>
      </w:r>
      <w:r>
        <w:rPr>
          <w:rFonts w:ascii="Arial" w:hAnsi="Arial" w:cs="Arial"/>
        </w:rPr>
        <w:t xml:space="preserve">. [online] International Journal of Business and Management. doi: </w:t>
      </w:r>
      <w:r>
        <w:fldChar w:fldCharType="begin"/>
      </w:r>
      <w:r>
        <w:instrText xml:space="preserve"> HYPERLINK "https://papers.ssrn.com/sol3/papers.cfm?abstract_id=1961974" </w:instrText>
      </w:r>
      <w:r>
        <w:fldChar w:fldCharType="separate"/>
      </w:r>
      <w:r>
        <w:rPr>
          <w:rStyle w:val="16"/>
          <w:rFonts w:ascii="Arial" w:hAnsi="Arial" w:cs="Arial"/>
        </w:rPr>
        <w:t>https://papers.ssrn.com/sol3/papers.cfm?abstract_id=1961974</w:t>
      </w:r>
      <w:r>
        <w:rPr>
          <w:rStyle w:val="16"/>
          <w:rFonts w:ascii="Arial" w:hAnsi="Arial" w:cs="Arial"/>
        </w:rPr>
        <w:fldChar w:fldCharType="end"/>
      </w:r>
      <w:r>
        <w:rPr>
          <w:rFonts w:ascii="Arial" w:hAnsi="Arial" w:cs="Arial"/>
        </w:rPr>
        <w:t xml:space="preserve">. </w:t>
      </w:r>
    </w:p>
    <w:p w14:paraId="6518978F">
      <w:pPr>
        <w:pStyle w:val="17"/>
        <w:spacing w:before="0" w:beforeAutospacing="0" w:after="240" w:afterAutospacing="0" w:line="360" w:lineRule="auto"/>
        <w:jc w:val="both"/>
        <w:rPr>
          <w:rFonts w:ascii="Arial" w:hAnsi="Arial" w:cs="Arial"/>
        </w:rPr>
      </w:pPr>
      <w:r>
        <w:rPr>
          <w:rFonts w:ascii="Arial" w:hAnsi="Arial" w:cs="Arial"/>
        </w:rPr>
        <w:t xml:space="preserve">Goi, C.L. (2022). A review of marketing mix: 4Ps or more? </w:t>
      </w:r>
      <w:r>
        <w:rPr>
          <w:rFonts w:ascii="Arial" w:hAnsi="Arial" w:cs="Arial"/>
          <w:i/>
          <w:iCs/>
        </w:rPr>
        <w:t>International Journal of Marketing Studies</w:t>
      </w:r>
      <w:r>
        <w:rPr>
          <w:rFonts w:ascii="Arial" w:hAnsi="Arial" w:cs="Arial"/>
        </w:rPr>
        <w:t xml:space="preserve">, [online] 1(1), pp.1–4. doi: </w:t>
      </w:r>
      <w:r>
        <w:fldChar w:fldCharType="begin"/>
      </w:r>
      <w:r>
        <w:instrText xml:space="preserve"> HYPERLINK "https://pdfs.semanticscholar.org/006a/f4780f1cff9f7075ab5b7073f4cebb32c3d5.pdf/1000" </w:instrText>
      </w:r>
      <w:r>
        <w:fldChar w:fldCharType="separate"/>
      </w:r>
      <w:r>
        <w:rPr>
          <w:rStyle w:val="16"/>
          <w:rFonts w:ascii="Arial" w:hAnsi="Arial" w:cs="Arial"/>
        </w:rPr>
        <w:t>https://pdfs.semanticscholar.org/006a/f4780f1cff9f7075ab5b7073f4cebb32c3d5.pdf/1000</w:t>
      </w:r>
      <w:r>
        <w:rPr>
          <w:rStyle w:val="16"/>
          <w:rFonts w:ascii="Arial" w:hAnsi="Arial" w:cs="Arial"/>
        </w:rPr>
        <w:fldChar w:fldCharType="end"/>
      </w:r>
      <w:r>
        <w:rPr>
          <w:rFonts w:ascii="Arial" w:hAnsi="Arial" w:cs="Arial"/>
        </w:rPr>
        <w:t xml:space="preserve">. </w:t>
      </w:r>
    </w:p>
    <w:p w14:paraId="7B7B428E">
      <w:pPr>
        <w:pStyle w:val="17"/>
        <w:spacing w:before="0" w:beforeAutospacing="0" w:after="240" w:afterAutospacing="0" w:line="360" w:lineRule="auto"/>
        <w:jc w:val="both"/>
        <w:rPr>
          <w:rFonts w:ascii="Arial" w:hAnsi="Arial" w:cs="Arial"/>
        </w:rPr>
      </w:pPr>
      <w:r>
        <w:rPr>
          <w:rFonts w:ascii="Arial" w:hAnsi="Arial" w:cs="Arial"/>
        </w:rPr>
        <w:t xml:space="preserve">Josko (2024). </w:t>
      </w:r>
      <w:r>
        <w:rPr>
          <w:rFonts w:ascii="Arial" w:hAnsi="Arial" w:cs="Arial"/>
          <w:i/>
          <w:iCs/>
        </w:rPr>
        <w:t>Development of the brand experience scale</w:t>
      </w:r>
      <w:r>
        <w:rPr>
          <w:rFonts w:ascii="Arial" w:hAnsi="Arial" w:cs="Arial"/>
        </w:rPr>
        <w:t xml:space="preserve">. [online] Academia.edu. doi: </w:t>
      </w:r>
      <w:r>
        <w:fldChar w:fldCharType="begin"/>
      </w:r>
      <w:r>
        <w:instrText xml:space="preserve"> HYPERLINK "https://www.academia.edu/download/118452776/500272_101092_v3.pdf" </w:instrText>
      </w:r>
      <w:r>
        <w:fldChar w:fldCharType="separate"/>
      </w:r>
      <w:r>
        <w:rPr>
          <w:rStyle w:val="16"/>
          <w:rFonts w:ascii="Arial" w:hAnsi="Arial" w:cs="Arial"/>
        </w:rPr>
        <w:t>https://www.academia.edu/download/118452776/500272_101092_v3.pdf</w:t>
      </w:r>
      <w:r>
        <w:rPr>
          <w:rStyle w:val="16"/>
          <w:rFonts w:ascii="Arial" w:hAnsi="Arial" w:cs="Arial"/>
        </w:rPr>
        <w:fldChar w:fldCharType="end"/>
      </w:r>
      <w:r>
        <w:rPr>
          <w:rFonts w:ascii="Arial" w:hAnsi="Arial" w:cs="Arial"/>
        </w:rPr>
        <w:t xml:space="preserve"> </w:t>
      </w:r>
    </w:p>
    <w:p w14:paraId="42B53A38">
      <w:pPr>
        <w:pStyle w:val="17"/>
        <w:spacing w:before="0" w:beforeAutospacing="0" w:after="240" w:afterAutospacing="0" w:line="360" w:lineRule="auto"/>
        <w:jc w:val="both"/>
        <w:rPr>
          <w:rFonts w:ascii="Arial" w:hAnsi="Arial" w:cs="Arial"/>
        </w:rPr>
      </w:pPr>
      <w:r>
        <w:rPr>
          <w:rFonts w:ascii="Arial" w:hAnsi="Arial" w:cs="Arial"/>
        </w:rPr>
        <w:t xml:space="preserve">Khan, I. and Rahman, Z. (2024). Retail brand experience: scale development and validation. </w:t>
      </w:r>
      <w:r>
        <w:rPr>
          <w:rFonts w:ascii="Arial" w:hAnsi="Arial" w:cs="Arial"/>
          <w:i/>
          <w:iCs/>
        </w:rPr>
        <w:t>Journal of Product &amp; Brand Management</w:t>
      </w:r>
      <w:r>
        <w:rPr>
          <w:rFonts w:ascii="Arial" w:hAnsi="Arial" w:cs="Arial"/>
        </w:rPr>
        <w:t xml:space="preserve">, 25(5), pp.435–451. doi: </w:t>
      </w:r>
      <w:r>
        <w:fldChar w:fldCharType="begin"/>
      </w:r>
      <w:r>
        <w:instrText xml:space="preserve"> HYPERLINK "https://doi.org/10.1108/jpbm-07-2015-0943" </w:instrText>
      </w:r>
      <w:r>
        <w:fldChar w:fldCharType="separate"/>
      </w:r>
      <w:r>
        <w:rPr>
          <w:rStyle w:val="16"/>
          <w:rFonts w:ascii="Arial" w:hAnsi="Arial" w:cs="Arial"/>
        </w:rPr>
        <w:t>https://doi.org/10.1108/jpbm-07-2015-0943</w:t>
      </w:r>
      <w:r>
        <w:rPr>
          <w:rStyle w:val="16"/>
          <w:rFonts w:ascii="Arial" w:hAnsi="Arial" w:cs="Arial"/>
        </w:rPr>
        <w:fldChar w:fldCharType="end"/>
      </w:r>
      <w:r>
        <w:rPr>
          <w:rFonts w:ascii="Arial" w:hAnsi="Arial" w:cs="Arial"/>
        </w:rPr>
        <w:t xml:space="preserve">. </w:t>
      </w:r>
    </w:p>
    <w:p w14:paraId="3D876144">
      <w:pPr>
        <w:pStyle w:val="17"/>
        <w:spacing w:before="0" w:beforeAutospacing="0" w:after="240" w:afterAutospacing="0" w:line="360" w:lineRule="auto"/>
        <w:jc w:val="both"/>
        <w:rPr>
          <w:rFonts w:ascii="Arial" w:hAnsi="Arial" w:cs="Arial"/>
        </w:rPr>
      </w:pPr>
      <w:r>
        <w:rPr>
          <w:rFonts w:ascii="Arial" w:hAnsi="Arial" w:cs="Arial"/>
        </w:rPr>
        <w:t xml:space="preserve">Microsoft (2025). </w:t>
      </w:r>
      <w:r>
        <w:rPr>
          <w:rFonts w:ascii="Arial" w:hAnsi="Arial" w:cs="Arial"/>
          <w:i/>
          <w:iCs/>
        </w:rPr>
        <w:t>Microsoft - Official Home Page</w:t>
      </w:r>
      <w:r>
        <w:rPr>
          <w:rFonts w:ascii="Arial" w:hAnsi="Arial" w:cs="Arial"/>
        </w:rPr>
        <w:t xml:space="preserve">. [online] www.microsoft.com. doi: </w:t>
      </w:r>
      <w:r>
        <w:fldChar w:fldCharType="begin"/>
      </w:r>
      <w:r>
        <w:instrText xml:space="preserve"> HYPERLINK "https://www.microsoft.com/en-in" </w:instrText>
      </w:r>
      <w:r>
        <w:fldChar w:fldCharType="separate"/>
      </w:r>
      <w:r>
        <w:rPr>
          <w:rStyle w:val="16"/>
          <w:rFonts w:ascii="Arial" w:hAnsi="Arial" w:cs="Arial"/>
        </w:rPr>
        <w:t>https://www.microsoft.com/en-in</w:t>
      </w:r>
      <w:r>
        <w:rPr>
          <w:rStyle w:val="16"/>
          <w:rFonts w:ascii="Arial" w:hAnsi="Arial" w:cs="Arial"/>
        </w:rPr>
        <w:fldChar w:fldCharType="end"/>
      </w:r>
      <w:r>
        <w:rPr>
          <w:rFonts w:ascii="Arial" w:hAnsi="Arial" w:cs="Arial"/>
        </w:rPr>
        <w:t xml:space="preserve">. </w:t>
      </w:r>
    </w:p>
    <w:p w14:paraId="0DAB4F43">
      <w:pPr>
        <w:pStyle w:val="17"/>
        <w:spacing w:before="0" w:beforeAutospacing="0" w:after="240" w:afterAutospacing="0" w:line="360" w:lineRule="auto"/>
        <w:jc w:val="both"/>
        <w:rPr>
          <w:rFonts w:ascii="Arial" w:hAnsi="Arial" w:cs="Arial"/>
        </w:rPr>
      </w:pPr>
      <w:r>
        <w:rPr>
          <w:rFonts w:ascii="Arial" w:hAnsi="Arial" w:cs="Arial"/>
        </w:rPr>
        <w:t xml:space="preserve">Mogaji, E. (2025). Market Segmentation, Targeting, and Positioning. </w:t>
      </w:r>
      <w:r>
        <w:rPr>
          <w:rFonts w:ascii="Arial" w:hAnsi="Arial" w:cs="Arial"/>
          <w:i/>
          <w:iCs/>
        </w:rPr>
        <w:t>Strategic Marketing Management</w:t>
      </w:r>
      <w:r>
        <w:rPr>
          <w:rFonts w:ascii="Arial" w:hAnsi="Arial" w:cs="Arial"/>
        </w:rPr>
        <w:t xml:space="preserve">, pp.103–133. doi: </w:t>
      </w:r>
      <w:r>
        <w:fldChar w:fldCharType="begin"/>
      </w:r>
      <w:r>
        <w:instrText xml:space="preserve"> HYPERLINK "https://doi.org/10.1007/978-3-031-99367-1_5" </w:instrText>
      </w:r>
      <w:r>
        <w:fldChar w:fldCharType="separate"/>
      </w:r>
      <w:r>
        <w:rPr>
          <w:rStyle w:val="16"/>
          <w:rFonts w:ascii="Arial" w:hAnsi="Arial" w:cs="Arial"/>
        </w:rPr>
        <w:t>https://doi.org/10.1007/978-3-031-99367-1_5</w:t>
      </w:r>
      <w:r>
        <w:rPr>
          <w:rStyle w:val="16"/>
          <w:rFonts w:ascii="Arial" w:hAnsi="Arial" w:cs="Arial"/>
        </w:rPr>
        <w:fldChar w:fldCharType="end"/>
      </w:r>
      <w:r>
        <w:rPr>
          <w:rFonts w:ascii="Arial" w:hAnsi="Arial" w:cs="Arial"/>
        </w:rPr>
        <w:t xml:space="preserve">. </w:t>
      </w:r>
    </w:p>
    <w:p w14:paraId="000C83DA">
      <w:pPr>
        <w:pStyle w:val="17"/>
        <w:spacing w:before="0" w:beforeAutospacing="0" w:after="240" w:afterAutospacing="0" w:line="360" w:lineRule="auto"/>
        <w:jc w:val="both"/>
        <w:rPr>
          <w:rFonts w:ascii="Arial" w:hAnsi="Arial" w:cs="Arial"/>
        </w:rPr>
      </w:pPr>
      <w:r>
        <w:rPr>
          <w:rFonts w:ascii="Arial" w:hAnsi="Arial" w:cs="Arial"/>
        </w:rPr>
        <w:t xml:space="preserve">Nguyen, S. (2024). </w:t>
      </w:r>
      <w:r>
        <w:rPr>
          <w:rFonts w:ascii="Arial" w:hAnsi="Arial" w:cs="Arial"/>
          <w:i/>
          <w:iCs/>
        </w:rPr>
        <w:t>4 Ps Of Marketing</w:t>
      </w:r>
      <w:r>
        <w:rPr>
          <w:rFonts w:ascii="Arial" w:hAnsi="Arial" w:cs="Arial"/>
        </w:rPr>
        <w:t xml:space="preserve">. [online] Mageplaza. doi: </w:t>
      </w:r>
      <w:r>
        <w:fldChar w:fldCharType="begin"/>
      </w:r>
      <w:r>
        <w:instrText xml:space="preserve"> HYPERLINK "https://www.mageplaza.com/blog/4-ps-of-marketing.html" </w:instrText>
      </w:r>
      <w:r>
        <w:fldChar w:fldCharType="separate"/>
      </w:r>
      <w:r>
        <w:rPr>
          <w:rStyle w:val="16"/>
          <w:rFonts w:ascii="Arial" w:hAnsi="Arial" w:cs="Arial"/>
        </w:rPr>
        <w:t>https://www.mageplaza.com/blog/4-ps-of-marketing.html</w:t>
      </w:r>
      <w:r>
        <w:rPr>
          <w:rStyle w:val="16"/>
          <w:rFonts w:ascii="Arial" w:hAnsi="Arial" w:cs="Arial"/>
        </w:rPr>
        <w:fldChar w:fldCharType="end"/>
      </w:r>
      <w:r>
        <w:rPr>
          <w:rFonts w:ascii="Arial" w:hAnsi="Arial" w:cs="Arial"/>
        </w:rPr>
        <w:t xml:space="preserve">. </w:t>
      </w:r>
    </w:p>
    <w:p w14:paraId="7B2AF2BF">
      <w:pPr>
        <w:pStyle w:val="17"/>
        <w:spacing w:before="0" w:beforeAutospacing="0" w:after="240" w:afterAutospacing="0" w:line="360" w:lineRule="auto"/>
        <w:jc w:val="both"/>
        <w:rPr>
          <w:rFonts w:ascii="Arial" w:hAnsi="Arial" w:cs="Arial"/>
        </w:rPr>
      </w:pPr>
      <w:r>
        <w:rPr>
          <w:rFonts w:ascii="Arial" w:hAnsi="Arial" w:cs="Arial"/>
        </w:rPr>
        <w:t xml:space="preserve">Patel, S.R. (2024). </w:t>
      </w:r>
      <w:r>
        <w:rPr>
          <w:rFonts w:ascii="Arial" w:hAnsi="Arial" w:cs="Arial"/>
          <w:i/>
          <w:iCs/>
        </w:rPr>
        <w:t>UC Riverside Recent Work Title Microsoft’’s Paradigm Shift: Strategically Reinventing the Brand, Supporting Its Vision for Growth, and Strengthening Its Competitive Position</w:t>
      </w:r>
      <w:r>
        <w:rPr>
          <w:rFonts w:ascii="Arial" w:hAnsi="Arial" w:cs="Arial"/>
        </w:rPr>
        <w:t xml:space="preserve">. [online] doi: </w:t>
      </w:r>
      <w:r>
        <w:fldChar w:fldCharType="begin"/>
      </w:r>
      <w:r>
        <w:instrText xml:space="preserve"> HYPERLINK "https://escholarship.org/content/qt6vk8d6nz/qt6vk8d6nz.pdf" </w:instrText>
      </w:r>
      <w:r>
        <w:fldChar w:fldCharType="separate"/>
      </w:r>
      <w:r>
        <w:rPr>
          <w:rStyle w:val="16"/>
          <w:rFonts w:ascii="Arial" w:hAnsi="Arial" w:cs="Arial"/>
        </w:rPr>
        <w:t>https://escholarship.org/content/qt6vk8d6nz/qt6vk8d6nz.pdf</w:t>
      </w:r>
      <w:r>
        <w:rPr>
          <w:rStyle w:val="16"/>
          <w:rFonts w:ascii="Arial" w:hAnsi="Arial" w:cs="Arial"/>
        </w:rPr>
        <w:fldChar w:fldCharType="end"/>
      </w:r>
      <w:r>
        <w:rPr>
          <w:rFonts w:ascii="Arial" w:hAnsi="Arial" w:cs="Arial"/>
        </w:rPr>
        <w:t xml:space="preserve">. </w:t>
      </w:r>
    </w:p>
    <w:p w14:paraId="39AF7E34">
      <w:pPr>
        <w:pStyle w:val="17"/>
        <w:spacing w:before="0" w:beforeAutospacing="0" w:after="240" w:afterAutospacing="0" w:line="360" w:lineRule="auto"/>
        <w:jc w:val="both"/>
        <w:rPr>
          <w:rFonts w:ascii="Arial" w:hAnsi="Arial" w:cs="Arial"/>
        </w:rPr>
      </w:pPr>
      <w:r>
        <w:rPr>
          <w:rFonts w:ascii="Arial" w:hAnsi="Arial" w:cs="Arial"/>
        </w:rPr>
        <w:t xml:space="preserve">Remy, P., Soetam Rizky Wicaksono, Virania Agnes Setyowati and Ellenora Gracia Soejanto (2024). Exploring Vertical Brand Extensions: The Microsoft Case Study. </w:t>
      </w:r>
      <w:r>
        <w:rPr>
          <w:rFonts w:ascii="Arial" w:hAnsi="Arial" w:cs="Arial"/>
          <w:i/>
          <w:iCs/>
        </w:rPr>
        <w:t>Journal of Management and Informatics</w:t>
      </w:r>
      <w:r>
        <w:rPr>
          <w:rFonts w:ascii="Arial" w:hAnsi="Arial" w:cs="Arial"/>
        </w:rPr>
        <w:t xml:space="preserve">, [online] 2(3), pp.86–95. doi: </w:t>
      </w:r>
      <w:r>
        <w:fldChar w:fldCharType="begin"/>
      </w:r>
      <w:r>
        <w:instrText xml:space="preserve"> HYPERLINK "https://jmi.stekom.ac.id/index.php/jmi/article/view/22" </w:instrText>
      </w:r>
      <w:r>
        <w:fldChar w:fldCharType="separate"/>
      </w:r>
      <w:r>
        <w:rPr>
          <w:rStyle w:val="16"/>
          <w:rFonts w:ascii="Arial" w:hAnsi="Arial" w:cs="Arial"/>
        </w:rPr>
        <w:t>https://jmi.stekom.ac.id/index.php/jmi/article/view/22</w:t>
      </w:r>
      <w:r>
        <w:rPr>
          <w:rStyle w:val="16"/>
          <w:rFonts w:ascii="Arial" w:hAnsi="Arial" w:cs="Arial"/>
        </w:rPr>
        <w:fldChar w:fldCharType="end"/>
      </w:r>
      <w:r>
        <w:rPr>
          <w:rFonts w:ascii="Arial" w:hAnsi="Arial" w:cs="Arial"/>
        </w:rPr>
        <w:t xml:space="preserve">. </w:t>
      </w:r>
    </w:p>
    <w:p w14:paraId="1C8958E6">
      <w:pPr>
        <w:pStyle w:val="17"/>
        <w:spacing w:before="0" w:beforeAutospacing="0" w:after="240" w:afterAutospacing="0" w:line="360" w:lineRule="auto"/>
        <w:jc w:val="both"/>
        <w:rPr>
          <w:rFonts w:ascii="Arial" w:hAnsi="Arial" w:cs="Arial"/>
        </w:rPr>
      </w:pPr>
      <w:r>
        <w:rPr>
          <w:rFonts w:ascii="Arial" w:hAnsi="Arial" w:cs="Arial"/>
        </w:rPr>
        <w:t xml:space="preserve">Syaeful (2025). STP ANALYSIS (SEGMENTING, TARGETING, POSITIONING) AND SWOT ANALYSIS IN DIGITAL MARKETING STRATEGIES INFACING BUSINESS COMPETITION AT BT BATIK TRUSMI CIREBON. </w:t>
      </w:r>
      <w:r>
        <w:rPr>
          <w:rFonts w:ascii="Arial" w:hAnsi="Arial" w:cs="Arial"/>
          <w:i/>
          <w:iCs/>
        </w:rPr>
        <w:t>Journal on Islamic Economics, Finance &amp; Banking [Z-CONOMICS]</w:t>
      </w:r>
      <w:r>
        <w:rPr>
          <w:rFonts w:ascii="Arial" w:hAnsi="Arial" w:cs="Arial"/>
        </w:rPr>
        <w:t xml:space="preserve">, [online] 1(2). doi: </w:t>
      </w:r>
      <w:r>
        <w:fldChar w:fldCharType="begin"/>
      </w:r>
      <w:r>
        <w:instrText xml:space="preserve"> HYPERLINK "https://az-zahra.or.id/jiefb/article/view/157" </w:instrText>
      </w:r>
      <w:r>
        <w:fldChar w:fldCharType="separate"/>
      </w:r>
      <w:r>
        <w:rPr>
          <w:rStyle w:val="16"/>
          <w:rFonts w:ascii="Arial" w:hAnsi="Arial" w:cs="Arial"/>
        </w:rPr>
        <w:t>https://az-zahra.or.id/jiefb/article/view/157</w:t>
      </w:r>
      <w:r>
        <w:rPr>
          <w:rStyle w:val="16"/>
          <w:rFonts w:ascii="Arial" w:hAnsi="Arial" w:cs="Arial"/>
        </w:rPr>
        <w:fldChar w:fldCharType="end"/>
      </w:r>
      <w:r>
        <w:rPr>
          <w:rFonts w:ascii="Arial" w:hAnsi="Arial" w:cs="Arial"/>
        </w:rPr>
        <w:t xml:space="preserve">. </w:t>
      </w:r>
    </w:p>
    <w:p w14:paraId="3C9529FA">
      <w:pPr>
        <w:spacing w:after="160"/>
        <w:rPr>
          <w:rFonts w:ascii="Arial" w:hAnsi="Arial" w:cs="Arial" w:eastAsiaTheme="majorEastAsia"/>
          <w:b/>
          <w:szCs w:val="24"/>
        </w:rPr>
      </w:pPr>
      <w:r>
        <w:rPr>
          <w:rFonts w:ascii="Arial" w:hAnsi="Arial" w:cs="Arial"/>
          <w:szCs w:val="24"/>
        </w:rPr>
        <w:br w:type="page"/>
      </w:r>
    </w:p>
    <w:p w14:paraId="587417F8">
      <w:pPr>
        <w:pStyle w:val="2"/>
        <w:rPr>
          <w:rFonts w:ascii="Arial" w:hAnsi="Arial" w:cs="Arial"/>
          <w:szCs w:val="24"/>
        </w:rPr>
      </w:pPr>
      <w:bookmarkStart w:id="21" w:name="_Toc214881659"/>
      <w:r>
        <w:rPr>
          <w:rFonts w:ascii="Arial" w:hAnsi="Arial" w:cs="Arial"/>
          <w:szCs w:val="24"/>
        </w:rPr>
        <w:t>Appendix</w:t>
      </w:r>
      <w:bookmarkEnd w:id="21"/>
      <w:r>
        <w:rPr>
          <w:rFonts w:ascii="Arial" w:hAnsi="Arial" w:cs="Arial"/>
          <w:szCs w:val="24"/>
        </w:rPr>
        <w:t xml:space="preserve"> </w:t>
      </w:r>
    </w:p>
    <w:p w14:paraId="6F471339">
      <w:pPr>
        <w:rPr>
          <w:rFonts w:ascii="Arial" w:hAnsi="Arial" w:cs="Arial"/>
          <w:szCs w:val="24"/>
        </w:rPr>
      </w:pPr>
      <w:r>
        <w:rPr>
          <w:rFonts w:ascii="Arial" w:hAnsi="Arial" w:cs="Arial"/>
          <w:szCs w:val="24"/>
        </w:rPr>
        <w:drawing>
          <wp:inline distT="0" distB="0" distL="0" distR="0">
            <wp:extent cx="3228975" cy="1685925"/>
            <wp:effectExtent l="0" t="0" r="9525" b="9525"/>
            <wp:docPr id="353081898" name="Picture 1" descr="What does the future hold for Microsoft? - Investment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081898" name="Picture 1" descr="What does the future hold for Microsoft? - Investment Monitor"/>
                    <pic:cNvPicPr>
                      <a:picLocks noChangeAspect="1" noChangeArrowheads="1"/>
                    </pic:cNvPicPr>
                  </pic:nvPicPr>
                  <pic:blipFill>
                    <a:blip r:embed="rId8" cstate="print">
                      <a:extLst>
                        <a:ext uri="{28A0092B-C50C-407E-A947-70E740481C1C}">
                          <a14:useLocalDpi xmlns:a14="http://schemas.microsoft.com/office/drawing/2010/main" val="0"/>
                        </a:ext>
                      </a:extLst>
                    </a:blip>
                    <a:srcRect l="7187" t="24176" r="5784" b="6787"/>
                    <a:stretch>
                      <a:fillRect/>
                    </a:stretch>
                  </pic:blipFill>
                  <pic:spPr>
                    <a:xfrm>
                      <a:off x="0" y="0"/>
                      <a:ext cx="3247547" cy="1695622"/>
                    </a:xfrm>
                    <a:prstGeom prst="rect">
                      <a:avLst/>
                    </a:prstGeom>
                    <a:noFill/>
                    <a:ln>
                      <a:noFill/>
                    </a:ln>
                  </pic:spPr>
                </pic:pic>
              </a:graphicData>
            </a:graphic>
          </wp:inline>
        </w:drawing>
      </w:r>
    </w:p>
    <w:p w14:paraId="14B96BD8">
      <w:pPr>
        <w:rPr>
          <w:rFonts w:ascii="Arial" w:hAnsi="Arial" w:cs="Arial"/>
          <w:szCs w:val="24"/>
        </w:rPr>
      </w:pPr>
      <w:r>
        <w:rPr>
          <w:rFonts w:ascii="Arial" w:hAnsi="Arial" w:cs="Arial"/>
          <w:szCs w:val="24"/>
        </w:rPr>
        <w:drawing>
          <wp:inline distT="0" distB="0" distL="0" distR="0">
            <wp:extent cx="3914775" cy="2437765"/>
            <wp:effectExtent l="0" t="0" r="9525" b="635"/>
            <wp:docPr id="843503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50315" name="Picture 3"/>
                    <pic:cNvPicPr>
                      <a:picLocks noChangeAspect="1" noChangeArrowheads="1"/>
                    </pic:cNvPicPr>
                  </pic:nvPicPr>
                  <pic:blipFill>
                    <a:blip r:embed="rId9">
                      <a:extLst>
                        <a:ext uri="{28A0092B-C50C-407E-A947-70E740481C1C}">
                          <a14:useLocalDpi xmlns:a14="http://schemas.microsoft.com/office/drawing/2010/main" val="0"/>
                        </a:ext>
                      </a:extLst>
                    </a:blip>
                    <a:srcRect l="9373" t="21455" r="6868" b="9001"/>
                    <a:stretch>
                      <a:fillRect/>
                    </a:stretch>
                  </pic:blipFill>
                  <pic:spPr>
                    <a:xfrm>
                      <a:off x="0" y="0"/>
                      <a:ext cx="3920294" cy="2441202"/>
                    </a:xfrm>
                    <a:prstGeom prst="rect">
                      <a:avLst/>
                    </a:prstGeom>
                    <a:noFill/>
                    <a:ln>
                      <a:noFill/>
                    </a:ln>
                  </pic:spPr>
                </pic:pic>
              </a:graphicData>
            </a:graphic>
          </wp:inline>
        </w:drawing>
      </w:r>
    </w:p>
    <w:p w14:paraId="286AF3F2">
      <w:pPr>
        <w:rPr>
          <w:rFonts w:ascii="Arial" w:hAnsi="Arial" w:cs="Arial"/>
          <w:szCs w:val="24"/>
        </w:rPr>
      </w:pPr>
      <w:r>
        <w:rPr>
          <w:rFonts w:ascii="Arial" w:hAnsi="Arial" w:cs="Arial"/>
          <w:szCs w:val="24"/>
          <w14:ligatures w14:val="standardContextual"/>
        </w:rPr>
        <w:drawing>
          <wp:inline distT="0" distB="0" distL="0" distR="0">
            <wp:extent cx="4807585" cy="6800215"/>
            <wp:effectExtent l="0" t="0" r="0" b="635"/>
            <wp:docPr id="1645938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38715"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18354" cy="6815948"/>
                    </a:xfrm>
                    <a:prstGeom prst="rect">
                      <a:avLst/>
                    </a:prstGeom>
                  </pic:spPr>
                </pic:pic>
              </a:graphicData>
            </a:graphic>
          </wp:inline>
        </w:drawing>
      </w:r>
    </w:p>
    <w:p w14:paraId="40DCBCE2">
      <w:pPr>
        <w:rPr>
          <w:rFonts w:ascii="Arial" w:hAnsi="Arial" w:cs="Arial"/>
          <w:szCs w:val="24"/>
        </w:rPr>
      </w:pPr>
    </w:p>
    <w:sectPr>
      <w:footerReference r:id="rId5"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ordia New">
    <w:altName w:val="Microsoft Sans Serif"/>
    <w:panose1 w:val="020B0304020202020204"/>
    <w:charset w:val="DE"/>
    <w:family w:val="swiss"/>
    <w:pitch w:val="default"/>
    <w:sig w:usb0="00000000" w:usb1="00000000" w:usb2="00000000" w:usb3="00000000" w:csb0="00010001" w:csb1="00000000"/>
  </w:font>
  <w:font w:name="Cordia New">
    <w:altName w:val="AMGDT"/>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AMGDT"/>
    <w:panose1 w:val="00000000000000000000"/>
    <w:charset w:val="00"/>
    <w:family w:val="auto"/>
    <w:pitch w:val="default"/>
    <w:sig w:usb0="00000000" w:usb1="00000000" w:usb2="00000000" w:usb3="00000000" w:csb0="00000000" w:csb1="00000000"/>
  </w:font>
  <w:font w:name="Angsana New">
    <w:altName w:val="Microsoft Sans Serif"/>
    <w:panose1 w:val="02020603050405020304"/>
    <w:charset w:val="DE"/>
    <w:family w:val="roman"/>
    <w:pitch w:val="default"/>
    <w:sig w:usb0="00000000" w:usb1="00000000" w:usb2="00000000" w:usb3="00000000" w:csb0="00010001" w:csb1="00000000"/>
  </w:font>
  <w:font w:name="Calibri Light">
    <w:panose1 w:val="020F0302020204030204"/>
    <w:charset w:val="00"/>
    <w:family w:val="swiss"/>
    <w:pitch w:val="default"/>
    <w:sig w:usb0="E4002EFF" w:usb1="C2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Arial Unicode MS">
    <w:panose1 w:val="020B0604020202020204"/>
    <w:charset w:val="86"/>
    <w:family w:val="auto"/>
    <w:pitch w:val="default"/>
    <w:sig w:usb0="FFFFFFFF" w:usb1="E9FFFFFF" w:usb2="0000003F" w:usb3="00000000" w:csb0="603F01FF" w:csb1="FFFF0000"/>
  </w:font>
  <w:font w:name="Microsoft Sans Serif">
    <w:panose1 w:val="020B0604020202020204"/>
    <w:charset w:val="00"/>
    <w:family w:val="auto"/>
    <w:pitch w:val="default"/>
    <w:sig w:usb0="E5002EFF" w:usb1="C000605B" w:usb2="00000029" w:usb3="00000000" w:csb0="200101FF" w:csb1="20280000"/>
  </w:font>
  <w:font w:name="AMGDT">
    <w:panose1 w:val="02000400000000000000"/>
    <w:charset w:val="00"/>
    <w:family w:val="auto"/>
    <w:pitch w:val="default"/>
    <w:sig w:usb0="80000003"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07194924"/>
      <w:docPartObj>
        <w:docPartGallery w:val="autotext"/>
      </w:docPartObj>
    </w:sdtPr>
    <w:sdtContent>
      <w:p w14:paraId="40CE656F">
        <w:pPr>
          <w:pStyle w:val="14"/>
          <w:jc w:val="center"/>
        </w:pPr>
        <w:r>
          <w:fldChar w:fldCharType="begin"/>
        </w:r>
        <w:r>
          <w:instrText xml:space="preserve"> PAGE   \* MERGEFORMAT </w:instrText>
        </w:r>
        <w:r>
          <w:fldChar w:fldCharType="separate"/>
        </w:r>
        <w:r>
          <w:t>2</w:t>
        </w:r>
        <w:r>
          <w:fldChar w:fldCharType="end"/>
        </w:r>
      </w:p>
    </w:sdtContent>
  </w:sdt>
  <w:p w14:paraId="260BDB94">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ocumentProtection w:enforcement="0"/>
  <w:defaultTabStop w:val="720"/>
  <w:characterSpacingControl w:val="doNotCompress"/>
  <w:footnotePr>
    <w:footnote w:id="0"/>
    <w:footnote w:id="1"/>
  </w:footnotePr>
  <w:endnotePr>
    <w:endnote w:id="0"/>
    <w:endnote w:id="1"/>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1A3"/>
    <w:rsid w:val="00106391"/>
    <w:rsid w:val="00107568"/>
    <w:rsid w:val="00154DDA"/>
    <w:rsid w:val="00186F21"/>
    <w:rsid w:val="001B2F7B"/>
    <w:rsid w:val="00296BC7"/>
    <w:rsid w:val="002F0BC6"/>
    <w:rsid w:val="00375E88"/>
    <w:rsid w:val="003A35BB"/>
    <w:rsid w:val="005457DA"/>
    <w:rsid w:val="00552C1F"/>
    <w:rsid w:val="00587839"/>
    <w:rsid w:val="00591133"/>
    <w:rsid w:val="006B3E3D"/>
    <w:rsid w:val="006C557C"/>
    <w:rsid w:val="006F0BA0"/>
    <w:rsid w:val="006F560C"/>
    <w:rsid w:val="00730F8F"/>
    <w:rsid w:val="00784216"/>
    <w:rsid w:val="00813439"/>
    <w:rsid w:val="00840554"/>
    <w:rsid w:val="00854B13"/>
    <w:rsid w:val="00885C88"/>
    <w:rsid w:val="00887FBF"/>
    <w:rsid w:val="008A6D66"/>
    <w:rsid w:val="008E4472"/>
    <w:rsid w:val="009927F6"/>
    <w:rsid w:val="00A07DB6"/>
    <w:rsid w:val="00A119E4"/>
    <w:rsid w:val="00A51E29"/>
    <w:rsid w:val="00B53B6F"/>
    <w:rsid w:val="00BA5618"/>
    <w:rsid w:val="00C56A4D"/>
    <w:rsid w:val="00C919F1"/>
    <w:rsid w:val="00D10E14"/>
    <w:rsid w:val="00D47988"/>
    <w:rsid w:val="00D63771"/>
    <w:rsid w:val="00D7659C"/>
    <w:rsid w:val="00DA6D70"/>
    <w:rsid w:val="00DE4E4A"/>
    <w:rsid w:val="00E12E18"/>
    <w:rsid w:val="00E62C38"/>
    <w:rsid w:val="00EA41A3"/>
    <w:rsid w:val="00F11C73"/>
    <w:rsid w:val="00F46283"/>
    <w:rsid w:val="00FB759C"/>
    <w:rsid w:val="00FD5523"/>
    <w:rsid w:val="213F5620"/>
    <w:rsid w:val="22E56119"/>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40" w:line="360" w:lineRule="auto"/>
      <w:jc w:val="both"/>
    </w:pPr>
    <w:rPr>
      <w:rFonts w:ascii="Times New Roman" w:hAnsi="Times New Roman" w:eastAsiaTheme="minorHAnsi" w:cstheme="minorBidi"/>
      <w:kern w:val="0"/>
      <w:sz w:val="24"/>
      <w:szCs w:val="28"/>
      <w:lang w:val="en-IN" w:eastAsia="en-IN" w:bidi="ar-SA"/>
      <w14:ligatures w14:val="none"/>
    </w:rPr>
  </w:style>
  <w:style w:type="paragraph" w:styleId="2">
    <w:name w:val="heading 1"/>
    <w:basedOn w:val="1"/>
    <w:next w:val="1"/>
    <w:link w:val="22"/>
    <w:qFormat/>
    <w:uiPriority w:val="9"/>
    <w:pPr>
      <w:keepNext/>
      <w:keepLines/>
      <w:spacing w:before="240" w:after="0"/>
      <w:outlineLvl w:val="0"/>
    </w:pPr>
    <w:rPr>
      <w:rFonts w:eastAsiaTheme="majorEastAsia" w:cstheme="majorBidi"/>
      <w:b/>
      <w:szCs w:val="40"/>
    </w:rPr>
  </w:style>
  <w:style w:type="paragraph" w:styleId="3">
    <w:name w:val="heading 2"/>
    <w:basedOn w:val="1"/>
    <w:next w:val="1"/>
    <w:link w:val="23"/>
    <w:autoRedefine/>
    <w:unhideWhenUsed/>
    <w:qFormat/>
    <w:uiPriority w:val="9"/>
    <w:pPr>
      <w:keepNext/>
      <w:keepLines/>
      <w:spacing w:before="40" w:after="0" w:line="259" w:lineRule="auto"/>
      <w:outlineLvl w:val="1"/>
    </w:pPr>
    <w:rPr>
      <w:rFonts w:eastAsiaTheme="majorEastAsia" w:cstheme="majorBidi"/>
      <w:b/>
      <w:color w:val="000000" w:themeColor="text1"/>
      <w:szCs w:val="33"/>
      <w14:textFill>
        <w14:solidFill>
          <w14:schemeClr w14:val="tx1"/>
        </w14:solidFill>
      </w14:textFill>
    </w:rPr>
  </w:style>
  <w:style w:type="paragraph" w:styleId="4">
    <w:name w:val="heading 3"/>
    <w:basedOn w:val="1"/>
    <w:next w:val="1"/>
    <w:link w:val="24"/>
    <w:unhideWhenUsed/>
    <w:qFormat/>
    <w:uiPriority w:val="9"/>
    <w:pPr>
      <w:keepNext/>
      <w:keepLines/>
      <w:spacing w:before="40" w:after="0"/>
      <w:outlineLvl w:val="2"/>
    </w:pPr>
    <w:rPr>
      <w:rFonts w:eastAsiaTheme="majorEastAsia" w:cstheme="majorBidi"/>
      <w:b/>
      <w:szCs w:val="30"/>
      <w:lang w:val="en-US" w:eastAsia="en-US" w:bidi="th-TH"/>
    </w:rPr>
  </w:style>
  <w:style w:type="paragraph" w:styleId="5">
    <w:name w:val="heading 4"/>
    <w:basedOn w:val="1"/>
    <w:next w:val="1"/>
    <w:link w:val="25"/>
    <w:semiHidden/>
    <w:unhideWhenUsed/>
    <w:qFormat/>
    <w:uiPriority w:val="9"/>
    <w:pPr>
      <w:keepNext/>
      <w:keepLines/>
      <w:spacing w:before="8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26"/>
    <w:semiHidden/>
    <w:unhideWhenUsed/>
    <w:qFormat/>
    <w:uiPriority w:val="9"/>
    <w:pPr>
      <w:keepNext/>
      <w:keepLines/>
      <w:spacing w:before="8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27"/>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8"/>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0"/>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annotation text"/>
    <w:basedOn w:val="1"/>
    <w:semiHidden/>
    <w:unhideWhenUsed/>
    <w:qFormat/>
    <w:uiPriority w:val="99"/>
    <w:pPr>
      <w:jc w:val="left"/>
    </w:pPr>
  </w:style>
  <w:style w:type="paragraph" w:styleId="14">
    <w:name w:val="footer"/>
    <w:basedOn w:val="1"/>
    <w:link w:val="41"/>
    <w:unhideWhenUsed/>
    <w:uiPriority w:val="99"/>
    <w:pPr>
      <w:tabs>
        <w:tab w:val="center" w:pos="4513"/>
        <w:tab w:val="right" w:pos="9026"/>
      </w:tabs>
      <w:spacing w:after="0" w:line="240" w:lineRule="auto"/>
    </w:pPr>
  </w:style>
  <w:style w:type="paragraph" w:styleId="15">
    <w:name w:val="header"/>
    <w:basedOn w:val="1"/>
    <w:link w:val="40"/>
    <w:unhideWhenUsed/>
    <w:qFormat/>
    <w:uiPriority w:val="99"/>
    <w:pPr>
      <w:tabs>
        <w:tab w:val="center" w:pos="4513"/>
        <w:tab w:val="right" w:pos="9026"/>
      </w:tabs>
      <w:spacing w:after="0" w:line="240" w:lineRule="auto"/>
    </w:pPr>
  </w:style>
  <w:style w:type="character" w:styleId="16">
    <w:name w:val="Hyperlink"/>
    <w:basedOn w:val="11"/>
    <w:unhideWhenUsed/>
    <w:qFormat/>
    <w:uiPriority w:val="99"/>
    <w:rPr>
      <w:color w:val="0563C1" w:themeColor="hyperlink"/>
      <w:u w:val="single"/>
      <w14:textFill>
        <w14:solidFill>
          <w14:schemeClr w14:val="hlink"/>
        </w14:solidFill>
      </w14:textFill>
    </w:rPr>
  </w:style>
  <w:style w:type="paragraph" w:styleId="17">
    <w:name w:val="Normal (Web)"/>
    <w:basedOn w:val="1"/>
    <w:semiHidden/>
    <w:unhideWhenUsed/>
    <w:uiPriority w:val="99"/>
    <w:pPr>
      <w:spacing w:before="100" w:beforeAutospacing="1" w:after="100" w:afterAutospacing="1" w:line="240" w:lineRule="auto"/>
      <w:jc w:val="left"/>
    </w:pPr>
    <w:rPr>
      <w:rFonts w:eastAsia="Times New Roman" w:cs="Times New Roman"/>
      <w:szCs w:val="24"/>
    </w:rPr>
  </w:style>
  <w:style w:type="paragraph" w:styleId="18">
    <w:name w:val="Subtitle"/>
    <w:basedOn w:val="1"/>
    <w:next w:val="1"/>
    <w:link w:val="32"/>
    <w:qFormat/>
    <w:uiPriority w:val="11"/>
    <w:pPr>
      <w:spacing w:after="160"/>
    </w:pPr>
    <w:rPr>
      <w:rFonts w:asciiTheme="minorHAnsi" w:hAnsiTheme="minorHAnsi" w:eastAsiaTheme="majorEastAsia" w:cstheme="majorBidi"/>
      <w:color w:val="595959" w:themeColor="text1" w:themeTint="A6"/>
      <w:spacing w:val="15"/>
      <w:sz w:val="28"/>
      <w14:textFill>
        <w14:solidFill>
          <w14:schemeClr w14:val="tx1">
            <w14:lumMod w14:val="65000"/>
            <w14:lumOff w14:val="35000"/>
          </w14:schemeClr>
        </w14:solidFill>
      </w14:textFill>
    </w:rPr>
  </w:style>
  <w:style w:type="paragraph" w:styleId="19">
    <w:name w:val="Title"/>
    <w:basedOn w:val="1"/>
    <w:next w:val="1"/>
    <w:link w:val="31"/>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0">
    <w:name w:val="toc 1"/>
    <w:basedOn w:val="1"/>
    <w:next w:val="1"/>
    <w:autoRedefine/>
    <w:unhideWhenUsed/>
    <w:uiPriority w:val="39"/>
    <w:pPr>
      <w:spacing w:after="100"/>
    </w:pPr>
  </w:style>
  <w:style w:type="paragraph" w:styleId="21">
    <w:name w:val="toc 2"/>
    <w:basedOn w:val="1"/>
    <w:next w:val="1"/>
    <w:autoRedefine/>
    <w:unhideWhenUsed/>
    <w:qFormat/>
    <w:uiPriority w:val="39"/>
    <w:pPr>
      <w:spacing w:after="100"/>
      <w:ind w:left="240"/>
    </w:pPr>
  </w:style>
  <w:style w:type="character" w:customStyle="1" w:styleId="22">
    <w:name w:val="Heading 1 Char"/>
    <w:basedOn w:val="11"/>
    <w:link w:val="2"/>
    <w:qFormat/>
    <w:uiPriority w:val="9"/>
    <w:rPr>
      <w:rFonts w:ascii="Times New Roman" w:hAnsi="Times New Roman" w:eastAsiaTheme="majorEastAsia" w:cstheme="majorBidi"/>
      <w:b/>
      <w:kern w:val="0"/>
      <w:sz w:val="24"/>
      <w:szCs w:val="40"/>
      <w14:ligatures w14:val="none"/>
    </w:rPr>
  </w:style>
  <w:style w:type="character" w:customStyle="1" w:styleId="23">
    <w:name w:val="Heading 2 Char"/>
    <w:basedOn w:val="11"/>
    <w:link w:val="3"/>
    <w:qFormat/>
    <w:uiPriority w:val="9"/>
    <w:rPr>
      <w:rFonts w:ascii="Times New Roman" w:hAnsi="Times New Roman" w:eastAsiaTheme="majorEastAsia" w:cstheme="majorBidi"/>
      <w:b/>
      <w:color w:val="000000" w:themeColor="text1"/>
      <w:sz w:val="24"/>
      <w:szCs w:val="33"/>
      <w14:textFill>
        <w14:solidFill>
          <w14:schemeClr w14:val="tx1"/>
        </w14:solidFill>
      </w14:textFill>
    </w:rPr>
  </w:style>
  <w:style w:type="character" w:customStyle="1" w:styleId="24">
    <w:name w:val="Heading 3 Char"/>
    <w:basedOn w:val="11"/>
    <w:link w:val="4"/>
    <w:qFormat/>
    <w:uiPriority w:val="9"/>
    <w:rPr>
      <w:rFonts w:ascii="Times New Roman" w:hAnsi="Times New Roman" w:eastAsiaTheme="majorEastAsia" w:cstheme="majorBidi"/>
      <w:b/>
      <w:sz w:val="24"/>
      <w:szCs w:val="30"/>
      <w:lang w:val="en-US" w:eastAsia="en-US" w:bidi="th-TH"/>
    </w:rPr>
  </w:style>
  <w:style w:type="character" w:customStyle="1" w:styleId="25">
    <w:name w:val="Heading 4 Char"/>
    <w:basedOn w:val="11"/>
    <w:link w:val="5"/>
    <w:semiHidden/>
    <w:qFormat/>
    <w:uiPriority w:val="9"/>
    <w:rPr>
      <w:rFonts w:eastAsiaTheme="majorEastAsia" w:cstheme="majorBidi"/>
      <w:i/>
      <w:iCs/>
      <w:color w:val="2F5597" w:themeColor="accent1" w:themeShade="BF"/>
      <w:kern w:val="0"/>
      <w:sz w:val="24"/>
      <w:szCs w:val="28"/>
      <w14:ligatures w14:val="none"/>
    </w:rPr>
  </w:style>
  <w:style w:type="character" w:customStyle="1" w:styleId="26">
    <w:name w:val="Heading 5 Char"/>
    <w:basedOn w:val="11"/>
    <w:link w:val="6"/>
    <w:semiHidden/>
    <w:qFormat/>
    <w:uiPriority w:val="9"/>
    <w:rPr>
      <w:rFonts w:eastAsiaTheme="majorEastAsia" w:cstheme="majorBidi"/>
      <w:color w:val="2F5597" w:themeColor="accent1" w:themeShade="BF"/>
      <w:kern w:val="0"/>
      <w:sz w:val="24"/>
      <w:szCs w:val="28"/>
      <w14:ligatures w14:val="none"/>
    </w:rPr>
  </w:style>
  <w:style w:type="character" w:customStyle="1" w:styleId="27">
    <w:name w:val="Heading 6 Char"/>
    <w:basedOn w:val="11"/>
    <w:link w:val="7"/>
    <w:semiHidden/>
    <w:uiPriority w:val="9"/>
    <w:rPr>
      <w:rFonts w:eastAsiaTheme="majorEastAsia" w:cstheme="majorBidi"/>
      <w:i/>
      <w:iCs/>
      <w:color w:val="595959" w:themeColor="text1" w:themeTint="A6"/>
      <w:kern w:val="0"/>
      <w:sz w:val="24"/>
      <w:szCs w:val="28"/>
      <w14:textFill>
        <w14:solidFill>
          <w14:schemeClr w14:val="tx1">
            <w14:lumMod w14:val="65000"/>
            <w14:lumOff w14:val="35000"/>
          </w14:schemeClr>
        </w14:solidFill>
      </w14:textFill>
      <w14:ligatures w14:val="none"/>
    </w:rPr>
  </w:style>
  <w:style w:type="character" w:customStyle="1" w:styleId="28">
    <w:name w:val="Heading 7 Char"/>
    <w:basedOn w:val="11"/>
    <w:link w:val="8"/>
    <w:semiHidden/>
    <w:qFormat/>
    <w:uiPriority w:val="9"/>
    <w:rPr>
      <w:rFonts w:eastAsiaTheme="majorEastAsia" w:cstheme="majorBidi"/>
      <w:color w:val="595959" w:themeColor="text1" w:themeTint="A6"/>
      <w:kern w:val="0"/>
      <w:sz w:val="24"/>
      <w:szCs w:val="28"/>
      <w14:textFill>
        <w14:solidFill>
          <w14:schemeClr w14:val="tx1">
            <w14:lumMod w14:val="65000"/>
            <w14:lumOff w14:val="35000"/>
          </w14:schemeClr>
        </w14:solidFill>
      </w14:textFill>
      <w14:ligatures w14:val="none"/>
    </w:rPr>
  </w:style>
  <w:style w:type="character" w:customStyle="1" w:styleId="29">
    <w:name w:val="Heading 8 Char"/>
    <w:basedOn w:val="11"/>
    <w:link w:val="9"/>
    <w:semiHidden/>
    <w:qFormat/>
    <w:uiPriority w:val="9"/>
    <w:rPr>
      <w:rFonts w:eastAsiaTheme="majorEastAsia" w:cstheme="majorBidi"/>
      <w:i/>
      <w:iCs/>
      <w:color w:val="262626" w:themeColor="text1" w:themeTint="D9"/>
      <w:kern w:val="0"/>
      <w:sz w:val="24"/>
      <w:szCs w:val="28"/>
      <w14:textFill>
        <w14:solidFill>
          <w14:schemeClr w14:val="tx1">
            <w14:lumMod w14:val="85000"/>
            <w14:lumOff w14:val="15000"/>
          </w14:schemeClr>
        </w14:solidFill>
      </w14:textFill>
      <w14:ligatures w14:val="none"/>
    </w:rPr>
  </w:style>
  <w:style w:type="character" w:customStyle="1" w:styleId="30">
    <w:name w:val="Heading 9 Char"/>
    <w:basedOn w:val="11"/>
    <w:link w:val="10"/>
    <w:semiHidden/>
    <w:qFormat/>
    <w:uiPriority w:val="9"/>
    <w:rPr>
      <w:rFonts w:eastAsiaTheme="majorEastAsia" w:cstheme="majorBidi"/>
      <w:color w:val="262626" w:themeColor="text1" w:themeTint="D9"/>
      <w:kern w:val="0"/>
      <w:sz w:val="24"/>
      <w:szCs w:val="28"/>
      <w14:textFill>
        <w14:solidFill>
          <w14:schemeClr w14:val="tx1">
            <w14:lumMod w14:val="85000"/>
            <w14:lumOff w14:val="15000"/>
          </w14:schemeClr>
        </w14:solidFill>
      </w14:textFill>
      <w14:ligatures w14:val="none"/>
    </w:rPr>
  </w:style>
  <w:style w:type="character" w:customStyle="1" w:styleId="31">
    <w:name w:val="Title Char"/>
    <w:basedOn w:val="11"/>
    <w:link w:val="19"/>
    <w:qFormat/>
    <w:uiPriority w:val="10"/>
    <w:rPr>
      <w:rFonts w:asciiTheme="majorHAnsi" w:hAnsiTheme="majorHAnsi" w:eastAsiaTheme="majorEastAsia" w:cstheme="majorBidi"/>
      <w:spacing w:val="-10"/>
      <w:kern w:val="28"/>
      <w:sz w:val="56"/>
      <w:szCs w:val="56"/>
      <w14:ligatures w14:val="none"/>
    </w:rPr>
  </w:style>
  <w:style w:type="character" w:customStyle="1" w:styleId="32">
    <w:name w:val="Subtitle Char"/>
    <w:basedOn w:val="11"/>
    <w:link w:val="18"/>
    <w:qFormat/>
    <w:uiPriority w:val="11"/>
    <w:rPr>
      <w:rFonts w:eastAsiaTheme="majorEastAsia" w:cstheme="majorBidi"/>
      <w:color w:val="595959" w:themeColor="text1" w:themeTint="A6"/>
      <w:spacing w:val="15"/>
      <w:kern w:val="0"/>
      <w:sz w:val="28"/>
      <w:szCs w:val="28"/>
      <w14:textFill>
        <w14:solidFill>
          <w14:schemeClr w14:val="tx1">
            <w14:lumMod w14:val="65000"/>
            <w14:lumOff w14:val="35000"/>
          </w14:schemeClr>
        </w14:solidFill>
      </w14:textFill>
      <w14:ligatures w14:val="none"/>
    </w:rPr>
  </w:style>
  <w:style w:type="paragraph" w:styleId="33">
    <w:name w:val="Quote"/>
    <w:basedOn w:val="1"/>
    <w:next w:val="1"/>
    <w:link w:val="34"/>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1"/>
    <w:link w:val="33"/>
    <w:qFormat/>
    <w:uiPriority w:val="29"/>
    <w:rPr>
      <w:rFonts w:ascii="Times New Roman" w:hAnsi="Times New Roman"/>
      <w:i/>
      <w:iCs/>
      <w:color w:val="404040" w:themeColor="text1" w:themeTint="BF"/>
      <w:kern w:val="0"/>
      <w:sz w:val="24"/>
      <w:szCs w:val="28"/>
      <w14:textFill>
        <w14:solidFill>
          <w14:schemeClr w14:val="tx1">
            <w14:lumMod w14:val="75000"/>
            <w14:lumOff w14:val="25000"/>
          </w14:schemeClr>
        </w14:solidFill>
      </w14:textFill>
      <w14:ligatures w14:val="none"/>
    </w:rPr>
  </w:style>
  <w:style w:type="paragraph" w:styleId="35">
    <w:name w:val="List Paragraph"/>
    <w:basedOn w:val="1"/>
    <w:qFormat/>
    <w:uiPriority w:val="34"/>
    <w:pPr>
      <w:ind w:left="720"/>
      <w:contextualSpacing/>
    </w:pPr>
  </w:style>
  <w:style w:type="character" w:customStyle="1" w:styleId="36">
    <w:name w:val="Intense Emphasis"/>
    <w:basedOn w:val="11"/>
    <w:qFormat/>
    <w:uiPriority w:val="21"/>
    <w:rPr>
      <w:i/>
      <w:iCs/>
      <w:color w:val="2F5597" w:themeColor="accent1" w:themeShade="BF"/>
    </w:rPr>
  </w:style>
  <w:style w:type="paragraph" w:styleId="37">
    <w:name w:val="Intense Quote"/>
    <w:basedOn w:val="1"/>
    <w:next w:val="1"/>
    <w:link w:val="38"/>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8">
    <w:name w:val="Intense Quote Char"/>
    <w:basedOn w:val="11"/>
    <w:link w:val="37"/>
    <w:qFormat/>
    <w:uiPriority w:val="30"/>
    <w:rPr>
      <w:rFonts w:ascii="Times New Roman" w:hAnsi="Times New Roman"/>
      <w:i/>
      <w:iCs/>
      <w:color w:val="2F5597" w:themeColor="accent1" w:themeShade="BF"/>
      <w:kern w:val="0"/>
      <w:sz w:val="24"/>
      <w:szCs w:val="28"/>
      <w14:ligatures w14:val="none"/>
    </w:rPr>
  </w:style>
  <w:style w:type="character" w:customStyle="1" w:styleId="39">
    <w:name w:val="Intense Reference"/>
    <w:basedOn w:val="11"/>
    <w:qFormat/>
    <w:uiPriority w:val="32"/>
    <w:rPr>
      <w:b/>
      <w:bCs/>
      <w:smallCaps/>
      <w:color w:val="2F5597" w:themeColor="accent1" w:themeShade="BF"/>
      <w:spacing w:val="5"/>
    </w:rPr>
  </w:style>
  <w:style w:type="character" w:customStyle="1" w:styleId="40">
    <w:name w:val="Header Char"/>
    <w:basedOn w:val="11"/>
    <w:link w:val="15"/>
    <w:qFormat/>
    <w:uiPriority w:val="99"/>
    <w:rPr>
      <w:rFonts w:ascii="Times New Roman" w:hAnsi="Times New Roman"/>
      <w:kern w:val="0"/>
      <w:sz w:val="24"/>
      <w:szCs w:val="28"/>
      <w14:ligatures w14:val="none"/>
    </w:rPr>
  </w:style>
  <w:style w:type="character" w:customStyle="1" w:styleId="41">
    <w:name w:val="Footer Char"/>
    <w:basedOn w:val="11"/>
    <w:link w:val="14"/>
    <w:qFormat/>
    <w:uiPriority w:val="99"/>
    <w:rPr>
      <w:rFonts w:ascii="Times New Roman" w:hAnsi="Times New Roman"/>
      <w:kern w:val="0"/>
      <w:sz w:val="24"/>
      <w:szCs w:val="28"/>
      <w14:ligatures w14:val="none"/>
    </w:rPr>
  </w:style>
  <w:style w:type="character" w:customStyle="1" w:styleId="42">
    <w:name w:val="Unresolved Mention"/>
    <w:basedOn w:val="11"/>
    <w:semiHidden/>
    <w:unhideWhenUsed/>
    <w:uiPriority w:val="99"/>
    <w:rPr>
      <w:color w:val="605E5C"/>
      <w:shd w:val="clear" w:color="auto" w:fill="E1DFDD"/>
    </w:rPr>
  </w:style>
  <w:style w:type="paragraph" w:customStyle="1" w:styleId="43">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2F497F-E6A7-47EB-873E-2EFF966D91BE}">
  <ds:schemaRefs/>
</ds:datastoreItem>
</file>

<file path=docProps/app.xml><?xml version="1.0" encoding="utf-8"?>
<Properties xmlns="http://schemas.openxmlformats.org/officeDocument/2006/extended-properties" xmlns:vt="http://schemas.openxmlformats.org/officeDocument/2006/docPropsVTypes">
  <Template>Normal</Template>
  <Pages>16</Pages>
  <Words>3330</Words>
  <Characters>18987</Characters>
  <Lines>158</Lines>
  <Paragraphs>44</Paragraphs>
  <TotalTime>1</TotalTime>
  <ScaleCrop>false</ScaleCrop>
  <LinksUpToDate>false</LinksUpToDate>
  <CharactersWithSpaces>22273</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odedara vivek</dc:creator>
  <cp:lastModifiedBy>Soham</cp:lastModifiedBy>
  <cp:revision>10</cp:revision>
  <dcterms:created xsi:type="dcterms:W3CDTF">2025-11-24T04:52:00Z</dcterms:created>
  <dcterms:modified xsi:type="dcterms:W3CDTF">2025-12-17T10:35:55Z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79CCDC22580E42199025636BAD3F3A57_12</vt:lpwstr>
  </property>
</Properties>
</file>