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A7D201" wp14:paraId="6832ED7C" wp14:textId="3CBF2B81">
      <w:pPr>
        <w:spacing w:before="0" w:beforeAutospacing="off" w:after="20" w:afterAutospacing="off" w:line="279" w:lineRule="auto"/>
        <w:ind w:left="0" w:right="0"/>
        <w:jc w:val="center"/>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24A7D201" w:rsidR="4CB909E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Review the evidence for the strategic use of the outdoors in promoting health and well-being. You should contextualise this within current social, </w:t>
      </w:r>
      <w:r w:rsidRPr="24A7D201" w:rsidR="4CB909E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political</w:t>
      </w:r>
      <w:r w:rsidRPr="24A7D201" w:rsidR="4CB909E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and educational narratives, as well as reflecting on your own specific personal experience.</w:t>
      </w:r>
    </w:p>
    <w:p xmlns:wp14="http://schemas.microsoft.com/office/word/2010/wordml" w:rsidP="24A7D201" wp14:paraId="3AD5E5A2" wp14:textId="21D0A0EC">
      <w:pPr>
        <w:pStyle w:val="Normal"/>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A7D201" wp14:paraId="7331CB1A" wp14:textId="25FCF237">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essay will review the evidence for the strategic use of the outdoors for health and wellbeing. Therefore, it is relevant to define that ‘strategic’ uses of the outdoors will refer to programs that are structured to improve the health and wellbeing of participants, usually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operated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businesses or charities.</w:t>
      </w:r>
    </w:p>
    <w:p xmlns:wp14="http://schemas.microsoft.com/office/word/2010/wordml" w:rsidP="24A7D201" wp14:paraId="4EF2A9A4" wp14:textId="6901226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28634290" wp14:textId="5038CA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example of the strategic use of the outdoors to support health and wellbeing would be Celtic Deep’s ‘Wildlife on One Breath’ project (Celtic Deep, 2025). This project introduces groups to freediving as a way of relaxation, improving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wellbeing</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exploring the natural world underwater. Research into the effectiveness of freediving as a tool for mental wellbeing has shown that the practice encourages introspection, leading participants to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for personal growth and ways to improve their quality of life. (Santoro</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Freedivers showed higher than average levels of mindfulness in daily life, as well as less state anxiety, less negative general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moods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improved psychological resilience (Santoro</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 Alkan and Akis, 2013; Elia and Lemaitre, 2025). Physically based benefits include a higher hypercapnic tolerance (carbon dioxide build-up) and cardiorespiratory (systems supplying oxygen through body), cerebrovascular (blood flow in brain), and skeletal-muscle adaptations (Elia and Lemaitre, 2025). Collective projects like ‘Wildlife on One Breath’ also allow participants to meet others who can relate to their situation and experience through group sessions, offering an opportunity to be part of a supportive community to work with independently outside of the program (Santoro</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Celtic Deep, 2025). Additionally, follow-ups by Santoro (2025) suggested that all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participants in the study continued freediving after the study. This evidence suggests that ‘Wildlife on One Breath’ has good potential to promote better health and wellbeing outcomes for its participants.</w:t>
      </w:r>
    </w:p>
    <w:p xmlns:wp14="http://schemas.microsoft.com/office/word/2010/wordml" w:rsidP="24A7D201" wp14:paraId="10514B47" wp14:textId="4C3D4BB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660D1B1E" wp14:textId="28A52C8A">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Celtic Deep is not a charity, instead it is a business which runs a specific project in partnership with the Pembrokeshire Outdoor Health Project, run by Pembrokeshire Coastal Forum (PCF) (Pembrokeshire Coastal Forum, 2020).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majority of</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activities offered by Celtic Deep are paid experiences ranging from £127 to £418, from which it can be assumed that the Wildlife on One Breath activities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likely incurs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similar costs for Celtic Deep, which PCF would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responsible for</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repaying. The Pembrokeshire Outdoor Health Project partners with activity providers like Celtic Deep as a method of social prescribing to support health and wellbeing through nature-based outdoor activities, hence why PCF would support businesses in delivering programs for those in need (Pembrokeshire Coastal Forum, 2020). Pembrokeshire coastal forum itself is funded by the Welsh government, likely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result of</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multiple Welsh government initiatives, such as; the National Framework for Social Prescribing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NFfSP</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(Welsh Government, 2024), the Well-Being of Future Generations Act (Welsh Government, 2015). The steady rise in social prescription in Wales as part of preventative measures is helping to ease the burden on front line specialist services by building social capital and connecting people with their communities, improving isolation and outcomes for many individuals (Welsh Government, 2023). These initiatives present the image of a Welsh government that is dedicated to the mission of supporting health and wellbeing through the funding of projects like Pembrokeshire Outdoor Health Projects and the various partners under them doing the real work to support public health in the outdoors. This sets a background of social and political support for these projects, meaning they can deliver meaningful support on a stable foundation.</w:t>
      </w:r>
    </w:p>
    <w:p xmlns:wp14="http://schemas.microsoft.com/office/word/2010/wordml" w:rsidP="24A7D201" wp14:paraId="52F69918" wp14:textId="5FD0A22A">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45006AB5" wp14:textId="7CCF17E7">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partner of the Pembrokeshire Outdoor Health Project is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Lleol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charity which focuses more on fully immersing their activities in nature to support health and wellbeing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Lleol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Small Woods, 2025). Connection with nature is known to improve psychological, social, and emotional wellbeing, as well as helping to achieve greater mindfulness for individuals who immerse themselves in nature (Howell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2011). There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exists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huge body of evidence and several theories to explain why being present and connected with nature can be beneficial to a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wellbeing; biophilia, attention restoration and stress reduction theories being some of the major theories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Dopko</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 The theory of biophilia, solidified by Wilson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Wilson, 1986</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his book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Biophilia,</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humans have an inherent connection and natural need to associate with the natural environment, bearing a natural affection for plants, animals, and other living things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Grinde and Patil, 2009</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One example of biophilia is the universal enjoyment of the of the natural worlds appearance, from the varying natural shapes, vibrant colours and repeating fractals, nature takes on a very different appearance to the built environments we spend most of our time in, and yet natural forms are enjoyed by all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Rogers, 2024</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Another theory as to why nature can improve health and wellbeing is Attention Restoration Theory, which proposes that natural environments are ideal for allowing the brain to perform essential “mental housekeeping” tasks, address lingering issues in the back of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mind, and clear out a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thoughts to restore overall focus and mental clarity (Ohly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Basu </w:t>
      </w:r>
      <w:r w:rsidRPr="24A7D201" w:rsidR="4CB909E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et al</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2018</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Stress Reduction theory is often closely connected with attention restoration theory, suggesting that stressful experiences trigger a natural response to leave the associated environment so as to regulate the psychological effects of stress, to trigger positive emotional change and to restore energy spent during a stress response (Thrive, 2026). Spending time in nature then, would fulfil the need to leave the urban environments in which we experience the most stress and allow the mind to process and recover from the stress of daily life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Ulrich, 2023</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Lleol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provides opportunities for various groups to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each or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of</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theories, as well as reaping the benefits of having all five senses immersed in the natural environment by performing woodland activities in nature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Franco </w:t>
      </w:r>
      <w:r w:rsidRPr="24A7D201" w:rsidR="4CB909E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et al</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2017</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success of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Lleol’s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is evident in the feedback given by participants of their well-being based nature activities, some of which describe that “after I’ve done this I'll go home and I'm just nothing but positive” and “the things I have found time and  time again that will improve my mental wellbeing are nature, community, physical activity, creativity, and this incorporates all of those”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Small Woods Association, 2021</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4A7D201" wp14:paraId="2F95B885" wp14:textId="6708B223">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60E01E7D" wp14:textId="256841D5">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the potential of strategic uses of the outdoors for health and wellbeing for individuals and small groups is clear, initiatives like the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NFfSP</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(Welsh Government, 2024) seek to use these strategies on a national scale as a method of early prevention and a way to relieve stress on the NHS where it can provide a valuable substitute. Therefore, it is important to examine the effectiveness of these programs in more material ways. ‘Opening Doors to the Outdoors’ is a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week</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 and wellbeing programme run by the Outdoor Partnership as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option</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social prescribing, whose participants report the expected improvements to wellbeing that are found in similar projects (The Outdoor Partnership, 2026). Unique to this programme is a social return on investment analysis, which examined the inputs and impacts of the program to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for every £1 invested into it, £4.90 to £5.36 in social values could be generated (The Outdoor Partnership, 2026;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Makanjuola</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 This provides material evidence value to support anecdotal reports by participants that outdoor programs can have genuinely beneficial effects on a person's health and wellbeing enough to justify their funding.</w:t>
      </w:r>
    </w:p>
    <w:p xmlns:wp14="http://schemas.microsoft.com/office/word/2010/wordml" w:rsidP="24A7D201" wp14:paraId="5D76F163" wp14:textId="1780CFC6">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445F7104" wp14:textId="0D5B41BC">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the social prescribing of outdoor activities can be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evidenced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definitively beneficial, problems begin to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emerge</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examining the system of social prescribing itself. Due partly to the rapid growth of social prescribing and its nature of involving many different businesses or charities, a general lack of consensus has been allowed to develop among practitioners about the purpose, structure, and ways of access to social prescribing programmes (Howarth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Brown and Aylett, 2025). This goes as far as having no consistent standard of whether programmes should only be accessible via primary healthcare professionals or if the system is completely external to typical healthcare systems. This issue is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exacerbated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the high demand of social prescribing referrals, with smaller charities such as ‘Tidy Butt’ rising 70 percent in attendance, until they began blocking NHS referrals entirely, due to becoming overloaded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Sutton, 2025</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Research like this paints a picture of a system underprepared to deal with the demand for outdoor based health and wellbeing support, raising the potential risk of those in need being unable to access support due to issues with the system, despite providers being available.</w:t>
      </w:r>
    </w:p>
    <w:p xmlns:wp14="http://schemas.microsoft.com/office/word/2010/wordml" w:rsidP="24A7D201" wp14:paraId="152ED457" wp14:textId="594F0064">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24EDBEC0" wp14:textId="7B7E5B83">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experience of similar initiatives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been pivotal in understanding strategic applications of the outdoors for health and wellbeing. I previously participated in an ‘Explore’ course run by The King’s Trust which was designed to develop young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peoples</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skills, motivations, and wellbeing through a variety of interesting activities, including a focus on expanding comfort zones and building resilience via challenging outdoor activities (The King's Trust, 2026). I found the outdoor activities to be the most engaging and beneficial to my own wellbeing, which led the practitioners involved to introduce me to a secondary program run by the Outdoor Partnership. That program covered a variety of outdoor adventure activities which I found incredibly engaging, both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myself and my family</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able to recognise the significant positive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would have on me after each adventure day on the course (The Outdoor Partnership, 2025). This course too, provided me with a direction to go after its end, as this course was what introduced me to UWTSD’s Outdoor Adventure Education degree. My experience with strategic applications of the outdoors for health and wellbeing was not only of the direct and immediate benefits to my wellbeing at the time, but the long-term benefits of being supported with finding more direction and purpose in my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plans for the future</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4A7D201" wp14:paraId="6B468721" wp14:textId="1F214214">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69352E05" wp14:textId="2E93704E">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Strategic uses of the outdoors to improve health and wellbeing like (Celtic Deep, 2025; Pembrokeshire Coastal Forum, 2020;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Coed</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Lleol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Small Woods, 2025; The Outdoor Partnership, 2026; The King's Trust, 2026) draw on theories such as biophilia, stress reduction theory and restoration theory to deliver their programs, with overwhelming evidence of their benefits to psychological, social, and emotional wellbeing, mindfulness and reducing anxiety, providing proof as to their efficacy (Howell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2011;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Dopko</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2015;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Wilson, 1986;</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Grinde and Patil, 2009;</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Rogers, 2024;</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Ohly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Basu </w:t>
      </w:r>
      <w:r w:rsidRPr="24A7D201" w:rsidR="4CB909E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et al</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2018;</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Thrive, 2026;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Ulrich, 2023;</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Franco </w:t>
      </w:r>
      <w:r w:rsidRPr="24A7D201" w:rsidR="4CB909E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et al</w:t>
      </w:r>
      <w:r w:rsidRPr="24A7D201" w:rsidR="4CB909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2017</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improvements these programs can have on the lives of individuals make a clear case for the use of the outdoors in improving health and well-being. The system of social prescribing that supports such programs and directs participants to them can be evidenced as beneficial from a large-scale perspective too, making significant returns to wellbeing from financial investments received and being widely popular (The Outdoor Partnership, 2026; </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Makanjuola</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Howarth </w:t>
      </w:r>
      <w:r w:rsidRPr="24A7D201" w:rsidR="4CB909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 However, this success can reveal the issues buried in the current system of social prescribing for outdoor wellbeing activities, exposing inconsistencies between programs, misunderstandings of the purpose of wellbeing initiatives and a need for programs which can rapidly overload systems and programs (Brown and Aylett, 2025).</w:t>
      </w:r>
    </w:p>
    <w:p xmlns:wp14="http://schemas.microsoft.com/office/word/2010/wordml" w:rsidP="24A7D201" wp14:paraId="16661D0C" wp14:textId="70949244">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4A7D201" wp14:paraId="15877AC8" wp14:textId="7F3E406C">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4CB9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all the evidence in mind, it is clear to see that strategic uses of the outdoors are hugely beneficial for health and wellbeing, but that for those benefits to continue to be accrued by those who need them the system of funding and deliverance must be reviewed and improved upon to maintain access going forward.</w:t>
      </w:r>
    </w:p>
    <w:p xmlns:wp14="http://schemas.microsoft.com/office/word/2010/wordml" w:rsidP="24A7D201" wp14:paraId="4437CB5F" wp14:textId="7A7C9EBB">
      <w:pPr>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A7D201" wp14:paraId="2F21E54D" wp14:textId="150AB0E6">
      <w:pPr>
        <w:pStyle w:val="Normal"/>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A7D201" w:rsidR="76DD4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xmlns:wp14="http://schemas.microsoft.com/office/word/2010/wordml" w:rsidP="24A7D201" wp14:paraId="1870852F" wp14:textId="717AF39D">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4A7D201" wp14:paraId="2C078E63" wp14:textId="41F5A094">
      <w:pPr>
        <w:rPr>
          <w:rFonts w:ascii="Times New Roman" w:hAnsi="Times New Roman" w:eastAsia="Times New Roman" w:cs="Times New Roman"/>
        </w:rPr>
      </w:pPr>
    </w:p>
    <w:p w:rsidR="6E6FF35A" w:rsidP="24A7D201" w:rsidRDefault="6E6FF35A" w14:paraId="35066171" w14:textId="08B43FBB">
      <w:pPr>
        <w:rPr>
          <w:rFonts w:ascii="Times New Roman" w:hAnsi="Times New Roman" w:eastAsia="Times New Roman" w:cs="Times New Roman"/>
        </w:rPr>
      </w:pPr>
      <w:r w:rsidRPr="24A7D201" w:rsidR="6E6FF35A">
        <w:rPr>
          <w:rFonts w:ascii="Times New Roman" w:hAnsi="Times New Roman" w:eastAsia="Times New Roman" w:cs="Times New Roman"/>
        </w:rPr>
        <w:t>References:</w:t>
      </w:r>
    </w:p>
    <w:p w:rsidR="24A7D201" w:rsidP="24A7D201" w:rsidRDefault="24A7D201" w14:paraId="39DA200B" w14:textId="41626CA0">
      <w:pPr>
        <w:rPr>
          <w:rFonts w:ascii="Times New Roman" w:hAnsi="Times New Roman" w:eastAsia="Times New Roman" w:cs="Times New Roman"/>
        </w:rPr>
      </w:pPr>
    </w:p>
    <w:p w:rsidR="6E6FF35A" w:rsidP="24A7D201" w:rsidRDefault="6E6FF35A" w14:paraId="72089CF1" w14:textId="7DC38D9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Alkan, N. and Akis, T. (2013). Psychological Characteristics of Free Diving Athletes: A Comparative Study.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Humanities and Social Science</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3(15). Available at: </w:t>
      </w:r>
      <w:hyperlink r:id="R55f89186c1434ee1">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https://www.researchgate.net/publication/258308997_Psychological_Characteristics_of_Free_Diving_Athl</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March 2026].</w:t>
      </w:r>
    </w:p>
    <w:p w:rsidR="24A7D201" w:rsidP="24A7D201" w:rsidRDefault="24A7D201" w14:paraId="75DEEAFC" w14:textId="5F77CC1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6FF35A" w:rsidP="24A7D201" w:rsidRDefault="6E6FF35A" w14:paraId="3A881B3F" w14:textId="44303AF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Basu, A., Duvall, J., and Kaplan, R. (2018). Attention Restoration Theory: Exploring the Role of Soft Fascination and Mental Bandwidth.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Environment and Behavior</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51(9-10). Available at: </w:t>
      </w:r>
      <w:hyperlink r:id="Rbe687f5f67fa4eb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https://journals.sagepub.com/doi/abs/10.1177/0013916518774400</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2E3E8954" w14:textId="67646D2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202FDD04" w14:textId="179352D8">
      <w:pPr>
        <w:rPr>
          <w:rFonts w:ascii="Times New Roman" w:hAnsi="Times New Roman" w:eastAsia="Times New Roman" w:cs="Times New Roman"/>
          <w:noProof w:val="0"/>
          <w:sz w:val="24"/>
          <w:szCs w:val="24"/>
          <w:lang w:val="en-GB"/>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Brown,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Aylett, K. (2025). Interrogating green social prescribing in South Wales; A multi-stakeholder qualitative exploration.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PLOS One</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6734e1d34c148e5">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https://journals.plos.org/plosone/article?id=10.1371/journal.pone.0314107#sec026</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1619F154" w14:textId="22B969D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6FF35A" w:rsidP="24A7D201" w:rsidRDefault="6E6FF35A" w14:paraId="0B9FAEF8" w14:textId="500FFF6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Celtic Deep. (2025).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Projects.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Celtic Deep. Available at: </w:t>
      </w:r>
      <w:hyperlink r:id="Re2b04295a3f4472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https://www.celticdeep.org/projects-1#oceanhealth</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09FD9A85" w14:textId="14053BE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30C9B489" w14:textId="31A67A0A">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Coed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Lleol</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Small Woods. (2025)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Projects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Coed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Lleol</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Small Woods. Available at: </w:t>
      </w:r>
      <w:hyperlink r:id="R51623a55f0dc4d13">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https://www.smallwoods.org.uk/en/coedlleol/what-we-do/projects/</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7A569E73" w14:textId="29E145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1FEA8797" w14:textId="7A7A1D96">
      <w:pPr>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Dopko</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 (2015). Flourishing in nature: A review of the benefits of connecting with nature and its application as a wellbeing intervention.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Wellbeing</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851a533b2712421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 xml:space="preserve">https://www.academia.edu/54572237/Flourishing_in_nature_A_review_of_the_benefits_of_connecting_with_ </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13 March 2026].</w:t>
      </w:r>
    </w:p>
    <w:p w:rsidR="24A7D201" w:rsidP="24A7D201" w:rsidRDefault="24A7D201" w14:paraId="07978E6E" w14:textId="0A36FC6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5E49B782" w14:textId="40191FBF">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Elia,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Lemaitre, F. (2025). The application of breath-holding in sports: physiological effects, challenges, and future directions.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European Journal of Applied Physiology</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125, p.2049–2065. Available at: </w:t>
      </w:r>
      <w:hyperlink r:id="R796971e5e9d648af">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https://link.springer.com/article/10.1007/s00421-025-05752-y</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031EBA3A" w14:textId="6587366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60B89194" w14:textId="33B59518">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Franco, L., Shanahan, D. and Fuller, R. (2017). A Review of the Benefits of Nature Experiences: More Than Meets the Eye.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Environmental Research and Public Health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14(8), p.864. Available at: </w:t>
      </w:r>
      <w:hyperlink r:id="R00ba84a8bbfc4383">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https://www.mdpi.com/1660-4601/14/8/864</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775775A3" w14:textId="0A66873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63607DBE" w14:textId="1BDC10AC">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Grinde, B. and Patil, G. (2009). Biophilia: Does Visual Contact with Nature Impact on Health and Well-Being?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Environmental Research and Public Health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6(9), pp</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.2332</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-2343. Available at: </w:t>
      </w:r>
      <w:hyperlink r:id="Rb48dc79730f54844">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https://www.mdpi.com/1660-4601/6/9/2332</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4A7DF7B1" w14:textId="3F08D80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1CCB813C" w14:textId="451910B6">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Howarth, M., Griffiths, A., Silva,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Green, R. (2020). Social prescribing: a ‘natural’ community-based solution.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British Journal of Community Nursing</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25(6), pp.294-298. Available at: </w:t>
      </w:r>
      <w:hyperlink r:id="R6a53813e8ecd4353">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https://www.magonlinelibrary.com/doi/full/10.12968/bjcn.2020.25.6.294</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March 2026].</w:t>
      </w:r>
    </w:p>
    <w:p w:rsidR="24A7D201" w:rsidP="24A7D201" w:rsidRDefault="24A7D201" w14:paraId="086FEABF" w14:textId="320C7EA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4B9FCD04" w14:textId="2FAF3257">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Howell, A.,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Dopko</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 Passmore, H. and Buro, K. (2011). Nature connectedness: Associations with well-being and mindfulness.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Personality and Individual Differences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51(2), pp</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.166</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-171. Available at: </w:t>
      </w:r>
      <w:hyperlink r:id="R69d390eeb16b4183">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https://www.sciencedirect.com/science/article/pii/S0191886911001711</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5DF0C3CD" w14:textId="6323E4F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37C2E2CA" w14:textId="28BE8FA5">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Makanjuola</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Lynch, M., Hartfiel, N., Cuthbert,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Edwards, R. (2023). Prevention of Poor Physical and Mental Health through the Green Social Prescribing Opening Doors to the Outdoors Programme: A Social Return on Investment Analysis.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20(12), p.6111. Available at: </w:t>
      </w:r>
      <w:hyperlink r:id="R980b1aca4d89403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https://www.mdpi.com/1660-4601/20/12/6111</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March 2026].</w:t>
      </w:r>
    </w:p>
    <w:p w:rsidR="24A7D201" w:rsidP="24A7D201" w:rsidRDefault="24A7D201" w14:paraId="2AAA5B2F" w14:textId="6B5F1C4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64342D07" w14:textId="5F546B9A">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Ohly, H., White, M., Wheeler, B., Bethel, A.,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Ukoumunne</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 Nikolaou,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Garside, R. (2016). Attention Restoration Theory: A systematic review of the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attention</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restoration potential of exposure to natural environments.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Toxicology and Environmental Health.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19(7), p.305–343. Available at: </w:t>
      </w:r>
      <w:hyperlink r:id="R83a12dd34a9641f7">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https://www.tandfonline.com/doi/citedby/10.1080/10937404.2016.1196155?scroll=top&amp;needAccess=true</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4520D18E" w14:textId="412C223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12671E80" w14:textId="4EAB24BD">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Pembrokeshire Coastal Forum. (2020).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Pembrokeshire Outdoor Health Project.</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Pembrokeshire Coastal Forum. Available at: </w:t>
      </w:r>
      <w:hyperlink r:id="R2181cab688164b63">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https://www.pembrokeshirecoastalforum.org.uk/projects/pembrokeshire-outdoor-health-project/</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2631D19F" w14:textId="0004A08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159E288E" w14:textId="16488BB9">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Rogers, K. (2024).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biophilia hypothesis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Encyclopedia Britannica. Last Updated: 5 May 2024. Available at: </w:t>
      </w:r>
      <w:hyperlink r:id="R5a3b771424cc431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https://www.britannica.com/science/biophilia-hypothesis</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2C071890" w14:textId="3D4B94E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35BE47F8" w14:textId="7184A98D">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Santoro L., </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Bruyninckx</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Guerra, A. (2025). FREEDIVING AS A MINDFULNESS PRACTICE FOR TRAUMA RESILIENCE.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Psychological Applications and Trends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1c7b2d3f006480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https://inpact-psychologyconference.org/wp-content/uploads/2025/05/202501P004.pdf</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13 March 2026].</w:t>
      </w:r>
    </w:p>
    <w:p w:rsidR="24A7D201" w:rsidP="24A7D201" w:rsidRDefault="24A7D201" w14:paraId="75055846" w14:textId="11C4B97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60CE0C5F" w14:textId="6754534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Small Woods Association. (2021).</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Woodlands for Wellbeing | Coed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Lleol</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(Small Woods Wales)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YouTube. Last Updated: 29 November 2021. Available at: </w:t>
      </w:r>
      <w:hyperlink r:id="R2d215a10ca3647b3">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https://www.youtube.com/watch?v=MnLQXPGQB-s&amp;t=80s</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04630113" w14:textId="7D41F41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10810ECD" w14:textId="2547B4C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Sutton, K. (2025).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Is green prescribing working in Wales, or are providers struggling to keep up?</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Oxygen. Last Updated: 11 December 2025. Available at: </w:t>
      </w:r>
      <w:hyperlink r:id="Rc649a09e8f654364">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https://journalism-school.cardiff.ac.uk/oxygen/2025/12/11/features/is-green-prescribing-working-in-w</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3FC061E5" w14:textId="76EA7EB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0CA49CF7" w14:textId="29685EFE">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King's Trust. (2026).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Explore: Take steps to achieve your goals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King's Trust. Available at: </w:t>
      </w:r>
      <w:hyperlink r:id="Rd2698e0f50b9455e">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https://www.kingstrust.org.uk/how-we-can-help/grow-skills-and-confidence/explore</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652A7224" w14:textId="362BC84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0D458EE9" w14:textId="22E232D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Outdoor Partnership. (2025).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Our Areas: Gwent</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Outdoor Partnership. Available at: </w:t>
      </w:r>
      <w:hyperlink r:id="R4d72e12fa1e242fd">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https://outdoorpartnership.co.uk/gwent</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March 2026].</w:t>
      </w:r>
    </w:p>
    <w:p w:rsidR="24A7D201" w:rsidP="24A7D201" w:rsidRDefault="24A7D201" w14:paraId="3FBC2B47" w14:textId="5F973D1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6FF35A" w:rsidP="24A7D201" w:rsidRDefault="6E6FF35A" w14:paraId="2D7BC212" w14:textId="578C06F2">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Outdoor Partnership. (2026)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Opening Doors to the Outdoors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Outdoor Partnership. Available at: </w:t>
      </w:r>
      <w:hyperlink r:id="Rf505e33a3bcc4eb2">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https://outdoorpartnership.co.uk/opening-doors-to-the-outdoors</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45C5862B" w14:textId="469BDCF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09E3E341" w14:textId="02258049">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Thrive. (2026).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Stress Reduction Theory</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Thrive. Available at: </w:t>
      </w:r>
      <w:hyperlink r:id="R2746615b00ac459a">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Stress Reduction Theory - Thrive</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640B73A7" w14:textId="24967EA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7C18F93E" w14:textId="2C7082EE">
      <w:pPr>
        <w:ind w:left="0"/>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Government. (2015).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of Future Generations (Wales) Act 2015: the essentials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GOV.WALES. Last Updated: 7 January 2025. Available at: </w:t>
      </w:r>
      <w:hyperlink r:id="R09a4488422754924">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https://www.gov.wales/well-being-future-generations-act-essentials-html</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7AB1BA4A" w14:textId="63935EA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654CFF26" w14:textId="0D9DCF1A">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Government. (2023).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prescribing growing in Wales</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GOV.WALES. Last Updated: 11 December 2023. Available at: </w:t>
      </w:r>
      <w:hyperlink r:id="R472c01aa8aee4f29">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https://www.gov.wales/social-prescribing-growing-wales</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 March 2026].</w:t>
      </w:r>
    </w:p>
    <w:p w:rsidR="24A7D201" w:rsidP="24A7D201" w:rsidRDefault="24A7D201" w14:paraId="329F8A80" w14:textId="46D943A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E6FF35A" w:rsidP="24A7D201" w:rsidRDefault="6E6FF35A" w14:paraId="550193CC" w14:textId="386E5C48">
      <w:pPr>
        <w:rPr>
          <w:rFonts w:ascii="Times New Roman" w:hAnsi="Times New Roman" w:eastAsia="Times New Roman" w:cs="Times New Roman"/>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Government. (2024).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National framework for social prescribing</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GOV.WALES. Last Updated: 19 January 2024. Available at: </w:t>
      </w:r>
      <w:hyperlink r:id="R1b73b38c0d70444d">
        <w:r w:rsidRPr="24A7D201" w:rsidR="6E6FF35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https://www.gov.wales/national-framework-social-prescribing-html#135412</w:t>
        </w:r>
      </w:hyperlink>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March 2026].</w:t>
      </w:r>
    </w:p>
    <w:p w:rsidR="24A7D201" w:rsidP="24A7D201" w:rsidRDefault="24A7D201" w14:paraId="774B52EE" w14:textId="6E169DAE">
      <w:pPr>
        <w:rPr>
          <w:rFonts w:ascii="Times New Roman" w:hAnsi="Times New Roman" w:eastAsia="Times New Roman" w:cs="Times New Roman"/>
        </w:rPr>
      </w:pPr>
    </w:p>
    <w:p w:rsidR="6E6FF35A" w:rsidP="24A7D201" w:rsidRDefault="6E6FF35A" w14:paraId="7C02E86E" w14:textId="1E19B5E0">
      <w:pPr>
        <w:pStyle w:val="Normal"/>
        <w:rPr>
          <w:rFonts w:ascii="Aptos" w:hAnsi="Aptos" w:eastAsia="Aptos" w:cs="Aptos"/>
          <w:noProof w:val="0"/>
          <w:sz w:val="24"/>
          <w:szCs w:val="24"/>
          <w:lang w:val="en-US"/>
        </w:rPr>
      </w:pP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Wilson, E. (1986). </w:t>
      </w:r>
      <w:r w:rsidRPr="24A7D201" w:rsidR="6E6FF3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Biophilia</w:t>
      </w:r>
      <w:r w:rsidRPr="24A7D201" w:rsidR="6E6FF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Harvard University Press.</w:t>
      </w:r>
    </w:p>
    <w:sectPr>
      <w:pgSz w:w="12240" w:h="15840" w:orient="portrait"/>
      <w:pgMar w:top="1440" w:right="1440" w:bottom="1440" w:left="1440" w:header="720" w:footer="720" w:gutter="0"/>
      <w:cols w:space="720"/>
      <w:docGrid w:linePitch="360"/>
      <w:headerReference w:type="default" r:id="R6831383dacf34e94"/>
      <w:footerReference w:type="default" r:id="R0983393366384d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A7D201" w:rsidTr="24A7D201" w14:paraId="57D8050E">
      <w:trPr>
        <w:trHeight w:val="300"/>
      </w:trPr>
      <w:tc>
        <w:tcPr>
          <w:tcW w:w="3120" w:type="dxa"/>
          <w:tcMar/>
        </w:tcPr>
        <w:p w:rsidR="24A7D201" w:rsidP="24A7D201" w:rsidRDefault="24A7D201" w14:paraId="62C19124" w14:textId="04934904">
          <w:pPr>
            <w:pStyle w:val="Header"/>
            <w:bidi w:val="0"/>
            <w:ind w:left="-115"/>
            <w:jc w:val="left"/>
          </w:pPr>
        </w:p>
      </w:tc>
      <w:tc>
        <w:tcPr>
          <w:tcW w:w="3120" w:type="dxa"/>
          <w:tcMar/>
        </w:tcPr>
        <w:p w:rsidR="24A7D201" w:rsidP="24A7D201" w:rsidRDefault="24A7D201" w14:paraId="57632651" w14:textId="563DFC20">
          <w:pPr>
            <w:pStyle w:val="Header"/>
            <w:bidi w:val="0"/>
            <w:jc w:val="center"/>
          </w:pPr>
          <w:r>
            <w:fldChar w:fldCharType="begin"/>
          </w:r>
          <w:r>
            <w:instrText xml:space="preserve">PAGE</w:instrText>
          </w:r>
          <w:r>
            <w:fldChar w:fldCharType="separate"/>
          </w:r>
          <w:r>
            <w:fldChar w:fldCharType="end"/>
          </w:r>
        </w:p>
      </w:tc>
      <w:tc>
        <w:tcPr>
          <w:tcW w:w="3120" w:type="dxa"/>
          <w:tcMar/>
        </w:tcPr>
        <w:p w:rsidR="24A7D201" w:rsidP="24A7D201" w:rsidRDefault="24A7D201" w14:paraId="062A1508" w14:textId="15C209B1">
          <w:pPr>
            <w:pStyle w:val="Header"/>
            <w:bidi w:val="0"/>
            <w:ind w:right="-115"/>
            <w:jc w:val="right"/>
          </w:pPr>
        </w:p>
      </w:tc>
    </w:tr>
  </w:tbl>
  <w:p w:rsidR="24A7D201" w:rsidP="24A7D201" w:rsidRDefault="24A7D201" w14:paraId="595AA857" w14:textId="2DE2B9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A7D201" w:rsidTr="24A7D201" w14:paraId="07481092">
      <w:trPr>
        <w:trHeight w:val="300"/>
      </w:trPr>
      <w:tc>
        <w:tcPr>
          <w:tcW w:w="3120" w:type="dxa"/>
          <w:tcMar/>
        </w:tcPr>
        <w:p w:rsidR="24A7D201" w:rsidP="24A7D201" w:rsidRDefault="24A7D201" w14:paraId="05DA04B5" w14:textId="60E8A257">
          <w:pPr>
            <w:pStyle w:val="Header"/>
            <w:bidi w:val="0"/>
            <w:ind w:left="-115"/>
            <w:jc w:val="left"/>
            <w:rPr>
              <w:rFonts w:ascii="Times New Roman" w:hAnsi="Times New Roman" w:eastAsia="Times New Roman" w:cs="Times New Roman"/>
            </w:rPr>
          </w:pPr>
          <w:r w:rsidRPr="24A7D201" w:rsidR="24A7D201">
            <w:rPr>
              <w:rFonts w:ascii="Times New Roman" w:hAnsi="Times New Roman" w:eastAsia="Times New Roman" w:cs="Times New Roman"/>
            </w:rPr>
            <w:t>2406212</w:t>
          </w:r>
        </w:p>
      </w:tc>
      <w:tc>
        <w:tcPr>
          <w:tcW w:w="3120" w:type="dxa"/>
          <w:tcMar/>
        </w:tcPr>
        <w:p w:rsidR="24A7D201" w:rsidP="24A7D201" w:rsidRDefault="24A7D201" w14:paraId="4A3D7E07" w14:textId="049F9EC6">
          <w:pPr>
            <w:pStyle w:val="Header"/>
            <w:bidi w:val="0"/>
            <w:jc w:val="center"/>
            <w:rPr>
              <w:rFonts w:ascii="Times New Roman" w:hAnsi="Times New Roman" w:eastAsia="Times New Roman" w:cs="Times New Roman"/>
            </w:rPr>
          </w:pPr>
        </w:p>
      </w:tc>
      <w:tc>
        <w:tcPr>
          <w:tcW w:w="3120" w:type="dxa"/>
          <w:tcMar/>
        </w:tcPr>
        <w:p w:rsidR="24A7D201" w:rsidP="24A7D201" w:rsidRDefault="24A7D201" w14:paraId="65E5B001" w14:textId="0684C479">
          <w:pPr>
            <w:pStyle w:val="Header"/>
            <w:bidi w:val="0"/>
            <w:ind w:right="-115"/>
            <w:jc w:val="right"/>
            <w:rPr>
              <w:rFonts w:ascii="Times New Roman" w:hAnsi="Times New Roman" w:eastAsia="Times New Roman" w:cs="Times New Roman"/>
            </w:rPr>
          </w:pPr>
          <w:r w:rsidRPr="24A7D201" w:rsidR="24A7D201">
            <w:rPr>
              <w:rFonts w:ascii="Times New Roman" w:hAnsi="Times New Roman" w:eastAsia="Times New Roman" w:cs="Times New Roman"/>
            </w:rPr>
            <w:t>(BMOE5001)</w:t>
          </w:r>
        </w:p>
      </w:tc>
    </w:tr>
  </w:tbl>
  <w:p w:rsidR="24A7D201" w:rsidP="24A7D201" w:rsidRDefault="24A7D201" w14:paraId="03F07961" w14:textId="31EC275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5F622A"/>
    <w:rsid w:val="025F622A"/>
    <w:rsid w:val="08781953"/>
    <w:rsid w:val="0A8F6FBD"/>
    <w:rsid w:val="0D44C3B1"/>
    <w:rsid w:val="0ED3AB47"/>
    <w:rsid w:val="115AA29E"/>
    <w:rsid w:val="16E33D05"/>
    <w:rsid w:val="1BA36E7C"/>
    <w:rsid w:val="1E1D5AEA"/>
    <w:rsid w:val="24A7D201"/>
    <w:rsid w:val="2EF6447F"/>
    <w:rsid w:val="341747BB"/>
    <w:rsid w:val="384BB457"/>
    <w:rsid w:val="4A0A7368"/>
    <w:rsid w:val="4AF93B73"/>
    <w:rsid w:val="4CB909ED"/>
    <w:rsid w:val="5007A853"/>
    <w:rsid w:val="5039D8D7"/>
    <w:rsid w:val="5381CC76"/>
    <w:rsid w:val="54619774"/>
    <w:rsid w:val="60AE23BF"/>
    <w:rsid w:val="6591A31B"/>
    <w:rsid w:val="65C8BA25"/>
    <w:rsid w:val="68E14D91"/>
    <w:rsid w:val="6AD60AFB"/>
    <w:rsid w:val="6C95B855"/>
    <w:rsid w:val="6E6FF35A"/>
    <w:rsid w:val="76DD45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F622A"/>
  <w15:chartTrackingRefBased/>
  <w15:docId w15:val="{4193B0E2-7893-4C1C-A3DB-64696B44BD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A7D201"/>
    <w:rPr>
      <w:color w:val="467886"/>
      <w:u w:val="single"/>
    </w:rPr>
  </w:style>
  <w:style w:type="paragraph" w:styleId="Header">
    <w:uiPriority w:val="99"/>
    <w:name w:val="header"/>
    <w:basedOn w:val="Normal"/>
    <w:unhideWhenUsed/>
    <w:rsid w:val="24A7D201"/>
    <w:pPr>
      <w:tabs>
        <w:tab w:val="center" w:leader="none" w:pos="4680"/>
        <w:tab w:val="right" w:leader="none" w:pos="9360"/>
      </w:tabs>
      <w:spacing w:after="0" w:line="240" w:lineRule="auto"/>
    </w:pPr>
  </w:style>
  <w:style w:type="paragraph" w:styleId="Footer">
    <w:uiPriority w:val="99"/>
    <w:name w:val="footer"/>
    <w:basedOn w:val="Normal"/>
    <w:unhideWhenUsed/>
    <w:rsid w:val="24A7D20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gate.net/publication/258308997_Psychological_Characteristics_of_Free_Diving_Athletes_A_Comparative_Study" TargetMode="External" Id="R55f89186c1434ee1" /><Relationship Type="http://schemas.openxmlformats.org/officeDocument/2006/relationships/hyperlink" Target="https://journals.sagepub.com/doi/abs/10.1177/0013916518774400" TargetMode="External" Id="Rbe687f5f67fa4eb2" /><Relationship Type="http://schemas.openxmlformats.org/officeDocument/2006/relationships/hyperlink" Target="https://journals.plos.org/plosone/article?id=10.1371/journal.pone.0314107#sec026" TargetMode="External" Id="R26734e1d34c148e5" /><Relationship Type="http://schemas.openxmlformats.org/officeDocument/2006/relationships/hyperlink" Target="https://www.celticdeep.org/projects-1#oceanhealth" TargetMode="External" Id="Re2b04295a3f44722" /><Relationship Type="http://schemas.openxmlformats.org/officeDocument/2006/relationships/hyperlink" Target="https://www.smallwoods.org.uk/en/coedlleol/what-we-do/projects/" TargetMode="External" Id="R51623a55f0dc4d13" /><Relationship Type="http://schemas.openxmlformats.org/officeDocument/2006/relationships/hyperlink" Target="https://www.academia.edu/54572237/Flourishing_in_nature_A_review_of_the_benefits_of_connecting_with_nature_and_its_application_as_a_wellbeing_intervention" TargetMode="External" Id="R851a533b27124212" /><Relationship Type="http://schemas.openxmlformats.org/officeDocument/2006/relationships/hyperlink" Target="https://link.springer.com/article/10.1007/s00421-025-05752-y" TargetMode="External" Id="R796971e5e9d648af" /><Relationship Type="http://schemas.openxmlformats.org/officeDocument/2006/relationships/hyperlink" Target="https://www.mdpi.com/1660-4601/14/8/864" TargetMode="External" Id="R00ba84a8bbfc4383" /><Relationship Type="http://schemas.openxmlformats.org/officeDocument/2006/relationships/hyperlink" Target="https://www.mdpi.com/1660-4601/6/9/2332" TargetMode="External" Id="Rb48dc79730f54844" /><Relationship Type="http://schemas.openxmlformats.org/officeDocument/2006/relationships/hyperlink" Target="https://www.magonlinelibrary.com/doi/full/10.12968/bjcn.2020.25.6.294" TargetMode="External" Id="R6a53813e8ecd4353" /><Relationship Type="http://schemas.openxmlformats.org/officeDocument/2006/relationships/hyperlink" Target="https://www.sciencedirect.com/science/article/pii/S0191886911001711" TargetMode="External" Id="R69d390eeb16b4183" /><Relationship Type="http://schemas.openxmlformats.org/officeDocument/2006/relationships/hyperlink" Target="https://www.mdpi.com/1660-4601/20/12/6111" TargetMode="External" Id="R980b1aca4d894032" /><Relationship Type="http://schemas.openxmlformats.org/officeDocument/2006/relationships/hyperlink" Target="https://www.tandfonline.com/doi/citedby/10.1080/10937404.2016.1196155?scroll=top&amp;needAccess=true" TargetMode="External" Id="R83a12dd34a9641f7" /><Relationship Type="http://schemas.openxmlformats.org/officeDocument/2006/relationships/hyperlink" Target="https://www.pembrokeshirecoastalforum.org.uk/projects/pembrokeshire-outdoor-health-project/" TargetMode="External" Id="R2181cab688164b63" /><Relationship Type="http://schemas.openxmlformats.org/officeDocument/2006/relationships/hyperlink" Target="https://www.britannica.com/science/biophilia-hypothesis" TargetMode="External" Id="R5a3b771424cc4312" /><Relationship Type="http://schemas.openxmlformats.org/officeDocument/2006/relationships/hyperlink" Target="https://inpact-psychologyconference.org/wp-content/uploads/2025/05/202501P004.pdf" TargetMode="External" Id="R81c7b2d3f0064802" /><Relationship Type="http://schemas.openxmlformats.org/officeDocument/2006/relationships/hyperlink" Target="https://www.youtube.com/watch?v=MnLQXPGQB-s&amp;t=80s" TargetMode="External" Id="R2d215a10ca3647b3" /><Relationship Type="http://schemas.openxmlformats.org/officeDocument/2006/relationships/hyperlink" Target="https://journalism-school.cardiff.ac.uk/oxygen/2025/12/11/features/is-green-prescribing-working-in-w" TargetMode="External" Id="Rc649a09e8f654364" /><Relationship Type="http://schemas.openxmlformats.org/officeDocument/2006/relationships/hyperlink" Target="https://www.kingstrust.org.uk/how-we-can-help/grow-skills-and-confidence/explore" TargetMode="External" Id="Rd2698e0f50b9455e" /><Relationship Type="http://schemas.openxmlformats.org/officeDocument/2006/relationships/hyperlink" Target="https://outdoorpartnership.co.uk/gwent" TargetMode="External" Id="R4d72e12fa1e242fd" /><Relationship Type="http://schemas.openxmlformats.org/officeDocument/2006/relationships/hyperlink" Target="https://outdoorpartnership.co.uk/opening-doors-to-the-outdoors" TargetMode="External" Id="Rf505e33a3bcc4eb2" /><Relationship Type="http://schemas.openxmlformats.org/officeDocument/2006/relationships/hyperlink" Target="https://www.thrive.org.uk/how-we-help/social-therapeutic-horticulture-resource-centre/therapeutic-opportunities-in-sth/stress-reduction-theory" TargetMode="External" Id="R2746615b00ac459a" /><Relationship Type="http://schemas.openxmlformats.org/officeDocument/2006/relationships/hyperlink" Target="https://www.gov.wales/well-being-future-generations-act-essentials-html" TargetMode="External" Id="R09a4488422754924" /><Relationship Type="http://schemas.openxmlformats.org/officeDocument/2006/relationships/hyperlink" Target="https://www.gov.wales/social-prescribing-growing-wales" TargetMode="External" Id="R472c01aa8aee4f29" /><Relationship Type="http://schemas.openxmlformats.org/officeDocument/2006/relationships/hyperlink" Target="https://www.gov.wales/national-framework-social-prescribing-html#135412" TargetMode="External" Id="R1b73b38c0d70444d" /><Relationship Type="http://schemas.openxmlformats.org/officeDocument/2006/relationships/header" Target="header.xml" Id="R6831383dacf34e94" /><Relationship Type="http://schemas.openxmlformats.org/officeDocument/2006/relationships/footer" Target="footer.xml" Id="R0983393366384d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2026-03-13T13:57:13.6426230Z</dcterms:created>
  <dcterms:modified xsi:type="dcterms:W3CDTF">2026-03-13T14:20:44.2950530Z</dcterms:modified>
  <dc:creator>Holly Walker (2406212)</dc:creator>
  <lastModifiedBy>Holly Walker (2406212)</lastModifiedBy>
</coreProperties>
</file>