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2">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3">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4">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5">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6">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7">
      <w:pPr>
        <w:jc w:val="center"/>
        <w:rPr>
          <w:b w:val="1"/>
          <w:bCs w:val="1"/>
          <w:sz w:val="28"/>
          <w:szCs w:val="28"/>
          <w:highlight w:val="white"/>
        </w:rPr>
      </w:pPr>
      <w:r w:rsidDel="00000000" w:rsidR="00000000" w:rsidRPr="00000000">
        <w:rPr>
          <w:rtl w:val="0"/>
        </w:rPr>
      </w:r>
    </w:p>
    <w:p w:rsidR="00000000" w:rsidDel="00000000" w:rsidP="00000000" w:rsidRDefault="00000000" w:rsidRPr="00000000" w14:paraId="00000008">
      <w:pPr>
        <w:jc w:val="center"/>
        <w:rPr>
          <w:b w:val="1"/>
          <w:bCs w:val="1"/>
          <w:sz w:val="28"/>
          <w:szCs w:val="28"/>
          <w:highlight w:val="white"/>
        </w:rPr>
      </w:pPr>
      <w:r w:rsidDel="00000000" w:rsidR="00000000" w:rsidRPr="00000000">
        <w:rPr>
          <w:b w:val="1"/>
          <w:bCs w:val="1"/>
          <w:sz w:val="28"/>
          <w:szCs w:val="28"/>
          <w:highlight w:val="white"/>
          <w:rtl w:val="0"/>
        </w:rPr>
        <w:t xml:space="preserve">Challenges Faced By UK Companies In Entering The European Market After Brexit: A Case Evaluation Of M&amp;S Food</w:t>
      </w:r>
    </w:p>
    <w:p w:rsidR="00000000" w:rsidDel="00000000" w:rsidP="00000000" w:rsidRDefault="00000000" w:rsidRPr="00000000" w14:paraId="00000009">
      <w:pPr>
        <w:jc w:val="center"/>
        <w:rPr>
          <w:b w:val="1"/>
          <w:bCs w:val="1"/>
          <w:sz w:val="28"/>
          <w:szCs w:val="28"/>
          <w:highlight w:val="white"/>
        </w:rPr>
      </w:pPr>
      <w:r w:rsidDel="00000000" w:rsidR="00000000" w:rsidRPr="00000000">
        <w:rPr>
          <w:b w:val="1"/>
          <w:bCs w:val="1"/>
          <w:sz w:val="28"/>
          <w:szCs w:val="28"/>
          <w:highlight w:val="white"/>
          <w:rtl w:val="0"/>
        </w:rPr>
        <w:t xml:space="preserve">Student Name: Alima Niva</w:t>
        <w:br w:type="textWrapping"/>
        <w:t xml:space="preserve">Student ID: 2431109</w:t>
        <w:br w:type="textWrapping"/>
        <w:t xml:space="preserve">Module Name: Dissertation proposal</w:t>
        <w:br w:type="textWrapping"/>
        <w:t xml:space="preserve">Module ID: LCMB7035</w:t>
      </w:r>
    </w:p>
    <w:p w:rsidR="00000000" w:rsidDel="00000000" w:rsidP="00000000" w:rsidRDefault="00000000" w:rsidRPr="00000000" w14:paraId="0000000A">
      <w:pPr>
        <w:jc w:val="center"/>
        <w:rPr>
          <w:b w:val="1"/>
          <w:bCs w:val="1"/>
          <w:sz w:val="28"/>
          <w:szCs w:val="28"/>
          <w:highlight w:val="white"/>
        </w:rPr>
      </w:pPr>
      <w:r w:rsidDel="00000000" w:rsidR="00000000" w:rsidRPr="00000000">
        <w:rPr>
          <w:b w:val="1"/>
          <w:bCs w:val="1"/>
          <w:sz w:val="28"/>
          <w:szCs w:val="28"/>
          <w:highlight w:val="white"/>
          <w:rtl w:val="0"/>
        </w:rPr>
        <w:t xml:space="preserve">Student Email ID: 2431109@student.uwtsd.ac.uk</w:t>
      </w:r>
    </w:p>
    <w:p w:rsidR="00000000" w:rsidDel="00000000" w:rsidP="00000000" w:rsidRDefault="00000000" w:rsidRPr="00000000" w14:paraId="0000000B">
      <w:pPr>
        <w:spacing w:line="276" w:lineRule="auto"/>
        <w:jc w:val="left"/>
        <w:rPr>
          <w:b w:val="1"/>
          <w:bCs w:val="1"/>
          <w:sz w:val="28"/>
          <w:szCs w:val="28"/>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Cambria" w:cs="Cambria" w:eastAsia="Cambria" w:hAnsi="Cambria"/>
          <w:b w:val="1"/>
          <w:bCs w:val="1"/>
          <w:i w:val="0"/>
          <w:iCs w:val="0"/>
          <w:smallCaps w:val="0"/>
          <w:strike w:val="0"/>
          <w:color w:val="366091"/>
          <w:sz w:val="28"/>
          <w:szCs w:val="28"/>
          <w:highlight w:val="white"/>
          <w:u w:val="none"/>
          <w:vertAlign w:val="baseline"/>
        </w:rPr>
      </w:pPr>
      <w:r w:rsidDel="00000000" w:rsidR="00000000" w:rsidRPr="00000000">
        <w:rPr>
          <w:rtl w:val="0"/>
        </w:rPr>
      </w:r>
    </w:p>
    <w:p w:rsidR="00000000" w:rsidDel="00000000" w:rsidP="00000000" w:rsidRDefault="00000000" w:rsidRPr="00000000" w14:paraId="0000000D">
      <w:pPr>
        <w:spacing w:line="276" w:lineRule="auto"/>
        <w:jc w:val="center"/>
        <w:rPr>
          <w:b w:val="1"/>
          <w:bCs w:val="1"/>
          <w:sz w:val="28"/>
          <w:szCs w:val="28"/>
          <w:highlight w:val="white"/>
        </w:rPr>
      </w:pPr>
      <w:r w:rsidDel="00000000" w:rsidR="00000000" w:rsidRPr="00000000">
        <w:rPr>
          <w:b w:val="1"/>
          <w:bCs w:val="1"/>
          <w:sz w:val="28"/>
          <w:szCs w:val="28"/>
          <w:highlight w:val="white"/>
          <w:rtl w:val="0"/>
        </w:rPr>
        <w:t xml:space="preserve">Table of Contents</w:t>
      </w:r>
    </w:p>
    <w:sdt>
      <w:sdtPr>
        <w:id w:val="-751137936"/>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r w:rsidDel="00000000" w:rsidR="00000000" w:rsidRPr="00000000">
            <w:fldChar w:fldCharType="begin"/>
            <w:instrText xml:space="preserve"> TOC \h \u \z \t "Heading 1,1,Heading 2,2,Heading 3,3,"</w:instrText>
            <w:fldChar w:fldCharType="separate"/>
          </w:r>
          <w:hyperlink w:anchor="_6w0wvuhx8ata">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Introduction / Background / Research Problem</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p42yexz66p5y">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Background and Significance</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2fop94rfy6w1">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Research Problem</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geechqnthicz">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Case Justification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sh4dsddb107z">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Research Aim, Objectives &amp; Questions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i930qkxq2hpa">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Preliminary Literature Search</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p12mu2e025qb">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Theme 1: Brexit and UK–EU Trade Barriers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3lyz4w71vkug">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Theme 2: The UK Food Sector and Post-Brexit Export Decline</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rr8u4o2vdy2t">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Theme 3: Broader UK Company and Sector Experiences After Brexit</w:t>
              <w:tab/>
              <w:t xml:space="preserve">5</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8oqrdxyh15zq">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Theoretical Framework</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jjg527wdzwu1">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Literature Gap</w:t>
              <w:tab/>
              <w:t xml:space="preserve">7</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9lomzcrtpa51">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Research Methodology</w:t>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xozi06idg324">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Research Philosophy</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ln74egvpg0x3">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Research Approach</w:t>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xild4w1eu6pz">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Research Design - Qualitative Case Study</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wmh402basg3m">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Data Collection</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a969a7dbjcsb">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Ethical Considerations</w:t>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fj7fdnca1iye">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Expected Findings</w:t>
              <w:tab/>
              <w:t xml:space="preserve">9</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z5k7rkomcsz1">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Risks</w:t>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3u3ts8ohat9q">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Timeline (Gantt Chart)</w:t>
              <w:tab/>
              <w:t xml:space="preserve">10</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highlight w:val="white"/>
              <w:u w:val="none"/>
              <w:vertAlign w:val="baseline"/>
            </w:rPr>
          </w:pPr>
          <w:hyperlink w:anchor="_f67pjhpxw1gy">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References</w:t>
              <w:tab/>
              <w:t xml:space="preserve">12</w:t>
            </w:r>
          </w:hyperlink>
          <w:r w:rsidDel="00000000" w:rsidR="00000000" w:rsidRPr="00000000">
            <w:rPr>
              <w:rtl w:val="0"/>
            </w:rPr>
          </w:r>
        </w:p>
        <w:p w:rsidR="00000000" w:rsidDel="00000000" w:rsidP="00000000" w:rsidRDefault="00000000" w:rsidRPr="00000000" w14:paraId="00000023">
          <w:pPr>
            <w:jc w:val="center"/>
            <w:rPr>
              <w:highlight w:val="whit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line="276" w:lineRule="auto"/>
        <w:jc w:val="left"/>
        <w:rPr>
          <w:highlight w:val="white"/>
        </w:rPr>
      </w:pPr>
      <w:r w:rsidDel="00000000" w:rsidR="00000000" w:rsidRPr="00000000">
        <w:rPr>
          <w:rtl w:val="0"/>
        </w:rPr>
      </w:r>
    </w:p>
    <w:p w:rsidR="00000000" w:rsidDel="00000000" w:rsidP="00000000" w:rsidRDefault="00000000" w:rsidRPr="00000000" w14:paraId="00000025">
      <w:pPr>
        <w:pStyle w:val="Heading1"/>
        <w:rPr>
          <w:highlight w:val="white"/>
        </w:rPr>
      </w:pPr>
      <w:bookmarkStart w:colFirst="0" w:colLast="0" w:name="_6w0wvuhx8ata" w:id="0"/>
      <w:bookmarkEnd w:id="0"/>
      <w:r w:rsidDel="00000000" w:rsidR="00000000" w:rsidRPr="00000000">
        <w:rPr>
          <w:highlight w:val="white"/>
          <w:rtl w:val="0"/>
        </w:rPr>
        <w:t xml:space="preserve">Introduction / Background / Research Problem</w:t>
      </w:r>
    </w:p>
    <w:p w:rsidR="00000000" w:rsidDel="00000000" w:rsidP="00000000" w:rsidRDefault="00000000" w:rsidRPr="00000000" w14:paraId="00000026">
      <w:pPr>
        <w:pStyle w:val="Heading2"/>
        <w:rPr>
          <w:highlight w:val="white"/>
        </w:rPr>
      </w:pPr>
      <w:bookmarkStart w:colFirst="0" w:colLast="0" w:name="_p42yexz66p5y" w:id="1"/>
      <w:bookmarkEnd w:id="1"/>
      <w:r w:rsidDel="00000000" w:rsidR="00000000" w:rsidRPr="00000000">
        <w:rPr>
          <w:highlight w:val="white"/>
          <w:rtl w:val="0"/>
        </w:rPr>
        <w:t xml:space="preserve">Background and Significance</w:t>
      </w:r>
    </w:p>
    <w:p w:rsidR="00000000" w:rsidDel="00000000" w:rsidP="00000000" w:rsidRDefault="00000000" w:rsidRPr="00000000" w14:paraId="00000027">
      <w:pPr>
        <w:rPr>
          <w:highlight w:val="white"/>
        </w:rPr>
      </w:pPr>
      <w:r w:rsidDel="00000000" w:rsidR="00000000" w:rsidRPr="00000000">
        <w:rPr>
          <w:highlight w:val="white"/>
          <w:rtl w:val="0"/>
        </w:rPr>
        <w:t xml:space="preserve">Brexit marks the United Kingdom's departure from the European Union which started with a referendum in June 2016 and officially concluded on January 31, 2020, after a transition period. The United Kingdom withdrew from the Single Market and Customs Union on January 1, 2021, and new trading conditions between the EU and UK came into effect. The Trade and Cooperation Agreement (TCA) allowed for tariff-free trade but introduced new non-tariff barriers including rules-of-origin checks and customs and sanitary and phyto-sanitary (SPS) inspections which will cause additional trade costs and longer wait times. As Sampson and Dhingra (2022) describe, non-tariff barriers have become very costly for the UK, and the European Central Bank (2023) states that border policy adds costs for firms. In order to actually implement policy changes, we need firm-level data on how costs and barriers affect firms and how firms operate.</w:t>
      </w:r>
    </w:p>
    <w:p w:rsidR="00000000" w:rsidDel="00000000" w:rsidP="00000000" w:rsidRDefault="00000000" w:rsidRPr="00000000" w14:paraId="00000028">
      <w:pPr>
        <w:pStyle w:val="Heading2"/>
        <w:rPr>
          <w:highlight w:val="white"/>
        </w:rPr>
      </w:pPr>
      <w:bookmarkStart w:colFirst="0" w:colLast="0" w:name="_2fop94rfy6w1" w:id="2"/>
      <w:bookmarkEnd w:id="2"/>
      <w:r w:rsidDel="00000000" w:rsidR="00000000" w:rsidRPr="00000000">
        <w:rPr>
          <w:highlight w:val="white"/>
          <w:rtl w:val="0"/>
        </w:rPr>
        <w:t xml:space="preserve">Research Problem</w:t>
      </w:r>
    </w:p>
    <w:p w:rsidR="00000000" w:rsidDel="00000000" w:rsidP="00000000" w:rsidRDefault="00000000" w:rsidRPr="00000000" w14:paraId="00000029">
      <w:pPr>
        <w:rPr>
          <w:highlight w:val="white"/>
        </w:rPr>
      </w:pPr>
      <w:r w:rsidDel="00000000" w:rsidR="00000000" w:rsidRPr="00000000">
        <w:rPr>
          <w:highlight w:val="white"/>
          <w:rtl w:val="0"/>
        </w:rPr>
        <w:t xml:space="preserve">These changes have impacted food companies in particular. Food items have short shelf lives. Packaging regulations are strict and certification is needed. UK and EU certification will be different, meaning cross-border trade will be even more complicated and costly. There has been plenty of macro-level research on trade and Brexit (Sampson and Dhingra, 2022; Freeman et al., 2022; Du et al., 2024; ECB, 2025; FDF, 2025), but little is known at the firm-level and how companies will need to adapt, which is the gap Bailey, Pitelis and Tomlinson (2023) have cited in their work. Quantitatively, Du et al. (2024) have shown how EU trade has been impacted, with a 27% drop in the value and a 33% drop in the variety of EU UK exports for the years of 2021 to 2023. However, these numbers show nothing about what is needed to adapt at the firm-level, which is what is being focused on for this study, particularly in relation to M&amp;S Food.</w:t>
      </w:r>
    </w:p>
    <w:p w:rsidR="00000000" w:rsidDel="00000000" w:rsidP="00000000" w:rsidRDefault="00000000" w:rsidRPr="00000000" w14:paraId="0000002A">
      <w:pPr>
        <w:pStyle w:val="Heading2"/>
        <w:rPr>
          <w:highlight w:val="white"/>
        </w:rPr>
      </w:pPr>
      <w:bookmarkStart w:colFirst="0" w:colLast="0" w:name="_geechqnthicz" w:id="3"/>
      <w:bookmarkEnd w:id="3"/>
      <w:r w:rsidDel="00000000" w:rsidR="00000000" w:rsidRPr="00000000">
        <w:rPr>
          <w:highlight w:val="white"/>
          <w:rtl w:val="0"/>
        </w:rPr>
        <w:t xml:space="preserve">Case Justification</w:t>
      </w:r>
    </w:p>
    <w:p w:rsidR="00000000" w:rsidDel="00000000" w:rsidP="00000000" w:rsidRDefault="00000000" w:rsidRPr="00000000" w14:paraId="0000002B">
      <w:pPr>
        <w:rPr>
          <w:highlight w:val="white"/>
        </w:rPr>
      </w:pPr>
      <w:r w:rsidDel="00000000" w:rsidR="00000000" w:rsidRPr="00000000">
        <w:rPr>
          <w:highlight w:val="white"/>
          <w:rtl w:val="0"/>
        </w:rPr>
        <w:t xml:space="preserve">Marks and Spencer was established in 1884 by Michael Marks, who in 1894 changed its name to Marks and Spencer along with Tom Spencer. Founded in the 1930s, M&amp;S Food became one of the most successful retailers of high-quality and premium food in the UK, with own-label products, high quality and trusting relationships with suppliers. It has more than 1,000 stores in the UK today, a franchise business in Europe and a well-established Irish business and a new EU distribution centre at Poland. It is an evidence-rich place to study post-Brexit issues due to its high-end product and its involvement with short-shelf-life supply chains and exposure to cross-border operations.</w:t>
      </w:r>
    </w:p>
    <w:p w:rsidR="00000000" w:rsidDel="00000000" w:rsidP="00000000" w:rsidRDefault="00000000" w:rsidRPr="00000000" w14:paraId="0000002C">
      <w:pPr>
        <w:pStyle w:val="Heading2"/>
        <w:rPr>
          <w:highlight w:val="white"/>
        </w:rPr>
      </w:pPr>
      <w:bookmarkStart w:colFirst="0" w:colLast="0" w:name="_sh4dsddb107z" w:id="4"/>
      <w:bookmarkEnd w:id="4"/>
      <w:r w:rsidDel="00000000" w:rsidR="00000000" w:rsidRPr="00000000">
        <w:rPr>
          <w:b w:val="1"/>
          <w:bCs w:val="1"/>
          <w:highlight w:val="white"/>
          <w:rtl w:val="0"/>
        </w:rPr>
        <w:t xml:space="preserve">Research Aim, Objectives &amp; </w:t>
      </w:r>
      <w:r w:rsidDel="00000000" w:rsidR="00000000" w:rsidRPr="00000000">
        <w:rPr>
          <w:highlight w:val="white"/>
          <w:rtl w:val="0"/>
        </w:rPr>
        <w:t xml:space="preserve">Questions</w:t>
      </w:r>
    </w:p>
    <w:p w:rsidR="00000000" w:rsidDel="00000000" w:rsidP="00000000" w:rsidRDefault="00000000" w:rsidRPr="00000000" w14:paraId="0000002D">
      <w:pPr>
        <w:rPr>
          <w:b w:val="0"/>
          <w:bCs w:val="0"/>
          <w:highlight w:val="white"/>
        </w:rPr>
      </w:pPr>
      <w:r w:rsidDel="00000000" w:rsidR="00000000" w:rsidRPr="00000000">
        <w:rPr>
          <w:b w:val="1"/>
          <w:bCs w:val="1"/>
          <w:highlight w:val="white"/>
          <w:rtl w:val="0"/>
        </w:rPr>
        <w:t xml:space="preserve">Aim:</w:t>
      </w:r>
      <w:r w:rsidDel="00000000" w:rsidR="00000000" w:rsidRPr="00000000">
        <w:rPr>
          <w:b w:val="0"/>
          <w:bCs w:val="0"/>
          <w:highlight w:val="white"/>
          <w:rtl w:val="0"/>
        </w:rPr>
        <w:t xml:space="preserve"> To critically examine the issues experienced by UK companies upon entering into and operating in the European market following the Brexit event by using M&amp;S Food as the main case-study whilst eliciting comparable examples by other recent researches of other businesses and industries in the United Kingdom. The importance is to generate a firm-level evidence that is complemented to the current aggregate analyses as well as has transferable implications to UK firms, policymakers, and trade scholars.</w:t>
      </w:r>
    </w:p>
    <w:p w:rsidR="00000000" w:rsidDel="00000000" w:rsidP="00000000" w:rsidRDefault="00000000" w:rsidRPr="00000000" w14:paraId="0000002E">
      <w:pPr>
        <w:rPr>
          <w:b w:val="1"/>
          <w:bCs w:val="1"/>
          <w:highlight w:val="white"/>
        </w:rPr>
      </w:pPr>
      <w:r w:rsidDel="00000000" w:rsidR="00000000" w:rsidRPr="00000000">
        <w:rPr>
          <w:b w:val="1"/>
          <w:bCs w:val="1"/>
          <w:highlight w:val="white"/>
          <w:rtl w:val="0"/>
        </w:rPr>
        <w:t xml:space="preserve">Research Objectives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To determine the main regulatory, logistical and non-tariff barriers Brexit has introduced to the entry of the UK firms into the EU market mainly in food.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To understand how M&amp;S Food has responded in its supply chain and strategy. </w:t>
      </w: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highlight w:val="whit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To analyze the case of M&amp;S Food, we will compare M&amp;S Food with other UK companies in search of transferable lessons and identify their broader implications. </w:t>
      </w:r>
      <w:r w:rsidDel="00000000" w:rsidR="00000000" w:rsidRPr="00000000">
        <w:rPr>
          <w:rtl w:val="0"/>
        </w:rPr>
      </w:r>
    </w:p>
    <w:p w:rsidR="00000000" w:rsidDel="00000000" w:rsidP="00000000" w:rsidRDefault="00000000" w:rsidRPr="00000000" w14:paraId="00000032">
      <w:pPr>
        <w:rPr>
          <w:b w:val="1"/>
          <w:bCs w:val="1"/>
          <w:highlight w:val="white"/>
        </w:rPr>
      </w:pPr>
      <w:r w:rsidDel="00000000" w:rsidR="00000000" w:rsidRPr="00000000">
        <w:rPr>
          <w:b w:val="1"/>
          <w:bCs w:val="1"/>
          <w:highlight w:val="white"/>
          <w:rtl w:val="0"/>
        </w:rPr>
        <w:t xml:space="preserve">Research Questions</w:t>
      </w:r>
    </w:p>
    <w:p w:rsidR="00000000" w:rsidDel="00000000" w:rsidP="00000000" w:rsidRDefault="00000000" w:rsidRPr="00000000" w14:paraId="00000033">
      <w:pPr>
        <w:rPr>
          <w:b w:val="0"/>
          <w:bCs w:val="0"/>
          <w:highlight w:val="white"/>
        </w:rPr>
      </w:pPr>
      <w:r w:rsidDel="00000000" w:rsidR="00000000" w:rsidRPr="00000000">
        <w:rPr>
          <w:b w:val="0"/>
          <w:bCs w:val="0"/>
          <w:highlight w:val="white"/>
          <w:rtl w:val="0"/>
        </w:rPr>
        <w:t xml:space="preserve">RQ1: What are the post-Brexit issues that UK companies including UK food businesses have encountered in European market?</w:t>
      </w:r>
    </w:p>
    <w:p w:rsidR="00000000" w:rsidDel="00000000" w:rsidP="00000000" w:rsidRDefault="00000000" w:rsidRPr="00000000" w14:paraId="00000034">
      <w:pPr>
        <w:rPr>
          <w:b w:val="0"/>
          <w:bCs w:val="0"/>
          <w:highlight w:val="white"/>
        </w:rPr>
      </w:pPr>
      <w:r w:rsidDel="00000000" w:rsidR="00000000" w:rsidRPr="00000000">
        <w:rPr>
          <w:b w:val="0"/>
          <w:bCs w:val="0"/>
          <w:highlight w:val="white"/>
          <w:rtl w:val="0"/>
        </w:rPr>
        <w:t xml:space="preserve">RQ2: What has M&amp;S Food done, culturally, in response to obstacles that Brexit brings?</w:t>
      </w:r>
    </w:p>
    <w:p w:rsidR="00000000" w:rsidDel="00000000" w:rsidP="00000000" w:rsidRDefault="00000000" w:rsidRPr="00000000" w14:paraId="00000035">
      <w:pPr>
        <w:rPr>
          <w:b w:val="0"/>
          <w:bCs w:val="0"/>
          <w:highlight w:val="white"/>
        </w:rPr>
      </w:pPr>
      <w:r w:rsidDel="00000000" w:rsidR="00000000" w:rsidRPr="00000000">
        <w:rPr>
          <w:b w:val="0"/>
          <w:bCs w:val="0"/>
          <w:highlight w:val="white"/>
          <w:rtl w:val="0"/>
        </w:rPr>
        <w:t xml:space="preserve">RQ3: What can other companies in the UK learn about the experience of M&amp;S Food after the brexit?</w:t>
      </w:r>
    </w:p>
    <w:p w:rsidR="00000000" w:rsidDel="00000000" w:rsidP="00000000" w:rsidRDefault="00000000" w:rsidRPr="00000000" w14:paraId="00000036">
      <w:pPr>
        <w:pStyle w:val="Heading2"/>
        <w:rPr>
          <w:color w:val="000000"/>
          <w:highlight w:val="white"/>
        </w:rPr>
      </w:pPr>
      <w:r w:rsidDel="00000000" w:rsidR="00000000" w:rsidRPr="00000000">
        <w:rPr>
          <w:highlight w:val="white"/>
          <w:rtl w:val="0"/>
        </w:rPr>
        <w:t xml:space="preserve">Proposal </w:t>
      </w:r>
      <w:r w:rsidDel="00000000" w:rsidR="00000000" w:rsidRPr="00000000">
        <w:rPr>
          <w:color w:val="000000"/>
          <w:highlight w:val="white"/>
          <w:rtl w:val="0"/>
        </w:rPr>
        <w:t xml:space="preserve">Summary</w:t>
      </w:r>
    </w:p>
    <w:p w:rsidR="00000000" w:rsidDel="00000000" w:rsidP="00000000" w:rsidRDefault="00000000" w:rsidRPr="00000000" w14:paraId="00000037">
      <w:pPr>
        <w:rPr>
          <w:highlight w:val="white"/>
        </w:rPr>
      </w:pPr>
      <w:r w:rsidDel="00000000" w:rsidR="00000000" w:rsidRPr="00000000">
        <w:rPr>
          <w:highlight w:val="white"/>
          <w:rtl w:val="0"/>
        </w:rPr>
        <w:t xml:space="preserve">This research will critically examine the challenges the UK companies tackle to continue operating in the European market after Brexit using M&amp;S Food as the main case study and other comparative results provided by other British companies as reference. The four themes in the literature review are covered, the methodology is a qualitative single-case using secondary data analysed using PESTEL.</w:t>
      </w:r>
    </w:p>
    <w:p w:rsidR="00000000" w:rsidDel="00000000" w:rsidP="00000000" w:rsidRDefault="00000000" w:rsidRPr="00000000" w14:paraId="00000038">
      <w:pPr>
        <w:pStyle w:val="Heading1"/>
        <w:rPr>
          <w:highlight w:val="white"/>
        </w:rPr>
      </w:pPr>
      <w:bookmarkStart w:colFirst="0" w:colLast="0" w:name="_i930qkxq2hpa" w:id="5"/>
      <w:bookmarkEnd w:id="5"/>
      <w:r w:rsidDel="00000000" w:rsidR="00000000" w:rsidRPr="00000000">
        <w:rPr>
          <w:highlight w:val="white"/>
          <w:rtl w:val="0"/>
        </w:rPr>
        <w:t xml:space="preserve">Preliminary Literature Search</w:t>
      </w:r>
    </w:p>
    <w:p w:rsidR="00000000" w:rsidDel="00000000" w:rsidP="00000000" w:rsidRDefault="00000000" w:rsidRPr="00000000" w14:paraId="00000039">
      <w:pPr>
        <w:pStyle w:val="Heading2"/>
        <w:rPr>
          <w:highlight w:val="white"/>
        </w:rPr>
      </w:pPr>
      <w:bookmarkStart w:colFirst="0" w:colLast="0" w:name="_p12mu2e025qb" w:id="6"/>
      <w:bookmarkEnd w:id="6"/>
      <w:r w:rsidDel="00000000" w:rsidR="00000000" w:rsidRPr="00000000">
        <w:rPr>
          <w:highlight w:val="white"/>
          <w:rtl w:val="0"/>
        </w:rPr>
        <w:t xml:space="preserve">1: Brexit and UK–EU Trade Barriers</w:t>
      </w:r>
    </w:p>
    <w:p w:rsidR="00000000" w:rsidDel="00000000" w:rsidP="00000000" w:rsidRDefault="00000000" w:rsidRPr="00000000" w14:paraId="0000003A">
      <w:pPr>
        <w:rPr>
          <w:highlight w:val="white"/>
        </w:rPr>
      </w:pPr>
      <w:r w:rsidDel="00000000" w:rsidR="00000000" w:rsidRPr="00000000">
        <w:rPr>
          <w:highlight w:val="white"/>
          <w:rtl w:val="0"/>
        </w:rPr>
        <w:t xml:space="preserve">Since 2021, UK EU trade received the considerable attention of scholarly work. Du and Shepotylo (2023) consider the overall significance of the TCA and discover that the UK-EU trade in goods increased in cost and complexity after January 2021 (becoming one of the key factors due to the NTBs). They demonstrate that, despite prevalent anticipations that firm-level adaptation creates less and less friction as time goes on, such effects have remained and in at least some locales have gotten even stronger. Bailey, Pitelis and Tomlinson (2023) study the identical question with a Midlands manufacturing prism and identify that NTBs have been the least accommodative to smaller companies that are integrated into EU supply chains. In a CEP analysis of UK post-Brexit trade, Freeman et al. (2022) record a steep and enduring decline in the number of products to export to the EU, especially by smaller exporters who seem to be completely out of the market. Compared to Du and Shepotylo (2023), who present the macro perspective, Bailey et al. (2023) and Freeman et al. (2022) take a closer look at the firm level, but neither of them looks at the experience and reaction to these barriers by a single large food retailer in practices.</w:t>
      </w:r>
    </w:p>
    <w:p w:rsidR="00000000" w:rsidDel="00000000" w:rsidP="00000000" w:rsidRDefault="00000000" w:rsidRPr="00000000" w14:paraId="0000003B">
      <w:pPr>
        <w:pStyle w:val="Heading2"/>
        <w:rPr>
          <w:highlight w:val="white"/>
        </w:rPr>
      </w:pPr>
      <w:bookmarkStart w:colFirst="0" w:colLast="0" w:name="_3lyz4w71vkug" w:id="7"/>
      <w:bookmarkEnd w:id="7"/>
      <w:r w:rsidDel="00000000" w:rsidR="00000000" w:rsidRPr="00000000">
        <w:rPr>
          <w:highlight w:val="white"/>
          <w:rtl w:val="0"/>
        </w:rPr>
        <w:t xml:space="preserve">2: The UK Food Sector and Post-Brexit Export Decline</w:t>
      </w:r>
    </w:p>
    <w:p w:rsidR="00000000" w:rsidDel="00000000" w:rsidP="00000000" w:rsidRDefault="00000000" w:rsidRPr="00000000" w14:paraId="0000003C">
      <w:pPr>
        <w:rPr>
          <w:highlight w:val="white"/>
        </w:rPr>
      </w:pPr>
      <w:r w:rsidDel="00000000" w:rsidR="00000000" w:rsidRPr="00000000">
        <w:rPr>
          <w:highlight w:val="white"/>
          <w:rtl w:val="0"/>
        </w:rPr>
        <w:t xml:space="preserve">The implications of Brexit on the UK food industry in particular have long been established on the industry level. According to the Trade Snapshot prepared by the Food and Drink Federation (2025), the level of UK food export has decreased by 12.6% on a year-by-year basis and the gap between the amount of imports of the UK in the EU (compared to exports in the EU) is increasing. Notably, the FDF (2025) is explicit that such a fall is not a global pattern - other similar European nations did not experience such a fall and this strongly indicates that this fall is linked to the UK unique post-Brexit trade alignment than the market influences. European Central Bank (2025, p.3) contributes to this image, discovering that the UK exports into the EU witnessed almost 40% decline at the expiry of the Brexit transition period, with non-tariff barriers being the primary contributory factor. They also observe that new regulations drove many smaller companies out of the EU markets completely. Collectively these two sources create a solid argument that the food industry has suffered one of the greatest blows. What remains to be discovered, though, is a qualitative explanation at the firm-level of how one of the largest premium food retailers manages to operate under this setting - something that cannot be achieved using aggregated data and sector reports.</w:t>
      </w:r>
    </w:p>
    <w:p w:rsidR="00000000" w:rsidDel="00000000" w:rsidP="00000000" w:rsidRDefault="00000000" w:rsidRPr="00000000" w14:paraId="0000003D">
      <w:pPr>
        <w:pStyle w:val="Heading2"/>
        <w:rPr>
          <w:highlight w:val="white"/>
        </w:rPr>
      </w:pPr>
      <w:bookmarkStart w:colFirst="0" w:colLast="0" w:name="_rr8u4o2vdy2t" w:id="8"/>
      <w:bookmarkEnd w:id="8"/>
      <w:r w:rsidDel="00000000" w:rsidR="00000000" w:rsidRPr="00000000">
        <w:rPr>
          <w:highlight w:val="white"/>
          <w:rtl w:val="0"/>
        </w:rPr>
        <w:t xml:space="preserve">3: Broader UK Company and Sector Experiences After Brexit </w:t>
      </w:r>
    </w:p>
    <w:p w:rsidR="00000000" w:rsidDel="00000000" w:rsidP="00000000" w:rsidRDefault="00000000" w:rsidRPr="00000000" w14:paraId="0000003E">
      <w:pPr>
        <w:rPr>
          <w:highlight w:val="white"/>
        </w:rPr>
      </w:pPr>
      <w:r w:rsidDel="00000000" w:rsidR="00000000" w:rsidRPr="00000000">
        <w:rPr>
          <w:highlight w:val="white"/>
          <w:rtl w:val="0"/>
        </w:rPr>
        <w:t xml:space="preserve">In addition to food, recent research (2021-2025) indicates that issues of Brexit are spans across multiple sectors in the UK, and by contrasting M&amp;S Food with other broader experiences, the analytical scope of the current study is enhanced. Bailey, Pitelis and Tomlinson (2023) in manufacturing discover that the UK automotive and advanced-manufacturing companies based in the Midlands are experiencing rules-of-origin compliance costs diminishing the tariff-free advantage of the TCA, especially in the delivery of electric-vehicles when the sourcing and supply of components is deeply interconnected with the EU. Freeman et al. (2022), further support this information with additional evidence, indicating that smaller UK manufacturers have de facto left the EU markets in disproportion, which means that the larger firms have gained adaptation capacity. In their UKTPO Briefing Paper, Ayele, Larbalestier and Tamberi (2021) estimate that the TCA depressed UK exports to the EU by 15% and imports by 32 in its first quarter, on textiles and clothes in particular being subject to rules-of-origin imposition.</w:t>
      </w:r>
    </w:p>
    <w:p w:rsidR="00000000" w:rsidDel="00000000" w:rsidP="00000000" w:rsidRDefault="00000000" w:rsidRPr="00000000" w14:paraId="0000003F">
      <w:pPr>
        <w:rPr>
          <w:highlight w:val="white"/>
        </w:rPr>
      </w:pPr>
      <w:r w:rsidDel="00000000" w:rsidR="00000000" w:rsidRPr="00000000">
        <w:rPr>
          <w:highlight w:val="white"/>
          <w:rtl w:val="0"/>
        </w:rPr>
        <w:t xml:space="preserve">In services, the UK in a Changing Europe (2024) report, which contains a SWOT analysis of Portes and Hall (2024) as well as a trade chapter by Sampson (2024), observes that balance has been rebalanced as UK financial services and professional services have resorted to translocation through the EU subsidiary, an alternative kind of adaptation to border friction. In the case of retail and consumer goods, the analysis of Fry and Hale (2023) indicates a continuous loss of market share among exporters of UK on the EU market with minor companies being the most vulnerable and service as less vulnerable to transgender. The statistics provided by Resolution foundation (2025) shows that UK export of goods are still at incredibly lower levels than it was preceding the Brexit with the most hit sector being agri-food, fashion and chemicals.</w:t>
      </w:r>
    </w:p>
    <w:p w:rsidR="00000000" w:rsidDel="00000000" w:rsidP="00000000" w:rsidRDefault="00000000" w:rsidRPr="00000000" w14:paraId="00000040">
      <w:pPr>
        <w:rPr>
          <w:highlight w:val="white"/>
        </w:rPr>
      </w:pPr>
      <w:r w:rsidDel="00000000" w:rsidR="00000000" w:rsidRPr="00000000">
        <w:rPr>
          <w:highlight w:val="white"/>
          <w:rtl w:val="0"/>
        </w:rPr>
        <w:t xml:space="preserve">In combination, these studies point to a shared trend: increased costs of compliance, supply-chain re-organisation, exits of smaller companies, and strategic re-organisation of larger companies. M&amp;S Food is at the nexus of the latter, so it is largely key to cross-reference with evidence of the sector as a whole - a comparative lens of analysis that lacks prior M&amp;S-specific commentary.</w:t>
      </w:r>
    </w:p>
    <w:p w:rsidR="00000000" w:rsidDel="00000000" w:rsidP="00000000" w:rsidRDefault="00000000" w:rsidRPr="00000000" w14:paraId="00000041">
      <w:pPr>
        <w:pStyle w:val="Heading2"/>
        <w:rPr>
          <w:highlight w:val="white"/>
        </w:rPr>
      </w:pPr>
      <w:bookmarkStart w:colFirst="0" w:colLast="0" w:name="_8oqrdxyh15zq" w:id="9"/>
      <w:bookmarkEnd w:id="9"/>
      <w:r w:rsidDel="00000000" w:rsidR="00000000" w:rsidRPr="00000000">
        <w:rPr>
          <w:highlight w:val="white"/>
          <w:rtl w:val="0"/>
        </w:rPr>
        <w:t xml:space="preserve">Theoretical Framework</w:t>
      </w:r>
    </w:p>
    <w:p w:rsidR="00000000" w:rsidDel="00000000" w:rsidP="00000000" w:rsidRDefault="00000000" w:rsidRPr="00000000" w14:paraId="00000042">
      <w:pPr>
        <w:rPr>
          <w:highlight w:val="white"/>
        </w:rPr>
      </w:pPr>
      <w:r w:rsidDel="00000000" w:rsidR="00000000" w:rsidRPr="00000000">
        <w:rPr>
          <w:highlight w:val="white"/>
          <w:rtl w:val="0"/>
        </w:rPr>
        <w:t xml:space="preserve">In an attempt to structure the discussion of post-Brexit operating environments at M&amp;S Food, this study will deploy PESTEL as a concept framework throughout the literature review and results chapters. PESTEL is an acronym that means Political, Economic, Social, Technological, Environmental, and Legal and it is commonplace in business research to chart external forces on a company in its activities and strategy.</w:t>
      </w:r>
    </w:p>
    <w:p w:rsidR="00000000" w:rsidDel="00000000" w:rsidP="00000000" w:rsidRDefault="00000000" w:rsidRPr="00000000" w14:paraId="00000043">
      <w:pPr>
        <w:rPr>
          <w:highlight w:val="white"/>
        </w:rPr>
      </w:pPr>
      <w:r w:rsidDel="00000000" w:rsidR="00000000" w:rsidRPr="00000000">
        <w:rPr>
          <w:highlight w:val="white"/>
          <w:rtl w:val="0"/>
        </w:rPr>
        <w:t xml:space="preserve">The Political aspect of this study includes the TCA and the Windsor Framework that had a direct influence on the trading terms M&amp;S Food runs. The Economic aspect deals with increasing trade prices, disruption of the supply chain, and dropping volumes of UK food exports recorded by FDF (2025) and ECB (2025). The Legal aspect encompasses the SPS regulations, customs compliance requirements and food labelling difference between UK and EU. These three dimensions of PESTEL are most applicable to the post-Brexit experience of M&amp;S Food and will be the analytical framework of this dissertation.</w:t>
      </w:r>
    </w:p>
    <w:p w:rsidR="00000000" w:rsidDel="00000000" w:rsidP="00000000" w:rsidRDefault="00000000" w:rsidRPr="00000000" w14:paraId="00000044">
      <w:pPr>
        <w:pStyle w:val="Heading2"/>
        <w:rPr>
          <w:highlight w:val="white"/>
        </w:rPr>
      </w:pPr>
      <w:bookmarkStart w:colFirst="0" w:colLast="0" w:name="_jjg527wdzwu1" w:id="10"/>
      <w:bookmarkEnd w:id="10"/>
      <w:r w:rsidDel="00000000" w:rsidR="00000000" w:rsidRPr="00000000">
        <w:rPr>
          <w:highlight w:val="white"/>
          <w:rtl w:val="0"/>
        </w:rPr>
        <w:t xml:space="preserve">Literature Gap</w:t>
      </w:r>
    </w:p>
    <w:p w:rsidR="00000000" w:rsidDel="00000000" w:rsidP="00000000" w:rsidRDefault="00000000" w:rsidRPr="00000000" w14:paraId="00000045">
      <w:pPr>
        <w:rPr>
          <w:highlight w:val="white"/>
        </w:rPr>
      </w:pPr>
      <w:r w:rsidDel="00000000" w:rsidR="00000000" w:rsidRPr="00000000">
        <w:rPr>
          <w:highlight w:val="white"/>
          <w:rtl w:val="0"/>
        </w:rPr>
        <w:t xml:space="preserve">There is a clear macro-level and sector-level research on the trade impacts of Brexit (Sampson and Dhingra, 2022; Du et al., 2024; ECB, 2025), up to policy analysis on regulatory frameworks (House of Commons Library, 2023). Evidence of UK firms level adjustment across sectors is now available (Ayele, Larbalestier and Tamberi, 2021; Freeman et al., 2022; Bailey et al., 2023; Fry and Hale, 2023; UK in a Changing Europe, 2024). The gap that still applies is a thorough firm-level case study, tying these threads together: demonstrating how one particular premium food retailer has managed to wade through Brexit barriers on the ground and what their experience suggests upon comparison with the larger UK company experience. This is the contribution of this dissertation.</w:t>
      </w:r>
    </w:p>
    <w:p w:rsidR="00000000" w:rsidDel="00000000" w:rsidP="00000000" w:rsidRDefault="00000000" w:rsidRPr="00000000" w14:paraId="00000046">
      <w:pPr>
        <w:pStyle w:val="Heading1"/>
        <w:rPr>
          <w:highlight w:val="white"/>
        </w:rPr>
      </w:pPr>
      <w:bookmarkStart w:colFirst="0" w:colLast="0" w:name="_9lomzcrtpa51" w:id="11"/>
      <w:bookmarkEnd w:id="11"/>
      <w:r w:rsidDel="00000000" w:rsidR="00000000" w:rsidRPr="00000000">
        <w:rPr>
          <w:highlight w:val="white"/>
          <w:rtl w:val="0"/>
        </w:rPr>
        <w:t xml:space="preserve">Research Methodology</w:t>
      </w:r>
    </w:p>
    <w:p w:rsidR="00000000" w:rsidDel="00000000" w:rsidP="00000000" w:rsidRDefault="00000000" w:rsidRPr="00000000" w14:paraId="00000047">
      <w:pPr>
        <w:pStyle w:val="Heading2"/>
        <w:rPr>
          <w:highlight w:val="white"/>
        </w:rPr>
      </w:pPr>
      <w:bookmarkStart w:colFirst="0" w:colLast="0" w:name="_xozi06idg324" w:id="12"/>
      <w:bookmarkEnd w:id="12"/>
      <w:r w:rsidDel="00000000" w:rsidR="00000000" w:rsidRPr="00000000">
        <w:rPr>
          <w:highlight w:val="white"/>
          <w:rtl w:val="0"/>
        </w:rPr>
        <w:t xml:space="preserve">Research Philosophy</w:t>
      </w:r>
    </w:p>
    <w:p w:rsidR="00000000" w:rsidDel="00000000" w:rsidP="00000000" w:rsidRDefault="00000000" w:rsidRPr="00000000" w14:paraId="00000048">
      <w:pPr>
        <w:rPr>
          <w:highlight w:val="white"/>
        </w:rPr>
      </w:pPr>
      <w:r w:rsidDel="00000000" w:rsidR="00000000" w:rsidRPr="00000000">
        <w:rPr>
          <w:highlight w:val="white"/>
          <w:rtl w:val="0"/>
        </w:rPr>
        <w:t xml:space="preserve">This study is an interpretivist. The research problem under investigation - the way M&amp;S Food has been coping with the Brexit-related issues in European markets - cannot be quantified or tested in the laboratory. It involves the realization of context, decisions made and the circumstances in which the company was operating. According to Saunders, Lewis and Thornhill (2019), an interpretivist is the correct stance in philosophy when the focus is to develop a deep scope of context-specific knowledge on social and organisational phenomena as opposed to testing an empirical hypothesis which is quite the case in the present study.</w:t>
      </w:r>
    </w:p>
    <w:p w:rsidR="00000000" w:rsidDel="00000000" w:rsidP="00000000" w:rsidRDefault="00000000" w:rsidRPr="00000000" w14:paraId="00000049">
      <w:pPr>
        <w:pStyle w:val="Heading2"/>
        <w:rPr>
          <w:highlight w:val="white"/>
        </w:rPr>
      </w:pPr>
      <w:bookmarkStart w:colFirst="0" w:colLast="0" w:name="_ln74egvpg0x3" w:id="13"/>
      <w:bookmarkEnd w:id="13"/>
      <w:r w:rsidDel="00000000" w:rsidR="00000000" w:rsidRPr="00000000">
        <w:rPr>
          <w:highlight w:val="white"/>
          <w:rtl w:val="0"/>
        </w:rPr>
        <w:t xml:space="preserve">Research Approach</w:t>
      </w:r>
    </w:p>
    <w:p w:rsidR="00000000" w:rsidDel="00000000" w:rsidP="00000000" w:rsidRDefault="00000000" w:rsidRPr="00000000" w14:paraId="0000004A">
      <w:pPr>
        <w:rPr>
          <w:highlight w:val="white"/>
        </w:rPr>
      </w:pPr>
      <w:r w:rsidDel="00000000" w:rsidR="00000000" w:rsidRPr="00000000">
        <w:rPr>
          <w:highlight w:val="white"/>
          <w:rtl w:val="0"/>
        </w:rPr>
        <w:t xml:space="preserve">In this work, an inductive approach is employed. Instead of initiating the investigation with a preconceived theory, and then evaluating the evidence with a previous idea in mind, this study will embrace the observations regarding the post Brexit experience of M&amp;S Food and construct their explanations based on that. According to Saunders, Lewis and Thornhill (2019), inductive reasoning involves generalising on the basis of narrow observations, which makes it good to fit into the philosophy of interpretivism and the qualitative approach. It is the appropriate option in this case since there can be no one available theory that solely covers how a high-end food retailer does through entering the post-Brexit EU market.</w:t>
      </w:r>
    </w:p>
    <w:p w:rsidR="00000000" w:rsidDel="00000000" w:rsidP="00000000" w:rsidRDefault="00000000" w:rsidRPr="00000000" w14:paraId="0000004B">
      <w:pPr>
        <w:pStyle w:val="Heading2"/>
        <w:rPr>
          <w:highlight w:val="white"/>
        </w:rPr>
      </w:pPr>
      <w:bookmarkStart w:colFirst="0" w:colLast="0" w:name="_xild4w1eu6pz" w:id="14"/>
      <w:bookmarkEnd w:id="14"/>
      <w:r w:rsidDel="00000000" w:rsidR="00000000" w:rsidRPr="00000000">
        <w:rPr>
          <w:highlight w:val="white"/>
          <w:rtl w:val="0"/>
        </w:rPr>
        <w:t xml:space="preserve">Research Design - Qualitative Case Study</w:t>
      </w:r>
    </w:p>
    <w:p w:rsidR="00000000" w:rsidDel="00000000" w:rsidP="00000000" w:rsidRDefault="00000000" w:rsidRPr="00000000" w14:paraId="0000004C">
      <w:pPr>
        <w:rPr>
          <w:highlight w:val="white"/>
        </w:rPr>
      </w:pPr>
      <w:r w:rsidDel="00000000" w:rsidR="00000000" w:rsidRPr="00000000">
        <w:rPr>
          <w:highlight w:val="white"/>
          <w:rtl w:val="0"/>
        </w:rPr>
        <w:t xml:space="preserve">This is a qualitative case study research design, based solely on secondary data, no primary data (interviews or surveys) is used in this study. Hyett, Kenny and Dickson-Swift (2014, p.1) affirm that the case study research is characterized by its interest in a single case, and its deployment of naturally occurring sources of information that are imposed by a situation. They also observe that case study is especially appropriate to how and why questions - the kind of question posed, in this case. M&amp;S Food is selected as what Hyett, Kenny and Dickson-Swift (2014) term an instrumental case, i.e. studied not in itself, but because it exemplifies what happens to the UK food company operating in the European markets after the time of Brexit.</w:t>
      </w:r>
    </w:p>
    <w:p w:rsidR="00000000" w:rsidDel="00000000" w:rsidP="00000000" w:rsidRDefault="00000000" w:rsidRPr="00000000" w14:paraId="0000004D">
      <w:pPr>
        <w:pStyle w:val="Heading2"/>
        <w:rPr>
          <w:highlight w:val="white"/>
        </w:rPr>
      </w:pPr>
      <w:bookmarkStart w:colFirst="0" w:colLast="0" w:name="_wmh402basg3m" w:id="15"/>
      <w:bookmarkEnd w:id="15"/>
      <w:r w:rsidDel="00000000" w:rsidR="00000000" w:rsidRPr="00000000">
        <w:rPr>
          <w:highlight w:val="white"/>
          <w:rtl w:val="0"/>
        </w:rPr>
        <w:t xml:space="preserve">Data Collection</w:t>
      </w:r>
    </w:p>
    <w:p w:rsidR="00000000" w:rsidDel="00000000" w:rsidP="00000000" w:rsidRDefault="00000000" w:rsidRPr="00000000" w14:paraId="0000004E">
      <w:pPr>
        <w:rPr>
          <w:highlight w:val="white"/>
        </w:rPr>
      </w:pPr>
      <w:r w:rsidDel="00000000" w:rsidR="00000000" w:rsidRPr="00000000">
        <w:rPr>
          <w:highlight w:val="white"/>
          <w:rtl w:val="0"/>
        </w:rPr>
        <w:t xml:space="preserve">Each source has been subjected to secondary sources: the M&amp;S Group plc Annual Report (2024), UK government trade statistics, European Commission regulatory materials, FDF Trade Snapshots, as well as peer-reviewed journals. The Annual Report provides M&amp;S-specific information on the costs of Brexit, the rearrangement of the Irish supply chain, and the investment in logistics at the EU level (M&amp;S Group plc, 2024). Other UK companies provide comparative material, such as Ayele, Larbalestier and Tamberi (2021), Freeman et al. (2022), Bailey et al. (2023), Fry and Hale (2023) and UK in a Changing Europe (2024). Compared to staff interviews, secondary data avoids the cost, time and ethical constraints involved in conducting a primary data interview as well as provides adequate evidence.</w:t>
      </w:r>
    </w:p>
    <w:p w:rsidR="00000000" w:rsidDel="00000000" w:rsidP="00000000" w:rsidRDefault="00000000" w:rsidRPr="00000000" w14:paraId="0000004F">
      <w:pPr>
        <w:pStyle w:val="Heading2"/>
        <w:rPr>
          <w:highlight w:val="white"/>
        </w:rPr>
      </w:pPr>
      <w:bookmarkStart w:colFirst="0" w:colLast="0" w:name="_a969a7dbjcsb" w:id="16"/>
      <w:bookmarkEnd w:id="16"/>
      <w:r w:rsidDel="00000000" w:rsidR="00000000" w:rsidRPr="00000000">
        <w:rPr>
          <w:highlight w:val="white"/>
          <w:rtl w:val="0"/>
        </w:rPr>
        <w:t xml:space="preserve">Ethical Considerations</w:t>
      </w:r>
    </w:p>
    <w:p w:rsidR="00000000" w:rsidDel="00000000" w:rsidP="00000000" w:rsidRDefault="00000000" w:rsidRPr="00000000" w14:paraId="00000050">
      <w:pPr>
        <w:rPr>
          <w:highlight w:val="white"/>
        </w:rPr>
      </w:pPr>
      <w:r w:rsidDel="00000000" w:rsidR="00000000" w:rsidRPr="00000000">
        <w:rPr>
          <w:highlight w:val="white"/>
          <w:rtl w:val="0"/>
        </w:rPr>
        <w:t xml:space="preserve">This study makes use of secondary data only that are publicly available. There are no human subjects and no personal data will be gathered. An Ethics Form will be filled out and be delivered. Any data saved will be on the one drive provided by the university. To ensure academic integrity, Harvard referencing will be used throughout.</w:t>
      </w:r>
    </w:p>
    <w:p w:rsidR="00000000" w:rsidDel="00000000" w:rsidP="00000000" w:rsidRDefault="00000000" w:rsidRPr="00000000" w14:paraId="00000051">
      <w:pPr>
        <w:pStyle w:val="Heading1"/>
        <w:rPr>
          <w:highlight w:val="white"/>
        </w:rPr>
      </w:pPr>
      <w:bookmarkStart w:colFirst="0" w:colLast="0" w:name="_fj7fdnca1iye" w:id="17"/>
      <w:bookmarkEnd w:id="17"/>
      <w:r w:rsidDel="00000000" w:rsidR="00000000" w:rsidRPr="00000000">
        <w:rPr>
          <w:highlight w:val="white"/>
          <w:rtl w:val="0"/>
        </w:rPr>
        <w:t xml:space="preserve">Expected Findings</w:t>
      </w:r>
    </w:p>
    <w:p w:rsidR="00000000" w:rsidDel="00000000" w:rsidP="00000000" w:rsidRDefault="00000000" w:rsidRPr="00000000" w14:paraId="00000052">
      <w:pPr>
        <w:rPr>
          <w:highlight w:val="white"/>
        </w:rPr>
      </w:pPr>
      <w:r w:rsidDel="00000000" w:rsidR="00000000" w:rsidRPr="00000000">
        <w:rPr>
          <w:highlight w:val="white"/>
          <w:rtl w:val="0"/>
        </w:rPr>
        <w:t xml:space="preserve">Based on the literature reviewed, there are three expected findings. One, M&amp;S Food is likely to have experienced major challenges (to its supply chain and regulatory framework) in the wake of Brexit (i.e. SPS compliance, food labelling, customs paperwork) - as the FDF (2025) provides evidence that the quantity of food exports reduced drastically to arraign the post-Brexit trade arrangements and not due to a global trend.</w:t>
      </w:r>
    </w:p>
    <w:p w:rsidR="00000000" w:rsidDel="00000000" w:rsidP="00000000" w:rsidRDefault="00000000" w:rsidRPr="00000000" w14:paraId="00000053">
      <w:pPr>
        <w:rPr>
          <w:highlight w:val="white"/>
        </w:rPr>
      </w:pPr>
      <w:r w:rsidDel="00000000" w:rsidR="00000000" w:rsidRPr="00000000">
        <w:rPr>
          <w:highlight w:val="white"/>
          <w:rtl w:val="0"/>
        </w:rPr>
        <w:t xml:space="preserve">Second, M&amp;S Food should have reacted through proactive strategic and operational reactions, instead of taking Brexit costs passively. As presented in the 2024 Annual Report, operating profit in the Republic of Ireland increased to £27.9 million in 2023/24, by an amount of 11.6 million, primarily as a result of the cutting of supply-chain costs (M&amp;S Group plc, 2024). M&amp;S have also now invested in a new Poland distribution centre to send online orders straight to the EU consumers reducing any dependence on fulfilment based in the UK. Collectively, these actions imply proactive planning on Brexit obstacles, and more adaptive actions are anticipated in sourcing, certifying, and packaging.</w:t>
      </w:r>
    </w:p>
    <w:p w:rsidR="00000000" w:rsidDel="00000000" w:rsidP="00000000" w:rsidRDefault="00000000" w:rsidRPr="00000000" w14:paraId="00000054">
      <w:pPr>
        <w:rPr>
          <w:highlight w:val="white"/>
        </w:rPr>
      </w:pPr>
      <w:r w:rsidDel="00000000" w:rsidR="00000000" w:rsidRPr="00000000">
        <w:rPr>
          <w:highlight w:val="white"/>
          <w:rtl w:val="0"/>
        </w:rPr>
        <w:t xml:space="preserve">Third, it is likely to have larger consequences: premium food brands are more vulnerable to post-Brexit than commodity exporters in that their business model relies on freshness, brand image and a precise supply chain - all destroyed by border friction. It would have a direct implication to policymakers assisting UK food sector in case confirmed.</w:t>
      </w:r>
    </w:p>
    <w:p w:rsidR="00000000" w:rsidDel="00000000" w:rsidP="00000000" w:rsidRDefault="00000000" w:rsidRPr="00000000" w14:paraId="00000055">
      <w:pPr>
        <w:pStyle w:val="Heading1"/>
        <w:rPr>
          <w:highlight w:val="white"/>
        </w:rPr>
      </w:pPr>
      <w:bookmarkStart w:colFirst="0" w:colLast="0" w:name="_z5k7rkomcsz1" w:id="18"/>
      <w:bookmarkEnd w:id="18"/>
      <w:r w:rsidDel="00000000" w:rsidR="00000000" w:rsidRPr="00000000">
        <w:rPr>
          <w:highlight w:val="white"/>
          <w:rtl w:val="0"/>
        </w:rPr>
        <w:t xml:space="preserve">Risks</w:t>
      </w:r>
    </w:p>
    <w:p w:rsidR="00000000" w:rsidDel="00000000" w:rsidP="00000000" w:rsidRDefault="00000000" w:rsidRPr="00000000" w14:paraId="00000056">
      <w:pPr>
        <w:rPr>
          <w:highlight w:val="white"/>
        </w:rPr>
      </w:pPr>
      <w:r w:rsidDel="00000000" w:rsidR="00000000" w:rsidRPr="00000000">
        <w:rPr>
          <w:highlight w:val="white"/>
          <w:rtl w:val="0"/>
        </w:rPr>
        <w:t xml:space="preserve">This study analyzes four identifiable risks. The first pertains to limited data access. M&amp;S does not share internal strategic documents. This is manageable because the Annual Report (M&amp;S Group plc, 2024) includes cost analysis of Brexit and logistical alterations pertinent to the case. The second risk is scope creep. Brexit has qualitative and quantitative effects across a wide range of industries and the study may lose focus. This is controlled by the strict adherence to only the three research questions and utilizing Du et al. (2024) to only conduct a macro-level comparison. The placing of first three risks in a post-Brexit context creates a research environment that is fluid. The analysis will prioritize the more current sources beyond 2022, such as the Windsor Framework (2023) and new FDF data, to address this fluidity. The last risk is researcher bias, especially in the interpretation of secondary data. This is controlled by triangulating the data across corporate documents, government policy briefs, peer-reviewed journals, and reports created by trade associations.</w:t>
      </w:r>
    </w:p>
    <w:p w:rsidR="00000000" w:rsidDel="00000000" w:rsidP="00000000" w:rsidRDefault="00000000" w:rsidRPr="00000000" w14:paraId="00000057">
      <w:pPr>
        <w:pStyle w:val="Heading1"/>
        <w:rPr>
          <w:highlight w:val="white"/>
        </w:rPr>
      </w:pPr>
      <w:bookmarkStart w:colFirst="0" w:colLast="0" w:name="_3u3ts8ohat9q" w:id="19"/>
      <w:bookmarkEnd w:id="19"/>
      <w:r w:rsidDel="00000000" w:rsidR="00000000" w:rsidRPr="00000000">
        <w:rPr>
          <w:highlight w:val="white"/>
          <w:rtl w:val="0"/>
        </w:rPr>
        <w:t xml:space="preserve">Timeline (Gantt Chart)</w:t>
      </w:r>
    </w:p>
    <w:tbl>
      <w:tblPr>
        <w:tblStyle w:val="Table1"/>
        <w:tblW w:w="9590.000000000004" w:type="dxa"/>
        <w:jc w:val="left"/>
        <w:tblInd w:w="-125.0" w:type="dxa"/>
        <w:tblLayout w:type="fixed"/>
        <w:tblLook w:val="0400"/>
      </w:tblPr>
      <w:tblGrid>
        <w:gridCol w:w="1403"/>
        <w:gridCol w:w="683"/>
        <w:gridCol w:w="683"/>
        <w:gridCol w:w="683"/>
        <w:gridCol w:w="682"/>
        <w:gridCol w:w="682"/>
        <w:gridCol w:w="682"/>
        <w:gridCol w:w="682"/>
        <w:gridCol w:w="682"/>
        <w:gridCol w:w="682"/>
        <w:gridCol w:w="682"/>
        <w:gridCol w:w="682"/>
        <w:gridCol w:w="682"/>
        <w:tblGridChange w:id="0">
          <w:tblGrid>
            <w:gridCol w:w="1403"/>
            <w:gridCol w:w="683"/>
            <w:gridCol w:w="683"/>
            <w:gridCol w:w="683"/>
            <w:gridCol w:w="682"/>
            <w:gridCol w:w="682"/>
            <w:gridCol w:w="682"/>
            <w:gridCol w:w="682"/>
            <w:gridCol w:w="682"/>
            <w:gridCol w:w="682"/>
            <w:gridCol w:w="682"/>
            <w:gridCol w:w="682"/>
            <w:gridCol w:w="682"/>
          </w:tblGrid>
        </w:tblGridChange>
      </w:tblGrid>
      <w:tr>
        <w:trPr>
          <w:cantSplit w:val="0"/>
          <w:trHeight w:val="246" w:hRule="atLeast"/>
          <w:tblHeader w:val="0"/>
        </w:trPr>
        <w:tc>
          <w:tcPr>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58">
            <w:pPr>
              <w:spacing w:after="0" w:line="240" w:lineRule="auto"/>
              <w:jc w:val="center"/>
              <w:rPr>
                <w:b w:val="1"/>
                <w:bCs w:val="1"/>
                <w:color w:val="000000"/>
                <w:highlight w:val="white"/>
              </w:rPr>
            </w:pPr>
            <w:r w:rsidDel="00000000" w:rsidR="00000000" w:rsidRPr="00000000">
              <w:rPr>
                <w:b w:val="1"/>
                <w:bCs w:val="1"/>
                <w:color w:val="000000"/>
                <w:sz w:val="22"/>
                <w:szCs w:val="22"/>
                <w:highlight w:val="white"/>
                <w:rtl w:val="0"/>
              </w:rPr>
              <w:t xml:space="preserve">Activity</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9">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5</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A">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6</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B">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7</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C">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8</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D">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9</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E">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10</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5F">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11</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0">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12</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1">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13</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2">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14</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3">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15</w:t>
            </w:r>
          </w:p>
        </w:tc>
        <w:tc>
          <w:tcPr>
            <w:tcBorders>
              <w:top w:color="000000" w:space="0" w:sz="8" w:val="single"/>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4">
            <w:pPr>
              <w:spacing w:after="0" w:line="240" w:lineRule="auto"/>
              <w:jc w:val="center"/>
              <w:rPr>
                <w:b w:val="1"/>
                <w:bCs w:val="1"/>
                <w:color w:val="000000"/>
                <w:sz w:val="16"/>
                <w:szCs w:val="16"/>
                <w:highlight w:val="white"/>
              </w:rPr>
            </w:pPr>
            <w:r w:rsidDel="00000000" w:rsidR="00000000" w:rsidRPr="00000000">
              <w:rPr>
                <w:b w:val="1"/>
                <w:bCs w:val="1"/>
                <w:color w:val="000000"/>
                <w:sz w:val="16"/>
                <w:szCs w:val="16"/>
                <w:highlight w:val="white"/>
                <w:rtl w:val="0"/>
              </w:rPr>
              <w:t xml:space="preserve">Wk 16</w:t>
            </w:r>
          </w:p>
        </w:tc>
      </w:tr>
      <w:tr>
        <w:trPr>
          <w:cantSplit w:val="0"/>
          <w:trHeight w:val="526"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65">
            <w:pPr>
              <w:spacing w:after="0" w:line="240" w:lineRule="auto"/>
              <w:rPr>
                <w:color w:val="000000"/>
                <w:highlight w:val="white"/>
              </w:rPr>
            </w:pPr>
            <w:r w:rsidDel="00000000" w:rsidR="00000000" w:rsidRPr="00000000">
              <w:rPr>
                <w:color w:val="000000"/>
                <w:sz w:val="22"/>
                <w:szCs w:val="22"/>
                <w:highlight w:val="white"/>
                <w:rtl w:val="0"/>
              </w:rPr>
              <w:t xml:space="preserve">Ethics approval confirmation</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ffff00" w:val="clear"/>
          </w:tcPr>
          <w:p w:rsidR="00000000" w:rsidDel="00000000" w:rsidP="00000000" w:rsidRDefault="00000000" w:rsidRPr="00000000" w14:paraId="0000006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06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6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699"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2">
            <w:pPr>
              <w:spacing w:after="0" w:line="240" w:lineRule="auto"/>
              <w:rPr>
                <w:color w:val="000000"/>
                <w:highlight w:val="white"/>
              </w:rPr>
            </w:pPr>
            <w:r w:rsidDel="00000000" w:rsidR="00000000" w:rsidRPr="00000000">
              <w:rPr>
                <w:color w:val="000000"/>
                <w:sz w:val="22"/>
                <w:szCs w:val="22"/>
                <w:highlight w:val="white"/>
                <w:rtl w:val="0"/>
              </w:rPr>
              <w:t xml:space="preserve">Literature review &amp; secondary data</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70ad47" w:val="clear"/>
          </w:tcPr>
          <w:p w:rsidR="00000000" w:rsidDel="00000000" w:rsidP="00000000" w:rsidRDefault="00000000" w:rsidRPr="00000000" w14:paraId="0000007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70ad47" w:val="clear"/>
          </w:tcPr>
          <w:p w:rsidR="00000000" w:rsidDel="00000000" w:rsidP="00000000" w:rsidRDefault="00000000" w:rsidRPr="00000000" w14:paraId="0000007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70ad47" w:val="clear"/>
          </w:tcPr>
          <w:p w:rsidR="00000000" w:rsidDel="00000000" w:rsidP="00000000" w:rsidRDefault="00000000" w:rsidRPr="00000000" w14:paraId="0000007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70ad47" w:val="clear"/>
          </w:tcPr>
          <w:p w:rsidR="00000000" w:rsidDel="00000000" w:rsidP="00000000" w:rsidRDefault="00000000" w:rsidRPr="00000000" w14:paraId="0000007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70ad47" w:val="clear"/>
          </w:tcPr>
          <w:p w:rsidR="00000000" w:rsidDel="00000000" w:rsidP="00000000" w:rsidRDefault="00000000" w:rsidRPr="00000000" w14:paraId="0000007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70ad47" w:val="clear"/>
          </w:tcPr>
          <w:p w:rsidR="00000000" w:rsidDel="00000000" w:rsidP="00000000" w:rsidRDefault="00000000" w:rsidRPr="00000000" w14:paraId="0000007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7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526"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7F">
            <w:pPr>
              <w:spacing w:after="0" w:line="240" w:lineRule="auto"/>
              <w:rPr>
                <w:color w:val="000000"/>
                <w:highlight w:val="white"/>
              </w:rPr>
            </w:pPr>
            <w:r w:rsidDel="00000000" w:rsidR="00000000" w:rsidRPr="00000000">
              <w:rPr>
                <w:color w:val="000000"/>
                <w:sz w:val="22"/>
                <w:szCs w:val="22"/>
                <w:highlight w:val="white"/>
                <w:rtl w:val="0"/>
              </w:rPr>
              <w:t xml:space="preserve">Chapter 1: Introduction draft</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c9c9c9" w:val="clear"/>
          </w:tcPr>
          <w:p w:rsidR="00000000" w:rsidDel="00000000" w:rsidP="00000000" w:rsidRDefault="00000000" w:rsidRPr="00000000" w14:paraId="0000008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c9c9c9" w:val="clear"/>
          </w:tcPr>
          <w:p w:rsidR="00000000" w:rsidDel="00000000" w:rsidP="00000000" w:rsidRDefault="00000000" w:rsidRPr="00000000" w14:paraId="0000008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526"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8C">
            <w:pPr>
              <w:spacing w:after="0" w:line="240" w:lineRule="auto"/>
              <w:rPr>
                <w:color w:val="000000"/>
                <w:highlight w:val="white"/>
              </w:rPr>
            </w:pPr>
            <w:r w:rsidDel="00000000" w:rsidR="00000000" w:rsidRPr="00000000">
              <w:rPr>
                <w:color w:val="000000"/>
                <w:sz w:val="22"/>
                <w:szCs w:val="22"/>
                <w:highlight w:val="white"/>
                <w:rtl w:val="0"/>
              </w:rPr>
              <w:t xml:space="preserve">Chapter 2: Literature Review draft</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8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8496b0" w:val="clear"/>
          </w:tcPr>
          <w:p w:rsidR="00000000" w:rsidDel="00000000" w:rsidP="00000000" w:rsidRDefault="00000000" w:rsidRPr="00000000" w14:paraId="0000008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8496b0" w:val="clear"/>
          </w:tcPr>
          <w:p w:rsidR="00000000" w:rsidDel="00000000" w:rsidP="00000000" w:rsidRDefault="00000000" w:rsidRPr="00000000" w14:paraId="0000009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8496b0" w:val="clear"/>
          </w:tcPr>
          <w:p w:rsidR="00000000" w:rsidDel="00000000" w:rsidP="00000000" w:rsidRDefault="00000000" w:rsidRPr="00000000" w14:paraId="0000009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526"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99">
            <w:pPr>
              <w:spacing w:after="0" w:line="240" w:lineRule="auto"/>
              <w:rPr>
                <w:color w:val="000000"/>
                <w:highlight w:val="white"/>
              </w:rPr>
            </w:pPr>
            <w:r w:rsidDel="00000000" w:rsidR="00000000" w:rsidRPr="00000000">
              <w:rPr>
                <w:color w:val="000000"/>
                <w:sz w:val="22"/>
                <w:szCs w:val="22"/>
                <w:highlight w:val="white"/>
                <w:rtl w:val="0"/>
              </w:rPr>
              <w:t xml:space="preserve">Chapter 3: Methodology draft</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9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538135" w:val="clear"/>
          </w:tcPr>
          <w:p w:rsidR="00000000" w:rsidDel="00000000" w:rsidP="00000000" w:rsidRDefault="00000000" w:rsidRPr="00000000" w14:paraId="0000009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538135" w:val="clear"/>
          </w:tcPr>
          <w:p w:rsidR="00000000" w:rsidDel="00000000" w:rsidP="00000000" w:rsidRDefault="00000000" w:rsidRPr="00000000" w14:paraId="0000009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526"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A6">
            <w:pPr>
              <w:spacing w:after="0" w:line="240" w:lineRule="auto"/>
              <w:rPr>
                <w:color w:val="000000"/>
                <w:highlight w:val="white"/>
              </w:rPr>
            </w:pPr>
            <w:r w:rsidDel="00000000" w:rsidR="00000000" w:rsidRPr="00000000">
              <w:rPr>
                <w:color w:val="000000"/>
                <w:sz w:val="22"/>
                <w:szCs w:val="22"/>
                <w:highlight w:val="white"/>
                <w:rtl w:val="0"/>
              </w:rPr>
              <w:t xml:space="preserve">Chapter 4: Findings &amp; Analysis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ff9999" w:val="clear"/>
          </w:tcPr>
          <w:p w:rsidR="00000000" w:rsidDel="00000000" w:rsidP="00000000" w:rsidRDefault="00000000" w:rsidRPr="00000000" w14:paraId="000000A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ff9999" w:val="clear"/>
          </w:tcPr>
          <w:p w:rsidR="00000000" w:rsidDel="00000000" w:rsidP="00000000" w:rsidRDefault="00000000" w:rsidRPr="00000000" w14:paraId="000000A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ff9999" w:val="clear"/>
          </w:tcPr>
          <w:p w:rsidR="00000000" w:rsidDel="00000000" w:rsidP="00000000" w:rsidRDefault="00000000" w:rsidRPr="00000000" w14:paraId="000000A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A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353"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B3">
            <w:pPr>
              <w:spacing w:after="0" w:line="240" w:lineRule="auto"/>
              <w:rPr>
                <w:color w:val="000000"/>
                <w:highlight w:val="white"/>
              </w:rPr>
            </w:pPr>
            <w:r w:rsidDel="00000000" w:rsidR="00000000" w:rsidRPr="00000000">
              <w:rPr>
                <w:color w:val="000000"/>
                <w:sz w:val="22"/>
                <w:szCs w:val="22"/>
                <w:highlight w:val="white"/>
                <w:rtl w:val="0"/>
              </w:rPr>
              <w:t xml:space="preserve">Chapter 5: Conclusions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00ffff" w:val="clear"/>
          </w:tcPr>
          <w:p w:rsidR="00000000" w:rsidDel="00000000" w:rsidP="00000000" w:rsidRDefault="00000000" w:rsidRPr="00000000" w14:paraId="000000B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00ffff" w:val="clear"/>
          </w:tcPr>
          <w:p w:rsidR="00000000" w:rsidDel="00000000" w:rsidP="00000000" w:rsidRDefault="00000000" w:rsidRPr="00000000" w14:paraId="000000B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00ffff" w:val="clear"/>
          </w:tcPr>
          <w:p w:rsidR="00000000" w:rsidDel="00000000" w:rsidP="00000000" w:rsidRDefault="00000000" w:rsidRPr="00000000" w14:paraId="000000B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B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526"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0">
            <w:pPr>
              <w:spacing w:after="0" w:line="240" w:lineRule="auto"/>
              <w:rPr>
                <w:color w:val="000000"/>
                <w:highlight w:val="white"/>
              </w:rPr>
            </w:pPr>
            <w:r w:rsidDel="00000000" w:rsidR="00000000" w:rsidRPr="00000000">
              <w:rPr>
                <w:color w:val="000000"/>
                <w:sz w:val="22"/>
                <w:szCs w:val="22"/>
                <w:highlight w:val="white"/>
                <w:rtl w:val="0"/>
              </w:rPr>
              <w:t xml:space="preserve">Supervisor review meetings</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C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A">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66ff99" w:val="clear"/>
          </w:tcPr>
          <w:p w:rsidR="00000000" w:rsidDel="00000000" w:rsidP="00000000" w:rsidRDefault="00000000" w:rsidRPr="00000000" w14:paraId="000000C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353"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CD">
            <w:pPr>
              <w:spacing w:after="0" w:line="240" w:lineRule="auto"/>
              <w:rPr>
                <w:color w:val="000000"/>
                <w:highlight w:val="white"/>
              </w:rPr>
            </w:pPr>
            <w:r w:rsidDel="00000000" w:rsidR="00000000" w:rsidRPr="00000000">
              <w:rPr>
                <w:color w:val="000000"/>
                <w:sz w:val="22"/>
                <w:szCs w:val="22"/>
                <w:highlight w:val="white"/>
                <w:rtl w:val="0"/>
              </w:rPr>
              <w:t xml:space="preserve">Revisions &amp; proofreading</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C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C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ffff66" w:val="clear"/>
          </w:tcPr>
          <w:p w:rsidR="00000000" w:rsidDel="00000000" w:rsidP="00000000" w:rsidRDefault="00000000" w:rsidRPr="00000000" w14:paraId="000000D7">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ffff66" w:val="clear"/>
          </w:tcPr>
          <w:p w:rsidR="00000000" w:rsidDel="00000000" w:rsidP="00000000" w:rsidRDefault="00000000" w:rsidRPr="00000000" w14:paraId="000000D8">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9">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r>
        <w:trPr>
          <w:cantSplit w:val="0"/>
          <w:trHeight w:val="699" w:hRule="atLeast"/>
          <w:tblHeader w:val="0"/>
        </w:trPr>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0DA">
            <w:pPr>
              <w:spacing w:after="0" w:line="240" w:lineRule="auto"/>
              <w:rPr>
                <w:color w:val="000000"/>
                <w:highlight w:val="white"/>
              </w:rPr>
            </w:pPr>
            <w:r w:rsidDel="00000000" w:rsidR="00000000" w:rsidRPr="00000000">
              <w:rPr>
                <w:color w:val="000000"/>
                <w:sz w:val="22"/>
                <w:szCs w:val="22"/>
                <w:highlight w:val="white"/>
                <w:rtl w:val="0"/>
              </w:rPr>
              <w:t xml:space="preserve">Final submission (28 Aug 2026)</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B">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C">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D">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E">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DF">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E0">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E1">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E2">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E3">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E4">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uto" w:val="clear"/>
          </w:tcPr>
          <w:p w:rsidR="00000000" w:rsidDel="00000000" w:rsidP="00000000" w:rsidRDefault="00000000" w:rsidRPr="00000000" w14:paraId="000000E5">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c>
          <w:tcPr>
            <w:tcBorders>
              <w:top w:color="000000" w:space="0" w:sz="0" w:val="nil"/>
              <w:left w:color="000000" w:space="0" w:sz="0" w:val="nil"/>
              <w:bottom w:color="000000" w:space="0" w:sz="8" w:val="single"/>
              <w:right w:color="000000" w:space="0" w:sz="8" w:val="single"/>
            </w:tcBorders>
            <w:shd w:fill="a6a6a6" w:val="clear"/>
          </w:tcPr>
          <w:p w:rsidR="00000000" w:rsidDel="00000000" w:rsidP="00000000" w:rsidRDefault="00000000" w:rsidRPr="00000000" w14:paraId="000000E6">
            <w:pPr>
              <w:spacing w:after="0" w:line="240" w:lineRule="auto"/>
              <w:jc w:val="left"/>
              <w:rPr>
                <w:color w:val="000000"/>
                <w:sz w:val="16"/>
                <w:szCs w:val="16"/>
                <w:highlight w:val="white"/>
              </w:rPr>
            </w:pPr>
            <w:r w:rsidDel="00000000" w:rsidR="00000000" w:rsidRPr="00000000">
              <w:rPr>
                <w:color w:val="000000"/>
                <w:sz w:val="16"/>
                <w:szCs w:val="16"/>
                <w:highlight w:val="white"/>
                <w:rtl w:val="0"/>
              </w:rPr>
              <w:t xml:space="preserve"> </w:t>
            </w:r>
          </w:p>
        </w:tc>
      </w:tr>
    </w:tbl>
    <w:p w:rsidR="00000000" w:rsidDel="00000000" w:rsidP="00000000" w:rsidRDefault="00000000" w:rsidRPr="00000000" w14:paraId="000000E7">
      <w:pPr>
        <w:rPr>
          <w:highlight w:val="white"/>
        </w:rPr>
      </w:pPr>
      <w:r w:rsidDel="00000000" w:rsidR="00000000" w:rsidRPr="00000000">
        <w:rPr>
          <w:rtl w:val="0"/>
        </w:rPr>
      </w:r>
    </w:p>
    <w:p w:rsidR="00000000" w:rsidDel="00000000" w:rsidP="00000000" w:rsidRDefault="00000000" w:rsidRPr="00000000" w14:paraId="000000E8">
      <w:pPr>
        <w:spacing w:line="276" w:lineRule="auto"/>
        <w:jc w:val="left"/>
        <w:rPr>
          <w:b w:val="1"/>
          <w:bCs w:val="1"/>
          <w:sz w:val="28"/>
          <w:szCs w:val="28"/>
          <w:highlight w:val="white"/>
        </w:rPr>
      </w:pPr>
      <w:r w:rsidDel="00000000" w:rsidR="00000000" w:rsidRPr="00000000">
        <w:br w:type="page"/>
      </w:r>
      <w:r w:rsidDel="00000000" w:rsidR="00000000" w:rsidRPr="00000000">
        <w:rPr>
          <w:rtl w:val="0"/>
        </w:rPr>
      </w:r>
    </w:p>
    <w:p w:rsidR="00000000" w:rsidDel="00000000" w:rsidP="00000000" w:rsidRDefault="00000000" w:rsidRPr="00000000" w14:paraId="000000E9">
      <w:pPr>
        <w:pStyle w:val="Heading1"/>
        <w:rPr>
          <w:highlight w:val="white"/>
        </w:rPr>
      </w:pPr>
      <w:bookmarkStart w:colFirst="0" w:colLast="0" w:name="_f67pjhpxw1gy" w:id="20"/>
      <w:bookmarkEnd w:id="20"/>
      <w:r w:rsidDel="00000000" w:rsidR="00000000" w:rsidRPr="00000000">
        <w:rPr>
          <w:highlight w:val="white"/>
          <w:rtl w:val="0"/>
        </w:rPr>
        <w:t xml:space="preserve">References</w:t>
      </w:r>
    </w:p>
    <w:p w:rsidR="00000000" w:rsidDel="00000000" w:rsidP="00000000" w:rsidRDefault="00000000" w:rsidRPr="00000000" w14:paraId="000000EA">
      <w:pPr>
        <w:rPr>
          <w:color w:val="000000"/>
          <w:highlight w:val="white"/>
        </w:rPr>
      </w:pPr>
      <w:r w:rsidDel="00000000" w:rsidR="00000000" w:rsidRPr="00000000">
        <w:rPr>
          <w:highlight w:val="white"/>
          <w:rtl w:val="0"/>
        </w:rPr>
        <w:t xml:space="preserve">Ayele, Y., Larbalestier, G. and Tamberi, N. (2021) </w:t>
      </w:r>
      <w:r w:rsidDel="00000000" w:rsidR="00000000" w:rsidRPr="00000000">
        <w:rPr>
          <w:i w:val="1"/>
          <w:iCs w:val="1"/>
          <w:highlight w:val="white"/>
          <w:rtl w:val="0"/>
        </w:rPr>
        <w:t xml:space="preserve">Post-Brexit: UK Trade in Goods.</w:t>
      </w:r>
      <w:r w:rsidDel="00000000" w:rsidR="00000000" w:rsidRPr="00000000">
        <w:rPr>
          <w:highlight w:val="white"/>
          <w:rtl w:val="0"/>
        </w:rPr>
        <w:t xml:space="preserve"> UKTPO Briefing Paper 57. Brighton: UK Trade Policy Observatory, University of Sussex. </w:t>
      </w:r>
      <w:hyperlink r:id="rId6">
        <w:r w:rsidDel="00000000" w:rsidR="00000000" w:rsidRPr="00000000">
          <w:rPr>
            <w:color w:val="0000ff"/>
            <w:highlight w:val="white"/>
            <w:u w:val="single"/>
            <w:rtl w:val="0"/>
          </w:rPr>
          <w:t xml:space="preserve">https://blogs.sussex.ac.uk/uktpo/files/2021/06/BP57may.pdf</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EB">
      <w:pPr>
        <w:rPr>
          <w:highlight w:val="white"/>
        </w:rPr>
      </w:pPr>
      <w:r w:rsidDel="00000000" w:rsidR="00000000" w:rsidRPr="00000000">
        <w:rPr>
          <w:highlight w:val="white"/>
          <w:rtl w:val="0"/>
        </w:rPr>
        <w:t xml:space="preserve">Bailey, D., Pitelis, C. and Tomlinson, P.R. (2023) 'Brexit, trade and UK advanced manufacturing sectors: a Midlands' perspective', </w:t>
      </w:r>
      <w:r w:rsidDel="00000000" w:rsidR="00000000" w:rsidRPr="00000000">
        <w:rPr>
          <w:i w:val="1"/>
          <w:iCs w:val="1"/>
          <w:highlight w:val="white"/>
          <w:rtl w:val="0"/>
        </w:rPr>
        <w:t xml:space="preserve">Global Policy</w:t>
      </w:r>
      <w:r w:rsidDel="00000000" w:rsidR="00000000" w:rsidRPr="00000000">
        <w:rPr>
          <w:highlight w:val="white"/>
          <w:rtl w:val="0"/>
        </w:rPr>
        <w:t xml:space="preserve">, 14(2), pp. 284–296. </w:t>
      </w:r>
      <w:hyperlink r:id="rId7">
        <w:r w:rsidDel="00000000" w:rsidR="00000000" w:rsidRPr="00000000">
          <w:rPr>
            <w:color w:val="0000ff"/>
            <w:highlight w:val="white"/>
            <w:u w:val="single"/>
            <w:rtl w:val="0"/>
          </w:rPr>
          <w:t xml:space="preserve">https://www.tandfonline.com/doi/full/10.1080/21582041.2023.2192700</w:t>
        </w:r>
      </w:hyperlink>
      <w:r w:rsidDel="00000000" w:rsidR="00000000" w:rsidRPr="00000000">
        <w:rPr>
          <w:rtl w:val="0"/>
        </w:rPr>
      </w:r>
    </w:p>
    <w:p w:rsidR="00000000" w:rsidDel="00000000" w:rsidP="00000000" w:rsidRDefault="00000000" w:rsidRPr="00000000" w14:paraId="000000EC">
      <w:pPr>
        <w:rPr>
          <w:highlight w:val="white"/>
        </w:rPr>
      </w:pPr>
      <w:r w:rsidDel="00000000" w:rsidR="00000000" w:rsidRPr="00000000">
        <w:rPr>
          <w:highlight w:val="white"/>
          <w:rtl w:val="0"/>
        </w:rPr>
        <w:t xml:space="preserve">Du, J. and Shepotylo, O. (2023) 'How did Brexit affect UK trade?', </w:t>
      </w:r>
      <w:r w:rsidDel="00000000" w:rsidR="00000000" w:rsidRPr="00000000">
        <w:rPr>
          <w:i w:val="1"/>
          <w:iCs w:val="1"/>
          <w:highlight w:val="white"/>
          <w:rtl w:val="0"/>
        </w:rPr>
        <w:t xml:space="preserve">Global Policy</w:t>
      </w:r>
      <w:r w:rsidDel="00000000" w:rsidR="00000000" w:rsidRPr="00000000">
        <w:rPr>
          <w:highlight w:val="white"/>
          <w:rtl w:val="0"/>
        </w:rPr>
        <w:t xml:space="preserve">, 14(2), pp. 266–283. </w:t>
      </w:r>
      <w:hyperlink r:id="rId8">
        <w:r w:rsidDel="00000000" w:rsidR="00000000" w:rsidRPr="00000000">
          <w:rPr>
            <w:color w:val="0000ff"/>
            <w:highlight w:val="white"/>
            <w:u w:val="single"/>
            <w:rtl w:val="0"/>
          </w:rPr>
          <w:t xml:space="preserve">https://www.tandfonline.com/doi/full/10.1080/21582041.2023.2192043</w:t>
        </w:r>
      </w:hyperlink>
      <w:r w:rsidDel="00000000" w:rsidR="00000000" w:rsidRPr="00000000">
        <w:rPr>
          <w:highlight w:val="white"/>
          <w:rtl w:val="0"/>
        </w:rPr>
        <w:t xml:space="preserve"> </w:t>
      </w:r>
    </w:p>
    <w:p w:rsidR="00000000" w:rsidDel="00000000" w:rsidP="00000000" w:rsidRDefault="00000000" w:rsidRPr="00000000" w14:paraId="000000ED">
      <w:pPr>
        <w:rPr>
          <w:highlight w:val="white"/>
        </w:rPr>
      </w:pPr>
      <w:r w:rsidDel="00000000" w:rsidR="00000000" w:rsidRPr="00000000">
        <w:rPr>
          <w:highlight w:val="white"/>
          <w:rtl w:val="0"/>
        </w:rPr>
        <w:t xml:space="preserve">Du, J. </w:t>
      </w:r>
      <w:r w:rsidDel="00000000" w:rsidR="00000000" w:rsidRPr="00000000">
        <w:rPr>
          <w:i w:val="1"/>
          <w:iCs w:val="1"/>
          <w:highlight w:val="white"/>
          <w:rtl w:val="0"/>
        </w:rPr>
        <w:t xml:space="preserve">et al.</w:t>
      </w:r>
      <w:r w:rsidDel="00000000" w:rsidR="00000000" w:rsidRPr="00000000">
        <w:rPr>
          <w:highlight w:val="white"/>
          <w:rtl w:val="0"/>
        </w:rPr>
        <w:t xml:space="preserve"> (2024) </w:t>
      </w:r>
      <w:r w:rsidDel="00000000" w:rsidR="00000000" w:rsidRPr="00000000">
        <w:rPr>
          <w:i w:val="1"/>
          <w:iCs w:val="1"/>
          <w:highlight w:val="white"/>
          <w:rtl w:val="0"/>
        </w:rPr>
        <w:t xml:space="preserve">Unbound: UK trade post-Brexit</w:t>
      </w:r>
      <w:r w:rsidDel="00000000" w:rsidR="00000000" w:rsidRPr="00000000">
        <w:rPr>
          <w:highlight w:val="white"/>
          <w:rtl w:val="0"/>
        </w:rPr>
        <w:t xml:space="preserve">. Birmingham: Aston Business School / Productivity Institute. </w:t>
      </w:r>
      <w:hyperlink r:id="rId9">
        <w:r w:rsidDel="00000000" w:rsidR="00000000" w:rsidRPr="00000000">
          <w:rPr>
            <w:color w:val="0000ff"/>
            <w:highlight w:val="white"/>
            <w:u w:val="single"/>
            <w:rtl w:val="0"/>
          </w:rPr>
          <w:t xml:space="preserve">https://www.productivity.ac.uk/wp-content/uploads/2024/11/PIP040-UK-Trade-Post-Brexit-131124.pdf</w:t>
        </w:r>
      </w:hyperlink>
      <w:r w:rsidDel="00000000" w:rsidR="00000000" w:rsidRPr="00000000">
        <w:rPr>
          <w:highlight w:val="white"/>
          <w:rtl w:val="0"/>
        </w:rPr>
        <w:t xml:space="preserve"> </w:t>
      </w:r>
    </w:p>
    <w:p w:rsidR="00000000" w:rsidDel="00000000" w:rsidP="00000000" w:rsidRDefault="00000000" w:rsidRPr="00000000" w14:paraId="000000EE">
      <w:pPr>
        <w:rPr>
          <w:highlight w:val="white"/>
        </w:rPr>
      </w:pPr>
      <w:r w:rsidDel="00000000" w:rsidR="00000000" w:rsidRPr="00000000">
        <w:rPr>
          <w:highlight w:val="white"/>
          <w:rtl w:val="0"/>
        </w:rPr>
        <w:t xml:space="preserve">European Central Bank (2023) 'The impact of Brexit on UK trade and labour markets', </w:t>
      </w:r>
      <w:r w:rsidDel="00000000" w:rsidR="00000000" w:rsidRPr="00000000">
        <w:rPr>
          <w:i w:val="1"/>
          <w:iCs w:val="1"/>
          <w:highlight w:val="white"/>
          <w:rtl w:val="0"/>
        </w:rPr>
        <w:t xml:space="preserve">ECB Economic Bulletin</w:t>
      </w:r>
      <w:r w:rsidDel="00000000" w:rsidR="00000000" w:rsidRPr="00000000">
        <w:rPr>
          <w:highlight w:val="white"/>
          <w:rtl w:val="0"/>
        </w:rPr>
        <w:t xml:space="preserve">, Issue 3/2023. </w:t>
      </w:r>
      <w:hyperlink r:id="rId10">
        <w:r w:rsidDel="00000000" w:rsidR="00000000" w:rsidRPr="00000000">
          <w:rPr>
            <w:color w:val="0000ff"/>
            <w:highlight w:val="white"/>
            <w:u w:val="single"/>
            <w:rtl w:val="0"/>
          </w:rPr>
          <w:t xml:space="preserve">https://www.ecb.europa.eu/press/economic-bulletin/articles/2023/html/ecb.ebart202303_01~3af23c5f5a.en.html</w:t>
        </w:r>
      </w:hyperlink>
      <w:r w:rsidDel="00000000" w:rsidR="00000000" w:rsidRPr="00000000">
        <w:rPr>
          <w:highlight w:val="white"/>
          <w:rtl w:val="0"/>
        </w:rPr>
        <w:t xml:space="preserve"> </w:t>
      </w:r>
    </w:p>
    <w:p w:rsidR="00000000" w:rsidDel="00000000" w:rsidP="00000000" w:rsidRDefault="00000000" w:rsidRPr="00000000" w14:paraId="000000EF">
      <w:pPr>
        <w:rPr>
          <w:highlight w:val="white"/>
        </w:rPr>
      </w:pPr>
      <w:r w:rsidDel="00000000" w:rsidR="00000000" w:rsidRPr="00000000">
        <w:rPr>
          <w:highlight w:val="white"/>
          <w:rtl w:val="0"/>
        </w:rPr>
        <w:t xml:space="preserve">European Central Bank (2025) </w:t>
      </w:r>
      <w:r w:rsidDel="00000000" w:rsidR="00000000" w:rsidRPr="00000000">
        <w:rPr>
          <w:i w:val="1"/>
          <w:iCs w:val="1"/>
          <w:highlight w:val="white"/>
          <w:rtl w:val="0"/>
        </w:rPr>
        <w:t xml:space="preserve">Exploring EU-UK trade and investment four years after Brexit</w:t>
      </w:r>
      <w:r w:rsidDel="00000000" w:rsidR="00000000" w:rsidRPr="00000000">
        <w:rPr>
          <w:highlight w:val="white"/>
          <w:rtl w:val="0"/>
        </w:rPr>
        <w:t xml:space="preserve">, ECB Occasional Paper No. 379. Frankfurt: ECB. </w:t>
      </w:r>
      <w:hyperlink r:id="rId11">
        <w:r w:rsidDel="00000000" w:rsidR="00000000" w:rsidRPr="00000000">
          <w:rPr>
            <w:color w:val="0000ff"/>
            <w:highlight w:val="white"/>
            <w:u w:val="single"/>
            <w:rtl w:val="0"/>
          </w:rPr>
          <w:t xml:space="preserve">https://www.ecb.europa.eu/pub/pdf/scpops/ecb.op379.en.pdf</w:t>
        </w:r>
      </w:hyperlink>
      <w:r w:rsidDel="00000000" w:rsidR="00000000" w:rsidRPr="00000000">
        <w:rPr>
          <w:highlight w:val="white"/>
          <w:rtl w:val="0"/>
        </w:rPr>
        <w:t xml:space="preserve"> </w:t>
      </w:r>
    </w:p>
    <w:p w:rsidR="00000000" w:rsidDel="00000000" w:rsidP="00000000" w:rsidRDefault="00000000" w:rsidRPr="00000000" w14:paraId="000000F0">
      <w:pPr>
        <w:rPr>
          <w:highlight w:val="white"/>
        </w:rPr>
      </w:pPr>
      <w:r w:rsidDel="00000000" w:rsidR="00000000" w:rsidRPr="00000000">
        <w:rPr>
          <w:highlight w:val="white"/>
          <w:rtl w:val="0"/>
        </w:rPr>
        <w:t xml:space="preserve">Food and Drink Federation (2025) </w:t>
      </w:r>
      <w:r w:rsidDel="00000000" w:rsidR="00000000" w:rsidRPr="00000000">
        <w:rPr>
          <w:i w:val="1"/>
          <w:iCs w:val="1"/>
          <w:highlight w:val="white"/>
          <w:rtl w:val="0"/>
        </w:rPr>
        <w:t xml:space="preserve">FDF trade snapshot 2024</w:t>
      </w:r>
      <w:r w:rsidDel="00000000" w:rsidR="00000000" w:rsidRPr="00000000">
        <w:rPr>
          <w:highlight w:val="white"/>
          <w:rtl w:val="0"/>
        </w:rPr>
        <w:t xml:space="preserve">. London: FDF. </w:t>
      </w:r>
      <w:hyperlink r:id="rId12">
        <w:r w:rsidDel="00000000" w:rsidR="00000000" w:rsidRPr="00000000">
          <w:rPr>
            <w:color w:val="0000ff"/>
            <w:highlight w:val="white"/>
            <w:u w:val="single"/>
            <w:rtl w:val="0"/>
          </w:rPr>
          <w:t xml:space="preserve">https://www.fdf.org.uk/fdf/resources/publications/trade-reports/fdf-trade-snapshot-2024/</w:t>
        </w:r>
      </w:hyperlink>
      <w:r w:rsidDel="00000000" w:rsidR="00000000" w:rsidRPr="00000000">
        <w:rPr>
          <w:highlight w:val="white"/>
          <w:rtl w:val="0"/>
        </w:rPr>
        <w:t xml:space="preserve"> </w:t>
      </w:r>
    </w:p>
    <w:p w:rsidR="00000000" w:rsidDel="00000000" w:rsidP="00000000" w:rsidRDefault="00000000" w:rsidRPr="00000000" w14:paraId="000000F1">
      <w:pPr>
        <w:rPr>
          <w:highlight w:val="white"/>
        </w:rPr>
      </w:pPr>
      <w:r w:rsidDel="00000000" w:rsidR="00000000" w:rsidRPr="00000000">
        <w:rPr>
          <w:highlight w:val="white"/>
          <w:rtl w:val="0"/>
        </w:rPr>
        <w:t xml:space="preserve">Freeman, R., Manova, K., Prayer, T. and Sampson, T. (2022) </w:t>
      </w:r>
      <w:r w:rsidDel="00000000" w:rsidR="00000000" w:rsidRPr="00000000">
        <w:rPr>
          <w:i w:val="1"/>
          <w:iCs w:val="1"/>
          <w:highlight w:val="white"/>
          <w:rtl w:val="0"/>
        </w:rPr>
        <w:t xml:space="preserve">Unravelling deep integration: UK trade in the wake of Brexit.</w:t>
      </w:r>
      <w:r w:rsidDel="00000000" w:rsidR="00000000" w:rsidRPr="00000000">
        <w:rPr>
          <w:highlight w:val="white"/>
          <w:rtl w:val="0"/>
        </w:rPr>
        <w:t xml:space="preserve"> CEP Discussion Paper No. 1847. London: Centre for Economic Performance, LSE. </w:t>
      </w:r>
      <w:hyperlink r:id="rId13">
        <w:r w:rsidDel="00000000" w:rsidR="00000000" w:rsidRPr="00000000">
          <w:rPr>
            <w:color w:val="0000ff"/>
            <w:highlight w:val="white"/>
            <w:u w:val="single"/>
            <w:rtl w:val="0"/>
          </w:rPr>
          <w:t xml:space="preserve">https://cep.lse.ac.uk/pubs/download/dp1847.pdf</w:t>
        </w:r>
      </w:hyperlink>
      <w:r w:rsidDel="00000000" w:rsidR="00000000" w:rsidRPr="00000000">
        <w:rPr>
          <w:highlight w:val="white"/>
          <w:rtl w:val="0"/>
        </w:rPr>
        <w:t xml:space="preserve"> </w:t>
      </w:r>
    </w:p>
    <w:p w:rsidR="00000000" w:rsidDel="00000000" w:rsidP="00000000" w:rsidRDefault="00000000" w:rsidRPr="00000000" w14:paraId="000000F2">
      <w:pPr>
        <w:rPr>
          <w:highlight w:val="white"/>
        </w:rPr>
      </w:pPr>
      <w:r w:rsidDel="00000000" w:rsidR="00000000" w:rsidRPr="00000000">
        <w:rPr>
          <w:highlight w:val="white"/>
          <w:rtl w:val="0"/>
        </w:rPr>
        <w:t xml:space="preserve">Fry, E. and Hale, S. (2023) </w:t>
      </w:r>
      <w:r w:rsidDel="00000000" w:rsidR="00000000" w:rsidRPr="00000000">
        <w:rPr>
          <w:i w:val="1"/>
          <w:iCs w:val="1"/>
          <w:highlight w:val="white"/>
          <w:rtl w:val="0"/>
        </w:rPr>
        <w:t xml:space="preserve">Open for business? UK trade performance since leaving the EU.</w:t>
      </w:r>
      <w:r w:rsidDel="00000000" w:rsidR="00000000" w:rsidRPr="00000000">
        <w:rPr>
          <w:highlight w:val="white"/>
          <w:rtl w:val="0"/>
        </w:rPr>
        <w:t xml:space="preserve"> London: Resolution Foundation. </w:t>
      </w:r>
      <w:hyperlink r:id="rId14">
        <w:r w:rsidDel="00000000" w:rsidR="00000000" w:rsidRPr="00000000">
          <w:rPr>
            <w:color w:val="0000ff"/>
            <w:highlight w:val="white"/>
            <w:u w:val="single"/>
            <w:rtl w:val="0"/>
          </w:rPr>
          <w:t xml:space="preserve">https://www.resolutionfoundation.org/publications/open-for-business/</w:t>
        </w:r>
      </w:hyperlink>
      <w:r w:rsidDel="00000000" w:rsidR="00000000" w:rsidRPr="00000000">
        <w:rPr>
          <w:highlight w:val="white"/>
          <w:rtl w:val="0"/>
        </w:rPr>
        <w:t xml:space="preserve"> </w:t>
      </w:r>
    </w:p>
    <w:p w:rsidR="00000000" w:rsidDel="00000000" w:rsidP="00000000" w:rsidRDefault="00000000" w:rsidRPr="00000000" w14:paraId="000000F3">
      <w:pPr>
        <w:rPr>
          <w:highlight w:val="white"/>
        </w:rPr>
      </w:pPr>
      <w:r w:rsidDel="00000000" w:rsidR="00000000" w:rsidRPr="00000000">
        <w:rPr>
          <w:highlight w:val="white"/>
          <w:rtl w:val="0"/>
        </w:rPr>
        <w:t xml:space="preserve">House of Commons Library (2023) </w:t>
      </w:r>
      <w:r w:rsidDel="00000000" w:rsidR="00000000" w:rsidRPr="00000000">
        <w:rPr>
          <w:i w:val="1"/>
          <w:iCs w:val="1"/>
          <w:highlight w:val="white"/>
          <w:rtl w:val="0"/>
        </w:rPr>
        <w:t xml:space="preserve">The Windsor Framework</w:t>
      </w:r>
      <w:r w:rsidDel="00000000" w:rsidR="00000000" w:rsidRPr="00000000">
        <w:rPr>
          <w:highlight w:val="white"/>
          <w:rtl w:val="0"/>
        </w:rPr>
        <w:t xml:space="preserve">, Research Briefing CBP-9736. London: Parliament. </w:t>
      </w:r>
      <w:hyperlink r:id="rId15">
        <w:r w:rsidDel="00000000" w:rsidR="00000000" w:rsidRPr="00000000">
          <w:rPr>
            <w:color w:val="0000ff"/>
            <w:highlight w:val="white"/>
            <w:u w:val="single"/>
            <w:rtl w:val="0"/>
          </w:rPr>
          <w:t xml:space="preserve">https://researchbriefings.files.parliament.uk/documents/CBP-9736/CBP-9736.pdf</w:t>
        </w:r>
      </w:hyperlink>
      <w:r w:rsidDel="00000000" w:rsidR="00000000" w:rsidRPr="00000000">
        <w:rPr>
          <w:highlight w:val="white"/>
          <w:rtl w:val="0"/>
        </w:rPr>
        <w:t xml:space="preserve"> </w:t>
      </w:r>
    </w:p>
    <w:p w:rsidR="00000000" w:rsidDel="00000000" w:rsidP="00000000" w:rsidRDefault="00000000" w:rsidRPr="00000000" w14:paraId="000000F4">
      <w:pPr>
        <w:rPr>
          <w:highlight w:val="white"/>
        </w:rPr>
      </w:pPr>
      <w:r w:rsidDel="00000000" w:rsidR="00000000" w:rsidRPr="00000000">
        <w:rPr>
          <w:highlight w:val="white"/>
          <w:rtl w:val="0"/>
        </w:rPr>
        <w:t xml:space="preserve">Hyett, N., Kenny, A. and Dickson-Swift, V. (2014) 'Methodology or method? A critical review of qualitative case study reports', </w:t>
      </w:r>
      <w:r w:rsidDel="00000000" w:rsidR="00000000" w:rsidRPr="00000000">
        <w:rPr>
          <w:i w:val="1"/>
          <w:iCs w:val="1"/>
          <w:highlight w:val="white"/>
          <w:rtl w:val="0"/>
        </w:rPr>
        <w:t xml:space="preserve">International Journal of Qualitative Studies on Health and Well-being</w:t>
      </w:r>
      <w:r w:rsidDel="00000000" w:rsidR="00000000" w:rsidRPr="00000000">
        <w:rPr>
          <w:highlight w:val="white"/>
          <w:rtl w:val="0"/>
        </w:rPr>
        <w:t xml:space="preserve">, 9(1). </w:t>
      </w:r>
      <w:hyperlink r:id="rId16">
        <w:r w:rsidDel="00000000" w:rsidR="00000000" w:rsidRPr="00000000">
          <w:rPr>
            <w:color w:val="0000ff"/>
            <w:highlight w:val="white"/>
            <w:u w:val="single"/>
            <w:rtl w:val="0"/>
          </w:rPr>
          <w:t xml:space="preserve">https://www.ncbi.nlm.nih.gov/pmc/articles/PMC4014658/</w:t>
        </w:r>
      </w:hyperlink>
      <w:r w:rsidDel="00000000" w:rsidR="00000000" w:rsidRPr="00000000">
        <w:rPr>
          <w:highlight w:val="white"/>
          <w:rtl w:val="0"/>
        </w:rPr>
        <w:t xml:space="preserve"> </w:t>
      </w:r>
    </w:p>
    <w:p w:rsidR="00000000" w:rsidDel="00000000" w:rsidP="00000000" w:rsidRDefault="00000000" w:rsidRPr="00000000" w14:paraId="000000F5">
      <w:pPr>
        <w:rPr>
          <w:highlight w:val="white"/>
        </w:rPr>
      </w:pPr>
      <w:r w:rsidDel="00000000" w:rsidR="00000000" w:rsidRPr="00000000">
        <w:rPr>
          <w:highlight w:val="white"/>
          <w:rtl w:val="0"/>
        </w:rPr>
        <w:t xml:space="preserve">Marks and Spencer Group plc (2024) </w:t>
      </w:r>
      <w:r w:rsidDel="00000000" w:rsidR="00000000" w:rsidRPr="00000000">
        <w:rPr>
          <w:i w:val="1"/>
          <w:iCs w:val="1"/>
          <w:highlight w:val="white"/>
          <w:rtl w:val="0"/>
        </w:rPr>
        <w:t xml:space="preserve">Annual report and financial statements 2024</w:t>
      </w:r>
      <w:r w:rsidDel="00000000" w:rsidR="00000000" w:rsidRPr="00000000">
        <w:rPr>
          <w:highlight w:val="white"/>
          <w:rtl w:val="0"/>
        </w:rPr>
        <w:t xml:space="preserve">. London: M&amp;S. </w:t>
      </w:r>
      <w:hyperlink r:id="rId17">
        <w:r w:rsidDel="00000000" w:rsidR="00000000" w:rsidRPr="00000000">
          <w:rPr>
            <w:color w:val="0000ff"/>
            <w:highlight w:val="white"/>
            <w:u w:val="single"/>
            <w:rtl w:val="0"/>
          </w:rPr>
          <w:t xml:space="preserve">https://corporate.marksandspencer.com/sites/marksandspencer/files/2024-06/M-and-S-2024-Annual-Report.pdf</w:t>
        </w:r>
      </w:hyperlink>
      <w:r w:rsidDel="00000000" w:rsidR="00000000" w:rsidRPr="00000000">
        <w:rPr>
          <w:highlight w:val="white"/>
          <w:rtl w:val="0"/>
        </w:rPr>
        <w:t xml:space="preserve"> </w:t>
      </w:r>
    </w:p>
    <w:p w:rsidR="00000000" w:rsidDel="00000000" w:rsidP="00000000" w:rsidRDefault="00000000" w:rsidRPr="00000000" w14:paraId="000000F6">
      <w:pPr>
        <w:rPr>
          <w:highlight w:val="white"/>
        </w:rPr>
      </w:pPr>
      <w:r w:rsidDel="00000000" w:rsidR="00000000" w:rsidRPr="00000000">
        <w:rPr>
          <w:highlight w:val="white"/>
          <w:rtl w:val="0"/>
        </w:rPr>
        <w:t xml:space="preserve">Sampson, T. and Dhingra, S. (2022) </w:t>
      </w:r>
      <w:r w:rsidDel="00000000" w:rsidR="00000000" w:rsidRPr="00000000">
        <w:rPr>
          <w:i w:val="1"/>
          <w:iCs w:val="1"/>
          <w:highlight w:val="white"/>
          <w:rtl w:val="0"/>
        </w:rPr>
        <w:t xml:space="preserve">Brexit and UK trade</w:t>
      </w:r>
      <w:r w:rsidDel="00000000" w:rsidR="00000000" w:rsidRPr="00000000">
        <w:rPr>
          <w:highlight w:val="white"/>
          <w:rtl w:val="0"/>
        </w:rPr>
        <w:t xml:space="preserve">. London: Centre for Economic Performance, LSE. </w:t>
      </w:r>
      <w:hyperlink r:id="rId18">
        <w:r w:rsidDel="00000000" w:rsidR="00000000" w:rsidRPr="00000000">
          <w:rPr>
            <w:color w:val="0000ff"/>
            <w:highlight w:val="white"/>
            <w:u w:val="single"/>
            <w:rtl w:val="0"/>
          </w:rPr>
          <w:t xml:space="preserve">https://personal.lse.ac.uk/sampsont/BrexitUKTrade.pdf</w:t>
        </w:r>
      </w:hyperlink>
      <w:r w:rsidDel="00000000" w:rsidR="00000000" w:rsidRPr="00000000">
        <w:rPr>
          <w:highlight w:val="white"/>
          <w:rtl w:val="0"/>
        </w:rPr>
        <w:t xml:space="preserve"> </w:t>
      </w:r>
    </w:p>
    <w:p w:rsidR="00000000" w:rsidDel="00000000" w:rsidP="00000000" w:rsidRDefault="00000000" w:rsidRPr="00000000" w14:paraId="000000F7">
      <w:pPr>
        <w:rPr>
          <w:highlight w:val="white"/>
        </w:rPr>
      </w:pPr>
      <w:r w:rsidDel="00000000" w:rsidR="00000000" w:rsidRPr="00000000">
        <w:rPr>
          <w:highlight w:val="white"/>
          <w:rtl w:val="0"/>
        </w:rPr>
        <w:t xml:space="preserve">Saunders, M., Lewis, P. and Thornhill, A. (2019) </w:t>
      </w:r>
      <w:r w:rsidDel="00000000" w:rsidR="00000000" w:rsidRPr="00000000">
        <w:rPr>
          <w:i w:val="1"/>
          <w:iCs w:val="1"/>
          <w:highlight w:val="white"/>
          <w:rtl w:val="0"/>
        </w:rPr>
        <w:t xml:space="preserve">Research methods for business students</w:t>
      </w:r>
      <w:r w:rsidDel="00000000" w:rsidR="00000000" w:rsidRPr="00000000">
        <w:rPr>
          <w:highlight w:val="white"/>
          <w:rtl w:val="0"/>
        </w:rPr>
        <w:t xml:space="preserve">. 8th edn. Harlow: Pearson Education. </w:t>
      </w:r>
      <w:hyperlink r:id="rId19">
        <w:r w:rsidDel="00000000" w:rsidR="00000000" w:rsidRPr="00000000">
          <w:rPr>
            <w:color w:val="0000ff"/>
            <w:highlight w:val="white"/>
            <w:u w:val="single"/>
            <w:rtl w:val="0"/>
          </w:rPr>
          <w:t xml:space="preserve">https://www.scirp.org/reference/referencespapers?referenceid=2907709</w:t>
        </w:r>
      </w:hyperlink>
      <w:r w:rsidDel="00000000" w:rsidR="00000000" w:rsidRPr="00000000">
        <w:rPr>
          <w:highlight w:val="white"/>
          <w:rtl w:val="0"/>
        </w:rPr>
        <w:t xml:space="preserve"> </w:t>
      </w:r>
    </w:p>
    <w:p w:rsidR="00000000" w:rsidDel="00000000" w:rsidP="00000000" w:rsidRDefault="00000000" w:rsidRPr="00000000" w14:paraId="000000F8">
      <w:pPr>
        <w:rPr>
          <w:highlight w:val="white"/>
        </w:rPr>
      </w:pPr>
      <w:r w:rsidDel="00000000" w:rsidR="00000000" w:rsidRPr="00000000">
        <w:rPr>
          <w:highlight w:val="white"/>
          <w:rtl w:val="0"/>
        </w:rPr>
        <w:t xml:space="preserve">UK in a Changing Europe (2024) </w:t>
      </w:r>
      <w:r w:rsidDel="00000000" w:rsidR="00000000" w:rsidRPr="00000000">
        <w:rPr>
          <w:i w:val="1"/>
          <w:iCs w:val="1"/>
          <w:highlight w:val="white"/>
          <w:rtl w:val="0"/>
        </w:rPr>
        <w:t xml:space="preserve">The State of the UK Economy 2024.</w:t>
      </w:r>
      <w:r w:rsidDel="00000000" w:rsidR="00000000" w:rsidRPr="00000000">
        <w:rPr>
          <w:highlight w:val="white"/>
          <w:rtl w:val="0"/>
        </w:rPr>
        <w:t xml:space="preserve"> London: UK in a Changing Europe, King's College London. </w:t>
      </w:r>
      <w:hyperlink r:id="rId20">
        <w:r w:rsidDel="00000000" w:rsidR="00000000" w:rsidRPr="00000000">
          <w:rPr>
            <w:color w:val="0000ff"/>
            <w:highlight w:val="white"/>
            <w:u w:val="single"/>
            <w:rtl w:val="0"/>
          </w:rPr>
          <w:t xml:space="preserve">https://ukandeu.ac.uk/reports/the-state-of-the-uk-economy-2024/</w:t>
        </w:r>
      </w:hyperlink>
      <w:r w:rsidDel="00000000" w:rsidR="00000000" w:rsidRPr="00000000">
        <w:rPr>
          <w:rtl w:val="0"/>
        </w:rPr>
      </w:r>
    </w:p>
    <w:sectPr>
      <w:headerReference r:id="rId21" w:type="default"/>
      <w:footerReference r:id="rId22"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1688553" cy="666284"/>
          <wp:effectExtent b="0" l="0" r="0" t="0"/>
          <wp:docPr descr="Prifysgol Cymru Y Drindod Dewi Sant University of Wales Trinity Saint ..." id="1" name="image1.png"/>
          <a:graphic>
            <a:graphicData uri="http://schemas.openxmlformats.org/drawingml/2006/picture">
              <pic:pic>
                <pic:nvPicPr>
                  <pic:cNvPr descr="Prifysgol Cymru Y Drindod Dewi Sant University of Wales Trinity Saint ..." id="0" name="image1.png"/>
                  <pic:cNvPicPr preferRelativeResize="0"/>
                </pic:nvPicPr>
                <pic:blipFill>
                  <a:blip r:embed="rId1"/>
                  <a:srcRect b="0" l="0" r="0" t="0"/>
                  <a:stretch>
                    <a:fillRect/>
                  </a:stretch>
                </pic:blipFill>
                <pic:spPr>
                  <a:xfrm>
                    <a:off x="0" y="0"/>
                    <a:ext cx="1688553" cy="666284"/>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jc w:val="left"/>
    </w:pPr>
    <w:rPr>
      <w:b w:val="1"/>
      <w:bCs w:val="1"/>
      <w:sz w:val="28"/>
      <w:szCs w:val="28"/>
    </w:rPr>
  </w:style>
  <w:style w:type="paragraph" w:styleId="Heading2">
    <w:name w:val="heading 2"/>
    <w:basedOn w:val="Normal"/>
    <w:next w:val="Normal"/>
    <w:pPr>
      <w:keepNext w:val="1"/>
      <w:keepLines w:val="1"/>
      <w:spacing w:after="0" w:before="200" w:lineRule="auto"/>
      <w:jc w:val="left"/>
    </w:pPr>
    <w:rPr>
      <w:b w:val="1"/>
      <w:bCs w:val="1"/>
    </w:rPr>
  </w:style>
  <w:style w:type="paragraph" w:styleId="Heading3">
    <w:name w:val="heading 3"/>
    <w:basedOn w:val="Normal"/>
    <w:next w:val="Normal"/>
    <w:pPr>
      <w:keepNext w:val="1"/>
      <w:keepLines w:val="1"/>
      <w:spacing w:after="0"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after="0"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rPr>
      <w:rFonts w:ascii="Cambria" w:cs="Cambria" w:eastAsia="Cambria" w:hAnsi="Cambria"/>
      <w:i w:val="1"/>
      <w:iCs w:val="1"/>
      <w:color w:val="4f81bd"/>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ukandeu.ac.uk/reports/the-state-of-the-uk-economy-2024/" TargetMode="External"/><Relationship Id="rId11" Type="http://schemas.openxmlformats.org/officeDocument/2006/relationships/hyperlink" Target="https://www.ecb.europa.eu/pub/pdf/scpops/ecb.op379.en.pdf" TargetMode="External"/><Relationship Id="rId22" Type="http://schemas.openxmlformats.org/officeDocument/2006/relationships/footer" Target="footer1.xml"/><Relationship Id="rId10" Type="http://schemas.openxmlformats.org/officeDocument/2006/relationships/hyperlink" Target="https://www.ecb.europa.eu/press/economic-bulletin/articles/2023/html/ecb.ebart202303_01~3af23c5f5a.en.html" TargetMode="External"/><Relationship Id="rId21" Type="http://schemas.openxmlformats.org/officeDocument/2006/relationships/header" Target="header1.xml"/><Relationship Id="rId13" Type="http://schemas.openxmlformats.org/officeDocument/2006/relationships/hyperlink" Target="https://cep.lse.ac.uk/pubs/download/dp1847.pdf" TargetMode="External"/><Relationship Id="rId12" Type="http://schemas.openxmlformats.org/officeDocument/2006/relationships/hyperlink" Target="https://www.fdf.org.uk/fdf/resources/publications/trade-reports/fdf-trade-snapshot-2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roductivity.ac.uk/wp-content/uploads/2024/11/PIP040-UK-Trade-Post-Brexit-131124.pdf" TargetMode="External"/><Relationship Id="rId15" Type="http://schemas.openxmlformats.org/officeDocument/2006/relationships/hyperlink" Target="https://researchbriefings.files.parliament.uk/documents/CBP-9736/CBP-9736.pdf" TargetMode="External"/><Relationship Id="rId14" Type="http://schemas.openxmlformats.org/officeDocument/2006/relationships/hyperlink" Target="https://www.resolutionfoundation.org/publications/open-for-business/" TargetMode="External"/><Relationship Id="rId17" Type="http://schemas.openxmlformats.org/officeDocument/2006/relationships/hyperlink" Target="https://corporate.marksandspencer.com/sites/marksandspencer/files/2024-06/M-and-S-2024-Annual-Report.pdf" TargetMode="External"/><Relationship Id="rId16" Type="http://schemas.openxmlformats.org/officeDocument/2006/relationships/hyperlink" Target="https://www.ncbi.nlm.nih.gov/pmc/articles/PMC4014658/" TargetMode="External"/><Relationship Id="rId5" Type="http://schemas.openxmlformats.org/officeDocument/2006/relationships/styles" Target="styles.xml"/><Relationship Id="rId19" Type="http://schemas.openxmlformats.org/officeDocument/2006/relationships/hyperlink" Target="https://www.scirp.org/reference/referencespapers?referenceid=2907709" TargetMode="External"/><Relationship Id="rId6" Type="http://schemas.openxmlformats.org/officeDocument/2006/relationships/hyperlink" Target="https://blogs.sussex.ac.uk/uktpo/files/2021/06/BP57may.pdf" TargetMode="External"/><Relationship Id="rId18" Type="http://schemas.openxmlformats.org/officeDocument/2006/relationships/hyperlink" Target="https://personal.lse.ac.uk/sampsont/BrexitUKTrade.pdf" TargetMode="External"/><Relationship Id="rId7" Type="http://schemas.openxmlformats.org/officeDocument/2006/relationships/hyperlink" Target="https://www.tandfonline.com/doi/full/10.1080/21582041.2023.2192700" TargetMode="External"/><Relationship Id="rId8" Type="http://schemas.openxmlformats.org/officeDocument/2006/relationships/hyperlink" Target="https://www.tandfonline.com/doi/full/10.1080/21582041.2023.219204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