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5D06CB" w14:textId="77777777" w:rsidR="00B358E3" w:rsidRDefault="00B358E3">
      <w:pPr>
        <w:rPr>
          <w:b/>
          <w:sz w:val="30"/>
          <w:szCs w:val="30"/>
          <w:u w:val="single"/>
        </w:rPr>
      </w:pPr>
    </w:p>
    <w:p w14:paraId="7FDA4F64" w14:textId="77777777" w:rsidR="00B358E3" w:rsidRDefault="00B358E3">
      <w:pPr>
        <w:rPr>
          <w:b/>
          <w:sz w:val="30"/>
          <w:szCs w:val="30"/>
          <w:u w:val="single"/>
        </w:rPr>
      </w:pPr>
    </w:p>
    <w:p w14:paraId="7524B1A0" w14:textId="77777777" w:rsidR="00B358E3" w:rsidRDefault="00B358E3">
      <w:pPr>
        <w:rPr>
          <w:b/>
          <w:sz w:val="30"/>
          <w:szCs w:val="30"/>
          <w:u w:val="single"/>
        </w:rPr>
      </w:pPr>
    </w:p>
    <w:p w14:paraId="1BBF4289" w14:textId="77777777" w:rsidR="00B358E3" w:rsidRDefault="00B358E3" w:rsidP="00B358E3">
      <w:pPr>
        <w:jc w:val="center"/>
        <w:rPr>
          <w:b/>
          <w:sz w:val="32"/>
          <w:szCs w:val="30"/>
        </w:rPr>
      </w:pPr>
    </w:p>
    <w:p w14:paraId="13683B8B" w14:textId="77777777" w:rsidR="00B358E3" w:rsidRDefault="00B358E3" w:rsidP="00B358E3">
      <w:pPr>
        <w:jc w:val="center"/>
        <w:rPr>
          <w:b/>
          <w:sz w:val="32"/>
          <w:szCs w:val="30"/>
        </w:rPr>
      </w:pPr>
    </w:p>
    <w:p w14:paraId="20C0F8B3" w14:textId="77777777" w:rsidR="00B358E3" w:rsidRDefault="00B358E3" w:rsidP="00B358E3">
      <w:pPr>
        <w:jc w:val="center"/>
        <w:rPr>
          <w:b/>
          <w:sz w:val="32"/>
          <w:szCs w:val="30"/>
        </w:rPr>
      </w:pPr>
    </w:p>
    <w:p w14:paraId="26119D28" w14:textId="77777777" w:rsidR="00B358E3" w:rsidRPr="00B358E3" w:rsidRDefault="00B358E3" w:rsidP="00B358E3">
      <w:pPr>
        <w:jc w:val="center"/>
        <w:rPr>
          <w:b/>
          <w:sz w:val="32"/>
          <w:szCs w:val="30"/>
        </w:rPr>
      </w:pPr>
      <w:r>
        <w:rPr>
          <w:b/>
          <w:sz w:val="32"/>
          <w:szCs w:val="30"/>
        </w:rPr>
        <w:t>“</w:t>
      </w:r>
      <w:r w:rsidRPr="00B358E3">
        <w:rPr>
          <w:b/>
          <w:sz w:val="32"/>
          <w:szCs w:val="30"/>
        </w:rPr>
        <w:t>Academic Discipline of Tourism and Hospitality Management</w:t>
      </w:r>
      <w:r>
        <w:rPr>
          <w:b/>
          <w:sz w:val="32"/>
          <w:szCs w:val="30"/>
        </w:rPr>
        <w:t>”</w:t>
      </w:r>
    </w:p>
    <w:p w14:paraId="0CC6CEDE" w14:textId="77777777" w:rsidR="00B358E3" w:rsidRPr="00B358E3" w:rsidRDefault="00B358E3" w:rsidP="00B358E3">
      <w:pPr>
        <w:jc w:val="center"/>
        <w:rPr>
          <w:b/>
          <w:sz w:val="32"/>
          <w:szCs w:val="30"/>
        </w:rPr>
      </w:pPr>
      <w:r>
        <w:rPr>
          <w:b/>
          <w:sz w:val="32"/>
          <w:szCs w:val="30"/>
        </w:rPr>
        <w:t>“</w:t>
      </w:r>
      <w:r w:rsidRPr="00B358E3">
        <w:rPr>
          <w:b/>
          <w:sz w:val="32"/>
          <w:szCs w:val="30"/>
        </w:rPr>
        <w:t>BMIH6005</w:t>
      </w:r>
      <w:r>
        <w:rPr>
          <w:b/>
          <w:sz w:val="32"/>
          <w:szCs w:val="30"/>
        </w:rPr>
        <w:t>”</w:t>
      </w:r>
    </w:p>
    <w:p w14:paraId="41FACB21" w14:textId="77777777" w:rsidR="00B358E3" w:rsidRPr="00B358E3" w:rsidRDefault="00B358E3" w:rsidP="00B358E3">
      <w:pPr>
        <w:pBdr>
          <w:bottom w:val="single" w:sz="4" w:space="1" w:color="auto"/>
        </w:pBdr>
        <w:jc w:val="center"/>
        <w:rPr>
          <w:b/>
          <w:sz w:val="32"/>
          <w:szCs w:val="30"/>
        </w:rPr>
      </w:pPr>
      <w:r>
        <w:rPr>
          <w:b/>
          <w:sz w:val="32"/>
          <w:szCs w:val="30"/>
        </w:rPr>
        <w:t xml:space="preserve">“Organisational Consultancy: </w:t>
      </w:r>
      <w:r w:rsidRPr="00B358E3">
        <w:rPr>
          <w:b/>
          <w:sz w:val="32"/>
          <w:szCs w:val="30"/>
        </w:rPr>
        <w:t>LEVEL 6</w:t>
      </w:r>
      <w:r>
        <w:rPr>
          <w:b/>
          <w:sz w:val="32"/>
          <w:szCs w:val="30"/>
        </w:rPr>
        <w:t>”</w:t>
      </w:r>
    </w:p>
    <w:p w14:paraId="4D4F7878" w14:textId="77777777" w:rsidR="00CB00BA" w:rsidRPr="002B2E1E" w:rsidRDefault="00CB00BA">
      <w:pPr>
        <w:rPr>
          <w:b/>
          <w:sz w:val="30"/>
          <w:szCs w:val="30"/>
          <w:u w:val="single"/>
        </w:rPr>
      </w:pPr>
    </w:p>
    <w:p w14:paraId="7CCD785E" w14:textId="77777777" w:rsidR="00CB00BA" w:rsidRPr="002B2E1E" w:rsidRDefault="00CB00BA">
      <w:pPr>
        <w:rPr>
          <w:b/>
          <w:sz w:val="30"/>
          <w:szCs w:val="30"/>
          <w:u w:val="single"/>
        </w:rPr>
      </w:pPr>
    </w:p>
    <w:p w14:paraId="73E583B3" w14:textId="77777777" w:rsidR="00E554F2" w:rsidRPr="00E554F2" w:rsidRDefault="00E554F2" w:rsidP="00E554F2">
      <w:pPr>
        <w:rPr>
          <w:b/>
          <w:sz w:val="30"/>
          <w:szCs w:val="30"/>
          <w:u w:val="single"/>
        </w:rPr>
      </w:pPr>
      <w:r w:rsidRPr="00E554F2">
        <w:rPr>
          <w:b/>
          <w:sz w:val="30"/>
          <w:szCs w:val="30"/>
          <w:u w:val="single"/>
        </w:rPr>
        <w:t xml:space="preserve">Name of report: A consultancy report to Managerial department of Accor International in Australia </w:t>
      </w:r>
    </w:p>
    <w:p w14:paraId="46FA55B3" w14:textId="431EE8CF" w:rsidR="00E554F2" w:rsidRPr="00E554F2" w:rsidRDefault="00E554F2" w:rsidP="00E554F2">
      <w:pPr>
        <w:rPr>
          <w:b/>
          <w:sz w:val="30"/>
          <w:szCs w:val="30"/>
          <w:u w:val="single"/>
        </w:rPr>
      </w:pPr>
      <w:r w:rsidRPr="00E554F2">
        <w:rPr>
          <w:b/>
          <w:sz w:val="30"/>
          <w:szCs w:val="30"/>
          <w:u w:val="single"/>
        </w:rPr>
        <w:t xml:space="preserve">Student Name: </w:t>
      </w:r>
      <w:r>
        <w:rPr>
          <w:b/>
          <w:sz w:val="30"/>
          <w:szCs w:val="30"/>
          <w:u w:val="single"/>
        </w:rPr>
        <w:t>Nicolae Nica</w:t>
      </w:r>
    </w:p>
    <w:p w14:paraId="0CB68E9E" w14:textId="790EF36D" w:rsidR="00E554F2" w:rsidRPr="00E554F2" w:rsidRDefault="00E554F2" w:rsidP="00E554F2">
      <w:pPr>
        <w:rPr>
          <w:b/>
          <w:sz w:val="30"/>
          <w:szCs w:val="30"/>
          <w:u w:val="single"/>
        </w:rPr>
      </w:pPr>
      <w:r w:rsidRPr="00E554F2">
        <w:rPr>
          <w:b/>
          <w:sz w:val="30"/>
          <w:szCs w:val="30"/>
          <w:u w:val="single"/>
        </w:rPr>
        <w:t xml:space="preserve">Student ID: </w:t>
      </w:r>
      <w:r>
        <w:rPr>
          <w:b/>
          <w:sz w:val="30"/>
          <w:szCs w:val="30"/>
          <w:u w:val="single"/>
        </w:rPr>
        <w:t>2122931</w:t>
      </w:r>
    </w:p>
    <w:p w14:paraId="528A0E07" w14:textId="77777777" w:rsidR="00E554F2" w:rsidRPr="00E554F2" w:rsidRDefault="00E554F2" w:rsidP="00E554F2">
      <w:pPr>
        <w:rPr>
          <w:b/>
          <w:sz w:val="30"/>
          <w:szCs w:val="30"/>
          <w:u w:val="single"/>
        </w:rPr>
      </w:pPr>
      <w:r w:rsidRPr="00E554F2">
        <w:rPr>
          <w:b/>
          <w:sz w:val="30"/>
          <w:szCs w:val="30"/>
          <w:u w:val="single"/>
        </w:rPr>
        <w:t xml:space="preserve">Name of Consulting Company: Curzon Consulting, United Kingdom </w:t>
      </w:r>
    </w:p>
    <w:p w14:paraId="1548F917" w14:textId="69D48161" w:rsidR="00E554F2" w:rsidRDefault="00E554F2" w:rsidP="00E554F2">
      <w:pPr>
        <w:rPr>
          <w:b/>
          <w:sz w:val="30"/>
          <w:szCs w:val="30"/>
          <w:u w:val="single"/>
        </w:rPr>
      </w:pPr>
      <w:r w:rsidRPr="00E554F2">
        <w:rPr>
          <w:b/>
          <w:sz w:val="30"/>
          <w:szCs w:val="30"/>
          <w:u w:val="single"/>
        </w:rPr>
        <w:t xml:space="preserve">Date of report: 27th January 2024 </w:t>
      </w:r>
    </w:p>
    <w:p w14:paraId="4E2DAC6F" w14:textId="66DEFC68" w:rsidR="004E1F74" w:rsidRPr="00E554F2" w:rsidRDefault="004E1F74" w:rsidP="00E554F2">
      <w:pPr>
        <w:rPr>
          <w:b/>
          <w:sz w:val="30"/>
          <w:szCs w:val="30"/>
          <w:u w:val="single"/>
        </w:rPr>
      </w:pPr>
      <w:r>
        <w:rPr>
          <w:b/>
          <w:sz w:val="30"/>
          <w:szCs w:val="30"/>
          <w:u w:val="single"/>
        </w:rPr>
        <w:t>Philippa Fitzgerald</w:t>
      </w:r>
    </w:p>
    <w:p w14:paraId="4899CED7" w14:textId="4D9D996D" w:rsidR="00B358E3" w:rsidRDefault="00B358E3">
      <w:pPr>
        <w:rPr>
          <w:b/>
          <w:sz w:val="30"/>
          <w:szCs w:val="30"/>
          <w:u w:val="single"/>
        </w:rPr>
      </w:pPr>
      <w:r>
        <w:rPr>
          <w:b/>
          <w:sz w:val="30"/>
          <w:szCs w:val="30"/>
          <w:u w:val="single"/>
        </w:rPr>
        <w:br w:type="page"/>
      </w:r>
    </w:p>
    <w:p w14:paraId="4FA0DEA7" w14:textId="77777777" w:rsidR="00B358E3" w:rsidRDefault="00B358E3">
      <w:pPr>
        <w:rPr>
          <w:b/>
          <w:sz w:val="30"/>
          <w:szCs w:val="30"/>
          <w:u w:val="single"/>
        </w:rPr>
      </w:pPr>
    </w:p>
    <w:p w14:paraId="698A909F" w14:textId="77777777" w:rsidR="00B358E3" w:rsidRDefault="00B358E3">
      <w:pPr>
        <w:rPr>
          <w:b/>
          <w:sz w:val="30"/>
          <w:szCs w:val="30"/>
          <w:u w:val="single"/>
        </w:rPr>
      </w:pPr>
    </w:p>
    <w:p w14:paraId="03DB0972" w14:textId="77777777" w:rsidR="00B358E3" w:rsidRDefault="00B358E3">
      <w:pPr>
        <w:rPr>
          <w:b/>
          <w:sz w:val="30"/>
          <w:szCs w:val="30"/>
          <w:u w:val="single"/>
        </w:rPr>
      </w:pPr>
    </w:p>
    <w:sdt>
      <w:sdtPr>
        <w:rPr>
          <w:rFonts w:ascii="Times New Roman" w:eastAsia="Times New Roman" w:hAnsi="Times New Roman" w:cs="Times New Roman"/>
          <w:color w:val="auto"/>
          <w:sz w:val="24"/>
          <w:szCs w:val="24"/>
          <w:lang w:val="en-GB" w:eastAsia="en-IN"/>
        </w:rPr>
        <w:id w:val="-324592509"/>
        <w:docPartObj>
          <w:docPartGallery w:val="Table of Contents"/>
          <w:docPartUnique/>
        </w:docPartObj>
      </w:sdtPr>
      <w:sdtEndPr>
        <w:rPr>
          <w:b/>
          <w:bCs/>
          <w:noProof/>
        </w:rPr>
      </w:sdtEndPr>
      <w:sdtContent>
        <w:p w14:paraId="09D63AE5" w14:textId="77777777" w:rsidR="002B2E1E" w:rsidRPr="002B2E1E" w:rsidRDefault="002B2E1E" w:rsidP="002B2E1E">
          <w:pPr>
            <w:pStyle w:val="TOCHeading"/>
            <w:jc w:val="center"/>
            <w:rPr>
              <w:rFonts w:ascii="Times New Roman" w:hAnsi="Times New Roman" w:cs="Times New Roman"/>
              <w:b/>
              <w:color w:val="000000" w:themeColor="text1"/>
              <w:szCs w:val="28"/>
            </w:rPr>
          </w:pPr>
          <w:r w:rsidRPr="002B2E1E">
            <w:rPr>
              <w:rFonts w:ascii="Times New Roman" w:hAnsi="Times New Roman" w:cs="Times New Roman"/>
              <w:b/>
              <w:color w:val="000000" w:themeColor="text1"/>
              <w:szCs w:val="28"/>
            </w:rPr>
            <w:t>Table of Contents</w:t>
          </w:r>
        </w:p>
        <w:p w14:paraId="7A9E0654" w14:textId="77777777" w:rsidR="002B2E1E" w:rsidRDefault="002B2E1E">
          <w:pPr>
            <w:pStyle w:val="TOC1"/>
            <w:tabs>
              <w:tab w:val="right" w:leader="dot" w:pos="9019"/>
            </w:tabs>
            <w:rPr>
              <w:noProof/>
            </w:rPr>
          </w:pPr>
          <w:r>
            <w:fldChar w:fldCharType="begin"/>
          </w:r>
          <w:r>
            <w:instrText xml:space="preserve"> TOC \o "1-3" \h \z \u </w:instrText>
          </w:r>
          <w:r>
            <w:fldChar w:fldCharType="separate"/>
          </w:r>
          <w:hyperlink w:anchor="_Toc157294145" w:history="1">
            <w:r w:rsidRPr="00800F5E">
              <w:rPr>
                <w:rStyle w:val="Hyperlink"/>
                <w:noProof/>
              </w:rPr>
              <w:t>Executive Summary</w:t>
            </w:r>
            <w:r>
              <w:rPr>
                <w:noProof/>
                <w:webHidden/>
              </w:rPr>
              <w:tab/>
            </w:r>
            <w:r>
              <w:rPr>
                <w:noProof/>
                <w:webHidden/>
              </w:rPr>
              <w:fldChar w:fldCharType="begin"/>
            </w:r>
            <w:r>
              <w:rPr>
                <w:noProof/>
                <w:webHidden/>
              </w:rPr>
              <w:instrText xml:space="preserve"> PAGEREF _Toc157294145 \h </w:instrText>
            </w:r>
            <w:r>
              <w:rPr>
                <w:noProof/>
                <w:webHidden/>
              </w:rPr>
            </w:r>
            <w:r>
              <w:rPr>
                <w:noProof/>
                <w:webHidden/>
              </w:rPr>
              <w:fldChar w:fldCharType="separate"/>
            </w:r>
            <w:r>
              <w:rPr>
                <w:noProof/>
                <w:webHidden/>
              </w:rPr>
              <w:t>3</w:t>
            </w:r>
            <w:r>
              <w:rPr>
                <w:noProof/>
                <w:webHidden/>
              </w:rPr>
              <w:fldChar w:fldCharType="end"/>
            </w:r>
          </w:hyperlink>
        </w:p>
        <w:p w14:paraId="1B65CBFD" w14:textId="77777777" w:rsidR="002B2E1E" w:rsidRDefault="0025619C">
          <w:pPr>
            <w:pStyle w:val="TOC1"/>
            <w:tabs>
              <w:tab w:val="right" w:leader="dot" w:pos="9019"/>
            </w:tabs>
            <w:rPr>
              <w:noProof/>
            </w:rPr>
          </w:pPr>
          <w:hyperlink w:anchor="_Toc157294146" w:history="1">
            <w:r w:rsidR="002B2E1E" w:rsidRPr="00800F5E">
              <w:rPr>
                <w:rStyle w:val="Hyperlink"/>
                <w:noProof/>
              </w:rPr>
              <w:t>1.0 Introduction</w:t>
            </w:r>
            <w:r w:rsidR="002B2E1E">
              <w:rPr>
                <w:noProof/>
                <w:webHidden/>
              </w:rPr>
              <w:tab/>
            </w:r>
            <w:r w:rsidR="002B2E1E">
              <w:rPr>
                <w:noProof/>
                <w:webHidden/>
              </w:rPr>
              <w:fldChar w:fldCharType="begin"/>
            </w:r>
            <w:r w:rsidR="002B2E1E">
              <w:rPr>
                <w:noProof/>
                <w:webHidden/>
              </w:rPr>
              <w:instrText xml:space="preserve"> PAGEREF _Toc157294146 \h </w:instrText>
            </w:r>
            <w:r w:rsidR="002B2E1E">
              <w:rPr>
                <w:noProof/>
                <w:webHidden/>
              </w:rPr>
            </w:r>
            <w:r w:rsidR="002B2E1E">
              <w:rPr>
                <w:noProof/>
                <w:webHidden/>
              </w:rPr>
              <w:fldChar w:fldCharType="separate"/>
            </w:r>
            <w:r w:rsidR="002B2E1E">
              <w:rPr>
                <w:noProof/>
                <w:webHidden/>
              </w:rPr>
              <w:t>5</w:t>
            </w:r>
            <w:r w:rsidR="002B2E1E">
              <w:rPr>
                <w:noProof/>
                <w:webHidden/>
              </w:rPr>
              <w:fldChar w:fldCharType="end"/>
            </w:r>
          </w:hyperlink>
        </w:p>
        <w:p w14:paraId="2B4F6BF9" w14:textId="77777777" w:rsidR="002B2E1E" w:rsidRDefault="0025619C">
          <w:pPr>
            <w:pStyle w:val="TOC2"/>
            <w:tabs>
              <w:tab w:val="right" w:leader="dot" w:pos="9019"/>
            </w:tabs>
            <w:rPr>
              <w:noProof/>
            </w:rPr>
          </w:pPr>
          <w:hyperlink w:anchor="_Toc157294147" w:history="1">
            <w:r w:rsidR="002B2E1E" w:rsidRPr="00800F5E">
              <w:rPr>
                <w:rStyle w:val="Hyperlink"/>
                <w:noProof/>
              </w:rPr>
              <w:t>1.1 Background of report</w:t>
            </w:r>
            <w:r w:rsidR="002B2E1E">
              <w:rPr>
                <w:noProof/>
                <w:webHidden/>
              </w:rPr>
              <w:tab/>
            </w:r>
            <w:r w:rsidR="002B2E1E">
              <w:rPr>
                <w:noProof/>
                <w:webHidden/>
              </w:rPr>
              <w:fldChar w:fldCharType="begin"/>
            </w:r>
            <w:r w:rsidR="002B2E1E">
              <w:rPr>
                <w:noProof/>
                <w:webHidden/>
              </w:rPr>
              <w:instrText xml:space="preserve"> PAGEREF _Toc157294147 \h </w:instrText>
            </w:r>
            <w:r w:rsidR="002B2E1E">
              <w:rPr>
                <w:noProof/>
                <w:webHidden/>
              </w:rPr>
            </w:r>
            <w:r w:rsidR="002B2E1E">
              <w:rPr>
                <w:noProof/>
                <w:webHidden/>
              </w:rPr>
              <w:fldChar w:fldCharType="separate"/>
            </w:r>
            <w:r w:rsidR="002B2E1E">
              <w:rPr>
                <w:noProof/>
                <w:webHidden/>
              </w:rPr>
              <w:t>5</w:t>
            </w:r>
            <w:r w:rsidR="002B2E1E">
              <w:rPr>
                <w:noProof/>
                <w:webHidden/>
              </w:rPr>
              <w:fldChar w:fldCharType="end"/>
            </w:r>
          </w:hyperlink>
        </w:p>
        <w:p w14:paraId="20EDF8BD" w14:textId="77777777" w:rsidR="002B2E1E" w:rsidRDefault="0025619C">
          <w:pPr>
            <w:pStyle w:val="TOC2"/>
            <w:tabs>
              <w:tab w:val="right" w:leader="dot" w:pos="9019"/>
            </w:tabs>
            <w:rPr>
              <w:noProof/>
            </w:rPr>
          </w:pPr>
          <w:hyperlink w:anchor="_Toc157294148" w:history="1">
            <w:r w:rsidR="002B2E1E" w:rsidRPr="00800F5E">
              <w:rPr>
                <w:rStyle w:val="Hyperlink"/>
                <w:noProof/>
              </w:rPr>
              <w:t>1.2 Aim of report</w:t>
            </w:r>
            <w:r w:rsidR="002B2E1E">
              <w:rPr>
                <w:noProof/>
                <w:webHidden/>
              </w:rPr>
              <w:tab/>
            </w:r>
            <w:r w:rsidR="002B2E1E">
              <w:rPr>
                <w:noProof/>
                <w:webHidden/>
              </w:rPr>
              <w:fldChar w:fldCharType="begin"/>
            </w:r>
            <w:r w:rsidR="002B2E1E">
              <w:rPr>
                <w:noProof/>
                <w:webHidden/>
              </w:rPr>
              <w:instrText xml:space="preserve"> PAGEREF _Toc157294148 \h </w:instrText>
            </w:r>
            <w:r w:rsidR="002B2E1E">
              <w:rPr>
                <w:noProof/>
                <w:webHidden/>
              </w:rPr>
            </w:r>
            <w:r w:rsidR="002B2E1E">
              <w:rPr>
                <w:noProof/>
                <w:webHidden/>
              </w:rPr>
              <w:fldChar w:fldCharType="separate"/>
            </w:r>
            <w:r w:rsidR="002B2E1E">
              <w:rPr>
                <w:noProof/>
                <w:webHidden/>
              </w:rPr>
              <w:t>5</w:t>
            </w:r>
            <w:r w:rsidR="002B2E1E">
              <w:rPr>
                <w:noProof/>
                <w:webHidden/>
              </w:rPr>
              <w:fldChar w:fldCharType="end"/>
            </w:r>
          </w:hyperlink>
        </w:p>
        <w:p w14:paraId="646C36DC" w14:textId="77777777" w:rsidR="002B2E1E" w:rsidRDefault="0025619C">
          <w:pPr>
            <w:pStyle w:val="TOC2"/>
            <w:tabs>
              <w:tab w:val="right" w:leader="dot" w:pos="9019"/>
            </w:tabs>
            <w:rPr>
              <w:noProof/>
            </w:rPr>
          </w:pPr>
          <w:hyperlink w:anchor="_Toc157294149" w:history="1">
            <w:r w:rsidR="002B2E1E" w:rsidRPr="00800F5E">
              <w:rPr>
                <w:rStyle w:val="Hyperlink"/>
                <w:noProof/>
              </w:rPr>
              <w:t>1.3 Objective of report</w:t>
            </w:r>
            <w:r w:rsidR="002B2E1E">
              <w:rPr>
                <w:noProof/>
                <w:webHidden/>
              </w:rPr>
              <w:tab/>
            </w:r>
            <w:r w:rsidR="002B2E1E">
              <w:rPr>
                <w:noProof/>
                <w:webHidden/>
              </w:rPr>
              <w:fldChar w:fldCharType="begin"/>
            </w:r>
            <w:r w:rsidR="002B2E1E">
              <w:rPr>
                <w:noProof/>
                <w:webHidden/>
              </w:rPr>
              <w:instrText xml:space="preserve"> PAGEREF _Toc157294149 \h </w:instrText>
            </w:r>
            <w:r w:rsidR="002B2E1E">
              <w:rPr>
                <w:noProof/>
                <w:webHidden/>
              </w:rPr>
            </w:r>
            <w:r w:rsidR="002B2E1E">
              <w:rPr>
                <w:noProof/>
                <w:webHidden/>
              </w:rPr>
              <w:fldChar w:fldCharType="separate"/>
            </w:r>
            <w:r w:rsidR="002B2E1E">
              <w:rPr>
                <w:noProof/>
                <w:webHidden/>
              </w:rPr>
              <w:t>5</w:t>
            </w:r>
            <w:r w:rsidR="002B2E1E">
              <w:rPr>
                <w:noProof/>
                <w:webHidden/>
              </w:rPr>
              <w:fldChar w:fldCharType="end"/>
            </w:r>
          </w:hyperlink>
        </w:p>
        <w:p w14:paraId="26818BB6" w14:textId="77777777" w:rsidR="002B2E1E" w:rsidRDefault="0025619C">
          <w:pPr>
            <w:pStyle w:val="TOC2"/>
            <w:tabs>
              <w:tab w:val="right" w:leader="dot" w:pos="9019"/>
            </w:tabs>
            <w:rPr>
              <w:noProof/>
            </w:rPr>
          </w:pPr>
          <w:hyperlink w:anchor="_Toc157294150" w:history="1">
            <w:r w:rsidR="002B2E1E" w:rsidRPr="00800F5E">
              <w:rPr>
                <w:rStyle w:val="Hyperlink"/>
                <w:noProof/>
              </w:rPr>
              <w:t>1.4 Overview of involved business</w:t>
            </w:r>
            <w:r w:rsidR="002B2E1E">
              <w:rPr>
                <w:noProof/>
                <w:webHidden/>
              </w:rPr>
              <w:tab/>
            </w:r>
            <w:r w:rsidR="002B2E1E">
              <w:rPr>
                <w:noProof/>
                <w:webHidden/>
              </w:rPr>
              <w:fldChar w:fldCharType="begin"/>
            </w:r>
            <w:r w:rsidR="002B2E1E">
              <w:rPr>
                <w:noProof/>
                <w:webHidden/>
              </w:rPr>
              <w:instrText xml:space="preserve"> PAGEREF _Toc157294150 \h </w:instrText>
            </w:r>
            <w:r w:rsidR="002B2E1E">
              <w:rPr>
                <w:noProof/>
                <w:webHidden/>
              </w:rPr>
            </w:r>
            <w:r w:rsidR="002B2E1E">
              <w:rPr>
                <w:noProof/>
                <w:webHidden/>
              </w:rPr>
              <w:fldChar w:fldCharType="separate"/>
            </w:r>
            <w:r w:rsidR="002B2E1E">
              <w:rPr>
                <w:noProof/>
                <w:webHidden/>
              </w:rPr>
              <w:t>5</w:t>
            </w:r>
            <w:r w:rsidR="002B2E1E">
              <w:rPr>
                <w:noProof/>
                <w:webHidden/>
              </w:rPr>
              <w:fldChar w:fldCharType="end"/>
            </w:r>
          </w:hyperlink>
        </w:p>
        <w:p w14:paraId="52D98D46" w14:textId="77777777" w:rsidR="002B2E1E" w:rsidRDefault="0025619C">
          <w:pPr>
            <w:pStyle w:val="TOC2"/>
            <w:tabs>
              <w:tab w:val="right" w:leader="dot" w:pos="9019"/>
            </w:tabs>
            <w:rPr>
              <w:noProof/>
            </w:rPr>
          </w:pPr>
          <w:hyperlink w:anchor="_Toc157294151" w:history="1">
            <w:r w:rsidR="002B2E1E" w:rsidRPr="00800F5E">
              <w:rPr>
                <w:rStyle w:val="Hyperlink"/>
                <w:noProof/>
              </w:rPr>
              <w:t>1.5 Rationale of report</w:t>
            </w:r>
            <w:r w:rsidR="002B2E1E">
              <w:rPr>
                <w:noProof/>
                <w:webHidden/>
              </w:rPr>
              <w:tab/>
            </w:r>
            <w:r w:rsidR="002B2E1E">
              <w:rPr>
                <w:noProof/>
                <w:webHidden/>
              </w:rPr>
              <w:fldChar w:fldCharType="begin"/>
            </w:r>
            <w:r w:rsidR="002B2E1E">
              <w:rPr>
                <w:noProof/>
                <w:webHidden/>
              </w:rPr>
              <w:instrText xml:space="preserve"> PAGEREF _Toc157294151 \h </w:instrText>
            </w:r>
            <w:r w:rsidR="002B2E1E">
              <w:rPr>
                <w:noProof/>
                <w:webHidden/>
              </w:rPr>
            </w:r>
            <w:r w:rsidR="002B2E1E">
              <w:rPr>
                <w:noProof/>
                <w:webHidden/>
              </w:rPr>
              <w:fldChar w:fldCharType="separate"/>
            </w:r>
            <w:r w:rsidR="002B2E1E">
              <w:rPr>
                <w:noProof/>
                <w:webHidden/>
              </w:rPr>
              <w:t>6</w:t>
            </w:r>
            <w:r w:rsidR="002B2E1E">
              <w:rPr>
                <w:noProof/>
                <w:webHidden/>
              </w:rPr>
              <w:fldChar w:fldCharType="end"/>
            </w:r>
          </w:hyperlink>
        </w:p>
        <w:p w14:paraId="7F0D8D31" w14:textId="77777777" w:rsidR="002B2E1E" w:rsidRDefault="0025619C">
          <w:pPr>
            <w:pStyle w:val="TOC1"/>
            <w:tabs>
              <w:tab w:val="right" w:leader="dot" w:pos="9019"/>
            </w:tabs>
            <w:rPr>
              <w:noProof/>
            </w:rPr>
          </w:pPr>
          <w:hyperlink w:anchor="_Toc157294152" w:history="1">
            <w:r w:rsidR="002B2E1E" w:rsidRPr="00800F5E">
              <w:rPr>
                <w:rStyle w:val="Hyperlink"/>
                <w:noProof/>
              </w:rPr>
              <w:t>2.0 Analysis</w:t>
            </w:r>
            <w:r w:rsidR="002B2E1E">
              <w:rPr>
                <w:noProof/>
                <w:webHidden/>
              </w:rPr>
              <w:tab/>
            </w:r>
            <w:r w:rsidR="002B2E1E">
              <w:rPr>
                <w:noProof/>
                <w:webHidden/>
              </w:rPr>
              <w:fldChar w:fldCharType="begin"/>
            </w:r>
            <w:r w:rsidR="002B2E1E">
              <w:rPr>
                <w:noProof/>
                <w:webHidden/>
              </w:rPr>
              <w:instrText xml:space="preserve"> PAGEREF _Toc157294152 \h </w:instrText>
            </w:r>
            <w:r w:rsidR="002B2E1E">
              <w:rPr>
                <w:noProof/>
                <w:webHidden/>
              </w:rPr>
            </w:r>
            <w:r w:rsidR="002B2E1E">
              <w:rPr>
                <w:noProof/>
                <w:webHidden/>
              </w:rPr>
              <w:fldChar w:fldCharType="separate"/>
            </w:r>
            <w:r w:rsidR="002B2E1E">
              <w:rPr>
                <w:noProof/>
                <w:webHidden/>
              </w:rPr>
              <w:t>6</w:t>
            </w:r>
            <w:r w:rsidR="002B2E1E">
              <w:rPr>
                <w:noProof/>
                <w:webHidden/>
              </w:rPr>
              <w:fldChar w:fldCharType="end"/>
            </w:r>
          </w:hyperlink>
        </w:p>
        <w:p w14:paraId="45EE9E0A" w14:textId="77777777" w:rsidR="002B2E1E" w:rsidRDefault="0025619C">
          <w:pPr>
            <w:pStyle w:val="TOC2"/>
            <w:tabs>
              <w:tab w:val="right" w:leader="dot" w:pos="9019"/>
            </w:tabs>
            <w:rPr>
              <w:noProof/>
            </w:rPr>
          </w:pPr>
          <w:hyperlink w:anchor="_Toc157294153" w:history="1">
            <w:r w:rsidR="002B2E1E" w:rsidRPr="00800F5E">
              <w:rPr>
                <w:rStyle w:val="Hyperlink"/>
                <w:noProof/>
              </w:rPr>
              <w:t>2.1 Identified challenges related to hospitality business in Australia</w:t>
            </w:r>
            <w:r w:rsidR="002B2E1E">
              <w:rPr>
                <w:noProof/>
                <w:webHidden/>
              </w:rPr>
              <w:tab/>
            </w:r>
            <w:r w:rsidR="002B2E1E">
              <w:rPr>
                <w:noProof/>
                <w:webHidden/>
              </w:rPr>
              <w:fldChar w:fldCharType="begin"/>
            </w:r>
            <w:r w:rsidR="002B2E1E">
              <w:rPr>
                <w:noProof/>
                <w:webHidden/>
              </w:rPr>
              <w:instrText xml:space="preserve"> PAGEREF _Toc157294153 \h </w:instrText>
            </w:r>
            <w:r w:rsidR="002B2E1E">
              <w:rPr>
                <w:noProof/>
                <w:webHidden/>
              </w:rPr>
            </w:r>
            <w:r w:rsidR="002B2E1E">
              <w:rPr>
                <w:noProof/>
                <w:webHidden/>
              </w:rPr>
              <w:fldChar w:fldCharType="separate"/>
            </w:r>
            <w:r w:rsidR="002B2E1E">
              <w:rPr>
                <w:noProof/>
                <w:webHidden/>
              </w:rPr>
              <w:t>6</w:t>
            </w:r>
            <w:r w:rsidR="002B2E1E">
              <w:rPr>
                <w:noProof/>
                <w:webHidden/>
              </w:rPr>
              <w:fldChar w:fldCharType="end"/>
            </w:r>
          </w:hyperlink>
        </w:p>
        <w:p w14:paraId="6E31CE9B" w14:textId="77777777" w:rsidR="002B2E1E" w:rsidRDefault="0025619C">
          <w:pPr>
            <w:pStyle w:val="TOC2"/>
            <w:tabs>
              <w:tab w:val="right" w:leader="dot" w:pos="9019"/>
            </w:tabs>
            <w:rPr>
              <w:noProof/>
            </w:rPr>
          </w:pPr>
          <w:hyperlink w:anchor="_Toc157294154" w:history="1">
            <w:r w:rsidR="002B2E1E" w:rsidRPr="00800F5E">
              <w:rPr>
                <w:rStyle w:val="Hyperlink"/>
                <w:noProof/>
              </w:rPr>
              <w:t>2.2 Application of STEEPLED analysis in related to present position in Australia</w:t>
            </w:r>
            <w:r w:rsidR="002B2E1E">
              <w:rPr>
                <w:noProof/>
                <w:webHidden/>
              </w:rPr>
              <w:tab/>
            </w:r>
            <w:r w:rsidR="002B2E1E">
              <w:rPr>
                <w:noProof/>
                <w:webHidden/>
              </w:rPr>
              <w:fldChar w:fldCharType="begin"/>
            </w:r>
            <w:r w:rsidR="002B2E1E">
              <w:rPr>
                <w:noProof/>
                <w:webHidden/>
              </w:rPr>
              <w:instrText xml:space="preserve"> PAGEREF _Toc157294154 \h </w:instrText>
            </w:r>
            <w:r w:rsidR="002B2E1E">
              <w:rPr>
                <w:noProof/>
                <w:webHidden/>
              </w:rPr>
            </w:r>
            <w:r w:rsidR="002B2E1E">
              <w:rPr>
                <w:noProof/>
                <w:webHidden/>
              </w:rPr>
              <w:fldChar w:fldCharType="separate"/>
            </w:r>
            <w:r w:rsidR="002B2E1E">
              <w:rPr>
                <w:noProof/>
                <w:webHidden/>
              </w:rPr>
              <w:t>12</w:t>
            </w:r>
            <w:r w:rsidR="002B2E1E">
              <w:rPr>
                <w:noProof/>
                <w:webHidden/>
              </w:rPr>
              <w:fldChar w:fldCharType="end"/>
            </w:r>
          </w:hyperlink>
        </w:p>
        <w:p w14:paraId="07CFFC82" w14:textId="77777777" w:rsidR="002B2E1E" w:rsidRDefault="0025619C">
          <w:pPr>
            <w:pStyle w:val="TOC2"/>
            <w:tabs>
              <w:tab w:val="right" w:leader="dot" w:pos="9019"/>
            </w:tabs>
            <w:rPr>
              <w:noProof/>
            </w:rPr>
          </w:pPr>
          <w:hyperlink w:anchor="_Toc157294155" w:history="1">
            <w:r w:rsidR="002B2E1E" w:rsidRPr="00800F5E">
              <w:rPr>
                <w:rStyle w:val="Hyperlink"/>
                <w:noProof/>
              </w:rPr>
              <w:t>2.3 Applied SOAR analysis concerning business position for the hospitality sector</w:t>
            </w:r>
            <w:r w:rsidR="002B2E1E">
              <w:rPr>
                <w:noProof/>
                <w:webHidden/>
              </w:rPr>
              <w:tab/>
            </w:r>
            <w:r w:rsidR="002B2E1E">
              <w:rPr>
                <w:noProof/>
                <w:webHidden/>
              </w:rPr>
              <w:fldChar w:fldCharType="begin"/>
            </w:r>
            <w:r w:rsidR="002B2E1E">
              <w:rPr>
                <w:noProof/>
                <w:webHidden/>
              </w:rPr>
              <w:instrText xml:space="preserve"> PAGEREF _Toc157294155 \h </w:instrText>
            </w:r>
            <w:r w:rsidR="002B2E1E">
              <w:rPr>
                <w:noProof/>
                <w:webHidden/>
              </w:rPr>
            </w:r>
            <w:r w:rsidR="002B2E1E">
              <w:rPr>
                <w:noProof/>
                <w:webHidden/>
              </w:rPr>
              <w:fldChar w:fldCharType="separate"/>
            </w:r>
            <w:r w:rsidR="002B2E1E">
              <w:rPr>
                <w:noProof/>
                <w:webHidden/>
              </w:rPr>
              <w:t>13</w:t>
            </w:r>
            <w:r w:rsidR="002B2E1E">
              <w:rPr>
                <w:noProof/>
                <w:webHidden/>
              </w:rPr>
              <w:fldChar w:fldCharType="end"/>
            </w:r>
          </w:hyperlink>
        </w:p>
        <w:p w14:paraId="5116C5CA" w14:textId="77777777" w:rsidR="002B2E1E" w:rsidRDefault="0025619C">
          <w:pPr>
            <w:pStyle w:val="TOC2"/>
            <w:tabs>
              <w:tab w:val="right" w:leader="dot" w:pos="9019"/>
            </w:tabs>
            <w:rPr>
              <w:noProof/>
            </w:rPr>
          </w:pPr>
          <w:hyperlink w:anchor="_Toc157294156" w:history="1">
            <w:r w:rsidR="002B2E1E" w:rsidRPr="00800F5E">
              <w:rPr>
                <w:rStyle w:val="Hyperlink"/>
                <w:noProof/>
              </w:rPr>
              <w:t>2.4 Applied TOWS analysis for the hospitality business in Australia</w:t>
            </w:r>
            <w:r w:rsidR="002B2E1E">
              <w:rPr>
                <w:noProof/>
                <w:webHidden/>
              </w:rPr>
              <w:tab/>
            </w:r>
            <w:r w:rsidR="002B2E1E">
              <w:rPr>
                <w:noProof/>
                <w:webHidden/>
              </w:rPr>
              <w:fldChar w:fldCharType="begin"/>
            </w:r>
            <w:r w:rsidR="002B2E1E">
              <w:rPr>
                <w:noProof/>
                <w:webHidden/>
              </w:rPr>
              <w:instrText xml:space="preserve"> PAGEREF _Toc157294156 \h </w:instrText>
            </w:r>
            <w:r w:rsidR="002B2E1E">
              <w:rPr>
                <w:noProof/>
                <w:webHidden/>
              </w:rPr>
            </w:r>
            <w:r w:rsidR="002B2E1E">
              <w:rPr>
                <w:noProof/>
                <w:webHidden/>
              </w:rPr>
              <w:fldChar w:fldCharType="separate"/>
            </w:r>
            <w:r w:rsidR="002B2E1E">
              <w:rPr>
                <w:noProof/>
                <w:webHidden/>
              </w:rPr>
              <w:t>14</w:t>
            </w:r>
            <w:r w:rsidR="002B2E1E">
              <w:rPr>
                <w:noProof/>
                <w:webHidden/>
              </w:rPr>
              <w:fldChar w:fldCharType="end"/>
            </w:r>
          </w:hyperlink>
        </w:p>
        <w:p w14:paraId="71AEC9EB" w14:textId="77777777" w:rsidR="002B2E1E" w:rsidRDefault="0025619C">
          <w:pPr>
            <w:pStyle w:val="TOC1"/>
            <w:tabs>
              <w:tab w:val="right" w:leader="dot" w:pos="9019"/>
            </w:tabs>
            <w:rPr>
              <w:noProof/>
            </w:rPr>
          </w:pPr>
          <w:hyperlink w:anchor="_Toc157294157" w:history="1">
            <w:r w:rsidR="002B2E1E" w:rsidRPr="00800F5E">
              <w:rPr>
                <w:rStyle w:val="Hyperlink"/>
                <w:noProof/>
              </w:rPr>
              <w:t>3.0 Recommendations and Change Management</w:t>
            </w:r>
            <w:r w:rsidR="002B2E1E">
              <w:rPr>
                <w:noProof/>
                <w:webHidden/>
              </w:rPr>
              <w:tab/>
            </w:r>
            <w:r w:rsidR="002B2E1E">
              <w:rPr>
                <w:noProof/>
                <w:webHidden/>
              </w:rPr>
              <w:fldChar w:fldCharType="begin"/>
            </w:r>
            <w:r w:rsidR="002B2E1E">
              <w:rPr>
                <w:noProof/>
                <w:webHidden/>
              </w:rPr>
              <w:instrText xml:space="preserve"> PAGEREF _Toc157294157 \h </w:instrText>
            </w:r>
            <w:r w:rsidR="002B2E1E">
              <w:rPr>
                <w:noProof/>
                <w:webHidden/>
              </w:rPr>
            </w:r>
            <w:r w:rsidR="002B2E1E">
              <w:rPr>
                <w:noProof/>
                <w:webHidden/>
              </w:rPr>
              <w:fldChar w:fldCharType="separate"/>
            </w:r>
            <w:r w:rsidR="002B2E1E">
              <w:rPr>
                <w:noProof/>
                <w:webHidden/>
              </w:rPr>
              <w:t>15</w:t>
            </w:r>
            <w:r w:rsidR="002B2E1E">
              <w:rPr>
                <w:noProof/>
                <w:webHidden/>
              </w:rPr>
              <w:fldChar w:fldCharType="end"/>
            </w:r>
          </w:hyperlink>
        </w:p>
        <w:p w14:paraId="59854005" w14:textId="77777777" w:rsidR="002B2E1E" w:rsidRDefault="0025619C">
          <w:pPr>
            <w:pStyle w:val="TOC1"/>
            <w:tabs>
              <w:tab w:val="right" w:leader="dot" w:pos="9019"/>
            </w:tabs>
            <w:rPr>
              <w:noProof/>
            </w:rPr>
          </w:pPr>
          <w:hyperlink w:anchor="_Toc157294158" w:history="1">
            <w:r w:rsidR="002B2E1E" w:rsidRPr="00800F5E">
              <w:rPr>
                <w:rStyle w:val="Hyperlink"/>
                <w:noProof/>
              </w:rPr>
              <w:t>4.0 Action Plan</w:t>
            </w:r>
            <w:r w:rsidR="002B2E1E">
              <w:rPr>
                <w:noProof/>
                <w:webHidden/>
              </w:rPr>
              <w:tab/>
            </w:r>
            <w:r w:rsidR="002B2E1E">
              <w:rPr>
                <w:noProof/>
                <w:webHidden/>
              </w:rPr>
              <w:fldChar w:fldCharType="begin"/>
            </w:r>
            <w:r w:rsidR="002B2E1E">
              <w:rPr>
                <w:noProof/>
                <w:webHidden/>
              </w:rPr>
              <w:instrText xml:space="preserve"> PAGEREF _Toc157294158 \h </w:instrText>
            </w:r>
            <w:r w:rsidR="002B2E1E">
              <w:rPr>
                <w:noProof/>
                <w:webHidden/>
              </w:rPr>
            </w:r>
            <w:r w:rsidR="002B2E1E">
              <w:rPr>
                <w:noProof/>
                <w:webHidden/>
              </w:rPr>
              <w:fldChar w:fldCharType="separate"/>
            </w:r>
            <w:r w:rsidR="002B2E1E">
              <w:rPr>
                <w:noProof/>
                <w:webHidden/>
              </w:rPr>
              <w:t>22</w:t>
            </w:r>
            <w:r w:rsidR="002B2E1E">
              <w:rPr>
                <w:noProof/>
                <w:webHidden/>
              </w:rPr>
              <w:fldChar w:fldCharType="end"/>
            </w:r>
          </w:hyperlink>
        </w:p>
        <w:p w14:paraId="67F5DF33" w14:textId="77777777" w:rsidR="002B2E1E" w:rsidRDefault="0025619C">
          <w:pPr>
            <w:pStyle w:val="TOC1"/>
            <w:tabs>
              <w:tab w:val="right" w:leader="dot" w:pos="9019"/>
            </w:tabs>
            <w:rPr>
              <w:noProof/>
            </w:rPr>
          </w:pPr>
          <w:hyperlink w:anchor="_Toc157294159" w:history="1">
            <w:r w:rsidR="002B2E1E" w:rsidRPr="00800F5E">
              <w:rPr>
                <w:rStyle w:val="Hyperlink"/>
                <w:noProof/>
              </w:rPr>
              <w:t>5.0 Conclusion</w:t>
            </w:r>
            <w:r w:rsidR="002B2E1E">
              <w:rPr>
                <w:noProof/>
                <w:webHidden/>
              </w:rPr>
              <w:tab/>
            </w:r>
            <w:r w:rsidR="002B2E1E">
              <w:rPr>
                <w:noProof/>
                <w:webHidden/>
              </w:rPr>
              <w:fldChar w:fldCharType="begin"/>
            </w:r>
            <w:r w:rsidR="002B2E1E">
              <w:rPr>
                <w:noProof/>
                <w:webHidden/>
              </w:rPr>
              <w:instrText xml:space="preserve"> PAGEREF _Toc157294159 \h </w:instrText>
            </w:r>
            <w:r w:rsidR="002B2E1E">
              <w:rPr>
                <w:noProof/>
                <w:webHidden/>
              </w:rPr>
            </w:r>
            <w:r w:rsidR="002B2E1E">
              <w:rPr>
                <w:noProof/>
                <w:webHidden/>
              </w:rPr>
              <w:fldChar w:fldCharType="separate"/>
            </w:r>
            <w:r w:rsidR="002B2E1E">
              <w:rPr>
                <w:noProof/>
                <w:webHidden/>
              </w:rPr>
              <w:t>23</w:t>
            </w:r>
            <w:r w:rsidR="002B2E1E">
              <w:rPr>
                <w:noProof/>
                <w:webHidden/>
              </w:rPr>
              <w:fldChar w:fldCharType="end"/>
            </w:r>
          </w:hyperlink>
        </w:p>
        <w:p w14:paraId="5E808A22" w14:textId="77777777" w:rsidR="002B2E1E" w:rsidRDefault="0025619C">
          <w:pPr>
            <w:pStyle w:val="TOC1"/>
            <w:tabs>
              <w:tab w:val="right" w:leader="dot" w:pos="9019"/>
            </w:tabs>
            <w:rPr>
              <w:noProof/>
            </w:rPr>
          </w:pPr>
          <w:hyperlink w:anchor="_Toc157294160" w:history="1">
            <w:r w:rsidR="002B2E1E" w:rsidRPr="00800F5E">
              <w:rPr>
                <w:rStyle w:val="Hyperlink"/>
                <w:noProof/>
              </w:rPr>
              <w:t>References</w:t>
            </w:r>
            <w:r w:rsidR="002B2E1E">
              <w:rPr>
                <w:noProof/>
                <w:webHidden/>
              </w:rPr>
              <w:tab/>
            </w:r>
            <w:r w:rsidR="002B2E1E">
              <w:rPr>
                <w:noProof/>
                <w:webHidden/>
              </w:rPr>
              <w:fldChar w:fldCharType="begin"/>
            </w:r>
            <w:r w:rsidR="002B2E1E">
              <w:rPr>
                <w:noProof/>
                <w:webHidden/>
              </w:rPr>
              <w:instrText xml:space="preserve"> PAGEREF _Toc157294160 \h </w:instrText>
            </w:r>
            <w:r w:rsidR="002B2E1E">
              <w:rPr>
                <w:noProof/>
                <w:webHidden/>
              </w:rPr>
            </w:r>
            <w:r w:rsidR="002B2E1E">
              <w:rPr>
                <w:noProof/>
                <w:webHidden/>
              </w:rPr>
              <w:fldChar w:fldCharType="separate"/>
            </w:r>
            <w:r w:rsidR="002B2E1E">
              <w:rPr>
                <w:noProof/>
                <w:webHidden/>
              </w:rPr>
              <w:t>25</w:t>
            </w:r>
            <w:r w:rsidR="002B2E1E">
              <w:rPr>
                <w:noProof/>
                <w:webHidden/>
              </w:rPr>
              <w:fldChar w:fldCharType="end"/>
            </w:r>
          </w:hyperlink>
        </w:p>
        <w:p w14:paraId="044015B1" w14:textId="77777777" w:rsidR="002B2E1E" w:rsidRDefault="002B2E1E">
          <w:r>
            <w:rPr>
              <w:b/>
              <w:bCs/>
              <w:noProof/>
            </w:rPr>
            <w:fldChar w:fldCharType="end"/>
          </w:r>
        </w:p>
      </w:sdtContent>
    </w:sdt>
    <w:p w14:paraId="298CEAE3" w14:textId="77777777" w:rsidR="002B2E1E" w:rsidRDefault="002B2E1E">
      <w:pPr>
        <w:rPr>
          <w:b/>
        </w:rPr>
      </w:pPr>
      <w:r>
        <w:rPr>
          <w:b/>
        </w:rPr>
        <w:br w:type="page"/>
      </w:r>
    </w:p>
    <w:p w14:paraId="1E1BDA2A" w14:textId="77777777" w:rsidR="0008345A" w:rsidRDefault="0008345A" w:rsidP="002B2E1E">
      <w:pPr>
        <w:jc w:val="left"/>
        <w:rPr>
          <w:b/>
        </w:rPr>
      </w:pPr>
    </w:p>
    <w:p w14:paraId="2D8D2C9D" w14:textId="77777777" w:rsidR="002B2E1E" w:rsidRDefault="002B2E1E" w:rsidP="002B2E1E">
      <w:pPr>
        <w:jc w:val="left"/>
        <w:rPr>
          <w:b/>
        </w:rPr>
      </w:pPr>
      <w:r>
        <w:rPr>
          <w:b/>
        </w:rPr>
        <w:t xml:space="preserve">List of Figures </w:t>
      </w:r>
    </w:p>
    <w:p w14:paraId="1BF55516" w14:textId="77777777" w:rsidR="002B2E1E" w:rsidRPr="002B2E1E" w:rsidRDefault="002B2E1E" w:rsidP="002B2E1E">
      <w:pPr>
        <w:pStyle w:val="ListParagraph"/>
        <w:numPr>
          <w:ilvl w:val="0"/>
          <w:numId w:val="4"/>
        </w:numPr>
        <w:jc w:val="left"/>
        <w:rPr>
          <w:b/>
          <w:i/>
        </w:rPr>
      </w:pPr>
      <w:r w:rsidRPr="002B2E1E">
        <w:rPr>
          <w:b/>
          <w:i/>
        </w:rPr>
        <w:t xml:space="preserve">Figure 1: Different challenges in the Australian accommodation industry </w:t>
      </w:r>
    </w:p>
    <w:p w14:paraId="2DCDDC80" w14:textId="77777777" w:rsidR="002B2E1E" w:rsidRPr="002B2E1E" w:rsidRDefault="002B2E1E" w:rsidP="002B2E1E">
      <w:pPr>
        <w:pStyle w:val="ListParagraph"/>
        <w:numPr>
          <w:ilvl w:val="0"/>
          <w:numId w:val="4"/>
        </w:numPr>
        <w:jc w:val="left"/>
        <w:rPr>
          <w:b/>
          <w:i/>
        </w:rPr>
      </w:pPr>
      <w:r w:rsidRPr="002B2E1E">
        <w:rPr>
          <w:b/>
          <w:i/>
        </w:rPr>
        <w:t xml:space="preserve">Figure 2: Expanded level of oil and LNG price  </w:t>
      </w:r>
    </w:p>
    <w:p w14:paraId="4D90D41F" w14:textId="77777777" w:rsidR="002B2E1E" w:rsidRPr="002B2E1E" w:rsidRDefault="002B2E1E" w:rsidP="002B2E1E">
      <w:pPr>
        <w:pStyle w:val="ListParagraph"/>
        <w:numPr>
          <w:ilvl w:val="0"/>
          <w:numId w:val="4"/>
        </w:numPr>
        <w:jc w:val="left"/>
        <w:rPr>
          <w:b/>
          <w:i/>
        </w:rPr>
      </w:pPr>
      <w:r w:rsidRPr="002B2E1E">
        <w:rPr>
          <w:b/>
          <w:i/>
        </w:rPr>
        <w:t xml:space="preserve">Figure 3: Tax contributed by Australian energy business  </w:t>
      </w:r>
    </w:p>
    <w:p w14:paraId="482676E3" w14:textId="77777777" w:rsidR="002B2E1E" w:rsidRPr="002B2E1E" w:rsidRDefault="002B2E1E" w:rsidP="002B2E1E">
      <w:pPr>
        <w:pStyle w:val="ListParagraph"/>
        <w:numPr>
          <w:ilvl w:val="0"/>
          <w:numId w:val="4"/>
        </w:numPr>
        <w:jc w:val="left"/>
        <w:rPr>
          <w:b/>
          <w:i/>
        </w:rPr>
      </w:pPr>
      <w:r w:rsidRPr="002B2E1E">
        <w:rPr>
          <w:b/>
          <w:i/>
        </w:rPr>
        <w:t xml:space="preserve">Figure 4: Expanded labour market charges in Australia   </w:t>
      </w:r>
    </w:p>
    <w:p w14:paraId="06ABC333" w14:textId="77777777" w:rsidR="002B2E1E" w:rsidRPr="002B2E1E" w:rsidRDefault="002B2E1E" w:rsidP="002B2E1E">
      <w:pPr>
        <w:pStyle w:val="ListParagraph"/>
        <w:numPr>
          <w:ilvl w:val="0"/>
          <w:numId w:val="4"/>
        </w:numPr>
        <w:jc w:val="left"/>
        <w:rPr>
          <w:b/>
          <w:i/>
        </w:rPr>
      </w:pPr>
      <w:r w:rsidRPr="002B2E1E">
        <w:rPr>
          <w:b/>
          <w:i/>
        </w:rPr>
        <w:t xml:space="preserve">Figure 5: Revenue volume in the Australian hospitality business   </w:t>
      </w:r>
    </w:p>
    <w:p w14:paraId="066C421D" w14:textId="77777777" w:rsidR="002B2E1E" w:rsidRPr="002B2E1E" w:rsidRDefault="002B2E1E" w:rsidP="002B2E1E">
      <w:pPr>
        <w:pStyle w:val="ListParagraph"/>
        <w:numPr>
          <w:ilvl w:val="0"/>
          <w:numId w:val="4"/>
        </w:numPr>
        <w:jc w:val="left"/>
        <w:rPr>
          <w:b/>
          <w:i/>
        </w:rPr>
      </w:pPr>
      <w:r w:rsidRPr="002B2E1E">
        <w:rPr>
          <w:b/>
          <w:i/>
        </w:rPr>
        <w:t xml:space="preserve">Figure 6: Overseas arrivals in Australian hospitality business   </w:t>
      </w:r>
    </w:p>
    <w:p w14:paraId="02310A10" w14:textId="77777777" w:rsidR="002B2E1E" w:rsidRPr="002B2E1E" w:rsidRDefault="002B2E1E" w:rsidP="002B2E1E">
      <w:pPr>
        <w:pStyle w:val="ListParagraph"/>
        <w:numPr>
          <w:ilvl w:val="0"/>
          <w:numId w:val="4"/>
        </w:numPr>
        <w:jc w:val="left"/>
        <w:rPr>
          <w:b/>
          <w:i/>
        </w:rPr>
      </w:pPr>
      <w:r w:rsidRPr="002B2E1E">
        <w:rPr>
          <w:b/>
          <w:i/>
        </w:rPr>
        <w:t xml:space="preserve">Figure 7: ADKAR change management model   </w:t>
      </w:r>
    </w:p>
    <w:p w14:paraId="2E5BABC8" w14:textId="77777777" w:rsidR="002B2E1E" w:rsidRPr="002B2E1E" w:rsidRDefault="002B2E1E" w:rsidP="002B2E1E">
      <w:pPr>
        <w:pStyle w:val="ListParagraph"/>
        <w:numPr>
          <w:ilvl w:val="0"/>
          <w:numId w:val="4"/>
        </w:numPr>
        <w:jc w:val="left"/>
        <w:rPr>
          <w:b/>
          <w:i/>
        </w:rPr>
      </w:pPr>
      <w:r w:rsidRPr="002B2E1E">
        <w:rPr>
          <w:b/>
          <w:i/>
        </w:rPr>
        <w:t xml:space="preserve">Figure 8: Lewin’s change management model   </w:t>
      </w:r>
    </w:p>
    <w:p w14:paraId="0DD9D255" w14:textId="77777777" w:rsidR="002B2E1E" w:rsidRPr="002B2E1E" w:rsidRDefault="002B2E1E" w:rsidP="002B2E1E">
      <w:pPr>
        <w:pStyle w:val="ListParagraph"/>
        <w:numPr>
          <w:ilvl w:val="0"/>
          <w:numId w:val="4"/>
        </w:numPr>
        <w:jc w:val="left"/>
        <w:rPr>
          <w:b/>
          <w:i/>
        </w:rPr>
      </w:pPr>
      <w:r w:rsidRPr="002B2E1E">
        <w:rPr>
          <w:b/>
          <w:i/>
        </w:rPr>
        <w:t>Figure 9: Nudge theory</w:t>
      </w:r>
    </w:p>
    <w:p w14:paraId="7866B39C" w14:textId="77777777" w:rsidR="002B2E1E" w:rsidRDefault="002B2E1E" w:rsidP="002B2E1E">
      <w:pPr>
        <w:jc w:val="left"/>
        <w:rPr>
          <w:b/>
        </w:rPr>
      </w:pPr>
    </w:p>
    <w:p w14:paraId="1705525F" w14:textId="77777777" w:rsidR="002B2E1E" w:rsidRDefault="002B2E1E" w:rsidP="002B2E1E">
      <w:pPr>
        <w:jc w:val="left"/>
        <w:rPr>
          <w:b/>
        </w:rPr>
      </w:pPr>
      <w:r>
        <w:rPr>
          <w:b/>
        </w:rPr>
        <w:t xml:space="preserve">List of Table  </w:t>
      </w:r>
    </w:p>
    <w:p w14:paraId="4235D32A" w14:textId="77777777" w:rsidR="002B2E1E" w:rsidRPr="002B2E1E" w:rsidRDefault="002B2E1E" w:rsidP="002B2E1E">
      <w:pPr>
        <w:pStyle w:val="ListParagraph"/>
        <w:numPr>
          <w:ilvl w:val="0"/>
          <w:numId w:val="5"/>
        </w:numPr>
        <w:jc w:val="left"/>
        <w:rPr>
          <w:b/>
          <w:i/>
        </w:rPr>
      </w:pPr>
      <w:r w:rsidRPr="002B2E1E">
        <w:rPr>
          <w:b/>
          <w:i/>
        </w:rPr>
        <w:t>Table 1: STEEPLED analysis for Accor plc</w:t>
      </w:r>
    </w:p>
    <w:p w14:paraId="25F2C521" w14:textId="77777777" w:rsidR="002B2E1E" w:rsidRPr="002B2E1E" w:rsidRDefault="002B2E1E" w:rsidP="002B2E1E">
      <w:pPr>
        <w:pStyle w:val="ListParagraph"/>
        <w:numPr>
          <w:ilvl w:val="0"/>
          <w:numId w:val="5"/>
        </w:numPr>
        <w:jc w:val="left"/>
        <w:rPr>
          <w:b/>
          <w:i/>
        </w:rPr>
      </w:pPr>
      <w:r w:rsidRPr="002B2E1E">
        <w:rPr>
          <w:b/>
          <w:i/>
        </w:rPr>
        <w:t>Table 2: SOAR analysis for Accor plc</w:t>
      </w:r>
    </w:p>
    <w:p w14:paraId="6D8158C7" w14:textId="77777777" w:rsidR="002B2E1E" w:rsidRPr="002B2E1E" w:rsidRDefault="002B2E1E" w:rsidP="002B2E1E">
      <w:pPr>
        <w:pStyle w:val="ListParagraph"/>
        <w:numPr>
          <w:ilvl w:val="0"/>
          <w:numId w:val="5"/>
        </w:numPr>
        <w:jc w:val="left"/>
        <w:rPr>
          <w:b/>
          <w:i/>
        </w:rPr>
      </w:pPr>
      <w:r w:rsidRPr="002B2E1E">
        <w:rPr>
          <w:b/>
          <w:i/>
        </w:rPr>
        <w:t>Table 3: TOWS analysis for Accor plc</w:t>
      </w:r>
    </w:p>
    <w:p w14:paraId="1637C9AD" w14:textId="77777777" w:rsidR="002B2E1E" w:rsidRPr="002B2E1E" w:rsidRDefault="002B2E1E" w:rsidP="002B2E1E">
      <w:pPr>
        <w:pStyle w:val="ListParagraph"/>
        <w:numPr>
          <w:ilvl w:val="0"/>
          <w:numId w:val="5"/>
        </w:numPr>
        <w:jc w:val="left"/>
        <w:rPr>
          <w:b/>
          <w:i/>
        </w:rPr>
      </w:pPr>
      <w:r w:rsidRPr="002B2E1E">
        <w:rPr>
          <w:b/>
          <w:i/>
        </w:rPr>
        <w:t xml:space="preserve">Table 4: Action plan for business development </w:t>
      </w:r>
    </w:p>
    <w:p w14:paraId="75409D3A" w14:textId="77777777" w:rsidR="002B2E1E" w:rsidRPr="002B2E1E" w:rsidRDefault="002B2E1E" w:rsidP="002B2E1E">
      <w:pPr>
        <w:jc w:val="left"/>
        <w:rPr>
          <w:b/>
        </w:rPr>
      </w:pPr>
    </w:p>
    <w:p w14:paraId="4ADCC0CB" w14:textId="77777777" w:rsidR="002B2E1E" w:rsidRPr="002B2E1E" w:rsidRDefault="002B2E1E">
      <w:pPr>
        <w:rPr>
          <w:b/>
        </w:rPr>
      </w:pPr>
      <w:r w:rsidRPr="002B2E1E">
        <w:rPr>
          <w:b/>
        </w:rPr>
        <w:br w:type="page"/>
      </w:r>
    </w:p>
    <w:p w14:paraId="11DCF601" w14:textId="77777777" w:rsidR="00CB00BA" w:rsidRPr="002B2E1E" w:rsidRDefault="002E301D" w:rsidP="002B2E1E">
      <w:pPr>
        <w:pStyle w:val="Heading1"/>
      </w:pPr>
      <w:bookmarkStart w:id="0" w:name="_Toc157294145"/>
      <w:r w:rsidRPr="002B2E1E">
        <w:lastRenderedPageBreak/>
        <w:t>Executive Summary</w:t>
      </w:r>
      <w:bookmarkEnd w:id="0"/>
      <w:r w:rsidRPr="002B2E1E">
        <w:t xml:space="preserve"> </w:t>
      </w:r>
    </w:p>
    <w:p w14:paraId="64D63810" w14:textId="77777777" w:rsidR="00CB00BA" w:rsidRPr="002B2E1E" w:rsidRDefault="002E301D">
      <w:r w:rsidRPr="002B2E1E">
        <w:t xml:space="preserve">A contemporary concept of performance analysis for every individual business is necessary as it represents a proper detailing of the business's present performance at the probable opportunities in a systematic structure. With importance to the general performance approach concerning the market values and operating compatibility, the statutory formulations are generally managed which provides a proper opportunity for the managerial department to maintain the business development (Buttrick, 2009). </w:t>
      </w:r>
    </w:p>
    <w:p w14:paraId="0931A465" w14:textId="77777777" w:rsidR="00CB00BA" w:rsidRPr="002B2E1E" w:rsidRDefault="002E301D">
      <w:r w:rsidRPr="002B2E1E">
        <w:t xml:space="preserve">This report enumerates a detailed identification related to the present market positions related to the Australian accommodations industry with the recognition support of present market challenges to implement some proper strategic formulations and revised policy engagement systematically. </w:t>
      </w:r>
    </w:p>
    <w:p w14:paraId="507C5D5B" w14:textId="666B1051" w:rsidR="00CB00BA" w:rsidRPr="002B2E1E" w:rsidRDefault="002E301D">
      <w:r w:rsidRPr="002B2E1E">
        <w:t xml:space="preserve">This report is mainly structured in three different aspects where in the first part a general evaluation related to the background of the research has been provided that indicates the overall details about the Consulting company and the hospitality sector that phased a certain volume of challenging approaches in the Australian accommodation industry presently. The second part represents the overall evaluations or analysis of the current issues along with the applicability of </w:t>
      </w:r>
      <w:r w:rsidR="00E554F2">
        <w:t>steepled</w:t>
      </w:r>
      <w:r w:rsidRPr="00E554F2">
        <w:rPr>
          <w:bCs/>
        </w:rPr>
        <w:t xml:space="preserve">, </w:t>
      </w:r>
      <w:r w:rsidR="00E554F2">
        <w:rPr>
          <w:bCs/>
        </w:rPr>
        <w:t>soar</w:t>
      </w:r>
      <w:r w:rsidRPr="00E554F2">
        <w:rPr>
          <w:bCs/>
        </w:rPr>
        <w:t xml:space="preserve"> and </w:t>
      </w:r>
      <w:r w:rsidR="00E554F2">
        <w:rPr>
          <w:bCs/>
        </w:rPr>
        <w:t>tows</w:t>
      </w:r>
      <w:r w:rsidRPr="002B2E1E">
        <w:rPr>
          <w:b/>
        </w:rPr>
        <w:t xml:space="preserve"> </w:t>
      </w:r>
      <w:r w:rsidRPr="002B2E1E">
        <w:t xml:space="preserve">analysis with the general intention of recognising the business opportunities and associated development processing. The thought part generally presents the primary details related to the application of Change management along with the </w:t>
      </w:r>
      <w:r w:rsidR="00E554F2">
        <w:rPr>
          <w:bCs/>
        </w:rPr>
        <w:t>adkar</w:t>
      </w:r>
      <w:r w:rsidRPr="00E554F2">
        <w:rPr>
          <w:bCs/>
        </w:rPr>
        <w:t>, Lewin’s change management model and Nudge theory</w:t>
      </w:r>
      <w:r w:rsidRPr="002B2E1E">
        <w:rPr>
          <w:b/>
        </w:rPr>
        <w:t xml:space="preserve"> </w:t>
      </w:r>
      <w:r w:rsidRPr="002B2E1E">
        <w:t xml:space="preserve">support to initiate the operating growth including the performance value initiative position on a proper basis (Buttrick, 2009). Based on the applied strategic approach the third part of the report mainly provided some action plan initiative support so that a proper volume of strategic initiatives including the competitive positioning approach can be identified. </w:t>
      </w:r>
    </w:p>
    <w:p w14:paraId="4E163B68" w14:textId="77777777" w:rsidR="00CB00BA" w:rsidRPr="002B2E1E" w:rsidRDefault="002E301D">
      <w:r w:rsidRPr="002B2E1E">
        <w:t xml:space="preserve">As per basic identification support, the general volume of problems related to the Australian accommodations industry indicates the overall energy cost expansion in the Austrian market initiates a significant level of challenging approach for individual hospitality businesses. Associated with the same approach the expanded level of taxation rates also initiates the same volume of difficulties and the present expanded cost of the labour market and the declined level of investment approach due to economic uncertainty have initiated a certain volume of challenging approaches (Johnson </w:t>
      </w:r>
      <w:r w:rsidRPr="002B2E1E">
        <w:rPr>
          <w:i/>
        </w:rPr>
        <w:t>et al.,</w:t>
      </w:r>
      <w:r w:rsidRPr="002B2E1E">
        <w:t xml:space="preserve"> 2020). The existence of some other issues related to the present expanded competitive market positions, the declining level of consumers due to the current pandemic crisis and the sustainability issues have initiated a certain volume of challenging approaches for this particular sector. </w:t>
      </w:r>
    </w:p>
    <w:p w14:paraId="45F1EC55" w14:textId="77777777" w:rsidR="00CB00BA" w:rsidRPr="002B2E1E" w:rsidRDefault="002E301D">
      <w:r w:rsidRPr="002B2E1E">
        <w:lastRenderedPageBreak/>
        <w:t xml:space="preserve">After the analysis of individual issues related to the present operating position for Accor in the Australian accommodation industry, the general recommendations provided by Curzon Consulting include the implementation of green energy engagement for sustainable development purposes. Implementation of Federal Tax rate to avoid the tax </w:t>
      </w:r>
      <w:r w:rsidR="002B2E1E" w:rsidRPr="002B2E1E">
        <w:t>consequences, significance</w:t>
      </w:r>
      <w:r w:rsidRPr="002B2E1E">
        <w:t xml:space="preserve"> to the employee skill development with sustainable training </w:t>
      </w:r>
      <w:r w:rsidR="002B2E1E" w:rsidRPr="002B2E1E">
        <w:t>support, importance</w:t>
      </w:r>
      <w:r w:rsidRPr="002B2E1E">
        <w:t xml:space="preserve"> to the employee retention processing and also a systematic volume of significance to the promotional approach for marketing growth. </w:t>
      </w:r>
    </w:p>
    <w:p w14:paraId="6D0453C4" w14:textId="77777777" w:rsidR="00CB00BA" w:rsidRPr="002B2E1E" w:rsidRDefault="002E301D">
      <w:r w:rsidRPr="002B2E1E">
        <w:t xml:space="preserve">Under the present situation after the pandemic, proper government interventions have been initiated in every individual nation for the formulation of trade policies including some of the development strategic purposes which can be implemented to manage the statutory growth including the operating stability positioning support for every individual hospitality sector. </w:t>
      </w:r>
    </w:p>
    <w:p w14:paraId="5A0E6CB4" w14:textId="77777777" w:rsidR="002B2E1E" w:rsidRDefault="002B2E1E">
      <w:pPr>
        <w:rPr>
          <w:b/>
        </w:rPr>
      </w:pPr>
      <w:r>
        <w:rPr>
          <w:b/>
        </w:rPr>
        <w:br w:type="page"/>
      </w:r>
    </w:p>
    <w:p w14:paraId="766D21CF" w14:textId="77777777" w:rsidR="00CB00BA" w:rsidRPr="002B2E1E" w:rsidRDefault="002E301D" w:rsidP="002B2E1E">
      <w:pPr>
        <w:pStyle w:val="Heading1"/>
      </w:pPr>
      <w:bookmarkStart w:id="1" w:name="_Toc157294146"/>
      <w:r w:rsidRPr="002B2E1E">
        <w:lastRenderedPageBreak/>
        <w:t>1.0 Introduction</w:t>
      </w:r>
      <w:bookmarkEnd w:id="1"/>
      <w:r w:rsidRPr="002B2E1E">
        <w:t xml:space="preserve"> </w:t>
      </w:r>
    </w:p>
    <w:p w14:paraId="53B6FC08" w14:textId="77777777" w:rsidR="00CB00BA" w:rsidRPr="002B2E1E" w:rsidRDefault="002E301D" w:rsidP="002B2E1E">
      <w:pPr>
        <w:pStyle w:val="Heading2"/>
      </w:pPr>
      <w:bookmarkStart w:id="2" w:name="_Toc157294147"/>
      <w:r w:rsidRPr="002B2E1E">
        <w:t>1.1 Background of report</w:t>
      </w:r>
      <w:bookmarkEnd w:id="2"/>
      <w:r w:rsidRPr="002B2E1E">
        <w:t xml:space="preserve"> </w:t>
      </w:r>
    </w:p>
    <w:p w14:paraId="2DEFA63C" w14:textId="77777777" w:rsidR="00CB00BA" w:rsidRPr="002B2E1E" w:rsidRDefault="002E301D">
      <w:r w:rsidRPr="002B2E1E">
        <w:t xml:space="preserve">The operating position of every individual business is generally formulated with the presence of both the financial and non-financial factors that ultimately initiate proper strategic completion support. In the present situation depending on the global market position and other relevant factors the primary volume of financial engagement in the hospitality business has significantly declined in a large context that ultimately imposes a certain volume of burden for business survival (Noordzife, 2014). In the present position, the energy cost and taxation engagement in the Australian economy initiate a certain level of challenge approach that ultimately formulates a negative approach to the Australian hospitality business. </w:t>
      </w:r>
    </w:p>
    <w:p w14:paraId="5DC911C7" w14:textId="77777777" w:rsidR="00CB00BA" w:rsidRPr="002B2E1E" w:rsidRDefault="002E301D" w:rsidP="002B2E1E">
      <w:pPr>
        <w:pStyle w:val="Heading2"/>
      </w:pPr>
      <w:bookmarkStart w:id="3" w:name="_Toc157294148"/>
      <w:r w:rsidRPr="002B2E1E">
        <w:t>1.2 Aim of report</w:t>
      </w:r>
      <w:bookmarkEnd w:id="3"/>
      <w:r w:rsidRPr="002B2E1E">
        <w:t xml:space="preserve"> </w:t>
      </w:r>
    </w:p>
    <w:p w14:paraId="05BBF229" w14:textId="77777777" w:rsidR="00CB00BA" w:rsidRPr="002B2E1E" w:rsidRDefault="002E301D">
      <w:r w:rsidRPr="002B2E1E">
        <w:t xml:space="preserve">The fundamental aim of the report is to evaluate the present level of challenges that are generally noticed in the hospitality business in Australia and the initiated mitigation approach by the managerial consultancy firm Curzon Consulting, United Kingdom </w:t>
      </w:r>
    </w:p>
    <w:p w14:paraId="1645D3D5" w14:textId="77777777" w:rsidR="00CB00BA" w:rsidRPr="002B2E1E" w:rsidRDefault="002E301D" w:rsidP="002B2E1E">
      <w:pPr>
        <w:pStyle w:val="Heading2"/>
      </w:pPr>
      <w:bookmarkStart w:id="4" w:name="_Toc157294149"/>
      <w:r w:rsidRPr="002B2E1E">
        <w:t>1.3 Objective of report</w:t>
      </w:r>
      <w:bookmarkEnd w:id="4"/>
      <w:r w:rsidRPr="002B2E1E">
        <w:t xml:space="preserve"> </w:t>
      </w:r>
    </w:p>
    <w:p w14:paraId="0FDC4A0E" w14:textId="77777777" w:rsidR="00CB00BA" w:rsidRPr="002B2E1E" w:rsidRDefault="002E301D">
      <w:pPr>
        <w:numPr>
          <w:ilvl w:val="0"/>
          <w:numId w:val="2"/>
        </w:numPr>
      </w:pPr>
      <w:r w:rsidRPr="002B2E1E">
        <w:t xml:space="preserve">To measure present challenging approach related to Hospitality business in Australia  </w:t>
      </w:r>
    </w:p>
    <w:p w14:paraId="1111ACFE" w14:textId="77777777" w:rsidR="00CB00BA" w:rsidRPr="002B2E1E" w:rsidRDefault="002E301D">
      <w:pPr>
        <w:numPr>
          <w:ilvl w:val="0"/>
          <w:numId w:val="2"/>
        </w:numPr>
      </w:pPr>
      <w:r w:rsidRPr="002B2E1E">
        <w:t xml:space="preserve">To evaluate the present operating position and challenges in Accor Plc in Australia </w:t>
      </w:r>
    </w:p>
    <w:p w14:paraId="6E263EB3" w14:textId="77777777" w:rsidR="00CB00BA" w:rsidRPr="002B2E1E" w:rsidRDefault="002E301D">
      <w:pPr>
        <w:numPr>
          <w:ilvl w:val="0"/>
          <w:numId w:val="2"/>
        </w:numPr>
      </w:pPr>
      <w:r w:rsidRPr="002B2E1E">
        <w:t xml:space="preserve">To initiate proper mitigation approaches related to present issues faced by Accor </w:t>
      </w:r>
    </w:p>
    <w:p w14:paraId="4C403C3B" w14:textId="77777777" w:rsidR="00CB00BA" w:rsidRPr="002B2E1E" w:rsidRDefault="002E301D">
      <w:pPr>
        <w:numPr>
          <w:ilvl w:val="0"/>
          <w:numId w:val="2"/>
        </w:numPr>
      </w:pPr>
      <w:r w:rsidRPr="002B2E1E">
        <w:t xml:space="preserve">To provide positive recommendations related to present operating development </w:t>
      </w:r>
    </w:p>
    <w:p w14:paraId="57539027" w14:textId="77777777" w:rsidR="00CB00BA" w:rsidRPr="002B2E1E" w:rsidRDefault="002E301D" w:rsidP="002B2E1E">
      <w:pPr>
        <w:pStyle w:val="Heading2"/>
      </w:pPr>
      <w:bookmarkStart w:id="5" w:name="_Toc157294150"/>
      <w:r w:rsidRPr="002B2E1E">
        <w:t>1.4 Overview of involved business</w:t>
      </w:r>
      <w:bookmarkEnd w:id="5"/>
      <w:r w:rsidRPr="002B2E1E">
        <w:t xml:space="preserve"> </w:t>
      </w:r>
    </w:p>
    <w:p w14:paraId="3BCE1783" w14:textId="77777777" w:rsidR="002B2E1E" w:rsidRDefault="002B2E1E">
      <w:pPr>
        <w:rPr>
          <w:b/>
        </w:rPr>
      </w:pPr>
      <w:r>
        <w:rPr>
          <w:b/>
        </w:rPr>
        <w:t>1.4.1: Accor Plc, Australia</w:t>
      </w:r>
    </w:p>
    <w:p w14:paraId="6C68D348" w14:textId="77777777" w:rsidR="00CB00BA" w:rsidRPr="002B2E1E" w:rsidRDefault="002E301D">
      <w:r w:rsidRPr="002B2E1E">
        <w:t>It is a French multinational hospitality company which is engaged in owning, managing and franchising hotels, vacation properties and also resorts. It is identified as the largest hospitality company in Europe and the sixth-largest hospitality business worldwide. This group was established in 1967 and at its present position, it is operated in 20 different countries with an occupancy rate of 63.9%, an average room rate of €109 and a RevPAR of €70 (all.accor.com, 2023). In the present position more than 360 Accor hotels mainly exist in eight different locations in Australia along with Pullman, ibis Styles, ibis budget and others.</w:t>
      </w:r>
    </w:p>
    <w:p w14:paraId="0C7E5111" w14:textId="77777777" w:rsidR="002B2E1E" w:rsidRDefault="002E301D">
      <w:pPr>
        <w:rPr>
          <w:b/>
        </w:rPr>
      </w:pPr>
      <w:r w:rsidRPr="002B2E1E">
        <w:rPr>
          <w:b/>
        </w:rPr>
        <w:t>1.4.2 Cur</w:t>
      </w:r>
      <w:r w:rsidR="002B2E1E">
        <w:rPr>
          <w:b/>
        </w:rPr>
        <w:t>zon Consulting, United Kingdom</w:t>
      </w:r>
    </w:p>
    <w:p w14:paraId="64F8BFD5" w14:textId="77777777" w:rsidR="00CB00BA" w:rsidRPr="002B2E1E" w:rsidRDefault="002E301D">
      <w:r w:rsidRPr="002B2E1E">
        <w:t xml:space="preserve">It is an award-winning consultancy business that engages in delivering some tangible results to clients through the processing of strategic development, customer formulations and some other operational strategic support which provides a positive opportunity for the business progress. The organisation was established in 2003 in London and its present position Curzon serves as its consultation support on global prospects (Curzonconsulting.com, 2023). </w:t>
      </w:r>
    </w:p>
    <w:p w14:paraId="35E4333C" w14:textId="77777777" w:rsidR="00CB00BA" w:rsidRPr="002B2E1E" w:rsidRDefault="002E301D">
      <w:r w:rsidRPr="002B2E1E">
        <w:lastRenderedPageBreak/>
        <w:t xml:space="preserve">As per basic details, the organisation provided its services to 3200 individual customers and presently the business has 16 independent consulting firms for operations. With initiating proper collaboration support with the client, this consultancy business is used to provide proper problem identifications and evaluation support with the commercial approach so that a proper accountability initiative can be implemented for business development. </w:t>
      </w:r>
    </w:p>
    <w:p w14:paraId="0E8E4B02" w14:textId="77777777" w:rsidR="00CB00BA" w:rsidRPr="002B2E1E" w:rsidRDefault="002E301D" w:rsidP="002B2E1E">
      <w:pPr>
        <w:pStyle w:val="Heading2"/>
      </w:pPr>
      <w:bookmarkStart w:id="6" w:name="_Toc157294151"/>
      <w:r w:rsidRPr="002B2E1E">
        <w:t>1.5 Rationale of report</w:t>
      </w:r>
      <w:bookmarkEnd w:id="6"/>
      <w:r w:rsidRPr="002B2E1E">
        <w:t xml:space="preserve"> </w:t>
      </w:r>
    </w:p>
    <w:p w14:paraId="03E046C6" w14:textId="77777777" w:rsidR="00CB00BA" w:rsidRPr="002B2E1E" w:rsidRDefault="002E301D">
      <w:r w:rsidRPr="002B2E1E">
        <w:t xml:space="preserve">Identification of a positive volume of Consulting support for every individual business is necessary to formulate some of the basic mitigation approaches on behalf of challenges. In the present position, the overall market structure related to the Australian hospitality business is indicating the expanded volume of the energy cost approach, expanded level of taxation initiative and also declined labour market position that ultimately imposes a certain volume of crisis for individual businesses (Fraser, 2020). </w:t>
      </w:r>
    </w:p>
    <w:p w14:paraId="4E07D280" w14:textId="77777777" w:rsidR="00CB00BA" w:rsidRPr="002B2E1E" w:rsidRDefault="002E301D">
      <w:r w:rsidRPr="002B2E1E">
        <w:t xml:space="preserve">In this report, recognising the present hospitality market position in Australia performances of </w:t>
      </w:r>
      <w:r w:rsidRPr="00E554F2">
        <w:rPr>
          <w:bCs/>
        </w:rPr>
        <w:t>Accor plc</w:t>
      </w:r>
      <w:r w:rsidRPr="002B2E1E">
        <w:t xml:space="preserve"> established in Australia have been evaluated and a proper mitigation approach in the form of consultancy support by </w:t>
      </w:r>
      <w:r w:rsidRPr="00E554F2">
        <w:rPr>
          <w:bCs/>
        </w:rPr>
        <w:t>Curzon Consulting</w:t>
      </w:r>
      <w:r w:rsidRPr="002B2E1E">
        <w:t xml:space="preserve">, United Kingdom is enumerated in this report. Associated with the same approach the identified engagement of different change management theories is also evaluated concerning these aspects so that a proper evaluation support related to the present compatibility initiative can be provided (Mavridopoulou and O’Mahoney, 2020). Associated with the general analysis the application of STEEPLED, SOAR and TOWS analysis has been initiated for the recognition of strategic initiatives including the primary threats identification purpose. In association with the same approach, the applied initiative of change management is also initiated for the operating support including the accountability growth as well that has been initiated for the performance initiative support and other progressive development purposes (O’Mahoney, 2021). </w:t>
      </w:r>
    </w:p>
    <w:p w14:paraId="1D2357A9" w14:textId="77777777" w:rsidR="00CB00BA" w:rsidRPr="002B2E1E" w:rsidRDefault="002E301D" w:rsidP="002B2E1E">
      <w:pPr>
        <w:pStyle w:val="Heading1"/>
      </w:pPr>
      <w:bookmarkStart w:id="7" w:name="_Toc157294152"/>
      <w:r w:rsidRPr="002B2E1E">
        <w:t>2.0 Analysis</w:t>
      </w:r>
      <w:bookmarkEnd w:id="7"/>
      <w:r w:rsidRPr="002B2E1E">
        <w:t xml:space="preserve"> </w:t>
      </w:r>
    </w:p>
    <w:p w14:paraId="6FE6BC18" w14:textId="77777777" w:rsidR="00CB00BA" w:rsidRPr="002B2E1E" w:rsidRDefault="002E301D" w:rsidP="002B2E1E">
      <w:pPr>
        <w:pStyle w:val="Heading2"/>
      </w:pPr>
      <w:bookmarkStart w:id="8" w:name="_Toc157294153"/>
      <w:r w:rsidRPr="002B2E1E">
        <w:t>2.1 Identified challenges related to hospitality business in Australia</w:t>
      </w:r>
      <w:bookmarkEnd w:id="8"/>
      <w:r w:rsidRPr="002B2E1E">
        <w:t xml:space="preserve"> </w:t>
      </w:r>
    </w:p>
    <w:p w14:paraId="01CACC6C" w14:textId="77777777" w:rsidR="00CB00BA" w:rsidRPr="002B2E1E" w:rsidRDefault="002E301D">
      <w:r w:rsidRPr="002B2E1E">
        <w:t xml:space="preserve">According to general position support with consideration of the present market position it is identifiable that the overall </w:t>
      </w:r>
      <w:r w:rsidRPr="00E554F2">
        <w:rPr>
          <w:bCs/>
        </w:rPr>
        <w:t>energy cost expansion</w:t>
      </w:r>
      <w:r w:rsidRPr="002B2E1E">
        <w:t xml:space="preserve"> in the Austrian market initiates a significant level of challenging approach for individual hospitality businesses. Associated with the same approach the </w:t>
      </w:r>
      <w:r w:rsidRPr="00E554F2">
        <w:rPr>
          <w:bCs/>
        </w:rPr>
        <w:t>expanded level of taxation rates</w:t>
      </w:r>
      <w:r w:rsidRPr="002B2E1E">
        <w:t xml:space="preserve"> also initiates the same volume of difficulties related to this particular sector associated with the other industry that ultimately impose a certain volume of burden over the turnover position on an unethical order (Statista Daily Data, 2023). Associated with the same approach the </w:t>
      </w:r>
      <w:r w:rsidRPr="00E554F2">
        <w:t>present expanded cost of the labour market</w:t>
      </w:r>
      <w:r w:rsidRPr="002B2E1E">
        <w:t xml:space="preserve"> and the declined level of investment approach due to economic uncertainty have initiated a certain </w:t>
      </w:r>
      <w:r w:rsidRPr="002B2E1E">
        <w:lastRenderedPageBreak/>
        <w:t xml:space="preserve">volume of challenging approaches related to the Australian accommodation industry which ultimately is unable to provide a proper volume of strategic development and compatibility initiative support. </w:t>
      </w:r>
    </w:p>
    <w:p w14:paraId="5C110DB2" w14:textId="77777777" w:rsidR="00CB00BA" w:rsidRPr="002B2E1E" w:rsidRDefault="002E301D">
      <w:pPr>
        <w:jc w:val="center"/>
      </w:pPr>
      <w:r w:rsidRPr="002B2E1E">
        <w:rPr>
          <w:noProof/>
        </w:rPr>
        <w:drawing>
          <wp:inline distT="114300" distB="114300" distL="114300" distR="114300" wp14:anchorId="33DBD868" wp14:editId="1409DB7C">
            <wp:extent cx="4621050" cy="3609392"/>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4621050" cy="3609392"/>
                    </a:xfrm>
                    <a:prstGeom prst="rect">
                      <a:avLst/>
                    </a:prstGeom>
                    <a:ln/>
                  </pic:spPr>
                </pic:pic>
              </a:graphicData>
            </a:graphic>
          </wp:inline>
        </w:drawing>
      </w:r>
    </w:p>
    <w:p w14:paraId="154743EE" w14:textId="77777777" w:rsidR="00CB00BA" w:rsidRPr="002B2E1E" w:rsidRDefault="002E301D">
      <w:pPr>
        <w:jc w:val="center"/>
        <w:rPr>
          <w:b/>
        </w:rPr>
      </w:pPr>
      <w:r w:rsidRPr="002B2E1E">
        <w:rPr>
          <w:b/>
        </w:rPr>
        <w:t xml:space="preserve">Figure 1: Different challenges in the Australian accommodation industry </w:t>
      </w:r>
    </w:p>
    <w:p w14:paraId="6A05B8E8" w14:textId="77777777" w:rsidR="00CB00BA" w:rsidRPr="002B2E1E" w:rsidRDefault="002E301D">
      <w:pPr>
        <w:jc w:val="center"/>
      </w:pPr>
      <w:r w:rsidRPr="002B2E1E">
        <w:rPr>
          <w:b/>
        </w:rPr>
        <w:t>(Source:</w:t>
      </w:r>
      <w:r w:rsidRPr="002B2E1E">
        <w:t xml:space="preserve"> Statista Daily Data, 2023)</w:t>
      </w:r>
    </w:p>
    <w:p w14:paraId="78938600" w14:textId="77777777" w:rsidR="00CB00BA" w:rsidRPr="002B2E1E" w:rsidRDefault="002E301D">
      <w:r w:rsidRPr="002B2E1E">
        <w:t xml:space="preserve">Additionally, the existence of some other issues related to the present </w:t>
      </w:r>
      <w:r w:rsidRPr="00E554F2">
        <w:rPr>
          <w:bCs/>
        </w:rPr>
        <w:t>expanded competitive market positions, the declining level of consumers due to the current pandemic crisis and</w:t>
      </w:r>
      <w:r w:rsidRPr="002B2E1E">
        <w:t xml:space="preserve"> also the sustainability issues have initiated a certain volume of challenging approaches for this particular sector that ultimately impose a certain volume of burden related to the stability formulation of business revenue development. </w:t>
      </w:r>
    </w:p>
    <w:p w14:paraId="4E88B984" w14:textId="77777777" w:rsidR="00CB00BA" w:rsidRPr="002B2E1E" w:rsidRDefault="002E301D">
      <w:r w:rsidRPr="002B2E1E">
        <w:t xml:space="preserve">In 2023, the published report by the Australian Accommodation Barometer initiated that the general impact of the Russia-Ukraine war initiated a significant level of operating challenges for the Australian accommodation industry due to the expanded level of natural gas and Agriculture exports. As per the basic analysis, the primary volume of LNG export volume has increased from 20% to the level of $11 billion amid a global energy crisis fundamentally (Mizen, 2023). Associated with the same approach the general volume of service value is expanded by around 7% initiating the additional cost of $60.6 billion over the month for individual businesses including the hospitality business in Australia regarding energy consumption. Due to this, in the present position, the impact of Energy, maintenance and repair </w:t>
      </w:r>
      <w:r w:rsidRPr="002B2E1E">
        <w:lastRenderedPageBreak/>
        <w:t xml:space="preserve">costs related to the business has expanded to the level of 63 million in the present period initiating a certain level of challenging approach for the business operating position. </w:t>
      </w:r>
    </w:p>
    <w:p w14:paraId="6E41DF2E" w14:textId="77777777" w:rsidR="00CB00BA" w:rsidRPr="002B2E1E" w:rsidRDefault="002E301D">
      <w:pPr>
        <w:jc w:val="center"/>
      </w:pPr>
      <w:r w:rsidRPr="002B2E1E">
        <w:rPr>
          <w:noProof/>
        </w:rPr>
        <w:drawing>
          <wp:inline distT="114300" distB="114300" distL="114300" distR="114300" wp14:anchorId="5935E562" wp14:editId="03ADC96E">
            <wp:extent cx="4711538" cy="2558700"/>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711538" cy="2558700"/>
                    </a:xfrm>
                    <a:prstGeom prst="rect">
                      <a:avLst/>
                    </a:prstGeom>
                    <a:ln/>
                  </pic:spPr>
                </pic:pic>
              </a:graphicData>
            </a:graphic>
          </wp:inline>
        </w:drawing>
      </w:r>
    </w:p>
    <w:p w14:paraId="701BECEE" w14:textId="77777777" w:rsidR="00CB00BA" w:rsidRPr="002B2E1E" w:rsidRDefault="002E301D">
      <w:pPr>
        <w:jc w:val="center"/>
        <w:rPr>
          <w:b/>
        </w:rPr>
      </w:pPr>
      <w:r w:rsidRPr="002B2E1E">
        <w:rPr>
          <w:b/>
        </w:rPr>
        <w:t xml:space="preserve">Figure 2: Expanded level of oil and LNG price  </w:t>
      </w:r>
    </w:p>
    <w:p w14:paraId="7A5D6529" w14:textId="77777777" w:rsidR="00CB00BA" w:rsidRPr="002B2E1E" w:rsidRDefault="002E301D">
      <w:pPr>
        <w:jc w:val="center"/>
      </w:pPr>
      <w:r w:rsidRPr="002B2E1E">
        <w:rPr>
          <w:b/>
        </w:rPr>
        <w:t>(Source:</w:t>
      </w:r>
      <w:r w:rsidRPr="002B2E1E">
        <w:t xml:space="preserve"> Mizen, 2023)</w:t>
      </w:r>
    </w:p>
    <w:p w14:paraId="6BFEDC17" w14:textId="77777777" w:rsidR="00CB00BA" w:rsidRPr="002B2E1E" w:rsidRDefault="002E301D">
      <w:r w:rsidRPr="002B2E1E">
        <w:t xml:space="preserve">As per the basic measurements in the present situation due to the reason of this particular war and pandemic, the overall supply chain initiative related to oil and natural gas has expanded to impose a certain volume of additional tax burden for the energy industry. As per the basic analysis in the year 2021, the organisation BHP contributed around $7.3 billion, Rio-Tinto $6.2 billion, and Fortescue Metals $5.8 billion tax due to the expanded volume of productive pricing. Due to this additional tax burden, the pricing level of this type of material is certainly expanded and as a result, some additional burden is also charged over the accommodation industry simultaneously. As a fundamental result of this expanded position a certain volume of crisis related to the financial performances of the Australian accommodation business. </w:t>
      </w:r>
    </w:p>
    <w:p w14:paraId="2B4E447C" w14:textId="77777777" w:rsidR="00CB00BA" w:rsidRPr="002B2E1E" w:rsidRDefault="002E301D">
      <w:pPr>
        <w:jc w:val="center"/>
      </w:pPr>
      <w:r w:rsidRPr="002B2E1E">
        <w:rPr>
          <w:noProof/>
        </w:rPr>
        <w:lastRenderedPageBreak/>
        <w:drawing>
          <wp:inline distT="114300" distB="114300" distL="114300" distR="114300" wp14:anchorId="3D1538DC" wp14:editId="723316BA">
            <wp:extent cx="4615984" cy="3281363"/>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4615984" cy="3281363"/>
                    </a:xfrm>
                    <a:prstGeom prst="rect">
                      <a:avLst/>
                    </a:prstGeom>
                    <a:ln/>
                  </pic:spPr>
                </pic:pic>
              </a:graphicData>
            </a:graphic>
          </wp:inline>
        </w:drawing>
      </w:r>
    </w:p>
    <w:p w14:paraId="74A612B3" w14:textId="77777777" w:rsidR="00CB00BA" w:rsidRPr="002B2E1E" w:rsidRDefault="002E301D">
      <w:pPr>
        <w:jc w:val="center"/>
        <w:rPr>
          <w:b/>
        </w:rPr>
      </w:pPr>
      <w:r w:rsidRPr="002B2E1E">
        <w:rPr>
          <w:b/>
        </w:rPr>
        <w:t xml:space="preserve">Figure 3: Tax contributed by Australian energy business  </w:t>
      </w:r>
    </w:p>
    <w:p w14:paraId="22284C13" w14:textId="77777777" w:rsidR="00CB00BA" w:rsidRPr="002B2E1E" w:rsidRDefault="002E301D">
      <w:pPr>
        <w:jc w:val="center"/>
      </w:pPr>
      <w:r w:rsidRPr="002B2E1E">
        <w:rPr>
          <w:b/>
        </w:rPr>
        <w:t>(Source:</w:t>
      </w:r>
      <w:r w:rsidRPr="002B2E1E">
        <w:t xml:space="preserve"> Mizen, 2023)</w:t>
      </w:r>
    </w:p>
    <w:p w14:paraId="7EFB2FDE" w14:textId="77777777" w:rsidR="00CB00BA" w:rsidRPr="002B2E1E" w:rsidRDefault="002E301D">
      <w:r w:rsidRPr="002B2E1E">
        <w:t xml:space="preserve">Associated with the present market position the labour volume in the UK is rapidly expanding due to the present market crisis and supply-demand mismatch reasons that ultimately influence a certain level of challenging approach for the individual Australian industry including the accommodation industry as well (Kipping and Clark, 2012). The current government regulations related to the hourly and standard payment approach to the employees including the current non-availability of adequacy in employment generally expanded the volume of labour charges in Australia in a rapid order (Kotter, 2012).  </w:t>
      </w:r>
    </w:p>
    <w:p w14:paraId="056855FB" w14:textId="77777777" w:rsidR="00CB00BA" w:rsidRPr="002B2E1E" w:rsidRDefault="002E301D">
      <w:r w:rsidRPr="002B2E1E">
        <w:t xml:space="preserve">In the present position, the overall unit labour cost index has an expanded level of 1.303 indexations from the level of 0.995 in 2014 (ceicdata.com, 2024). This expansion ultimately imposes a certain volume of burden related to the labour availability in the hospitality business also which ultimately formulates the labour crisis in the industry. </w:t>
      </w:r>
    </w:p>
    <w:p w14:paraId="0EB73B41" w14:textId="77777777" w:rsidR="00CB00BA" w:rsidRPr="002B2E1E" w:rsidRDefault="002E301D">
      <w:pPr>
        <w:jc w:val="center"/>
      </w:pPr>
      <w:r w:rsidRPr="002B2E1E">
        <w:rPr>
          <w:noProof/>
        </w:rPr>
        <w:lastRenderedPageBreak/>
        <w:drawing>
          <wp:inline distT="114300" distB="114300" distL="114300" distR="114300" wp14:anchorId="2CFBD05D" wp14:editId="53753DC0">
            <wp:extent cx="5453063" cy="240043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453063" cy="2400434"/>
                    </a:xfrm>
                    <a:prstGeom prst="rect">
                      <a:avLst/>
                    </a:prstGeom>
                    <a:ln/>
                  </pic:spPr>
                </pic:pic>
              </a:graphicData>
            </a:graphic>
          </wp:inline>
        </w:drawing>
      </w:r>
    </w:p>
    <w:p w14:paraId="2668E184" w14:textId="77777777" w:rsidR="00CB00BA" w:rsidRPr="002B2E1E" w:rsidRDefault="002E301D">
      <w:pPr>
        <w:jc w:val="center"/>
        <w:rPr>
          <w:b/>
        </w:rPr>
      </w:pPr>
      <w:r w:rsidRPr="002B2E1E">
        <w:rPr>
          <w:b/>
        </w:rPr>
        <w:t xml:space="preserve">Figure 4: Expanded labour market charges in Australia   </w:t>
      </w:r>
    </w:p>
    <w:p w14:paraId="20A04193" w14:textId="77777777" w:rsidR="00CB00BA" w:rsidRPr="002B2E1E" w:rsidRDefault="002E301D">
      <w:pPr>
        <w:jc w:val="center"/>
      </w:pPr>
      <w:r w:rsidRPr="002B2E1E">
        <w:rPr>
          <w:b/>
        </w:rPr>
        <w:t>(Source:</w:t>
      </w:r>
      <w:r w:rsidRPr="002B2E1E">
        <w:t xml:space="preserve"> ceicdata.com, 2024)</w:t>
      </w:r>
    </w:p>
    <w:p w14:paraId="3F0055DB" w14:textId="77777777" w:rsidR="00CB00BA" w:rsidRPr="002B2E1E" w:rsidRDefault="002E301D">
      <w:r w:rsidRPr="002B2E1E">
        <w:t xml:space="preserve">According to the fundamental identification, the primary involvement of the hospitality industry generally represents the existence of a competitive market environment with the existence of a potential hospitality business. The primary identification related to the revenue of the hotel market at the present situation represents the expanded position up to S$6.91 billion within 2024 with an annual growth rate of 2.24% in CAGR. In Australia, the overall average revenue per user level can be expanded up to the level of US$0.58k within 2024 which represents the existence of the current competitive market environment including the optimised market positioning approach for the industry (Statista, 2023). Fundamentally, this expansion represents a positive opportunity to support the industry however it also initiates a certain volume of challenging approaches for individual businesses to initiate a proper survival performance under such a competitive position. </w:t>
      </w:r>
    </w:p>
    <w:p w14:paraId="0AEA87E8" w14:textId="77777777" w:rsidR="00CB00BA" w:rsidRPr="002B2E1E" w:rsidRDefault="002E301D">
      <w:pPr>
        <w:jc w:val="center"/>
      </w:pPr>
      <w:r w:rsidRPr="002B2E1E">
        <w:rPr>
          <w:noProof/>
        </w:rPr>
        <w:drawing>
          <wp:inline distT="114300" distB="114300" distL="114300" distR="114300" wp14:anchorId="53CED0E8" wp14:editId="40312C2C">
            <wp:extent cx="5095875" cy="2305720"/>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095875" cy="2305720"/>
                    </a:xfrm>
                    <a:prstGeom prst="rect">
                      <a:avLst/>
                    </a:prstGeom>
                    <a:ln/>
                  </pic:spPr>
                </pic:pic>
              </a:graphicData>
            </a:graphic>
          </wp:inline>
        </w:drawing>
      </w:r>
    </w:p>
    <w:p w14:paraId="626C7E7C" w14:textId="77777777" w:rsidR="00CB00BA" w:rsidRPr="002B2E1E" w:rsidRDefault="002E301D">
      <w:pPr>
        <w:jc w:val="center"/>
        <w:rPr>
          <w:b/>
        </w:rPr>
      </w:pPr>
      <w:r w:rsidRPr="002B2E1E">
        <w:rPr>
          <w:b/>
        </w:rPr>
        <w:t xml:space="preserve">Figure 5: Revenue volume in the Australian hospitality business   </w:t>
      </w:r>
    </w:p>
    <w:p w14:paraId="773D4584" w14:textId="77777777" w:rsidR="00CB00BA" w:rsidRPr="002B2E1E" w:rsidRDefault="002E301D">
      <w:pPr>
        <w:jc w:val="center"/>
      </w:pPr>
      <w:r w:rsidRPr="002B2E1E">
        <w:rPr>
          <w:b/>
        </w:rPr>
        <w:t>(Source:</w:t>
      </w:r>
      <w:r w:rsidRPr="002B2E1E">
        <w:t xml:space="preserve"> Statista, 2023)</w:t>
      </w:r>
    </w:p>
    <w:p w14:paraId="04A0DD6E" w14:textId="77777777" w:rsidR="00CB00BA" w:rsidRPr="002B2E1E" w:rsidRDefault="002E301D">
      <w:r w:rsidRPr="002B2E1E">
        <w:lastRenderedPageBreak/>
        <w:t>Associated with the general identification support due to the reason of pandemic and initiated lockdown approach by the government mainly declined the overall volume of visitors on a rapid basis ultimately imposing a negative impact on the hospitality business on a global prospect (Subramaniam</w:t>
      </w:r>
      <w:r w:rsidRPr="002B2E1E">
        <w:rPr>
          <w:i/>
        </w:rPr>
        <w:t xml:space="preserve"> et al., </w:t>
      </w:r>
      <w:r w:rsidRPr="002B2E1E">
        <w:t xml:space="preserve">2011). The same approach was also initiated in the case of the Australian hospitality business which impose a significant volume of declining positions related to the visitor's volume concerning the Overseas engagement. From 2020 to 2021 the volume of basic arrivals and departures level of visitors in Australia declined to a negative position that ultimately imposed a certain volume of challenging approaches for the revenue formulations and stability progress on a systematic basis (Bruno </w:t>
      </w:r>
      <w:r w:rsidRPr="002B2E1E">
        <w:rPr>
          <w:i/>
        </w:rPr>
        <w:t>et al.,</w:t>
      </w:r>
      <w:r w:rsidRPr="002B2E1E">
        <w:t xml:space="preserve"> 2022). </w:t>
      </w:r>
    </w:p>
    <w:p w14:paraId="2A5B7DD5" w14:textId="77777777" w:rsidR="00CB00BA" w:rsidRPr="002B2E1E" w:rsidRDefault="002E301D">
      <w:r w:rsidRPr="002B2E1E">
        <w:t xml:space="preserve">Due to these reasons, the overall operating performances as well as the financial strategic initiative related to the Australian hospitality sector were not fruitfully initiated and is significant amount of market crisis was noticed in that phase (Newton, 2010). However, in the present situation with the interventions of the Government and with the basic development initiative support a proper volume of progress like the previous position is initiated in this particular sector which represents a proper volume of visitor engagement in a positive order. </w:t>
      </w:r>
    </w:p>
    <w:p w14:paraId="12F7290D" w14:textId="77777777" w:rsidR="00CB00BA" w:rsidRPr="002B2E1E" w:rsidRDefault="002E301D">
      <w:pPr>
        <w:jc w:val="center"/>
      </w:pPr>
      <w:r w:rsidRPr="002B2E1E">
        <w:rPr>
          <w:noProof/>
        </w:rPr>
        <w:drawing>
          <wp:inline distT="114300" distB="114300" distL="114300" distR="114300" wp14:anchorId="3978704C" wp14:editId="5C78E50E">
            <wp:extent cx="5140661" cy="3834147"/>
            <wp:effectExtent l="0" t="0" r="0" b="0"/>
            <wp:docPr id="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5140661" cy="3834147"/>
                    </a:xfrm>
                    <a:prstGeom prst="rect">
                      <a:avLst/>
                    </a:prstGeom>
                    <a:ln/>
                  </pic:spPr>
                </pic:pic>
              </a:graphicData>
            </a:graphic>
          </wp:inline>
        </w:drawing>
      </w:r>
    </w:p>
    <w:p w14:paraId="2EEE94F1" w14:textId="77777777" w:rsidR="00CB00BA" w:rsidRPr="002B2E1E" w:rsidRDefault="002E301D">
      <w:pPr>
        <w:jc w:val="center"/>
        <w:rPr>
          <w:b/>
        </w:rPr>
      </w:pPr>
      <w:r w:rsidRPr="002B2E1E">
        <w:rPr>
          <w:b/>
        </w:rPr>
        <w:t xml:space="preserve">Figure 6: Overseas arrivals in Australian hospitality business   </w:t>
      </w:r>
    </w:p>
    <w:p w14:paraId="11D4A464" w14:textId="77777777" w:rsidR="00CB00BA" w:rsidRPr="002B2E1E" w:rsidRDefault="002E301D">
      <w:pPr>
        <w:jc w:val="center"/>
        <w:rPr>
          <w:b/>
        </w:rPr>
      </w:pPr>
      <w:r w:rsidRPr="002B2E1E">
        <w:rPr>
          <w:b/>
        </w:rPr>
        <w:t>(Source:</w:t>
      </w:r>
      <w:r w:rsidRPr="002B2E1E">
        <w:t xml:space="preserve"> Bruno </w:t>
      </w:r>
      <w:r w:rsidRPr="002B2E1E">
        <w:rPr>
          <w:i/>
        </w:rPr>
        <w:t>et al.,</w:t>
      </w:r>
      <w:r w:rsidRPr="002B2E1E">
        <w:t xml:space="preserve"> 2022)</w:t>
      </w:r>
    </w:p>
    <w:p w14:paraId="25B344B4" w14:textId="77777777" w:rsidR="00CB00BA" w:rsidRPr="002B2E1E" w:rsidRDefault="002E301D" w:rsidP="002B2E1E">
      <w:pPr>
        <w:pStyle w:val="Heading2"/>
      </w:pPr>
      <w:bookmarkStart w:id="9" w:name="_Toc157294154"/>
      <w:r w:rsidRPr="002B2E1E">
        <w:t>2.2 Application of STEEPLED analysis in related to present position in Australia</w:t>
      </w:r>
      <w:bookmarkEnd w:id="9"/>
      <w:r w:rsidRPr="002B2E1E">
        <w:t xml:space="preserve">  </w:t>
      </w:r>
    </w:p>
    <w:p w14:paraId="695F85F4" w14:textId="77777777" w:rsidR="00CB00BA" w:rsidRPr="002B2E1E" w:rsidRDefault="002E301D">
      <w:r w:rsidRPr="002B2E1E">
        <w:lastRenderedPageBreak/>
        <w:t xml:space="preserve">According to the general initiative approach, proper evaluation is generally initiated with the strategic support that is formulated for proper operating development initiatives related to the business growth approach (Baron and Armstrong, 2007). Concerning the present operating positions are market initiative support of the Australian hospitality business the applications of </w:t>
      </w:r>
      <w:r w:rsidRPr="002B2E1E">
        <w:rPr>
          <w:b/>
        </w:rPr>
        <w:t>“</w:t>
      </w:r>
      <w:r w:rsidRPr="00E554F2">
        <w:rPr>
          <w:bCs/>
        </w:rPr>
        <w:t>STEEPLED analysis</w:t>
      </w:r>
      <w:r w:rsidRPr="002B2E1E">
        <w:rPr>
          <w:b/>
        </w:rPr>
        <w:t>”</w:t>
      </w:r>
      <w:r w:rsidRPr="002B2E1E">
        <w:t xml:space="preserve"> for Accor have been provided for the identification of strategic planning methodology support. </w:t>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30"/>
        <w:gridCol w:w="7170"/>
      </w:tblGrid>
      <w:tr w:rsidR="00CB00BA" w:rsidRPr="002B2E1E" w14:paraId="286B0938" w14:textId="77777777">
        <w:tc>
          <w:tcPr>
            <w:tcW w:w="1830" w:type="dxa"/>
            <w:shd w:val="clear" w:color="auto" w:fill="auto"/>
            <w:tcMar>
              <w:top w:w="100" w:type="dxa"/>
              <w:left w:w="100" w:type="dxa"/>
              <w:bottom w:w="100" w:type="dxa"/>
              <w:right w:w="100" w:type="dxa"/>
            </w:tcMar>
          </w:tcPr>
          <w:p w14:paraId="10A2D64F" w14:textId="77777777" w:rsidR="00CB00BA" w:rsidRPr="002B2E1E" w:rsidRDefault="002E301D">
            <w:pPr>
              <w:widowControl w:val="0"/>
              <w:jc w:val="center"/>
              <w:rPr>
                <w:b/>
              </w:rPr>
            </w:pPr>
            <w:r w:rsidRPr="002B2E1E">
              <w:rPr>
                <w:b/>
              </w:rPr>
              <w:t>Social</w:t>
            </w:r>
          </w:p>
        </w:tc>
        <w:tc>
          <w:tcPr>
            <w:tcW w:w="7170" w:type="dxa"/>
            <w:shd w:val="clear" w:color="auto" w:fill="auto"/>
            <w:tcMar>
              <w:top w:w="100" w:type="dxa"/>
              <w:left w:w="100" w:type="dxa"/>
              <w:bottom w:w="100" w:type="dxa"/>
              <w:right w:w="100" w:type="dxa"/>
            </w:tcMar>
          </w:tcPr>
          <w:p w14:paraId="5204410E" w14:textId="77777777" w:rsidR="00CB00BA" w:rsidRPr="002B2E1E" w:rsidRDefault="002E301D">
            <w:pPr>
              <w:widowControl w:val="0"/>
              <w:jc w:val="left"/>
            </w:pPr>
            <w:r w:rsidRPr="002B2E1E">
              <w:t xml:space="preserve">1. Current social issues related to pandemic crisis </w:t>
            </w:r>
          </w:p>
          <w:p w14:paraId="0840A44F" w14:textId="77777777" w:rsidR="00CB00BA" w:rsidRPr="002B2E1E" w:rsidRDefault="002E301D">
            <w:pPr>
              <w:widowControl w:val="0"/>
              <w:jc w:val="left"/>
            </w:pPr>
            <w:r w:rsidRPr="002B2E1E">
              <w:t xml:space="preserve">2. Present Russia-Ukraine war over labour market </w:t>
            </w:r>
          </w:p>
          <w:p w14:paraId="32EC2598" w14:textId="77777777" w:rsidR="00CB00BA" w:rsidRPr="002B2E1E" w:rsidRDefault="002E301D">
            <w:pPr>
              <w:widowControl w:val="0"/>
              <w:jc w:val="left"/>
            </w:pPr>
            <w:r w:rsidRPr="002B2E1E">
              <w:t xml:space="preserve">3. The ability of multi-cultural engagement (Tijani </w:t>
            </w:r>
            <w:r w:rsidRPr="002B2E1E">
              <w:rPr>
                <w:i/>
              </w:rPr>
              <w:t>et al.,</w:t>
            </w:r>
            <w:r w:rsidRPr="002B2E1E">
              <w:t xml:space="preserve"> 2023)</w:t>
            </w:r>
          </w:p>
        </w:tc>
      </w:tr>
      <w:tr w:rsidR="00CB00BA" w:rsidRPr="002B2E1E" w14:paraId="1FCDD9EF" w14:textId="77777777">
        <w:tc>
          <w:tcPr>
            <w:tcW w:w="1830" w:type="dxa"/>
            <w:shd w:val="clear" w:color="auto" w:fill="auto"/>
            <w:tcMar>
              <w:top w:w="100" w:type="dxa"/>
              <w:left w:w="100" w:type="dxa"/>
              <w:bottom w:w="100" w:type="dxa"/>
              <w:right w:w="100" w:type="dxa"/>
            </w:tcMar>
          </w:tcPr>
          <w:p w14:paraId="2D4D6A62" w14:textId="77777777" w:rsidR="00CB00BA" w:rsidRPr="002B2E1E" w:rsidRDefault="002E301D">
            <w:pPr>
              <w:widowControl w:val="0"/>
              <w:jc w:val="center"/>
              <w:rPr>
                <w:b/>
              </w:rPr>
            </w:pPr>
            <w:r w:rsidRPr="002B2E1E">
              <w:rPr>
                <w:b/>
              </w:rPr>
              <w:t>Technology</w:t>
            </w:r>
          </w:p>
        </w:tc>
        <w:tc>
          <w:tcPr>
            <w:tcW w:w="7170" w:type="dxa"/>
            <w:shd w:val="clear" w:color="auto" w:fill="auto"/>
            <w:tcMar>
              <w:top w:w="100" w:type="dxa"/>
              <w:left w:w="100" w:type="dxa"/>
              <w:bottom w:w="100" w:type="dxa"/>
              <w:right w:w="100" w:type="dxa"/>
            </w:tcMar>
          </w:tcPr>
          <w:p w14:paraId="0DF6FE8E" w14:textId="77777777" w:rsidR="00CB00BA" w:rsidRPr="002B2E1E" w:rsidRDefault="002E301D">
            <w:pPr>
              <w:widowControl w:val="0"/>
              <w:jc w:val="left"/>
            </w:pPr>
            <w:r w:rsidRPr="002B2E1E">
              <w:t>1. Government interventions related to the digital economy</w:t>
            </w:r>
          </w:p>
          <w:p w14:paraId="579055F7" w14:textId="77777777" w:rsidR="00CB00BA" w:rsidRPr="002B2E1E" w:rsidRDefault="002E301D">
            <w:pPr>
              <w:widowControl w:val="0"/>
              <w:jc w:val="left"/>
            </w:pPr>
            <w:r w:rsidRPr="002B2E1E">
              <w:t xml:space="preserve">2. The current development related to Artificial Intelligence program </w:t>
            </w:r>
          </w:p>
          <w:p w14:paraId="573ED067" w14:textId="77777777" w:rsidR="00CB00BA" w:rsidRPr="002B2E1E" w:rsidRDefault="002E301D">
            <w:pPr>
              <w:widowControl w:val="0"/>
              <w:jc w:val="left"/>
            </w:pPr>
            <w:r w:rsidRPr="002B2E1E">
              <w:t xml:space="preserve">3. Present online booking availability (Diaz Ruiz </w:t>
            </w:r>
            <w:r w:rsidRPr="002B2E1E">
              <w:rPr>
                <w:i/>
              </w:rPr>
              <w:t>et al</w:t>
            </w:r>
            <w:r w:rsidRPr="002B2E1E">
              <w:t>., 2020)</w:t>
            </w:r>
          </w:p>
        </w:tc>
      </w:tr>
      <w:tr w:rsidR="00CB00BA" w:rsidRPr="002B2E1E" w14:paraId="72EEE943" w14:textId="77777777">
        <w:tc>
          <w:tcPr>
            <w:tcW w:w="1830" w:type="dxa"/>
            <w:shd w:val="clear" w:color="auto" w:fill="auto"/>
            <w:tcMar>
              <w:top w:w="100" w:type="dxa"/>
              <w:left w:w="100" w:type="dxa"/>
              <w:bottom w:w="100" w:type="dxa"/>
              <w:right w:w="100" w:type="dxa"/>
            </w:tcMar>
          </w:tcPr>
          <w:p w14:paraId="372E697C" w14:textId="77777777" w:rsidR="00CB00BA" w:rsidRPr="002B2E1E" w:rsidRDefault="002E301D">
            <w:pPr>
              <w:widowControl w:val="0"/>
              <w:jc w:val="center"/>
              <w:rPr>
                <w:b/>
              </w:rPr>
            </w:pPr>
            <w:r w:rsidRPr="002B2E1E">
              <w:rPr>
                <w:b/>
              </w:rPr>
              <w:t>Economical</w:t>
            </w:r>
          </w:p>
        </w:tc>
        <w:tc>
          <w:tcPr>
            <w:tcW w:w="7170" w:type="dxa"/>
            <w:shd w:val="clear" w:color="auto" w:fill="auto"/>
            <w:tcMar>
              <w:top w:w="100" w:type="dxa"/>
              <w:left w:w="100" w:type="dxa"/>
              <w:bottom w:w="100" w:type="dxa"/>
              <w:right w:w="100" w:type="dxa"/>
            </w:tcMar>
          </w:tcPr>
          <w:p w14:paraId="0A9194B7" w14:textId="77777777" w:rsidR="00CB00BA" w:rsidRPr="002B2E1E" w:rsidRDefault="002E301D">
            <w:r w:rsidRPr="002B2E1E">
              <w:t xml:space="preserve">1. The 13th largest economy in the world </w:t>
            </w:r>
          </w:p>
          <w:p w14:paraId="0E02DBB8" w14:textId="77777777" w:rsidR="00CB00BA" w:rsidRPr="002B2E1E" w:rsidRDefault="002E301D">
            <w:r w:rsidRPr="002B2E1E">
              <w:t>2. GDP volume expanded up to the level of $1571.00 billion in 2023</w:t>
            </w:r>
          </w:p>
          <w:p w14:paraId="1EB3CDE7" w14:textId="77777777" w:rsidR="00CB00BA" w:rsidRPr="002B2E1E" w:rsidRDefault="002E301D">
            <w:r w:rsidRPr="002B2E1E">
              <w:t>3. Federal Tax rate up to 30% with 25% for small businesses (OECD, 2023)</w:t>
            </w:r>
          </w:p>
        </w:tc>
      </w:tr>
      <w:tr w:rsidR="00CB00BA" w:rsidRPr="002B2E1E" w14:paraId="073D9DF7" w14:textId="77777777">
        <w:tc>
          <w:tcPr>
            <w:tcW w:w="1830" w:type="dxa"/>
            <w:shd w:val="clear" w:color="auto" w:fill="auto"/>
            <w:tcMar>
              <w:top w:w="100" w:type="dxa"/>
              <w:left w:w="100" w:type="dxa"/>
              <w:bottom w:w="100" w:type="dxa"/>
              <w:right w:w="100" w:type="dxa"/>
            </w:tcMar>
          </w:tcPr>
          <w:p w14:paraId="5277A115" w14:textId="77777777" w:rsidR="00CB00BA" w:rsidRPr="002B2E1E" w:rsidRDefault="002E301D">
            <w:pPr>
              <w:widowControl w:val="0"/>
              <w:jc w:val="center"/>
              <w:rPr>
                <w:b/>
              </w:rPr>
            </w:pPr>
            <w:r w:rsidRPr="002B2E1E">
              <w:rPr>
                <w:b/>
              </w:rPr>
              <w:t xml:space="preserve">Environmental </w:t>
            </w:r>
          </w:p>
        </w:tc>
        <w:tc>
          <w:tcPr>
            <w:tcW w:w="7170" w:type="dxa"/>
            <w:shd w:val="clear" w:color="auto" w:fill="auto"/>
            <w:tcMar>
              <w:top w:w="100" w:type="dxa"/>
              <w:left w:w="100" w:type="dxa"/>
              <w:bottom w:w="100" w:type="dxa"/>
              <w:right w:w="100" w:type="dxa"/>
            </w:tcMar>
          </w:tcPr>
          <w:p w14:paraId="526B7247" w14:textId="77777777" w:rsidR="00CB00BA" w:rsidRPr="002B2E1E" w:rsidRDefault="002E301D">
            <w:pPr>
              <w:widowControl w:val="0"/>
              <w:jc w:val="left"/>
            </w:pPr>
            <w:r w:rsidRPr="002B2E1E">
              <w:t xml:space="preserve">1. Current sustainability development initiated by the government </w:t>
            </w:r>
          </w:p>
          <w:p w14:paraId="7F0BEADA" w14:textId="77777777" w:rsidR="00CB00BA" w:rsidRPr="002B2E1E" w:rsidRDefault="002E301D">
            <w:pPr>
              <w:widowControl w:val="0"/>
              <w:jc w:val="left"/>
            </w:pPr>
            <w:r w:rsidRPr="002B2E1E">
              <w:t xml:space="preserve">2. Social welfare engagement along with climate positions </w:t>
            </w:r>
          </w:p>
        </w:tc>
      </w:tr>
      <w:tr w:rsidR="00CB00BA" w:rsidRPr="002B2E1E" w14:paraId="62776513" w14:textId="77777777">
        <w:tc>
          <w:tcPr>
            <w:tcW w:w="1830" w:type="dxa"/>
            <w:shd w:val="clear" w:color="auto" w:fill="auto"/>
            <w:tcMar>
              <w:top w:w="100" w:type="dxa"/>
              <w:left w:w="100" w:type="dxa"/>
              <w:bottom w:w="100" w:type="dxa"/>
              <w:right w:w="100" w:type="dxa"/>
            </w:tcMar>
          </w:tcPr>
          <w:p w14:paraId="61E1CE71" w14:textId="77777777" w:rsidR="00CB00BA" w:rsidRPr="002B2E1E" w:rsidRDefault="002E301D">
            <w:pPr>
              <w:widowControl w:val="0"/>
              <w:jc w:val="center"/>
              <w:rPr>
                <w:b/>
              </w:rPr>
            </w:pPr>
            <w:r w:rsidRPr="002B2E1E">
              <w:rPr>
                <w:b/>
              </w:rPr>
              <w:t>Political</w:t>
            </w:r>
          </w:p>
        </w:tc>
        <w:tc>
          <w:tcPr>
            <w:tcW w:w="7170" w:type="dxa"/>
            <w:shd w:val="clear" w:color="auto" w:fill="auto"/>
            <w:tcMar>
              <w:top w:w="100" w:type="dxa"/>
              <w:left w:w="100" w:type="dxa"/>
              <w:bottom w:w="100" w:type="dxa"/>
              <w:right w:w="100" w:type="dxa"/>
            </w:tcMar>
          </w:tcPr>
          <w:p w14:paraId="2EB9AA5B" w14:textId="77777777" w:rsidR="00CB00BA" w:rsidRPr="002B2E1E" w:rsidRDefault="002E301D">
            <w:pPr>
              <w:widowControl w:val="0"/>
              <w:jc w:val="left"/>
            </w:pPr>
            <w:r w:rsidRPr="002B2E1E">
              <w:t>1. Supportive trade policies engagement</w:t>
            </w:r>
          </w:p>
          <w:p w14:paraId="23C92EB7" w14:textId="77777777" w:rsidR="00CB00BA" w:rsidRPr="002B2E1E" w:rsidRDefault="002E301D">
            <w:pPr>
              <w:widowControl w:val="0"/>
              <w:jc w:val="left"/>
            </w:pPr>
            <w:r w:rsidRPr="002B2E1E">
              <w:t xml:space="preserve">2. Positive government interventions with government grant support </w:t>
            </w:r>
          </w:p>
          <w:p w14:paraId="7811EB28" w14:textId="77777777" w:rsidR="00CB00BA" w:rsidRPr="002B2E1E" w:rsidRDefault="002E301D">
            <w:pPr>
              <w:widowControl w:val="0"/>
              <w:jc w:val="left"/>
            </w:pPr>
            <w:r w:rsidRPr="002B2E1E">
              <w:t>3. The current involvement in OECD and G20 engagement (Parliament of Australia, 2019)</w:t>
            </w:r>
          </w:p>
        </w:tc>
      </w:tr>
      <w:tr w:rsidR="00CB00BA" w:rsidRPr="002B2E1E" w14:paraId="5E424040" w14:textId="77777777">
        <w:tc>
          <w:tcPr>
            <w:tcW w:w="1830" w:type="dxa"/>
            <w:shd w:val="clear" w:color="auto" w:fill="auto"/>
            <w:tcMar>
              <w:top w:w="100" w:type="dxa"/>
              <w:left w:w="100" w:type="dxa"/>
              <w:bottom w:w="100" w:type="dxa"/>
              <w:right w:w="100" w:type="dxa"/>
            </w:tcMar>
          </w:tcPr>
          <w:p w14:paraId="196D7A5F" w14:textId="77777777" w:rsidR="00CB00BA" w:rsidRPr="002B2E1E" w:rsidRDefault="002E301D">
            <w:pPr>
              <w:widowControl w:val="0"/>
              <w:jc w:val="center"/>
              <w:rPr>
                <w:b/>
              </w:rPr>
            </w:pPr>
            <w:r w:rsidRPr="002B2E1E">
              <w:rPr>
                <w:b/>
              </w:rPr>
              <w:t>Legal</w:t>
            </w:r>
          </w:p>
        </w:tc>
        <w:tc>
          <w:tcPr>
            <w:tcW w:w="7170" w:type="dxa"/>
            <w:shd w:val="clear" w:color="auto" w:fill="auto"/>
            <w:tcMar>
              <w:top w:w="100" w:type="dxa"/>
              <w:left w:w="100" w:type="dxa"/>
              <w:bottom w:w="100" w:type="dxa"/>
              <w:right w:w="100" w:type="dxa"/>
            </w:tcMar>
          </w:tcPr>
          <w:p w14:paraId="17FC5AA4" w14:textId="77777777" w:rsidR="00CB00BA" w:rsidRPr="002B2E1E" w:rsidRDefault="002E301D">
            <w:pPr>
              <w:widowControl w:val="0"/>
              <w:jc w:val="left"/>
            </w:pPr>
            <w:r w:rsidRPr="002B2E1E">
              <w:t xml:space="preserve">1. The presence of consumer </w:t>
            </w:r>
            <w:r w:rsidR="002B2E1E" w:rsidRPr="002B2E1E">
              <w:t>laws, trade</w:t>
            </w:r>
            <w:r w:rsidRPr="002B2E1E">
              <w:t xml:space="preserve"> laws and competition laws </w:t>
            </w:r>
          </w:p>
          <w:p w14:paraId="472E0E09" w14:textId="77777777" w:rsidR="00CB00BA" w:rsidRPr="002B2E1E" w:rsidRDefault="002E301D">
            <w:pPr>
              <w:widowControl w:val="0"/>
              <w:jc w:val="left"/>
            </w:pPr>
            <w:r w:rsidRPr="002B2E1E">
              <w:t>2. Presence of the Fair Work Act 2009 (Cox, 2021)</w:t>
            </w:r>
          </w:p>
          <w:p w14:paraId="4CDD3B8C" w14:textId="77777777" w:rsidR="00CB00BA" w:rsidRPr="002B2E1E" w:rsidRDefault="002E301D">
            <w:pPr>
              <w:widowControl w:val="0"/>
              <w:jc w:val="left"/>
            </w:pPr>
            <w:r w:rsidRPr="002B2E1E">
              <w:t>3. Independent legal system with common law structure</w:t>
            </w:r>
          </w:p>
        </w:tc>
      </w:tr>
      <w:tr w:rsidR="00CB00BA" w:rsidRPr="002B2E1E" w14:paraId="24A3E603" w14:textId="77777777">
        <w:tc>
          <w:tcPr>
            <w:tcW w:w="1830" w:type="dxa"/>
            <w:shd w:val="clear" w:color="auto" w:fill="auto"/>
            <w:tcMar>
              <w:top w:w="100" w:type="dxa"/>
              <w:left w:w="100" w:type="dxa"/>
              <w:bottom w:w="100" w:type="dxa"/>
              <w:right w:w="100" w:type="dxa"/>
            </w:tcMar>
          </w:tcPr>
          <w:p w14:paraId="2EA7C1A6" w14:textId="77777777" w:rsidR="00CB00BA" w:rsidRPr="002B2E1E" w:rsidRDefault="002E301D">
            <w:pPr>
              <w:widowControl w:val="0"/>
              <w:jc w:val="center"/>
              <w:rPr>
                <w:b/>
              </w:rPr>
            </w:pPr>
            <w:r w:rsidRPr="002B2E1E">
              <w:rPr>
                <w:b/>
              </w:rPr>
              <w:t>Ethical</w:t>
            </w:r>
          </w:p>
        </w:tc>
        <w:tc>
          <w:tcPr>
            <w:tcW w:w="7170" w:type="dxa"/>
            <w:shd w:val="clear" w:color="auto" w:fill="auto"/>
            <w:tcMar>
              <w:top w:w="100" w:type="dxa"/>
              <w:left w:w="100" w:type="dxa"/>
              <w:bottom w:w="100" w:type="dxa"/>
              <w:right w:w="100" w:type="dxa"/>
            </w:tcMar>
          </w:tcPr>
          <w:p w14:paraId="74BCD472" w14:textId="77777777" w:rsidR="00CB00BA" w:rsidRPr="002B2E1E" w:rsidRDefault="002E301D">
            <w:pPr>
              <w:widowControl w:val="0"/>
              <w:jc w:val="left"/>
            </w:pPr>
            <w:r w:rsidRPr="002B2E1E">
              <w:t xml:space="preserve">1. Optimised ethical engagement with gender equality support </w:t>
            </w:r>
          </w:p>
          <w:p w14:paraId="0B2EFCC6" w14:textId="77777777" w:rsidR="00CB00BA" w:rsidRPr="002B2E1E" w:rsidRDefault="002E301D">
            <w:pPr>
              <w:widowControl w:val="0"/>
              <w:jc w:val="left"/>
            </w:pPr>
            <w:r w:rsidRPr="002B2E1E">
              <w:t>2. A proper market position with competitive environment availability  (Thakur, 2021)</w:t>
            </w:r>
          </w:p>
        </w:tc>
      </w:tr>
      <w:tr w:rsidR="00CB00BA" w:rsidRPr="002B2E1E" w14:paraId="01A1C40A" w14:textId="77777777">
        <w:tc>
          <w:tcPr>
            <w:tcW w:w="1830" w:type="dxa"/>
            <w:shd w:val="clear" w:color="auto" w:fill="auto"/>
            <w:tcMar>
              <w:top w:w="100" w:type="dxa"/>
              <w:left w:w="100" w:type="dxa"/>
              <w:bottom w:w="100" w:type="dxa"/>
              <w:right w:w="100" w:type="dxa"/>
            </w:tcMar>
          </w:tcPr>
          <w:p w14:paraId="3EBBCFC4" w14:textId="77777777" w:rsidR="00CB00BA" w:rsidRPr="002B2E1E" w:rsidRDefault="002E301D">
            <w:pPr>
              <w:widowControl w:val="0"/>
              <w:jc w:val="center"/>
              <w:rPr>
                <w:b/>
              </w:rPr>
            </w:pPr>
            <w:r w:rsidRPr="002B2E1E">
              <w:rPr>
                <w:b/>
              </w:rPr>
              <w:t>Demographic</w:t>
            </w:r>
          </w:p>
        </w:tc>
        <w:tc>
          <w:tcPr>
            <w:tcW w:w="7170" w:type="dxa"/>
            <w:shd w:val="clear" w:color="auto" w:fill="auto"/>
            <w:tcMar>
              <w:top w:w="100" w:type="dxa"/>
              <w:left w:w="100" w:type="dxa"/>
              <w:bottom w:w="100" w:type="dxa"/>
              <w:right w:w="100" w:type="dxa"/>
            </w:tcMar>
          </w:tcPr>
          <w:p w14:paraId="461E6167" w14:textId="77777777" w:rsidR="00CB00BA" w:rsidRPr="002B2E1E" w:rsidRDefault="002E301D">
            <w:pPr>
              <w:widowControl w:val="0"/>
              <w:jc w:val="left"/>
            </w:pPr>
            <w:r w:rsidRPr="002B2E1E">
              <w:t>1. Present optimised and formulated standard of living position</w:t>
            </w:r>
          </w:p>
          <w:p w14:paraId="168B8609" w14:textId="77777777" w:rsidR="00CB00BA" w:rsidRPr="002B2E1E" w:rsidRDefault="002E301D">
            <w:pPr>
              <w:widowControl w:val="0"/>
              <w:jc w:val="left"/>
            </w:pPr>
            <w:r w:rsidRPr="002B2E1E">
              <w:lastRenderedPageBreak/>
              <w:t>2. A systematic amount of educational progress support</w:t>
            </w:r>
          </w:p>
        </w:tc>
      </w:tr>
    </w:tbl>
    <w:p w14:paraId="35EA7306" w14:textId="77777777" w:rsidR="00CB00BA" w:rsidRDefault="00CB00BA">
      <w:pPr>
        <w:rPr>
          <w:b/>
        </w:rPr>
      </w:pPr>
    </w:p>
    <w:p w14:paraId="7E4B7A47" w14:textId="77777777" w:rsidR="002B2E1E" w:rsidRDefault="002B2E1E" w:rsidP="002B2E1E">
      <w:pPr>
        <w:jc w:val="center"/>
        <w:rPr>
          <w:b/>
        </w:rPr>
      </w:pPr>
      <w:r>
        <w:rPr>
          <w:b/>
        </w:rPr>
        <w:t xml:space="preserve">Table 1: </w:t>
      </w:r>
      <w:r w:rsidRPr="002B2E1E">
        <w:rPr>
          <w:b/>
        </w:rPr>
        <w:t>STEEPLED analysis</w:t>
      </w:r>
      <w:r>
        <w:rPr>
          <w:b/>
        </w:rPr>
        <w:t xml:space="preserve"> for Accor plc</w:t>
      </w:r>
    </w:p>
    <w:p w14:paraId="309EFDF0" w14:textId="77777777" w:rsidR="002B2E1E" w:rsidRPr="002B2E1E" w:rsidRDefault="002B2E1E" w:rsidP="002B2E1E">
      <w:pPr>
        <w:jc w:val="center"/>
      </w:pPr>
      <w:r w:rsidRPr="002B2E1E">
        <w:t>(Source: Learner)</w:t>
      </w:r>
    </w:p>
    <w:p w14:paraId="5E80BBAC" w14:textId="77777777" w:rsidR="00CB00BA" w:rsidRPr="002B2E1E" w:rsidRDefault="002E301D" w:rsidP="002B2E1E">
      <w:pPr>
        <w:pStyle w:val="Heading2"/>
      </w:pPr>
      <w:bookmarkStart w:id="10" w:name="_Toc157294155"/>
      <w:r w:rsidRPr="002B2E1E">
        <w:t>2.3 Applied SOAR analysis concerning business position for the hospitality sector</w:t>
      </w:r>
      <w:bookmarkEnd w:id="10"/>
      <w:r w:rsidRPr="002B2E1E">
        <w:t xml:space="preserve"> </w:t>
      </w:r>
    </w:p>
    <w:p w14:paraId="0BACAD60" w14:textId="77777777" w:rsidR="00CB00BA" w:rsidRPr="002B2E1E" w:rsidRDefault="002E301D">
      <w:r w:rsidRPr="002B2E1E">
        <w:t xml:space="preserve">A positive volume of strategic planning approach for every individual business is necessary to formulate a proper amount of leverage positioning support that ultimately initiated to provide a proper volume of statutory growth including organisation development initiative support (Muhardi </w:t>
      </w:r>
      <w:r w:rsidRPr="002B2E1E">
        <w:rPr>
          <w:i/>
        </w:rPr>
        <w:t xml:space="preserve">et al., </w:t>
      </w:r>
      <w:r w:rsidRPr="002B2E1E">
        <w:t xml:space="preserve">2020). As per the basic identification support, the application of SOAR analysis for the business Accor has been provided to identify the overall opportunity including the strategic development formulations in a systematic order. </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CB00BA" w:rsidRPr="002B2E1E" w14:paraId="107781AF" w14:textId="77777777">
        <w:tc>
          <w:tcPr>
            <w:tcW w:w="4514" w:type="dxa"/>
            <w:shd w:val="clear" w:color="auto" w:fill="auto"/>
            <w:tcMar>
              <w:top w:w="100" w:type="dxa"/>
              <w:left w:w="100" w:type="dxa"/>
              <w:bottom w:w="100" w:type="dxa"/>
              <w:right w:w="100" w:type="dxa"/>
            </w:tcMar>
          </w:tcPr>
          <w:p w14:paraId="7A83E0F6" w14:textId="77777777" w:rsidR="00CB00BA" w:rsidRPr="002B2E1E" w:rsidRDefault="002E301D">
            <w:pPr>
              <w:widowControl w:val="0"/>
              <w:jc w:val="center"/>
              <w:rPr>
                <w:b/>
              </w:rPr>
            </w:pPr>
            <w:r w:rsidRPr="002B2E1E">
              <w:rPr>
                <w:b/>
              </w:rPr>
              <w:t>Strength</w:t>
            </w:r>
          </w:p>
        </w:tc>
        <w:tc>
          <w:tcPr>
            <w:tcW w:w="4514" w:type="dxa"/>
            <w:shd w:val="clear" w:color="auto" w:fill="auto"/>
            <w:tcMar>
              <w:top w:w="100" w:type="dxa"/>
              <w:left w:w="100" w:type="dxa"/>
              <w:bottom w:w="100" w:type="dxa"/>
              <w:right w:w="100" w:type="dxa"/>
            </w:tcMar>
          </w:tcPr>
          <w:p w14:paraId="305A3A33" w14:textId="77777777" w:rsidR="00CB00BA" w:rsidRPr="002B2E1E" w:rsidRDefault="002E301D">
            <w:pPr>
              <w:widowControl w:val="0"/>
              <w:jc w:val="center"/>
              <w:rPr>
                <w:b/>
              </w:rPr>
            </w:pPr>
            <w:r w:rsidRPr="002B2E1E">
              <w:rPr>
                <w:b/>
              </w:rPr>
              <w:t xml:space="preserve">Aspirations </w:t>
            </w:r>
          </w:p>
        </w:tc>
      </w:tr>
      <w:tr w:rsidR="00CB00BA" w:rsidRPr="002B2E1E" w14:paraId="0DA6C08C" w14:textId="77777777">
        <w:tc>
          <w:tcPr>
            <w:tcW w:w="4514" w:type="dxa"/>
            <w:shd w:val="clear" w:color="auto" w:fill="auto"/>
            <w:tcMar>
              <w:top w:w="100" w:type="dxa"/>
              <w:left w:w="100" w:type="dxa"/>
              <w:bottom w:w="100" w:type="dxa"/>
              <w:right w:w="100" w:type="dxa"/>
            </w:tcMar>
          </w:tcPr>
          <w:p w14:paraId="53B6D12B" w14:textId="77777777" w:rsidR="00CB00BA" w:rsidRPr="002B2E1E" w:rsidRDefault="002E301D">
            <w:pPr>
              <w:widowControl w:val="0"/>
              <w:jc w:val="left"/>
            </w:pPr>
            <w:r w:rsidRPr="002B2E1E">
              <w:t xml:space="preserve">1. Global market operations with optimised capital support </w:t>
            </w:r>
          </w:p>
          <w:p w14:paraId="27833A1C" w14:textId="77777777" w:rsidR="00CB00BA" w:rsidRPr="002B2E1E" w:rsidRDefault="002E301D">
            <w:pPr>
              <w:widowControl w:val="0"/>
              <w:jc w:val="left"/>
            </w:pPr>
            <w:r w:rsidRPr="002B2E1E">
              <w:t xml:space="preserve">2. Present market positions and supply chain structure </w:t>
            </w:r>
          </w:p>
          <w:p w14:paraId="705915B1" w14:textId="77777777" w:rsidR="00CB00BA" w:rsidRPr="002B2E1E" w:rsidRDefault="002E301D">
            <w:pPr>
              <w:widowControl w:val="0"/>
              <w:jc w:val="left"/>
            </w:pPr>
            <w:r w:rsidRPr="002B2E1E">
              <w:t xml:space="preserve">3. Expanded bottom line and a positive branding support </w:t>
            </w:r>
          </w:p>
          <w:p w14:paraId="24A2191E" w14:textId="77777777" w:rsidR="00CB00BA" w:rsidRPr="002B2E1E" w:rsidRDefault="002E301D">
            <w:pPr>
              <w:widowControl w:val="0"/>
              <w:jc w:val="left"/>
            </w:pPr>
            <w:r w:rsidRPr="002B2E1E">
              <w:t xml:space="preserve">4. Current strategic approach to business expansions </w:t>
            </w:r>
          </w:p>
        </w:tc>
        <w:tc>
          <w:tcPr>
            <w:tcW w:w="4514" w:type="dxa"/>
            <w:shd w:val="clear" w:color="auto" w:fill="auto"/>
            <w:tcMar>
              <w:top w:w="100" w:type="dxa"/>
              <w:left w:w="100" w:type="dxa"/>
              <w:bottom w:w="100" w:type="dxa"/>
              <w:right w:w="100" w:type="dxa"/>
            </w:tcMar>
          </w:tcPr>
          <w:p w14:paraId="79AA6A70" w14:textId="77777777" w:rsidR="00CB00BA" w:rsidRPr="002B2E1E" w:rsidRDefault="002E301D">
            <w:pPr>
              <w:widowControl w:val="0"/>
              <w:jc w:val="left"/>
            </w:pPr>
            <w:r w:rsidRPr="002B2E1E">
              <w:t xml:space="preserve">1. €23 billion in business expansions </w:t>
            </w:r>
          </w:p>
          <w:p w14:paraId="19C24306" w14:textId="77777777" w:rsidR="00CB00BA" w:rsidRPr="002B2E1E" w:rsidRDefault="002E301D">
            <w:pPr>
              <w:widowControl w:val="0"/>
              <w:jc w:val="left"/>
            </w:pPr>
            <w:r w:rsidRPr="002B2E1E">
              <w:t>2. €2.5 billion of purchases through the Procurement department</w:t>
            </w:r>
          </w:p>
          <w:p w14:paraId="4C920C3B" w14:textId="77777777" w:rsidR="00CB00BA" w:rsidRPr="002B2E1E" w:rsidRDefault="002E301D">
            <w:pPr>
              <w:widowControl w:val="0"/>
              <w:jc w:val="left"/>
            </w:pPr>
            <w:r w:rsidRPr="002B2E1E">
              <w:t>3. A formulated development in dividend policy engagement (Accor, 2019)</w:t>
            </w:r>
          </w:p>
          <w:p w14:paraId="19EBFF1D" w14:textId="77777777" w:rsidR="00CB00BA" w:rsidRPr="002B2E1E" w:rsidRDefault="002E301D">
            <w:pPr>
              <w:widowControl w:val="0"/>
              <w:jc w:val="left"/>
            </w:pPr>
            <w:r w:rsidRPr="002B2E1E">
              <w:t xml:space="preserve">4. A proper revenue development support with the amount of more than  €4 billion </w:t>
            </w:r>
          </w:p>
        </w:tc>
      </w:tr>
      <w:tr w:rsidR="00CB00BA" w:rsidRPr="002B2E1E" w14:paraId="3A634E1B" w14:textId="77777777">
        <w:tc>
          <w:tcPr>
            <w:tcW w:w="4514" w:type="dxa"/>
            <w:shd w:val="clear" w:color="auto" w:fill="auto"/>
            <w:tcMar>
              <w:top w:w="100" w:type="dxa"/>
              <w:left w:w="100" w:type="dxa"/>
              <w:bottom w:w="100" w:type="dxa"/>
              <w:right w:w="100" w:type="dxa"/>
            </w:tcMar>
          </w:tcPr>
          <w:p w14:paraId="51357980" w14:textId="77777777" w:rsidR="00CB00BA" w:rsidRPr="002B2E1E" w:rsidRDefault="002E301D">
            <w:pPr>
              <w:widowControl w:val="0"/>
              <w:jc w:val="center"/>
              <w:rPr>
                <w:b/>
              </w:rPr>
            </w:pPr>
            <w:r w:rsidRPr="002B2E1E">
              <w:rPr>
                <w:b/>
              </w:rPr>
              <w:t xml:space="preserve">Opportunities </w:t>
            </w:r>
          </w:p>
        </w:tc>
        <w:tc>
          <w:tcPr>
            <w:tcW w:w="4514" w:type="dxa"/>
            <w:shd w:val="clear" w:color="auto" w:fill="auto"/>
            <w:tcMar>
              <w:top w:w="100" w:type="dxa"/>
              <w:left w:w="100" w:type="dxa"/>
              <w:bottom w:w="100" w:type="dxa"/>
              <w:right w:w="100" w:type="dxa"/>
            </w:tcMar>
          </w:tcPr>
          <w:p w14:paraId="0B82F7A6" w14:textId="77777777" w:rsidR="00CB00BA" w:rsidRPr="002B2E1E" w:rsidRDefault="002E301D">
            <w:pPr>
              <w:widowControl w:val="0"/>
              <w:jc w:val="center"/>
              <w:rPr>
                <w:b/>
              </w:rPr>
            </w:pPr>
            <w:r w:rsidRPr="002B2E1E">
              <w:rPr>
                <w:b/>
              </w:rPr>
              <w:t xml:space="preserve">Results </w:t>
            </w:r>
          </w:p>
        </w:tc>
      </w:tr>
      <w:tr w:rsidR="00CB00BA" w:rsidRPr="002B2E1E" w14:paraId="4678958B" w14:textId="77777777">
        <w:tc>
          <w:tcPr>
            <w:tcW w:w="4514" w:type="dxa"/>
            <w:shd w:val="clear" w:color="auto" w:fill="auto"/>
            <w:tcMar>
              <w:top w:w="100" w:type="dxa"/>
              <w:left w:w="100" w:type="dxa"/>
              <w:bottom w:w="100" w:type="dxa"/>
              <w:right w:w="100" w:type="dxa"/>
            </w:tcMar>
          </w:tcPr>
          <w:p w14:paraId="0EB8417F" w14:textId="77777777" w:rsidR="00CB00BA" w:rsidRPr="002B2E1E" w:rsidRDefault="002E301D">
            <w:pPr>
              <w:widowControl w:val="0"/>
              <w:jc w:val="left"/>
            </w:pPr>
            <w:r w:rsidRPr="002B2E1E">
              <w:t xml:space="preserve">1. Applied robust development strategies  </w:t>
            </w:r>
          </w:p>
          <w:p w14:paraId="4DB556E3" w14:textId="77777777" w:rsidR="00CB00BA" w:rsidRPr="002B2E1E" w:rsidRDefault="002E301D">
            <w:pPr>
              <w:widowControl w:val="0"/>
              <w:jc w:val="left"/>
            </w:pPr>
            <w:r w:rsidRPr="002B2E1E">
              <w:t xml:space="preserve">2. Business global expansion strategies </w:t>
            </w:r>
          </w:p>
          <w:p w14:paraId="40D333AF" w14:textId="77777777" w:rsidR="00CB00BA" w:rsidRPr="002B2E1E" w:rsidRDefault="002E301D">
            <w:pPr>
              <w:widowControl w:val="0"/>
              <w:jc w:val="left"/>
            </w:pPr>
            <w:r w:rsidRPr="002B2E1E">
              <w:t>3. €70 m pledged to the ALL Heartist Fund</w:t>
            </w:r>
          </w:p>
          <w:p w14:paraId="017285AA" w14:textId="77777777" w:rsidR="00CB00BA" w:rsidRPr="002B2E1E" w:rsidRDefault="002E301D">
            <w:pPr>
              <w:widowControl w:val="0"/>
              <w:jc w:val="left"/>
            </w:pPr>
            <w:r w:rsidRPr="002B2E1E">
              <w:t>4. Commitment to net-zero SBTi by 2050 (accor.com, 2022)</w:t>
            </w:r>
          </w:p>
        </w:tc>
        <w:tc>
          <w:tcPr>
            <w:tcW w:w="4514" w:type="dxa"/>
            <w:shd w:val="clear" w:color="auto" w:fill="auto"/>
            <w:tcMar>
              <w:top w:w="100" w:type="dxa"/>
              <w:left w:w="100" w:type="dxa"/>
              <w:bottom w:w="100" w:type="dxa"/>
              <w:right w:w="100" w:type="dxa"/>
            </w:tcMar>
          </w:tcPr>
          <w:p w14:paraId="217E6A01" w14:textId="77777777" w:rsidR="00CB00BA" w:rsidRPr="002B2E1E" w:rsidRDefault="002E301D">
            <w:pPr>
              <w:widowControl w:val="0"/>
              <w:jc w:val="left"/>
            </w:pPr>
            <w:r w:rsidRPr="002B2E1E">
              <w:t>1. 97% employee skill and development approach for sustainability</w:t>
            </w:r>
          </w:p>
          <w:p w14:paraId="09B57864" w14:textId="77777777" w:rsidR="00CB00BA" w:rsidRPr="002B2E1E" w:rsidRDefault="002E301D">
            <w:pPr>
              <w:widowControl w:val="0"/>
              <w:jc w:val="left"/>
            </w:pPr>
            <w:r w:rsidRPr="002B2E1E">
              <w:t>2. 39% of women engaged in related business operation</w:t>
            </w:r>
          </w:p>
          <w:p w14:paraId="11D85302" w14:textId="77777777" w:rsidR="00CB00BA" w:rsidRPr="002B2E1E" w:rsidRDefault="002E301D">
            <w:pPr>
              <w:widowControl w:val="0"/>
              <w:jc w:val="left"/>
            </w:pPr>
            <w:r w:rsidRPr="002B2E1E">
              <w:t>3. 84% elimination of plastic products</w:t>
            </w:r>
          </w:p>
          <w:p w14:paraId="32F5382D" w14:textId="77777777" w:rsidR="00CB00BA" w:rsidRPr="002B2E1E" w:rsidRDefault="002E301D">
            <w:pPr>
              <w:widowControl w:val="0"/>
              <w:jc w:val="left"/>
            </w:pPr>
            <w:r w:rsidRPr="002B2E1E">
              <w:t>4. A formulated opportunity related to diversified marketing engagement and gender equality (Ali and Dunay, 2021)</w:t>
            </w:r>
          </w:p>
          <w:p w14:paraId="0478DA46" w14:textId="77777777" w:rsidR="00CB00BA" w:rsidRPr="002B2E1E" w:rsidRDefault="002E301D">
            <w:pPr>
              <w:widowControl w:val="0"/>
              <w:jc w:val="left"/>
            </w:pPr>
            <w:r w:rsidRPr="002B2E1E">
              <w:t xml:space="preserve">5. A progressive formulation of market </w:t>
            </w:r>
            <w:r w:rsidRPr="002B2E1E">
              <w:lastRenderedPageBreak/>
              <w:t>capitalisation (Cambon, 2023)</w:t>
            </w:r>
          </w:p>
          <w:p w14:paraId="2B5A68F0" w14:textId="77777777" w:rsidR="00CB00BA" w:rsidRPr="002B2E1E" w:rsidRDefault="002E301D">
            <w:pPr>
              <w:widowControl w:val="0"/>
              <w:jc w:val="left"/>
            </w:pPr>
            <w:r w:rsidRPr="002B2E1E">
              <w:t xml:space="preserve">6. A proper contribution towards the Governance Engagement  </w:t>
            </w:r>
          </w:p>
        </w:tc>
      </w:tr>
    </w:tbl>
    <w:p w14:paraId="1B0DC93B" w14:textId="77777777" w:rsidR="00CB00BA" w:rsidRDefault="00CB00BA">
      <w:pPr>
        <w:rPr>
          <w:b/>
        </w:rPr>
      </w:pPr>
    </w:p>
    <w:p w14:paraId="7AEDA26A" w14:textId="77777777" w:rsidR="002B2E1E" w:rsidRDefault="002B2E1E" w:rsidP="002B2E1E">
      <w:pPr>
        <w:jc w:val="center"/>
        <w:rPr>
          <w:b/>
        </w:rPr>
      </w:pPr>
      <w:r>
        <w:rPr>
          <w:b/>
        </w:rPr>
        <w:t xml:space="preserve">Table 2: </w:t>
      </w:r>
      <w:r w:rsidRPr="002B2E1E">
        <w:rPr>
          <w:b/>
        </w:rPr>
        <w:t>SOAR analysis</w:t>
      </w:r>
      <w:r>
        <w:rPr>
          <w:b/>
        </w:rPr>
        <w:t xml:space="preserve"> for Accor plc</w:t>
      </w:r>
    </w:p>
    <w:p w14:paraId="097CAF60" w14:textId="77777777" w:rsidR="002B2E1E" w:rsidRPr="002B2E1E" w:rsidRDefault="002B2E1E" w:rsidP="002B2E1E">
      <w:pPr>
        <w:jc w:val="center"/>
      </w:pPr>
      <w:r w:rsidRPr="002B2E1E">
        <w:t>(Source: Learner)</w:t>
      </w:r>
    </w:p>
    <w:p w14:paraId="0F60BAE3" w14:textId="77777777" w:rsidR="00CB00BA" w:rsidRPr="002B2E1E" w:rsidRDefault="002E301D" w:rsidP="002B2E1E">
      <w:pPr>
        <w:pStyle w:val="Heading2"/>
      </w:pPr>
      <w:bookmarkStart w:id="11" w:name="_Toc157294156"/>
      <w:r w:rsidRPr="002B2E1E">
        <w:t>2.4 Applied TOWS analysis for the hospitality business in Australia</w:t>
      </w:r>
      <w:bookmarkEnd w:id="11"/>
      <w:r w:rsidRPr="002B2E1E">
        <w:t xml:space="preserve"> </w:t>
      </w:r>
    </w:p>
    <w:p w14:paraId="0CEE551C" w14:textId="77777777" w:rsidR="00CB00BA" w:rsidRPr="002B2E1E" w:rsidRDefault="002E301D">
      <w:r w:rsidRPr="002B2E1E">
        <w:t xml:space="preserve">The formulation support including the maintenance approach of TOWS analysis has been initiated to provide a proper volume of strategic planning structure including the market initiative approach for individual businesses with the support of </w:t>
      </w:r>
      <w:r w:rsidRPr="00E554F2">
        <w:rPr>
          <w:bCs/>
        </w:rPr>
        <w:t xml:space="preserve">threats, opportunities, weaknesses, and strengths (Asadpourian </w:t>
      </w:r>
      <w:r w:rsidRPr="00E554F2">
        <w:rPr>
          <w:bCs/>
          <w:i/>
        </w:rPr>
        <w:t xml:space="preserve">et al., </w:t>
      </w:r>
      <w:r w:rsidRPr="00E554F2">
        <w:rPr>
          <w:bCs/>
        </w:rPr>
        <w:t>2020). The formulation of this type of</w:t>
      </w:r>
      <w:r w:rsidRPr="002B2E1E">
        <w:t xml:space="preserve"> engagement is initiated to provide the statutory formulation benefit including the structural performance reasons also which provide is significant amount of stability growth. As per the present identifications, the application of this analysis Accor has been provided. </w:t>
      </w:r>
    </w:p>
    <w:tbl>
      <w:tblPr>
        <w:tblStyle w:val="a1"/>
        <w:tblW w:w="10500" w:type="dxa"/>
        <w:tblInd w:w="-6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65"/>
        <w:gridCol w:w="3300"/>
        <w:gridCol w:w="3735"/>
      </w:tblGrid>
      <w:tr w:rsidR="00CB00BA" w:rsidRPr="002B2E1E" w14:paraId="272482CA" w14:textId="77777777">
        <w:tc>
          <w:tcPr>
            <w:tcW w:w="3465" w:type="dxa"/>
            <w:shd w:val="clear" w:color="auto" w:fill="auto"/>
            <w:tcMar>
              <w:top w:w="100" w:type="dxa"/>
              <w:left w:w="100" w:type="dxa"/>
              <w:bottom w:w="100" w:type="dxa"/>
              <w:right w:w="100" w:type="dxa"/>
            </w:tcMar>
          </w:tcPr>
          <w:p w14:paraId="2E43C0F4" w14:textId="77777777" w:rsidR="00CB00BA" w:rsidRPr="002B2E1E" w:rsidRDefault="00CB00BA">
            <w:pPr>
              <w:widowControl w:val="0"/>
              <w:jc w:val="center"/>
              <w:rPr>
                <w:b/>
              </w:rPr>
            </w:pPr>
          </w:p>
        </w:tc>
        <w:tc>
          <w:tcPr>
            <w:tcW w:w="3300" w:type="dxa"/>
            <w:shd w:val="clear" w:color="auto" w:fill="auto"/>
            <w:tcMar>
              <w:top w:w="100" w:type="dxa"/>
              <w:left w:w="100" w:type="dxa"/>
              <w:bottom w:w="100" w:type="dxa"/>
              <w:right w:w="100" w:type="dxa"/>
            </w:tcMar>
          </w:tcPr>
          <w:p w14:paraId="784E29CD" w14:textId="77777777" w:rsidR="00CB00BA" w:rsidRPr="002B2E1E" w:rsidRDefault="002E301D">
            <w:pPr>
              <w:widowControl w:val="0"/>
              <w:jc w:val="center"/>
              <w:rPr>
                <w:b/>
              </w:rPr>
            </w:pPr>
            <w:r w:rsidRPr="002B2E1E">
              <w:rPr>
                <w:b/>
              </w:rPr>
              <w:t>Strength</w:t>
            </w:r>
          </w:p>
          <w:p w14:paraId="69A6A384" w14:textId="77777777" w:rsidR="00CB00BA" w:rsidRPr="002B2E1E" w:rsidRDefault="002E301D">
            <w:pPr>
              <w:widowControl w:val="0"/>
              <w:jc w:val="left"/>
            </w:pPr>
            <w:r w:rsidRPr="002B2E1E">
              <w:t xml:space="preserve">1. Global market operations with optimised capital support </w:t>
            </w:r>
          </w:p>
          <w:p w14:paraId="38DBFD82" w14:textId="77777777" w:rsidR="00CB00BA" w:rsidRPr="002B2E1E" w:rsidRDefault="002E301D">
            <w:pPr>
              <w:widowControl w:val="0"/>
              <w:jc w:val="left"/>
            </w:pPr>
            <w:r w:rsidRPr="002B2E1E">
              <w:t xml:space="preserve">2. Present market positions and supply chain structure </w:t>
            </w:r>
          </w:p>
          <w:p w14:paraId="6A99360C" w14:textId="77777777" w:rsidR="00CB00BA" w:rsidRPr="002B2E1E" w:rsidRDefault="002E301D">
            <w:pPr>
              <w:widowControl w:val="0"/>
              <w:jc w:val="left"/>
            </w:pPr>
            <w:r w:rsidRPr="002B2E1E">
              <w:t xml:space="preserve">3. Expanded bottom line and a positive branding support </w:t>
            </w:r>
          </w:p>
          <w:p w14:paraId="12BB51B0" w14:textId="77777777" w:rsidR="00CB00BA" w:rsidRPr="002B2E1E" w:rsidRDefault="002E301D">
            <w:pPr>
              <w:widowControl w:val="0"/>
              <w:jc w:val="left"/>
              <w:rPr>
                <w:b/>
              </w:rPr>
            </w:pPr>
            <w:r w:rsidRPr="002B2E1E">
              <w:t xml:space="preserve">4. Current strategic approach to business expansions </w:t>
            </w:r>
          </w:p>
        </w:tc>
        <w:tc>
          <w:tcPr>
            <w:tcW w:w="3735" w:type="dxa"/>
            <w:shd w:val="clear" w:color="auto" w:fill="auto"/>
            <w:tcMar>
              <w:top w:w="100" w:type="dxa"/>
              <w:left w:w="100" w:type="dxa"/>
              <w:bottom w:w="100" w:type="dxa"/>
              <w:right w:w="100" w:type="dxa"/>
            </w:tcMar>
          </w:tcPr>
          <w:p w14:paraId="373992EC" w14:textId="77777777" w:rsidR="00CB00BA" w:rsidRPr="002B2E1E" w:rsidRDefault="002E301D">
            <w:pPr>
              <w:widowControl w:val="0"/>
              <w:jc w:val="center"/>
              <w:rPr>
                <w:b/>
              </w:rPr>
            </w:pPr>
            <w:r w:rsidRPr="002B2E1E">
              <w:rPr>
                <w:b/>
              </w:rPr>
              <w:t>Weakness</w:t>
            </w:r>
          </w:p>
          <w:p w14:paraId="36C6343D" w14:textId="77777777" w:rsidR="00CB00BA" w:rsidRPr="002B2E1E" w:rsidRDefault="002E301D">
            <w:pPr>
              <w:widowControl w:val="0"/>
              <w:jc w:val="left"/>
            </w:pPr>
            <w:r w:rsidRPr="002B2E1E">
              <w:t>1. Current competitive market challenges</w:t>
            </w:r>
          </w:p>
          <w:p w14:paraId="6CCECD17" w14:textId="77777777" w:rsidR="00CB00BA" w:rsidRPr="002B2E1E" w:rsidRDefault="002E301D">
            <w:pPr>
              <w:widowControl w:val="0"/>
              <w:jc w:val="left"/>
            </w:pPr>
            <w:r w:rsidRPr="002B2E1E">
              <w:t xml:space="preserve">2. Present pandemic crisis </w:t>
            </w:r>
          </w:p>
          <w:p w14:paraId="549EEFC1" w14:textId="77777777" w:rsidR="00CB00BA" w:rsidRPr="002B2E1E" w:rsidRDefault="002E301D">
            <w:pPr>
              <w:widowControl w:val="0"/>
              <w:jc w:val="left"/>
            </w:pPr>
            <w:r w:rsidRPr="002B2E1E">
              <w:t xml:space="preserve">3. Present expanded Energy cost </w:t>
            </w:r>
          </w:p>
          <w:p w14:paraId="70609773" w14:textId="77777777" w:rsidR="00CB00BA" w:rsidRPr="002B2E1E" w:rsidRDefault="002E301D">
            <w:pPr>
              <w:widowControl w:val="0"/>
              <w:jc w:val="left"/>
            </w:pPr>
            <w:r w:rsidRPr="002B2E1E">
              <w:t>4. Current expanded taxation charges (accor.com, 2024)</w:t>
            </w:r>
          </w:p>
          <w:p w14:paraId="449F1CE6" w14:textId="77777777" w:rsidR="00CB00BA" w:rsidRPr="002B2E1E" w:rsidRDefault="00CB00BA">
            <w:pPr>
              <w:widowControl w:val="0"/>
              <w:jc w:val="left"/>
            </w:pPr>
          </w:p>
        </w:tc>
      </w:tr>
      <w:tr w:rsidR="00CB00BA" w:rsidRPr="002B2E1E" w14:paraId="484C4F71" w14:textId="77777777">
        <w:tc>
          <w:tcPr>
            <w:tcW w:w="3465" w:type="dxa"/>
            <w:shd w:val="clear" w:color="auto" w:fill="auto"/>
            <w:tcMar>
              <w:top w:w="100" w:type="dxa"/>
              <w:left w:w="100" w:type="dxa"/>
              <w:bottom w:w="100" w:type="dxa"/>
              <w:right w:w="100" w:type="dxa"/>
            </w:tcMar>
          </w:tcPr>
          <w:p w14:paraId="3EBA540D" w14:textId="77777777" w:rsidR="00CB00BA" w:rsidRPr="002B2E1E" w:rsidRDefault="002E301D">
            <w:pPr>
              <w:widowControl w:val="0"/>
              <w:jc w:val="center"/>
              <w:rPr>
                <w:b/>
              </w:rPr>
            </w:pPr>
            <w:r w:rsidRPr="002B2E1E">
              <w:rPr>
                <w:b/>
              </w:rPr>
              <w:t xml:space="preserve">Opportunities </w:t>
            </w:r>
          </w:p>
          <w:p w14:paraId="0D375A4E" w14:textId="77777777" w:rsidR="00CB00BA" w:rsidRPr="002B2E1E" w:rsidRDefault="002E301D">
            <w:pPr>
              <w:widowControl w:val="0"/>
              <w:jc w:val="left"/>
            </w:pPr>
            <w:r w:rsidRPr="002B2E1E">
              <w:t xml:space="preserve">1. Applied robust development strategies  </w:t>
            </w:r>
          </w:p>
          <w:p w14:paraId="1F90252D" w14:textId="77777777" w:rsidR="00CB00BA" w:rsidRPr="002B2E1E" w:rsidRDefault="002E301D">
            <w:pPr>
              <w:widowControl w:val="0"/>
              <w:jc w:val="left"/>
            </w:pPr>
            <w:r w:rsidRPr="002B2E1E">
              <w:t xml:space="preserve">2. Business global expansion strategies </w:t>
            </w:r>
          </w:p>
          <w:p w14:paraId="77EEE3B8" w14:textId="77777777" w:rsidR="00CB00BA" w:rsidRPr="002B2E1E" w:rsidRDefault="002E301D">
            <w:pPr>
              <w:widowControl w:val="0"/>
              <w:jc w:val="left"/>
            </w:pPr>
            <w:r w:rsidRPr="002B2E1E">
              <w:t>3. €70 m pledged to the ALL Heartist Fund (accor.com, 2022)</w:t>
            </w:r>
          </w:p>
          <w:p w14:paraId="22A308C6" w14:textId="77777777" w:rsidR="00CB00BA" w:rsidRPr="002B2E1E" w:rsidRDefault="002E301D">
            <w:pPr>
              <w:widowControl w:val="0"/>
              <w:jc w:val="left"/>
              <w:rPr>
                <w:b/>
              </w:rPr>
            </w:pPr>
            <w:r w:rsidRPr="002B2E1E">
              <w:t>4. Commitment to net-zero SBTi by 2050</w:t>
            </w:r>
          </w:p>
        </w:tc>
        <w:tc>
          <w:tcPr>
            <w:tcW w:w="3300" w:type="dxa"/>
            <w:shd w:val="clear" w:color="auto" w:fill="auto"/>
            <w:tcMar>
              <w:top w:w="100" w:type="dxa"/>
              <w:left w:w="100" w:type="dxa"/>
              <w:bottom w:w="100" w:type="dxa"/>
              <w:right w:w="100" w:type="dxa"/>
            </w:tcMar>
          </w:tcPr>
          <w:p w14:paraId="63946261" w14:textId="77777777" w:rsidR="00CB00BA" w:rsidRPr="002B2E1E" w:rsidRDefault="002E301D">
            <w:pPr>
              <w:widowControl w:val="0"/>
              <w:jc w:val="left"/>
              <w:rPr>
                <w:b/>
              </w:rPr>
            </w:pPr>
            <w:r w:rsidRPr="002B2E1E">
              <w:rPr>
                <w:b/>
              </w:rPr>
              <w:t xml:space="preserve">SO: </w:t>
            </w:r>
          </w:p>
          <w:p w14:paraId="4E8F03E5" w14:textId="77777777" w:rsidR="00CB00BA" w:rsidRPr="002B2E1E" w:rsidRDefault="002E301D">
            <w:pPr>
              <w:widowControl w:val="0"/>
              <w:jc w:val="left"/>
            </w:pPr>
            <w:r w:rsidRPr="002B2E1E">
              <w:t xml:space="preserve">Application of present global market operations support with the supply chain processing for and gaining the robust development strategies (Roy, 2021) </w:t>
            </w:r>
          </w:p>
        </w:tc>
        <w:tc>
          <w:tcPr>
            <w:tcW w:w="3735" w:type="dxa"/>
            <w:shd w:val="clear" w:color="auto" w:fill="auto"/>
            <w:tcMar>
              <w:top w:w="100" w:type="dxa"/>
              <w:left w:w="100" w:type="dxa"/>
              <w:bottom w:w="100" w:type="dxa"/>
              <w:right w:w="100" w:type="dxa"/>
            </w:tcMar>
          </w:tcPr>
          <w:p w14:paraId="5F954E2B" w14:textId="77777777" w:rsidR="00CB00BA" w:rsidRPr="002B2E1E" w:rsidRDefault="002E301D">
            <w:pPr>
              <w:widowControl w:val="0"/>
              <w:jc w:val="left"/>
              <w:rPr>
                <w:b/>
              </w:rPr>
            </w:pPr>
            <w:r w:rsidRPr="002B2E1E">
              <w:rPr>
                <w:b/>
              </w:rPr>
              <w:t xml:space="preserve">WO: </w:t>
            </w:r>
          </w:p>
          <w:p w14:paraId="7DE4A9A0" w14:textId="77777777" w:rsidR="00CB00BA" w:rsidRPr="002B2E1E" w:rsidRDefault="002E301D">
            <w:pPr>
              <w:widowControl w:val="0"/>
              <w:jc w:val="left"/>
            </w:pPr>
            <w:r w:rsidRPr="002B2E1E">
              <w:t xml:space="preserve">The current pandemic crisis includes the expanded level of energy cost positions and taxation approach that initiates a proper volume of formulation issues and also provides an opportunity related to the Heartist Funding position </w:t>
            </w:r>
          </w:p>
        </w:tc>
      </w:tr>
      <w:tr w:rsidR="00CB00BA" w:rsidRPr="002B2E1E" w14:paraId="50BDF79E" w14:textId="77777777">
        <w:tc>
          <w:tcPr>
            <w:tcW w:w="3465" w:type="dxa"/>
            <w:shd w:val="clear" w:color="auto" w:fill="auto"/>
            <w:tcMar>
              <w:top w:w="100" w:type="dxa"/>
              <w:left w:w="100" w:type="dxa"/>
              <w:bottom w:w="100" w:type="dxa"/>
              <w:right w:w="100" w:type="dxa"/>
            </w:tcMar>
          </w:tcPr>
          <w:p w14:paraId="329086AE" w14:textId="77777777" w:rsidR="00CB00BA" w:rsidRPr="002B2E1E" w:rsidRDefault="002E301D">
            <w:pPr>
              <w:widowControl w:val="0"/>
              <w:jc w:val="center"/>
              <w:rPr>
                <w:b/>
              </w:rPr>
            </w:pPr>
            <w:r w:rsidRPr="002B2E1E">
              <w:rPr>
                <w:b/>
              </w:rPr>
              <w:lastRenderedPageBreak/>
              <w:t xml:space="preserve">Threats </w:t>
            </w:r>
          </w:p>
          <w:p w14:paraId="6D8B98E0" w14:textId="77777777" w:rsidR="00CB00BA" w:rsidRPr="002B2E1E" w:rsidRDefault="002E301D">
            <w:pPr>
              <w:widowControl w:val="0"/>
              <w:jc w:val="left"/>
            </w:pPr>
            <w:r w:rsidRPr="002B2E1E">
              <w:t xml:space="preserve">1. Present labour market issues </w:t>
            </w:r>
          </w:p>
          <w:p w14:paraId="1F74B726" w14:textId="77777777" w:rsidR="00CB00BA" w:rsidRPr="002B2E1E" w:rsidRDefault="002E301D">
            <w:pPr>
              <w:widowControl w:val="0"/>
              <w:jc w:val="left"/>
            </w:pPr>
            <w:r w:rsidRPr="002B2E1E">
              <w:t xml:space="preserve">2. Current supply chain issues </w:t>
            </w:r>
          </w:p>
          <w:p w14:paraId="5BA2E453" w14:textId="77777777" w:rsidR="00CB00BA" w:rsidRPr="002B2E1E" w:rsidRDefault="002E301D">
            <w:pPr>
              <w:widowControl w:val="0"/>
              <w:jc w:val="left"/>
            </w:pPr>
            <w:r w:rsidRPr="002B2E1E">
              <w:t xml:space="preserve">3. Decline Global economic conditions </w:t>
            </w:r>
          </w:p>
          <w:p w14:paraId="131E34D9" w14:textId="77777777" w:rsidR="00CB00BA" w:rsidRPr="002B2E1E" w:rsidRDefault="002E301D">
            <w:pPr>
              <w:widowControl w:val="0"/>
              <w:jc w:val="left"/>
              <w:rPr>
                <w:b/>
              </w:rPr>
            </w:pPr>
            <w:r w:rsidRPr="002B2E1E">
              <w:t xml:space="preserve">4. Expanded inflation levels and interest charges </w:t>
            </w:r>
          </w:p>
        </w:tc>
        <w:tc>
          <w:tcPr>
            <w:tcW w:w="3300" w:type="dxa"/>
            <w:shd w:val="clear" w:color="auto" w:fill="auto"/>
            <w:tcMar>
              <w:top w:w="100" w:type="dxa"/>
              <w:left w:w="100" w:type="dxa"/>
              <w:bottom w:w="100" w:type="dxa"/>
              <w:right w:w="100" w:type="dxa"/>
            </w:tcMar>
          </w:tcPr>
          <w:p w14:paraId="08DE2381" w14:textId="77777777" w:rsidR="00CB00BA" w:rsidRPr="002B2E1E" w:rsidRDefault="002E301D">
            <w:pPr>
              <w:widowControl w:val="0"/>
              <w:jc w:val="left"/>
              <w:rPr>
                <w:b/>
              </w:rPr>
            </w:pPr>
            <w:r w:rsidRPr="002B2E1E">
              <w:rPr>
                <w:b/>
              </w:rPr>
              <w:t xml:space="preserve">ST: </w:t>
            </w:r>
          </w:p>
          <w:p w14:paraId="4D04C7F5" w14:textId="77777777" w:rsidR="00CB00BA" w:rsidRPr="002B2E1E" w:rsidRDefault="002E301D">
            <w:pPr>
              <w:widowControl w:val="0"/>
              <w:jc w:val="left"/>
            </w:pPr>
            <w:r w:rsidRPr="002B2E1E">
              <w:t>The present initiated bottle line approach along with the branding initiative supports initiating the elimination of current supply chain issues effectively</w:t>
            </w:r>
          </w:p>
        </w:tc>
        <w:tc>
          <w:tcPr>
            <w:tcW w:w="3735" w:type="dxa"/>
            <w:shd w:val="clear" w:color="auto" w:fill="auto"/>
            <w:tcMar>
              <w:top w:w="100" w:type="dxa"/>
              <w:left w:w="100" w:type="dxa"/>
              <w:bottom w:w="100" w:type="dxa"/>
              <w:right w:w="100" w:type="dxa"/>
            </w:tcMar>
          </w:tcPr>
          <w:p w14:paraId="4B77CF68" w14:textId="77777777" w:rsidR="00CB00BA" w:rsidRPr="002B2E1E" w:rsidRDefault="002E301D">
            <w:pPr>
              <w:widowControl w:val="0"/>
              <w:jc w:val="left"/>
              <w:rPr>
                <w:b/>
              </w:rPr>
            </w:pPr>
            <w:r w:rsidRPr="002B2E1E">
              <w:rPr>
                <w:b/>
              </w:rPr>
              <w:t xml:space="preserve">WT: </w:t>
            </w:r>
          </w:p>
          <w:p w14:paraId="4E5C949C" w14:textId="77777777" w:rsidR="00CB00BA" w:rsidRPr="002B2E1E" w:rsidRDefault="002E301D">
            <w:pPr>
              <w:widowControl w:val="0"/>
              <w:jc w:val="left"/>
            </w:pPr>
            <w:r w:rsidRPr="002B2E1E">
              <w:t>The present volume of taxation engagement initiates a declining economic position that ultimately imposes certain charges for the business development (Kim, 2021)</w:t>
            </w:r>
          </w:p>
        </w:tc>
      </w:tr>
    </w:tbl>
    <w:p w14:paraId="22D14529" w14:textId="77777777" w:rsidR="00CB00BA" w:rsidRDefault="00CB00BA"/>
    <w:p w14:paraId="51570ACA" w14:textId="77777777" w:rsidR="002B2E1E" w:rsidRDefault="002B2E1E" w:rsidP="002B2E1E">
      <w:pPr>
        <w:jc w:val="center"/>
        <w:rPr>
          <w:b/>
        </w:rPr>
      </w:pPr>
      <w:r>
        <w:rPr>
          <w:b/>
        </w:rPr>
        <w:t>Table 3: TOWS</w:t>
      </w:r>
      <w:r w:rsidRPr="002B2E1E">
        <w:rPr>
          <w:b/>
        </w:rPr>
        <w:t xml:space="preserve"> analysis</w:t>
      </w:r>
      <w:r>
        <w:rPr>
          <w:b/>
        </w:rPr>
        <w:t xml:space="preserve"> for Accor plc</w:t>
      </w:r>
    </w:p>
    <w:p w14:paraId="1345B982" w14:textId="77777777" w:rsidR="002B2E1E" w:rsidRPr="002B2E1E" w:rsidRDefault="002B2E1E" w:rsidP="002B2E1E">
      <w:pPr>
        <w:jc w:val="center"/>
      </w:pPr>
      <w:r w:rsidRPr="002B2E1E">
        <w:t>(Source: Learner)</w:t>
      </w:r>
    </w:p>
    <w:p w14:paraId="74EA66B2" w14:textId="77777777" w:rsidR="00CB00BA" w:rsidRPr="002B2E1E" w:rsidRDefault="002E301D" w:rsidP="002B2E1E">
      <w:pPr>
        <w:pStyle w:val="Heading1"/>
      </w:pPr>
      <w:bookmarkStart w:id="12" w:name="_Toc157294157"/>
      <w:r w:rsidRPr="002B2E1E">
        <w:t>3.0 Recommendations and Change Management</w:t>
      </w:r>
      <w:bookmarkEnd w:id="12"/>
      <w:r w:rsidRPr="002B2E1E">
        <w:t xml:space="preserve"> </w:t>
      </w:r>
    </w:p>
    <w:p w14:paraId="5F72BCE3" w14:textId="77777777" w:rsidR="00CB00BA" w:rsidRPr="002B2E1E" w:rsidRDefault="002E301D">
      <w:r w:rsidRPr="002B2E1E">
        <w:t xml:space="preserve">According to the present operating position the engagement and formulation of a positive business development approach have been initiated for the performance growth including the operating development initiatives for every business. For every business, the primary importance of the operation approach needs to be considered by the management so that the performance structure and some of the compatibility initiative positions can be effectively formulated (Heimerl </w:t>
      </w:r>
      <w:r w:rsidRPr="002B2E1E">
        <w:rPr>
          <w:i/>
        </w:rPr>
        <w:t>et al.,</w:t>
      </w:r>
      <w:r w:rsidRPr="002B2E1E">
        <w:t xml:space="preserve"> 2020). According to the primary initiative positioning support, it can be identified that the operational department of business needs to initiate a proper volume of statutory development initiatives including the compatibility positioning approach by individual issues so that the statutory growth and some of the feasibility approaches can be maintained (Heimerl </w:t>
      </w:r>
      <w:r w:rsidRPr="002B2E1E">
        <w:rPr>
          <w:i/>
        </w:rPr>
        <w:t xml:space="preserve">et al., </w:t>
      </w:r>
      <w:r w:rsidRPr="002B2E1E">
        <w:t xml:space="preserve">2020). </w:t>
      </w:r>
    </w:p>
    <w:p w14:paraId="4FC544FA" w14:textId="77777777" w:rsidR="00CB00BA" w:rsidRPr="00E554F2" w:rsidRDefault="002E301D">
      <w:pPr>
        <w:rPr>
          <w:bCs/>
        </w:rPr>
      </w:pPr>
      <w:r w:rsidRPr="002B2E1E">
        <w:t xml:space="preserve">The general initiative related to the application of proper operating measurements for every individual business is necessary as those need to be identified for the operating support including the compatibility beneficial approach effectively. The present performance analysis mainly indicates that, in the present situation the hospitality business related to the Australian accommodation industry is in the position of a certain volume of challenging approach due to several causes (Meixner </w:t>
      </w:r>
      <w:r w:rsidRPr="002B2E1E">
        <w:rPr>
          <w:i/>
        </w:rPr>
        <w:t>et al.,</w:t>
      </w:r>
      <w:r w:rsidRPr="002B2E1E">
        <w:t xml:space="preserve"> 2022). As per the basic measurement support, it is identified that the volume of </w:t>
      </w:r>
      <w:r w:rsidRPr="00E554F2">
        <w:rPr>
          <w:bCs/>
        </w:rPr>
        <w:t>expanded level of energy cost due to the reason of Russia-Ukraine war initiated a certain volume of challenging approaches for the accommodation Industry that ultimately imposed a negative impact on the market development and compatibility positions (Gössling and Lund-Durlacher, 2021). Additionally, the expanded position of taxation imposes a certain volume of challenging approaches related to the market service costing which</w:t>
      </w:r>
      <w:r w:rsidRPr="002B2E1E">
        <w:t xml:space="preserve"> also imposes a negative impact related to the business revenue positions and profitability structure. </w:t>
      </w:r>
      <w:r w:rsidRPr="002B2E1E">
        <w:lastRenderedPageBreak/>
        <w:t xml:space="preserve">Considering the same positioning </w:t>
      </w:r>
      <w:r w:rsidR="002B2E1E" w:rsidRPr="002B2E1E">
        <w:t>approach,</w:t>
      </w:r>
      <w:r w:rsidRPr="002B2E1E">
        <w:t xml:space="preserve"> the </w:t>
      </w:r>
      <w:r w:rsidRPr="00E554F2">
        <w:rPr>
          <w:bCs/>
        </w:rPr>
        <w:t xml:space="preserve">general market labour charges also initiate a certain volume of negative impact over the market positions and also over the competitive market structure that ultimately impose a negative impact related to the marketing development position related to the business Accor in Australia. </w:t>
      </w:r>
    </w:p>
    <w:p w14:paraId="5DF415F7" w14:textId="77777777" w:rsidR="00CB00BA" w:rsidRPr="002B2E1E" w:rsidRDefault="002E301D">
      <w:r w:rsidRPr="00E554F2">
        <w:rPr>
          <w:bCs/>
        </w:rPr>
        <w:t>Under the present situation depending on the primary challenging approach a proper</w:t>
      </w:r>
      <w:r w:rsidRPr="002B2E1E">
        <w:t xml:space="preserve"> volume of strategic development including operating compatibility initiative is mainly recommended to the management of Accor so that the operating growth including the stability positioning approach can be managed on a formulated basis (Kallmuenzer </w:t>
      </w:r>
      <w:r w:rsidRPr="002B2E1E">
        <w:rPr>
          <w:i/>
        </w:rPr>
        <w:t>et al.</w:t>
      </w:r>
      <w:r w:rsidRPr="002B2E1E">
        <w:t xml:space="preserve">, 2020). The primary identification support related to the market development position associated with the business profit structure also needs to be reformulated on a positive basis for the consistent support and optimised value initiative position for the upcoming period. Under the present situation with the consideration support of the operating approach, the management needs to initiate a formulated development positioning support related to the business operating growth for future development (Philipp </w:t>
      </w:r>
      <w:r w:rsidRPr="002B2E1E">
        <w:rPr>
          <w:i/>
        </w:rPr>
        <w:t>et al.</w:t>
      </w:r>
      <w:r w:rsidRPr="002B2E1E">
        <w:t xml:space="preserve">, 2022). Associated with the present operating position the following recommendations are generally initiated for the basic beneficial purpose. As per the present operating position, the general formulation for the business will be; </w:t>
      </w:r>
    </w:p>
    <w:p w14:paraId="77FB9B30" w14:textId="77777777" w:rsidR="00CB00BA" w:rsidRPr="002B2E1E" w:rsidRDefault="002E301D">
      <w:pPr>
        <w:numPr>
          <w:ilvl w:val="0"/>
          <w:numId w:val="3"/>
        </w:numPr>
      </w:pPr>
      <w:r w:rsidRPr="002B2E1E">
        <w:t xml:space="preserve">Under the present position, the management of the business associated with the operating position needs to be initiated with the support of trade development support concerning the cost-controlling formulation for the operating growth including the statutory positioning benefits basis. </w:t>
      </w:r>
    </w:p>
    <w:p w14:paraId="0A7D8750" w14:textId="77777777" w:rsidR="00CB00BA" w:rsidRPr="002B2E1E" w:rsidRDefault="002E301D">
      <w:pPr>
        <w:numPr>
          <w:ilvl w:val="0"/>
          <w:numId w:val="3"/>
        </w:numPr>
      </w:pPr>
      <w:r w:rsidRPr="002B2E1E">
        <w:t xml:space="preserve">In the present situation, the expanded tax rate is one of the primary challenging approaches for the business related to the service approach that also imposes an additional burden due to the expanded volume of energy cost expansions (Davahli </w:t>
      </w:r>
      <w:r w:rsidRPr="002B2E1E">
        <w:rPr>
          <w:i/>
        </w:rPr>
        <w:t>et al.</w:t>
      </w:r>
      <w:r w:rsidRPr="002B2E1E">
        <w:t xml:space="preserve">, 2020). To initiate a proper volume of overcome support regarding these aspects the management needs to apply the Federal Tax rate of 30% on an optimised basis so that proper stability positioning formulations related to the tax burden can be avoided. Even the business also needs to provide a primary volume of focus on Green energy processing properly for future growth. </w:t>
      </w:r>
    </w:p>
    <w:p w14:paraId="0CBCB9BE" w14:textId="77777777" w:rsidR="00CB00BA" w:rsidRPr="002B2E1E" w:rsidRDefault="002E301D">
      <w:pPr>
        <w:numPr>
          <w:ilvl w:val="0"/>
          <w:numId w:val="3"/>
        </w:numPr>
      </w:pPr>
      <w:r w:rsidRPr="002B2E1E">
        <w:t xml:space="preserve">As per the basic identification support at the present situation, the expansion approach related to the labour market charges initiates a certain volume of burden for the business that can be eliminated through the approach of employee retention support. In the present situation, the unemployment rate in Australia has remained in the position of 3.8% with a participation rate of 67% (Australian Bureau of Statistics, 2023). </w:t>
      </w:r>
    </w:p>
    <w:p w14:paraId="3F2E71E9" w14:textId="77777777" w:rsidR="00CB00BA" w:rsidRPr="002B2E1E" w:rsidRDefault="002E301D">
      <w:pPr>
        <w:ind w:left="720"/>
      </w:pPr>
      <w:r w:rsidRPr="002B2E1E">
        <w:lastRenderedPageBreak/>
        <w:t xml:space="preserve">The market position represents the employment increased position is 14,246,000. In the present position, a proper volume of employee training and development engagement related to the applicability of the sustainability approach can be initiated in this business to manage a proper volume of development progress and standardize positioning support more systematically. </w:t>
      </w:r>
    </w:p>
    <w:p w14:paraId="73D4C0D9" w14:textId="77777777" w:rsidR="00CB00BA" w:rsidRPr="002B2E1E" w:rsidRDefault="002E301D">
      <w:pPr>
        <w:numPr>
          <w:ilvl w:val="0"/>
          <w:numId w:val="1"/>
        </w:numPr>
      </w:pPr>
      <w:r w:rsidRPr="002B2E1E">
        <w:t xml:space="preserve">Considering the present competitive market </w:t>
      </w:r>
      <w:r w:rsidR="002B2E1E" w:rsidRPr="002B2E1E">
        <w:t>environment,</w:t>
      </w:r>
      <w:r w:rsidRPr="002B2E1E">
        <w:t xml:space="preserve"> the application of positive promotional attributes can be determined as a positive opportunity determinant for individual businesses including for this hospitality organisation for an effective amount of market compatibility growth (Santana-Sosa and Kovacic, 2022). In the present situation, the primary engagement of both the online and offline promotional structure has been initiated to provide the statutory growth including some of the consistency positioning benefits systematically that ultimately manage the stability position and also the consideration support of competitive business statutory formulation. </w:t>
      </w:r>
    </w:p>
    <w:p w14:paraId="43F7306E" w14:textId="77777777" w:rsidR="00CB00BA" w:rsidRPr="002B2E1E" w:rsidRDefault="002E301D">
      <w:pPr>
        <w:numPr>
          <w:ilvl w:val="0"/>
          <w:numId w:val="1"/>
        </w:numPr>
      </w:pPr>
      <w:r w:rsidRPr="002B2E1E">
        <w:t xml:space="preserve">The identification approach of customer volume due to the reason of pandemic mainly declined in the hospitality business. However, after the withdrawal of the lockdown and with the flexible positions of the current society the overall volume of visitors expanded which provided a positive volume of marketing development including competitive positioning support for the hospitality business (Pugachov </w:t>
      </w:r>
      <w:r w:rsidRPr="002B2E1E">
        <w:rPr>
          <w:i/>
        </w:rPr>
        <w:t>et al.</w:t>
      </w:r>
      <w:r w:rsidRPr="002B2E1E">
        <w:t xml:space="preserve">, 2022). </w:t>
      </w:r>
    </w:p>
    <w:p w14:paraId="7D09BF81" w14:textId="77777777" w:rsidR="00CB00BA" w:rsidRPr="002B2E1E" w:rsidRDefault="002E301D">
      <w:pPr>
        <w:ind w:left="720"/>
      </w:pPr>
      <w:r w:rsidRPr="002B2E1E">
        <w:t xml:space="preserve">Associated with the present performance level and with considering the current market opportunity if the business can provide proper discounting opportunity and supportive operating initiative for individual customers therefore, the primary volume of customer level can be positively expanded with the intentions of market statutory growth for the business. </w:t>
      </w:r>
    </w:p>
    <w:p w14:paraId="7A04A601" w14:textId="77777777" w:rsidR="00CB00BA" w:rsidRPr="002B2E1E" w:rsidRDefault="002E301D">
      <w:r w:rsidRPr="002B2E1E">
        <w:t xml:space="preserve">With the applied position of operating development, the initiated engagement of the proper operating initiative is mainly required for the hospitality business Accor to initiate some stability growth including compatibility positioning support (Bichler </w:t>
      </w:r>
      <w:r w:rsidRPr="002B2E1E">
        <w:rPr>
          <w:i/>
        </w:rPr>
        <w:t xml:space="preserve">et al., </w:t>
      </w:r>
      <w:r w:rsidRPr="002B2E1E">
        <w:t xml:space="preserve">2020). The applicability of the present operating structure including the market initiative position of the business indicates an optimised positioning approach that needs to be revised properly by the management to maintain the optimum growth and statutory beneficial reason. </w:t>
      </w:r>
    </w:p>
    <w:p w14:paraId="1F61752B" w14:textId="0EC08E0F" w:rsidR="00CB00BA" w:rsidRPr="002B2E1E" w:rsidRDefault="002E301D">
      <w:r w:rsidRPr="002B2E1E">
        <w:t xml:space="preserve">Associated with the present operating level the formulation support related to the market statutory approach including the optimised trade policies by the government generally needs to be formulated by the Accor for optimised growth initiative support in the upcoming period (Döringer, 2020). In association with the present operating challenges regarding the expanded level of energy cost formulation, the management of the business needs to focus on the green </w:t>
      </w:r>
      <w:r w:rsidRPr="002B2E1E">
        <w:lastRenderedPageBreak/>
        <w:t xml:space="preserve">energy approach so that the statutory growth can be formulated properly. Associated with the same approach at the present situation a primary importance to the Change management approach by Accor can be identified as one of the primary initiative strategic formulations for the business to gain the competitive and other development initiative position in a proper order. The determination of </w:t>
      </w:r>
      <w:r w:rsidR="00E554F2">
        <w:rPr>
          <w:bCs/>
        </w:rPr>
        <w:t>c</w:t>
      </w:r>
      <w:r w:rsidRPr="00E554F2">
        <w:rPr>
          <w:bCs/>
        </w:rPr>
        <w:t>hange management</w:t>
      </w:r>
      <w:r w:rsidRPr="002B2E1E">
        <w:rPr>
          <w:b/>
        </w:rPr>
        <w:t xml:space="preserve"> </w:t>
      </w:r>
      <w:r w:rsidRPr="002B2E1E">
        <w:t xml:space="preserve">is recognised as a systematic approach to dealing with the transition or transformations of organisational goals process and also technology to achieve strategic goals effectively (Hrytsenko </w:t>
      </w:r>
      <w:r w:rsidRPr="002B2E1E">
        <w:rPr>
          <w:i/>
        </w:rPr>
        <w:t xml:space="preserve">et al., </w:t>
      </w:r>
      <w:r w:rsidRPr="002B2E1E">
        <w:t xml:space="preserve">2021). </w:t>
      </w:r>
    </w:p>
    <w:p w14:paraId="78D8AF63" w14:textId="77777777" w:rsidR="00CB00BA" w:rsidRPr="002B2E1E" w:rsidRDefault="002E301D">
      <w:r w:rsidRPr="002B2E1E">
        <w:t xml:space="preserve">Through the engagement of this type of managerial implementation, the management of the business can provide systematic support related to leadership engagement, involvement of stakeholder strategy, communication development, training and skill enhancing support and also some basic metric or determinant for the operating growth initiative of the business in a formulated basis (Kallmuenzer </w:t>
      </w:r>
      <w:r w:rsidRPr="002B2E1E">
        <w:rPr>
          <w:i/>
        </w:rPr>
        <w:t>et al.</w:t>
      </w:r>
      <w:r w:rsidRPr="002B2E1E">
        <w:t xml:space="preserve">, 2021). Associated with the basic initiative support to evaluate the applicability of the Change management approach the following theoretical initiative has been provided with the formulation of which a basic statutory development and comparative performance initiative can be managed. </w:t>
      </w:r>
    </w:p>
    <w:p w14:paraId="2BCD4EB8" w14:textId="77777777" w:rsidR="00CB00BA" w:rsidRPr="002B2E1E" w:rsidRDefault="002E301D">
      <w:pPr>
        <w:rPr>
          <w:b/>
        </w:rPr>
      </w:pPr>
      <w:r w:rsidRPr="002B2E1E">
        <w:rPr>
          <w:b/>
        </w:rPr>
        <w:t>ADKAR change management model</w:t>
      </w:r>
    </w:p>
    <w:p w14:paraId="7E51B617" w14:textId="77777777" w:rsidR="00CB00BA" w:rsidRPr="002B2E1E" w:rsidRDefault="002E301D">
      <w:pPr>
        <w:rPr>
          <w:b/>
        </w:rPr>
      </w:pPr>
      <w:r w:rsidRPr="002B2E1E">
        <w:t>In association with this particular model for initiating a proper volume of operating development initiatives related to employee engagement positive importance to employee formulation is required to be initiated by the managerial department in the following order.</w:t>
      </w:r>
      <w:r w:rsidRPr="002B2E1E">
        <w:rPr>
          <w:b/>
        </w:rPr>
        <w:t xml:space="preserve"> </w:t>
      </w:r>
    </w:p>
    <w:p w14:paraId="1FC39AFA" w14:textId="77777777" w:rsidR="00CB00BA" w:rsidRPr="002B2E1E" w:rsidRDefault="002E301D">
      <w:r w:rsidRPr="002B2E1E">
        <w:rPr>
          <w:b/>
        </w:rPr>
        <w:t xml:space="preserve">Awareness: </w:t>
      </w:r>
      <w:r w:rsidRPr="002B2E1E">
        <w:t xml:space="preserve">According to the present operating position support a proper volume of sustainability development is mainly required to be initiated among individual employees so that the primary importance of green energy consumption can be expanded (Shah, 2014). </w:t>
      </w:r>
    </w:p>
    <w:p w14:paraId="2E1D1DCC" w14:textId="77777777" w:rsidR="00CB00BA" w:rsidRPr="002B2E1E" w:rsidRDefault="002E301D">
      <w:r w:rsidRPr="002B2E1E">
        <w:rPr>
          <w:b/>
        </w:rPr>
        <w:t xml:space="preserve">Desired: </w:t>
      </w:r>
      <w:r w:rsidRPr="002B2E1E">
        <w:t xml:space="preserve">With the initiative of this approach a proper volume of oil and natural gas consumption volume can be controlled which will ultimately able to provide a positive opportunity for the business to manage the cost-controlling support (Tang and Tang, 2019) </w:t>
      </w:r>
    </w:p>
    <w:p w14:paraId="2E0CDEB2" w14:textId="77777777" w:rsidR="00CB00BA" w:rsidRDefault="002E301D">
      <w:pPr>
        <w:jc w:val="center"/>
      </w:pPr>
      <w:r w:rsidRPr="002B2E1E">
        <w:rPr>
          <w:noProof/>
        </w:rPr>
        <w:drawing>
          <wp:inline distT="114300" distB="114300" distL="114300" distR="114300" wp14:anchorId="24F834F0" wp14:editId="61138F69">
            <wp:extent cx="4529470" cy="1860698"/>
            <wp:effectExtent l="0" t="0" r="4445" b="635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4545796" cy="1867405"/>
                    </a:xfrm>
                    <a:prstGeom prst="rect">
                      <a:avLst/>
                    </a:prstGeom>
                    <a:ln/>
                  </pic:spPr>
                </pic:pic>
              </a:graphicData>
            </a:graphic>
          </wp:inline>
        </w:drawing>
      </w:r>
    </w:p>
    <w:p w14:paraId="3EC8265C" w14:textId="77777777" w:rsidR="002B2E1E" w:rsidRPr="002B2E1E" w:rsidRDefault="002B2E1E" w:rsidP="002B2E1E">
      <w:pPr>
        <w:jc w:val="center"/>
        <w:rPr>
          <w:b/>
        </w:rPr>
      </w:pPr>
      <w:r>
        <w:rPr>
          <w:b/>
        </w:rPr>
        <w:t>Figure 7</w:t>
      </w:r>
      <w:r w:rsidRPr="002B2E1E">
        <w:rPr>
          <w:b/>
        </w:rPr>
        <w:t xml:space="preserve">: ADKAR change management model   </w:t>
      </w:r>
    </w:p>
    <w:p w14:paraId="1F746D24" w14:textId="77777777" w:rsidR="002B2E1E" w:rsidRPr="002B2E1E" w:rsidRDefault="002B2E1E" w:rsidP="002B2E1E">
      <w:pPr>
        <w:jc w:val="center"/>
        <w:rPr>
          <w:b/>
        </w:rPr>
      </w:pPr>
      <w:r w:rsidRPr="002B2E1E">
        <w:rPr>
          <w:b/>
        </w:rPr>
        <w:lastRenderedPageBreak/>
        <w:t>(Source:</w:t>
      </w:r>
      <w:r w:rsidRPr="002B2E1E">
        <w:t xml:space="preserve"> Houben </w:t>
      </w:r>
      <w:r w:rsidRPr="002B2E1E">
        <w:rPr>
          <w:i/>
        </w:rPr>
        <w:t>et al.</w:t>
      </w:r>
      <w:r w:rsidRPr="002B2E1E">
        <w:t>, 2020)</w:t>
      </w:r>
    </w:p>
    <w:p w14:paraId="508BD020" w14:textId="77777777" w:rsidR="00CB00BA" w:rsidRPr="002B2E1E" w:rsidRDefault="002E301D">
      <w:r w:rsidRPr="002B2E1E">
        <w:rPr>
          <w:b/>
        </w:rPr>
        <w:t xml:space="preserve">Knowledge: </w:t>
      </w:r>
      <w:r w:rsidRPr="002B2E1E">
        <w:t xml:space="preserve">Depending on the present position proper knowledge development related to the sustainability and controlling of carbon emission approaches needs to be initiated in this business for stability.  </w:t>
      </w:r>
    </w:p>
    <w:p w14:paraId="1EBC317F" w14:textId="77777777" w:rsidR="00CB00BA" w:rsidRPr="002B2E1E" w:rsidRDefault="002E301D">
      <w:r w:rsidRPr="002B2E1E">
        <w:rPr>
          <w:b/>
        </w:rPr>
        <w:t xml:space="preserve">Ability: </w:t>
      </w:r>
      <w:r w:rsidRPr="002B2E1E">
        <w:t xml:space="preserve">Considering the operating positioning support primary importance to every individual employee's ability needs to be structured for the operating growth and performance statutory development (Houben </w:t>
      </w:r>
      <w:r w:rsidRPr="002B2E1E">
        <w:rPr>
          <w:i/>
        </w:rPr>
        <w:t>et al.</w:t>
      </w:r>
      <w:r w:rsidRPr="002B2E1E">
        <w:t xml:space="preserve">, 2020) </w:t>
      </w:r>
    </w:p>
    <w:p w14:paraId="34C38EC2" w14:textId="77777777" w:rsidR="00CB00BA" w:rsidRPr="002B2E1E" w:rsidRDefault="002E301D">
      <w:r w:rsidRPr="002B2E1E">
        <w:rPr>
          <w:b/>
        </w:rPr>
        <w:t xml:space="preserve">Reinforcement: </w:t>
      </w:r>
      <w:r w:rsidRPr="002B2E1E">
        <w:t xml:space="preserve">A proper reinforcement of green energy processing including the CSR development approach is required to be initiated in this business for future </w:t>
      </w:r>
    </w:p>
    <w:p w14:paraId="4D48761A" w14:textId="77777777" w:rsidR="00CB00BA" w:rsidRPr="002B2E1E" w:rsidRDefault="002E301D">
      <w:pPr>
        <w:rPr>
          <w:b/>
        </w:rPr>
      </w:pPr>
      <w:r w:rsidRPr="002B2E1E">
        <w:rPr>
          <w:b/>
        </w:rPr>
        <w:t xml:space="preserve">Lewin’s change management model </w:t>
      </w:r>
    </w:p>
    <w:p w14:paraId="6FE7A42D" w14:textId="77777777" w:rsidR="00CB00BA" w:rsidRPr="002B2E1E" w:rsidRDefault="002E301D">
      <w:r w:rsidRPr="002B2E1E">
        <w:t xml:space="preserve">As per the basic identification, the primary importance and the application of this particular Change management model is initiated in the business with the intentions of recognising the consistency support and also implementing some strategic development to avoid the current issues with a mitigation basis for the statutory development reasons (Harrison </w:t>
      </w:r>
      <w:r w:rsidRPr="002B2E1E">
        <w:rPr>
          <w:i/>
        </w:rPr>
        <w:t>et al.,</w:t>
      </w:r>
      <w:r w:rsidRPr="002B2E1E">
        <w:t xml:space="preserve"> 2021). To maintain a proper volume of </w:t>
      </w:r>
      <w:r w:rsidR="002B2E1E" w:rsidRPr="002B2E1E">
        <w:t>progressive,</w:t>
      </w:r>
      <w:r w:rsidRPr="002B2E1E">
        <w:t xml:space="preserve"> support the following factors are considered. </w:t>
      </w:r>
    </w:p>
    <w:p w14:paraId="24923F4C" w14:textId="77777777" w:rsidR="00CB00BA" w:rsidRDefault="002E301D">
      <w:pPr>
        <w:jc w:val="center"/>
      </w:pPr>
      <w:r w:rsidRPr="002B2E1E">
        <w:rPr>
          <w:noProof/>
        </w:rPr>
        <w:drawing>
          <wp:inline distT="114300" distB="114300" distL="114300" distR="114300" wp14:anchorId="4671A023" wp14:editId="10193543">
            <wp:extent cx="4433888" cy="2054908"/>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4433888" cy="2054908"/>
                    </a:xfrm>
                    <a:prstGeom prst="rect">
                      <a:avLst/>
                    </a:prstGeom>
                    <a:ln/>
                  </pic:spPr>
                </pic:pic>
              </a:graphicData>
            </a:graphic>
          </wp:inline>
        </w:drawing>
      </w:r>
    </w:p>
    <w:p w14:paraId="1992FE49" w14:textId="77777777" w:rsidR="002B2E1E" w:rsidRPr="002B2E1E" w:rsidRDefault="002B2E1E" w:rsidP="002B2E1E">
      <w:pPr>
        <w:jc w:val="center"/>
        <w:rPr>
          <w:b/>
        </w:rPr>
      </w:pPr>
      <w:r>
        <w:rPr>
          <w:b/>
        </w:rPr>
        <w:t>Figure 8</w:t>
      </w:r>
      <w:r w:rsidRPr="002B2E1E">
        <w:rPr>
          <w:b/>
        </w:rPr>
        <w:t xml:space="preserve">: Lewin’s change management model   </w:t>
      </w:r>
    </w:p>
    <w:p w14:paraId="3731E86C" w14:textId="77777777" w:rsidR="002B2E1E" w:rsidRPr="002B2E1E" w:rsidRDefault="002B2E1E" w:rsidP="002B2E1E">
      <w:pPr>
        <w:jc w:val="center"/>
        <w:rPr>
          <w:b/>
        </w:rPr>
      </w:pPr>
      <w:r w:rsidRPr="002B2E1E">
        <w:rPr>
          <w:b/>
        </w:rPr>
        <w:t>(Source:</w:t>
      </w:r>
      <w:r w:rsidRPr="002B2E1E">
        <w:t xml:space="preserve"> Harrison </w:t>
      </w:r>
      <w:r w:rsidRPr="002B2E1E">
        <w:rPr>
          <w:i/>
        </w:rPr>
        <w:t>et al.,</w:t>
      </w:r>
      <w:r w:rsidRPr="002B2E1E">
        <w:t xml:space="preserve"> 2021)</w:t>
      </w:r>
    </w:p>
    <w:p w14:paraId="10AE5007" w14:textId="77777777" w:rsidR="002B2E1E" w:rsidRPr="002B2E1E" w:rsidRDefault="002B2E1E">
      <w:pPr>
        <w:jc w:val="center"/>
      </w:pPr>
    </w:p>
    <w:p w14:paraId="0A40D963" w14:textId="77777777" w:rsidR="00CB00BA" w:rsidRPr="002B2E1E" w:rsidRDefault="002E301D">
      <w:r w:rsidRPr="002B2E1E">
        <w:rPr>
          <w:b/>
        </w:rPr>
        <w:t xml:space="preserve">Unfreeze: </w:t>
      </w:r>
      <w:r w:rsidRPr="002B2E1E">
        <w:t xml:space="preserve">Under the present expanded energy cost engagement approach and considering the volume of taxation charges due to the expansions of additional operating engagement the overall revenue positions and the profitability approach of Accor plc cannot be formulated on a systematic basis to generate a standardise competitive gaining approach (Sarayreh </w:t>
      </w:r>
      <w:r w:rsidRPr="002B2E1E">
        <w:rPr>
          <w:i/>
        </w:rPr>
        <w:t xml:space="preserve">et al., </w:t>
      </w:r>
      <w:r w:rsidRPr="002B2E1E">
        <w:t xml:space="preserve">2023). </w:t>
      </w:r>
    </w:p>
    <w:p w14:paraId="74E07152" w14:textId="77777777" w:rsidR="00CB00BA" w:rsidRPr="002B2E1E" w:rsidRDefault="002E301D">
      <w:r w:rsidRPr="002B2E1E">
        <w:rPr>
          <w:b/>
        </w:rPr>
        <w:t xml:space="preserve">Change: </w:t>
      </w:r>
      <w:r w:rsidRPr="002B2E1E">
        <w:t xml:space="preserve">In the present situation if the management of the business provides focus on the green energy processing approach therefore the overall operating development including the market </w:t>
      </w:r>
      <w:r w:rsidRPr="002B2E1E">
        <w:lastRenderedPageBreak/>
        <w:t xml:space="preserve">initiative positions can be implemented in a proper order. The applicability of green energy trading in Australia is one of the leading environmental approaches with a formulation of which a proper volume of flexibility formulations including the Solar engagement can be initiated for the consumption of energy engagements (Cummings </w:t>
      </w:r>
      <w:r w:rsidRPr="002B2E1E">
        <w:rPr>
          <w:i/>
        </w:rPr>
        <w:t>et al</w:t>
      </w:r>
      <w:r w:rsidRPr="002B2E1E">
        <w:t xml:space="preserve">., 2016). </w:t>
      </w:r>
    </w:p>
    <w:p w14:paraId="61684621" w14:textId="77777777" w:rsidR="00CB00BA" w:rsidRPr="002B2E1E" w:rsidRDefault="002E301D">
      <w:r w:rsidRPr="002B2E1E">
        <w:rPr>
          <w:b/>
        </w:rPr>
        <w:t xml:space="preserve">Refreeze: </w:t>
      </w:r>
      <w:r w:rsidRPr="002B2E1E">
        <w:t xml:space="preserve">The application of this type of energy implementation strategy can be formulated in a business on a systematic basis to standardize the operating value including the competitive positioning level effectively which is ultimately formulated in the strategic growth formulation structure. The identification of this approach is also appreciable for the maintenance of business financial progress including the value-based operating support reasons that are optimised for compatibility growth. </w:t>
      </w:r>
    </w:p>
    <w:p w14:paraId="78575D31" w14:textId="77777777" w:rsidR="00CB00BA" w:rsidRPr="002B2E1E" w:rsidRDefault="002E301D">
      <w:pPr>
        <w:rPr>
          <w:b/>
        </w:rPr>
      </w:pPr>
      <w:r w:rsidRPr="002B2E1E">
        <w:rPr>
          <w:b/>
        </w:rPr>
        <w:t>Nudge theory</w:t>
      </w:r>
    </w:p>
    <w:p w14:paraId="4A9F0EA5" w14:textId="77777777" w:rsidR="00CB00BA" w:rsidRPr="002B2E1E" w:rsidRDefault="002E301D">
      <w:r w:rsidRPr="002B2E1E">
        <w:t xml:space="preserve">According to the basic identified approach and operating positioning support the application of this particular theoretical engagement has been initiated for the maintenance of a strategic development including the compatibility initiative reasons which ultimately provide a proper volume of opportunity related to performance growth. Concerning the present performance structure proper importance to employee engagement through employee retention support is mainly required in this business for progressive growth including the statutory development initiative reasons (Kwan </w:t>
      </w:r>
      <w:r w:rsidRPr="002B2E1E">
        <w:rPr>
          <w:i/>
        </w:rPr>
        <w:t>et al.,</w:t>
      </w:r>
      <w:r w:rsidRPr="002B2E1E">
        <w:t xml:space="preserve"> 2020). With the application of this particular theoretical support mainly the applied seven stages approach has been initiated to provide a proper volume of strategic formulations related to the employee retention purpose. </w:t>
      </w:r>
    </w:p>
    <w:p w14:paraId="5301B4DE" w14:textId="77777777" w:rsidR="00CB00BA" w:rsidRDefault="002E301D">
      <w:pPr>
        <w:jc w:val="center"/>
      </w:pPr>
      <w:r w:rsidRPr="002B2E1E">
        <w:rPr>
          <w:noProof/>
        </w:rPr>
        <w:drawing>
          <wp:inline distT="114300" distB="114300" distL="114300" distR="114300" wp14:anchorId="321CF6F3" wp14:editId="1C3A972E">
            <wp:extent cx="4300538" cy="2143125"/>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4300538" cy="2143125"/>
                    </a:xfrm>
                    <a:prstGeom prst="rect">
                      <a:avLst/>
                    </a:prstGeom>
                    <a:ln/>
                  </pic:spPr>
                </pic:pic>
              </a:graphicData>
            </a:graphic>
          </wp:inline>
        </w:drawing>
      </w:r>
    </w:p>
    <w:p w14:paraId="03849C31" w14:textId="77777777" w:rsidR="002B2E1E" w:rsidRPr="002B2E1E" w:rsidRDefault="002B2E1E" w:rsidP="002B2E1E">
      <w:pPr>
        <w:jc w:val="center"/>
        <w:rPr>
          <w:b/>
        </w:rPr>
      </w:pPr>
      <w:r>
        <w:rPr>
          <w:b/>
        </w:rPr>
        <w:t>Figure 9</w:t>
      </w:r>
      <w:r w:rsidRPr="002B2E1E">
        <w:rPr>
          <w:b/>
        </w:rPr>
        <w:t>: Nudge theory</w:t>
      </w:r>
    </w:p>
    <w:p w14:paraId="1168BABA" w14:textId="77777777" w:rsidR="002B2E1E" w:rsidRPr="002B2E1E" w:rsidRDefault="002B2E1E" w:rsidP="002B2E1E">
      <w:pPr>
        <w:jc w:val="center"/>
        <w:rPr>
          <w:b/>
        </w:rPr>
      </w:pPr>
      <w:r w:rsidRPr="002B2E1E">
        <w:rPr>
          <w:b/>
        </w:rPr>
        <w:t>(Source:</w:t>
      </w:r>
      <w:r w:rsidRPr="002B2E1E">
        <w:t xml:space="preserve"> Cai, 2020)</w:t>
      </w:r>
    </w:p>
    <w:p w14:paraId="79D02A83" w14:textId="77777777" w:rsidR="00CB00BA" w:rsidRPr="002B2E1E" w:rsidRDefault="002E301D">
      <w:r w:rsidRPr="002B2E1E">
        <w:t xml:space="preserve">According to the basic identifications in the first stage, the management is generally required to identify the initiative of employee retention concept in a clear order so that the operating positions including the service positions can be expanded properly. To maintain a proper </w:t>
      </w:r>
      <w:r w:rsidRPr="002B2E1E">
        <w:lastRenderedPageBreak/>
        <w:t xml:space="preserve">volume of employee </w:t>
      </w:r>
      <w:r w:rsidR="002B2E1E" w:rsidRPr="002B2E1E">
        <w:t>retention,</w:t>
      </w:r>
      <w:r w:rsidRPr="002B2E1E">
        <w:t xml:space="preserve"> support the management needs to focus on the proper amount of skill enhancing and development initiative approach on a systematic basis so that competitive growth including the accountability approach can be maintained (Cai, 2020). In the present situation with an expansion of the sustainable skill-enhancing approach among the employees a proper volume of employee retention structure including the development initiative can be maintained therefore, the formulating support of this type of attributes can be initiated for the statutory growth formulations effectively. Associated with basic identification support the applicability of skill-enhancing positions among the employees is identified as one of the primary approaches for employee retention support which can be applied to provide a proper volume of competitive gains (Hortal, 2023). With the consideration of the above analysis, proper feedback also need to be evaluated as well and the primary obstacles related to the implementation of this type of strategy also need to be identified in a systematic order so that the maintenance support including some of the short term development benefit can be implemented. </w:t>
      </w:r>
    </w:p>
    <w:p w14:paraId="41FBE597" w14:textId="77777777" w:rsidR="00CB00BA" w:rsidRPr="002B2E1E" w:rsidRDefault="002E301D">
      <w:r w:rsidRPr="002B2E1E">
        <w:t xml:space="preserve">Associated with the above analysis and formulation support the above recommendations mainly need to be initiated by the managerial department of Accor, Australia for the general intention of initiating a proper volume of development including the accountability initiative position of the business properly. </w:t>
      </w:r>
    </w:p>
    <w:p w14:paraId="77A3B163" w14:textId="77777777" w:rsidR="002B2E1E" w:rsidRDefault="002B2E1E">
      <w:pPr>
        <w:rPr>
          <w:b/>
        </w:rPr>
      </w:pPr>
      <w:r>
        <w:rPr>
          <w:b/>
        </w:rPr>
        <w:br w:type="page"/>
      </w:r>
    </w:p>
    <w:p w14:paraId="5DD91381" w14:textId="77777777" w:rsidR="00CB00BA" w:rsidRPr="002B2E1E" w:rsidRDefault="002E301D" w:rsidP="002B2E1E">
      <w:pPr>
        <w:pStyle w:val="Heading1"/>
      </w:pPr>
      <w:bookmarkStart w:id="13" w:name="_Toc157294158"/>
      <w:r w:rsidRPr="002B2E1E">
        <w:lastRenderedPageBreak/>
        <w:t>4.0 Action Plan</w:t>
      </w:r>
      <w:bookmarkEnd w:id="13"/>
      <w:r w:rsidRPr="002B2E1E">
        <w:t xml:space="preserve"> </w:t>
      </w:r>
    </w:p>
    <w:p w14:paraId="6BCE3578" w14:textId="77777777" w:rsidR="00CB00BA" w:rsidRPr="002B2E1E" w:rsidRDefault="002E301D">
      <w:r w:rsidRPr="002B2E1E">
        <w:t xml:space="preserve">A proper identification of the business operating approach generally needs to be identified by every individual managerial department at the time of formulating any strategic approach so that the general compatibility and competitive positioning approach can be maintained (Scorza and Santopietro, 2021). Depending on the present market crisis which is mainly noticed in the hospitality business in Australia a proper volume of strategic implementations including some of the compatibility development initiatives is mainly required to be initiated so that statutory growth can be balanced. </w:t>
      </w:r>
    </w:p>
    <w:p w14:paraId="60E6353A" w14:textId="77777777" w:rsidR="00CB00BA" w:rsidRPr="002B2E1E" w:rsidRDefault="002E301D">
      <w:r w:rsidRPr="002B2E1E">
        <w:t xml:space="preserve">With considering the present operation structure and performance positioning support the applied action plan for the business has been initiated. </w:t>
      </w:r>
    </w:p>
    <w:tbl>
      <w:tblPr>
        <w:tblStyle w:val="a2"/>
        <w:tblW w:w="10455" w:type="dxa"/>
        <w:tblInd w:w="-7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95"/>
        <w:gridCol w:w="1650"/>
        <w:gridCol w:w="1950"/>
        <w:gridCol w:w="2115"/>
        <w:gridCol w:w="1185"/>
        <w:gridCol w:w="1470"/>
        <w:gridCol w:w="990"/>
      </w:tblGrid>
      <w:tr w:rsidR="00CB00BA" w:rsidRPr="002B2E1E" w14:paraId="035456CE" w14:textId="77777777">
        <w:tc>
          <w:tcPr>
            <w:tcW w:w="1095" w:type="dxa"/>
            <w:shd w:val="clear" w:color="auto" w:fill="auto"/>
            <w:tcMar>
              <w:top w:w="100" w:type="dxa"/>
              <w:left w:w="100" w:type="dxa"/>
              <w:bottom w:w="100" w:type="dxa"/>
              <w:right w:w="100" w:type="dxa"/>
            </w:tcMar>
          </w:tcPr>
          <w:p w14:paraId="7A94DCFD" w14:textId="77777777" w:rsidR="00CB00BA" w:rsidRPr="002B2E1E" w:rsidRDefault="002E301D">
            <w:pPr>
              <w:widowControl w:val="0"/>
              <w:spacing w:line="240" w:lineRule="auto"/>
              <w:jc w:val="center"/>
              <w:rPr>
                <w:b/>
              </w:rPr>
            </w:pPr>
            <w:r w:rsidRPr="002B2E1E">
              <w:rPr>
                <w:b/>
              </w:rPr>
              <w:t xml:space="preserve">Number </w:t>
            </w:r>
          </w:p>
        </w:tc>
        <w:tc>
          <w:tcPr>
            <w:tcW w:w="1650" w:type="dxa"/>
            <w:shd w:val="clear" w:color="auto" w:fill="auto"/>
            <w:tcMar>
              <w:top w:w="100" w:type="dxa"/>
              <w:left w:w="100" w:type="dxa"/>
              <w:bottom w:w="100" w:type="dxa"/>
              <w:right w:w="100" w:type="dxa"/>
            </w:tcMar>
          </w:tcPr>
          <w:p w14:paraId="3BEEDDD5" w14:textId="77777777" w:rsidR="00CB00BA" w:rsidRPr="002B2E1E" w:rsidRDefault="002E301D">
            <w:pPr>
              <w:widowControl w:val="0"/>
              <w:spacing w:line="240" w:lineRule="auto"/>
              <w:jc w:val="center"/>
              <w:rPr>
                <w:b/>
              </w:rPr>
            </w:pPr>
            <w:r w:rsidRPr="002B2E1E">
              <w:rPr>
                <w:b/>
              </w:rPr>
              <w:t xml:space="preserve">Problem </w:t>
            </w:r>
          </w:p>
        </w:tc>
        <w:tc>
          <w:tcPr>
            <w:tcW w:w="1950" w:type="dxa"/>
            <w:shd w:val="clear" w:color="auto" w:fill="auto"/>
            <w:tcMar>
              <w:top w:w="100" w:type="dxa"/>
              <w:left w:w="100" w:type="dxa"/>
              <w:bottom w:w="100" w:type="dxa"/>
              <w:right w:w="100" w:type="dxa"/>
            </w:tcMar>
          </w:tcPr>
          <w:p w14:paraId="55C0FB09" w14:textId="77777777" w:rsidR="00CB00BA" w:rsidRPr="002B2E1E" w:rsidRDefault="002E301D">
            <w:pPr>
              <w:widowControl w:val="0"/>
              <w:spacing w:line="240" w:lineRule="auto"/>
              <w:jc w:val="center"/>
              <w:rPr>
                <w:b/>
              </w:rPr>
            </w:pPr>
            <w:r w:rsidRPr="002B2E1E">
              <w:rPr>
                <w:b/>
              </w:rPr>
              <w:t xml:space="preserve">Solution </w:t>
            </w:r>
          </w:p>
        </w:tc>
        <w:tc>
          <w:tcPr>
            <w:tcW w:w="2115" w:type="dxa"/>
            <w:shd w:val="clear" w:color="auto" w:fill="auto"/>
            <w:tcMar>
              <w:top w:w="100" w:type="dxa"/>
              <w:left w:w="100" w:type="dxa"/>
              <w:bottom w:w="100" w:type="dxa"/>
              <w:right w:w="100" w:type="dxa"/>
            </w:tcMar>
          </w:tcPr>
          <w:p w14:paraId="676B6D1F" w14:textId="77777777" w:rsidR="00CB00BA" w:rsidRPr="002B2E1E" w:rsidRDefault="002E301D">
            <w:pPr>
              <w:widowControl w:val="0"/>
              <w:spacing w:line="240" w:lineRule="auto"/>
              <w:jc w:val="center"/>
              <w:rPr>
                <w:b/>
              </w:rPr>
            </w:pPr>
            <w:r w:rsidRPr="002B2E1E">
              <w:rPr>
                <w:b/>
              </w:rPr>
              <w:t>Outcomes</w:t>
            </w:r>
          </w:p>
        </w:tc>
        <w:tc>
          <w:tcPr>
            <w:tcW w:w="1185" w:type="dxa"/>
            <w:shd w:val="clear" w:color="auto" w:fill="auto"/>
            <w:tcMar>
              <w:top w:w="100" w:type="dxa"/>
              <w:left w:w="100" w:type="dxa"/>
              <w:bottom w:w="100" w:type="dxa"/>
              <w:right w:w="100" w:type="dxa"/>
            </w:tcMar>
          </w:tcPr>
          <w:p w14:paraId="1F462AD6" w14:textId="77777777" w:rsidR="00CB00BA" w:rsidRPr="002B2E1E" w:rsidRDefault="002E301D">
            <w:pPr>
              <w:widowControl w:val="0"/>
              <w:spacing w:line="240" w:lineRule="auto"/>
              <w:jc w:val="center"/>
              <w:rPr>
                <w:b/>
              </w:rPr>
            </w:pPr>
            <w:r w:rsidRPr="002B2E1E">
              <w:rPr>
                <w:b/>
              </w:rPr>
              <w:t>Time Scale</w:t>
            </w:r>
          </w:p>
        </w:tc>
        <w:tc>
          <w:tcPr>
            <w:tcW w:w="1470" w:type="dxa"/>
            <w:shd w:val="clear" w:color="auto" w:fill="auto"/>
            <w:tcMar>
              <w:top w:w="100" w:type="dxa"/>
              <w:left w:w="100" w:type="dxa"/>
              <w:bottom w:w="100" w:type="dxa"/>
              <w:right w:w="100" w:type="dxa"/>
            </w:tcMar>
          </w:tcPr>
          <w:p w14:paraId="61E60EC9" w14:textId="77777777" w:rsidR="00CB00BA" w:rsidRPr="002B2E1E" w:rsidRDefault="002E301D">
            <w:pPr>
              <w:widowControl w:val="0"/>
              <w:spacing w:line="240" w:lineRule="auto"/>
              <w:jc w:val="center"/>
              <w:rPr>
                <w:b/>
              </w:rPr>
            </w:pPr>
            <w:r w:rsidRPr="002B2E1E">
              <w:rPr>
                <w:b/>
              </w:rPr>
              <w:t xml:space="preserve">Completion date </w:t>
            </w:r>
          </w:p>
        </w:tc>
        <w:tc>
          <w:tcPr>
            <w:tcW w:w="990" w:type="dxa"/>
            <w:shd w:val="clear" w:color="auto" w:fill="auto"/>
            <w:tcMar>
              <w:top w:w="100" w:type="dxa"/>
              <w:left w:w="100" w:type="dxa"/>
              <w:bottom w:w="100" w:type="dxa"/>
              <w:right w:w="100" w:type="dxa"/>
            </w:tcMar>
          </w:tcPr>
          <w:p w14:paraId="51D213F4" w14:textId="77777777" w:rsidR="00CB00BA" w:rsidRPr="002B2E1E" w:rsidRDefault="002E301D">
            <w:pPr>
              <w:widowControl w:val="0"/>
              <w:spacing w:line="240" w:lineRule="auto"/>
              <w:jc w:val="center"/>
              <w:rPr>
                <w:b/>
              </w:rPr>
            </w:pPr>
            <w:r w:rsidRPr="002B2E1E">
              <w:rPr>
                <w:b/>
              </w:rPr>
              <w:t xml:space="preserve">Budget </w:t>
            </w:r>
          </w:p>
        </w:tc>
      </w:tr>
      <w:tr w:rsidR="00CB00BA" w:rsidRPr="002B2E1E" w14:paraId="053C7172" w14:textId="77777777">
        <w:tc>
          <w:tcPr>
            <w:tcW w:w="1095" w:type="dxa"/>
            <w:shd w:val="clear" w:color="auto" w:fill="auto"/>
            <w:tcMar>
              <w:top w:w="100" w:type="dxa"/>
              <w:left w:w="100" w:type="dxa"/>
              <w:bottom w:w="100" w:type="dxa"/>
              <w:right w:w="100" w:type="dxa"/>
            </w:tcMar>
          </w:tcPr>
          <w:p w14:paraId="5592C42C" w14:textId="77777777" w:rsidR="00CB00BA" w:rsidRPr="002B2E1E" w:rsidRDefault="002E301D">
            <w:pPr>
              <w:widowControl w:val="0"/>
              <w:spacing w:line="240" w:lineRule="auto"/>
              <w:jc w:val="left"/>
            </w:pPr>
            <w:r w:rsidRPr="002B2E1E">
              <w:t>1.</w:t>
            </w:r>
          </w:p>
        </w:tc>
        <w:tc>
          <w:tcPr>
            <w:tcW w:w="1650" w:type="dxa"/>
            <w:shd w:val="clear" w:color="auto" w:fill="auto"/>
            <w:tcMar>
              <w:top w:w="100" w:type="dxa"/>
              <w:left w:w="100" w:type="dxa"/>
              <w:bottom w:w="100" w:type="dxa"/>
              <w:right w:w="100" w:type="dxa"/>
            </w:tcMar>
          </w:tcPr>
          <w:p w14:paraId="7A7CB3AF" w14:textId="77777777" w:rsidR="00CB00BA" w:rsidRPr="002B2E1E" w:rsidRDefault="002E301D">
            <w:pPr>
              <w:widowControl w:val="0"/>
              <w:jc w:val="center"/>
            </w:pPr>
            <w:r w:rsidRPr="002B2E1E">
              <w:t>Expanded energy cost</w:t>
            </w:r>
          </w:p>
        </w:tc>
        <w:tc>
          <w:tcPr>
            <w:tcW w:w="1950" w:type="dxa"/>
            <w:shd w:val="clear" w:color="auto" w:fill="auto"/>
            <w:tcMar>
              <w:top w:w="100" w:type="dxa"/>
              <w:left w:w="100" w:type="dxa"/>
              <w:bottom w:w="100" w:type="dxa"/>
              <w:right w:w="100" w:type="dxa"/>
            </w:tcMar>
          </w:tcPr>
          <w:p w14:paraId="1D064068" w14:textId="77777777" w:rsidR="00CB00BA" w:rsidRPr="002B2E1E" w:rsidRDefault="002E301D">
            <w:pPr>
              <w:widowControl w:val="0"/>
              <w:jc w:val="center"/>
            </w:pPr>
            <w:r w:rsidRPr="002B2E1E">
              <w:t>A proper volume of importance to the implementation of green energy processing with solar support</w:t>
            </w:r>
          </w:p>
        </w:tc>
        <w:tc>
          <w:tcPr>
            <w:tcW w:w="2115" w:type="dxa"/>
            <w:shd w:val="clear" w:color="auto" w:fill="auto"/>
            <w:tcMar>
              <w:top w:w="100" w:type="dxa"/>
              <w:left w:w="100" w:type="dxa"/>
              <w:bottom w:w="100" w:type="dxa"/>
              <w:right w:w="100" w:type="dxa"/>
            </w:tcMar>
          </w:tcPr>
          <w:p w14:paraId="13E184C4" w14:textId="77777777" w:rsidR="00CB00BA" w:rsidRPr="002B2E1E" w:rsidRDefault="002E301D">
            <w:pPr>
              <w:widowControl w:val="0"/>
              <w:jc w:val="center"/>
            </w:pPr>
            <w:r w:rsidRPr="002B2E1E">
              <w:t>A positive volume of cost reduction approach related to the business operating positions along with maintaining the business profitability expanded support</w:t>
            </w:r>
          </w:p>
        </w:tc>
        <w:tc>
          <w:tcPr>
            <w:tcW w:w="1185" w:type="dxa"/>
            <w:shd w:val="clear" w:color="auto" w:fill="auto"/>
            <w:tcMar>
              <w:top w:w="100" w:type="dxa"/>
              <w:left w:w="100" w:type="dxa"/>
              <w:bottom w:w="100" w:type="dxa"/>
              <w:right w:w="100" w:type="dxa"/>
            </w:tcMar>
          </w:tcPr>
          <w:p w14:paraId="4DAF0268" w14:textId="77777777" w:rsidR="00CB00BA" w:rsidRPr="002B2E1E" w:rsidRDefault="002E301D">
            <w:pPr>
              <w:widowControl w:val="0"/>
              <w:jc w:val="center"/>
            </w:pPr>
            <w:r w:rsidRPr="002B2E1E">
              <w:t xml:space="preserve">1 month </w:t>
            </w:r>
          </w:p>
        </w:tc>
        <w:tc>
          <w:tcPr>
            <w:tcW w:w="1470" w:type="dxa"/>
            <w:shd w:val="clear" w:color="auto" w:fill="auto"/>
            <w:tcMar>
              <w:top w:w="100" w:type="dxa"/>
              <w:left w:w="100" w:type="dxa"/>
              <w:bottom w:w="100" w:type="dxa"/>
              <w:right w:w="100" w:type="dxa"/>
            </w:tcMar>
          </w:tcPr>
          <w:p w14:paraId="4DFC3A41" w14:textId="77777777" w:rsidR="00CB00BA" w:rsidRPr="002B2E1E" w:rsidRDefault="002E301D">
            <w:pPr>
              <w:widowControl w:val="0"/>
              <w:jc w:val="center"/>
            </w:pPr>
            <w:r w:rsidRPr="002B2E1E">
              <w:t>02/03/2024</w:t>
            </w:r>
          </w:p>
        </w:tc>
        <w:tc>
          <w:tcPr>
            <w:tcW w:w="990" w:type="dxa"/>
            <w:shd w:val="clear" w:color="auto" w:fill="auto"/>
            <w:tcMar>
              <w:top w:w="100" w:type="dxa"/>
              <w:left w:w="100" w:type="dxa"/>
              <w:bottom w:w="100" w:type="dxa"/>
              <w:right w:w="100" w:type="dxa"/>
            </w:tcMar>
          </w:tcPr>
          <w:p w14:paraId="6053ADB9" w14:textId="77777777" w:rsidR="00CB00BA" w:rsidRPr="002B2E1E" w:rsidRDefault="002E301D">
            <w:pPr>
              <w:widowControl w:val="0"/>
              <w:jc w:val="center"/>
            </w:pPr>
            <w:r w:rsidRPr="002B2E1E">
              <w:t>£20,000</w:t>
            </w:r>
          </w:p>
        </w:tc>
      </w:tr>
      <w:tr w:rsidR="00CB00BA" w:rsidRPr="002B2E1E" w14:paraId="618893B0" w14:textId="77777777">
        <w:tc>
          <w:tcPr>
            <w:tcW w:w="1095" w:type="dxa"/>
            <w:shd w:val="clear" w:color="auto" w:fill="auto"/>
            <w:tcMar>
              <w:top w:w="100" w:type="dxa"/>
              <w:left w:w="100" w:type="dxa"/>
              <w:bottom w:w="100" w:type="dxa"/>
              <w:right w:w="100" w:type="dxa"/>
            </w:tcMar>
          </w:tcPr>
          <w:p w14:paraId="7AD8D0B7" w14:textId="77777777" w:rsidR="00CB00BA" w:rsidRPr="002B2E1E" w:rsidRDefault="002E301D">
            <w:pPr>
              <w:widowControl w:val="0"/>
              <w:spacing w:line="240" w:lineRule="auto"/>
              <w:jc w:val="left"/>
            </w:pPr>
            <w:r w:rsidRPr="002B2E1E">
              <w:t>2.</w:t>
            </w:r>
          </w:p>
        </w:tc>
        <w:tc>
          <w:tcPr>
            <w:tcW w:w="1650" w:type="dxa"/>
            <w:shd w:val="clear" w:color="auto" w:fill="auto"/>
            <w:tcMar>
              <w:top w:w="100" w:type="dxa"/>
              <w:left w:w="100" w:type="dxa"/>
              <w:bottom w:w="100" w:type="dxa"/>
              <w:right w:w="100" w:type="dxa"/>
            </w:tcMar>
          </w:tcPr>
          <w:p w14:paraId="6ACC066C" w14:textId="77777777" w:rsidR="00CB00BA" w:rsidRPr="002B2E1E" w:rsidRDefault="002E301D">
            <w:pPr>
              <w:widowControl w:val="0"/>
              <w:jc w:val="center"/>
            </w:pPr>
            <w:r w:rsidRPr="002B2E1E">
              <w:t>Expanded taxation engagement</w:t>
            </w:r>
          </w:p>
        </w:tc>
        <w:tc>
          <w:tcPr>
            <w:tcW w:w="1950" w:type="dxa"/>
            <w:shd w:val="clear" w:color="auto" w:fill="auto"/>
            <w:tcMar>
              <w:top w:w="100" w:type="dxa"/>
              <w:left w:w="100" w:type="dxa"/>
              <w:bottom w:w="100" w:type="dxa"/>
              <w:right w:w="100" w:type="dxa"/>
            </w:tcMar>
          </w:tcPr>
          <w:p w14:paraId="301F4683" w14:textId="77777777" w:rsidR="00CB00BA" w:rsidRPr="002B2E1E" w:rsidRDefault="002E301D">
            <w:pPr>
              <w:widowControl w:val="0"/>
              <w:jc w:val="center"/>
            </w:pPr>
            <w:r w:rsidRPr="002B2E1E">
              <w:t xml:space="preserve">Under the present situation, proper importance to the Federal Tax rate is required to be initiated by the business for the optimise financial stability and accountability </w:t>
            </w:r>
            <w:r w:rsidRPr="002B2E1E">
              <w:lastRenderedPageBreak/>
              <w:t>progress</w:t>
            </w:r>
          </w:p>
        </w:tc>
        <w:tc>
          <w:tcPr>
            <w:tcW w:w="2115" w:type="dxa"/>
            <w:shd w:val="clear" w:color="auto" w:fill="auto"/>
            <w:tcMar>
              <w:top w:w="100" w:type="dxa"/>
              <w:left w:w="100" w:type="dxa"/>
              <w:bottom w:w="100" w:type="dxa"/>
              <w:right w:w="100" w:type="dxa"/>
            </w:tcMar>
          </w:tcPr>
          <w:p w14:paraId="3AE0CB02" w14:textId="77777777" w:rsidR="00CB00BA" w:rsidRPr="002B2E1E" w:rsidRDefault="002E301D">
            <w:pPr>
              <w:widowControl w:val="0"/>
              <w:jc w:val="center"/>
            </w:pPr>
            <w:r w:rsidRPr="002B2E1E">
              <w:lastRenderedPageBreak/>
              <w:t xml:space="preserve">Through the initiative of this type of engagement, a proper volume of accountability including financial stability growth can be initiated which ultimately able to </w:t>
            </w:r>
            <w:r w:rsidRPr="002B2E1E">
              <w:lastRenderedPageBreak/>
              <w:t>manage the statutory growth</w:t>
            </w:r>
          </w:p>
        </w:tc>
        <w:tc>
          <w:tcPr>
            <w:tcW w:w="1185" w:type="dxa"/>
            <w:shd w:val="clear" w:color="auto" w:fill="auto"/>
            <w:tcMar>
              <w:top w:w="100" w:type="dxa"/>
              <w:left w:w="100" w:type="dxa"/>
              <w:bottom w:w="100" w:type="dxa"/>
              <w:right w:w="100" w:type="dxa"/>
            </w:tcMar>
          </w:tcPr>
          <w:p w14:paraId="5CD8E723" w14:textId="77777777" w:rsidR="00CB00BA" w:rsidRPr="002B2E1E" w:rsidRDefault="002E301D">
            <w:pPr>
              <w:widowControl w:val="0"/>
              <w:spacing w:line="240" w:lineRule="auto"/>
              <w:jc w:val="center"/>
            </w:pPr>
            <w:r w:rsidRPr="002B2E1E">
              <w:lastRenderedPageBreak/>
              <w:t xml:space="preserve">1 month </w:t>
            </w:r>
          </w:p>
        </w:tc>
        <w:tc>
          <w:tcPr>
            <w:tcW w:w="1470" w:type="dxa"/>
            <w:shd w:val="clear" w:color="auto" w:fill="auto"/>
            <w:tcMar>
              <w:top w:w="100" w:type="dxa"/>
              <w:left w:w="100" w:type="dxa"/>
              <w:bottom w:w="100" w:type="dxa"/>
              <w:right w:w="100" w:type="dxa"/>
            </w:tcMar>
          </w:tcPr>
          <w:p w14:paraId="08281AA3" w14:textId="77777777" w:rsidR="00CB00BA" w:rsidRPr="002B2E1E" w:rsidRDefault="002E301D">
            <w:pPr>
              <w:widowControl w:val="0"/>
              <w:spacing w:line="240" w:lineRule="auto"/>
              <w:jc w:val="center"/>
            </w:pPr>
            <w:r w:rsidRPr="002B2E1E">
              <w:t>02/03/2024</w:t>
            </w:r>
          </w:p>
        </w:tc>
        <w:tc>
          <w:tcPr>
            <w:tcW w:w="990" w:type="dxa"/>
            <w:shd w:val="clear" w:color="auto" w:fill="auto"/>
            <w:tcMar>
              <w:top w:w="100" w:type="dxa"/>
              <w:left w:w="100" w:type="dxa"/>
              <w:bottom w:w="100" w:type="dxa"/>
              <w:right w:w="100" w:type="dxa"/>
            </w:tcMar>
          </w:tcPr>
          <w:p w14:paraId="0592886E" w14:textId="77777777" w:rsidR="00CB00BA" w:rsidRPr="002B2E1E" w:rsidRDefault="002E301D">
            <w:pPr>
              <w:widowControl w:val="0"/>
              <w:spacing w:line="240" w:lineRule="auto"/>
              <w:jc w:val="center"/>
            </w:pPr>
            <w:r w:rsidRPr="002B2E1E">
              <w:t>£5,000</w:t>
            </w:r>
          </w:p>
        </w:tc>
      </w:tr>
      <w:tr w:rsidR="00CB00BA" w:rsidRPr="002B2E1E" w14:paraId="78839FF8" w14:textId="77777777">
        <w:tc>
          <w:tcPr>
            <w:tcW w:w="1095" w:type="dxa"/>
            <w:shd w:val="clear" w:color="auto" w:fill="auto"/>
            <w:tcMar>
              <w:top w:w="100" w:type="dxa"/>
              <w:left w:w="100" w:type="dxa"/>
              <w:bottom w:w="100" w:type="dxa"/>
              <w:right w:w="100" w:type="dxa"/>
            </w:tcMar>
          </w:tcPr>
          <w:p w14:paraId="4F96BBD3" w14:textId="77777777" w:rsidR="00CB00BA" w:rsidRPr="002B2E1E" w:rsidRDefault="002E301D">
            <w:pPr>
              <w:widowControl w:val="0"/>
              <w:spacing w:line="240" w:lineRule="auto"/>
              <w:jc w:val="left"/>
            </w:pPr>
            <w:r w:rsidRPr="002B2E1E">
              <w:t xml:space="preserve">3. </w:t>
            </w:r>
          </w:p>
        </w:tc>
        <w:tc>
          <w:tcPr>
            <w:tcW w:w="1650" w:type="dxa"/>
            <w:shd w:val="clear" w:color="auto" w:fill="auto"/>
            <w:tcMar>
              <w:top w:w="100" w:type="dxa"/>
              <w:left w:w="100" w:type="dxa"/>
              <w:bottom w:w="100" w:type="dxa"/>
              <w:right w:w="100" w:type="dxa"/>
            </w:tcMar>
          </w:tcPr>
          <w:p w14:paraId="64B07547" w14:textId="77777777" w:rsidR="00CB00BA" w:rsidRPr="002B2E1E" w:rsidRDefault="002E301D">
            <w:pPr>
              <w:widowControl w:val="0"/>
              <w:jc w:val="center"/>
            </w:pPr>
            <w:r w:rsidRPr="002B2E1E">
              <w:t xml:space="preserve">Expanded labour charges </w:t>
            </w:r>
          </w:p>
        </w:tc>
        <w:tc>
          <w:tcPr>
            <w:tcW w:w="1950" w:type="dxa"/>
            <w:shd w:val="clear" w:color="auto" w:fill="auto"/>
            <w:tcMar>
              <w:top w:w="100" w:type="dxa"/>
              <w:left w:w="100" w:type="dxa"/>
              <w:bottom w:w="100" w:type="dxa"/>
              <w:right w:w="100" w:type="dxa"/>
            </w:tcMar>
          </w:tcPr>
          <w:p w14:paraId="609006A6" w14:textId="77777777" w:rsidR="00CB00BA" w:rsidRPr="002B2E1E" w:rsidRDefault="002E301D">
            <w:pPr>
              <w:widowControl w:val="0"/>
              <w:jc w:val="center"/>
            </w:pPr>
            <w:r w:rsidRPr="002B2E1E">
              <w:t xml:space="preserve">At the present situation, a proper volume of importance to the employee retention support including general progress regarding the sustainable skill-enhancing approach is required for the operating development </w:t>
            </w:r>
          </w:p>
        </w:tc>
        <w:tc>
          <w:tcPr>
            <w:tcW w:w="2115" w:type="dxa"/>
            <w:shd w:val="clear" w:color="auto" w:fill="auto"/>
            <w:tcMar>
              <w:top w:w="100" w:type="dxa"/>
              <w:left w:w="100" w:type="dxa"/>
              <w:bottom w:w="100" w:type="dxa"/>
              <w:right w:w="100" w:type="dxa"/>
            </w:tcMar>
          </w:tcPr>
          <w:p w14:paraId="105BF0B0" w14:textId="77777777" w:rsidR="00CB00BA" w:rsidRPr="002B2E1E" w:rsidRDefault="002E301D">
            <w:pPr>
              <w:widowControl w:val="0"/>
              <w:jc w:val="center"/>
            </w:pPr>
            <w:r w:rsidRPr="002B2E1E">
              <w:t>With the applicability of this type of strategic initiative, a proper volume of marketing growth including the service initiative position can be managed, which is generally able to formulate the operating growth including the operating initiative position on a proper basis.</w:t>
            </w:r>
          </w:p>
        </w:tc>
        <w:tc>
          <w:tcPr>
            <w:tcW w:w="1185" w:type="dxa"/>
            <w:shd w:val="clear" w:color="auto" w:fill="auto"/>
            <w:tcMar>
              <w:top w:w="100" w:type="dxa"/>
              <w:left w:w="100" w:type="dxa"/>
              <w:bottom w:w="100" w:type="dxa"/>
              <w:right w:w="100" w:type="dxa"/>
            </w:tcMar>
          </w:tcPr>
          <w:p w14:paraId="322D565F" w14:textId="77777777" w:rsidR="00CB00BA" w:rsidRPr="002B2E1E" w:rsidRDefault="002E301D">
            <w:pPr>
              <w:widowControl w:val="0"/>
              <w:jc w:val="center"/>
            </w:pPr>
            <w:r w:rsidRPr="002B2E1E">
              <w:t xml:space="preserve">3 month </w:t>
            </w:r>
          </w:p>
        </w:tc>
        <w:tc>
          <w:tcPr>
            <w:tcW w:w="1470" w:type="dxa"/>
            <w:shd w:val="clear" w:color="auto" w:fill="auto"/>
            <w:tcMar>
              <w:top w:w="100" w:type="dxa"/>
              <w:left w:w="100" w:type="dxa"/>
              <w:bottom w:w="100" w:type="dxa"/>
              <w:right w:w="100" w:type="dxa"/>
            </w:tcMar>
          </w:tcPr>
          <w:p w14:paraId="10574A77" w14:textId="77777777" w:rsidR="00CB00BA" w:rsidRPr="002B2E1E" w:rsidRDefault="002E301D">
            <w:pPr>
              <w:widowControl w:val="0"/>
              <w:jc w:val="center"/>
            </w:pPr>
            <w:r w:rsidRPr="002B2E1E">
              <w:t>02/06/2024</w:t>
            </w:r>
          </w:p>
        </w:tc>
        <w:tc>
          <w:tcPr>
            <w:tcW w:w="990" w:type="dxa"/>
            <w:shd w:val="clear" w:color="auto" w:fill="auto"/>
            <w:tcMar>
              <w:top w:w="100" w:type="dxa"/>
              <w:left w:w="100" w:type="dxa"/>
              <w:bottom w:w="100" w:type="dxa"/>
              <w:right w:w="100" w:type="dxa"/>
            </w:tcMar>
          </w:tcPr>
          <w:p w14:paraId="7FD0636F" w14:textId="77777777" w:rsidR="00CB00BA" w:rsidRPr="002B2E1E" w:rsidRDefault="002E301D">
            <w:pPr>
              <w:widowControl w:val="0"/>
              <w:jc w:val="center"/>
            </w:pPr>
            <w:r w:rsidRPr="002B2E1E">
              <w:t>£35,000</w:t>
            </w:r>
          </w:p>
        </w:tc>
      </w:tr>
    </w:tbl>
    <w:p w14:paraId="6C9CD6AA" w14:textId="77777777" w:rsidR="002B2E1E" w:rsidRDefault="002B2E1E" w:rsidP="002B2E1E">
      <w:pPr>
        <w:jc w:val="center"/>
        <w:rPr>
          <w:b/>
        </w:rPr>
      </w:pPr>
    </w:p>
    <w:p w14:paraId="57E43569" w14:textId="77777777" w:rsidR="002B2E1E" w:rsidRDefault="002B2E1E" w:rsidP="002B2E1E">
      <w:pPr>
        <w:jc w:val="center"/>
        <w:rPr>
          <w:b/>
        </w:rPr>
      </w:pPr>
      <w:r>
        <w:rPr>
          <w:b/>
        </w:rPr>
        <w:t xml:space="preserve">Table 4: Action plan for business development </w:t>
      </w:r>
    </w:p>
    <w:p w14:paraId="68E1EE82" w14:textId="77777777" w:rsidR="002B2E1E" w:rsidRDefault="002B2E1E" w:rsidP="002B2E1E">
      <w:pPr>
        <w:jc w:val="center"/>
      </w:pPr>
      <w:r w:rsidRPr="002B2E1E">
        <w:t>(Source: Learner)</w:t>
      </w:r>
    </w:p>
    <w:p w14:paraId="3E87EA9C" w14:textId="77777777" w:rsidR="00CB00BA" w:rsidRPr="002B2E1E" w:rsidRDefault="002E301D" w:rsidP="002B2E1E">
      <w:pPr>
        <w:pStyle w:val="Heading1"/>
      </w:pPr>
      <w:bookmarkStart w:id="14" w:name="_Toc157294159"/>
      <w:r w:rsidRPr="002B2E1E">
        <w:t>5.0 Conclusion</w:t>
      </w:r>
      <w:bookmarkEnd w:id="14"/>
      <w:r w:rsidRPr="002B2E1E">
        <w:t xml:space="preserve"> </w:t>
      </w:r>
    </w:p>
    <w:p w14:paraId="7F404666" w14:textId="77777777" w:rsidR="00CB00BA" w:rsidRPr="002B2E1E" w:rsidRDefault="002E301D">
      <w:r w:rsidRPr="002B2E1E">
        <w:t>In summary, identification support and operating maintenance are considered a relevant approach for the development including the performance growth approach that initiates the compatibility positioning support. According to the basic identification support, it can be identified that is associated with the present operating position positive operation growth mainly needs to be initiated for the operating growth initiative for the standardised position growth in a proper manner (Thommandru</w:t>
      </w:r>
      <w:r w:rsidRPr="002B2E1E">
        <w:rPr>
          <w:i/>
        </w:rPr>
        <w:t xml:space="preserve"> et al., </w:t>
      </w:r>
      <w:r w:rsidRPr="002B2E1E">
        <w:t xml:space="preserve">2023). The identified measuring support related to the operating value initiative is influential for the progressive value development reasons that manage the structural growth and some of the feasibility positioning approaches on a proper basis. </w:t>
      </w:r>
    </w:p>
    <w:p w14:paraId="5FD9AE30" w14:textId="77777777" w:rsidR="00CB00BA" w:rsidRPr="002B2E1E" w:rsidRDefault="002E301D">
      <w:r w:rsidRPr="002B2E1E">
        <w:lastRenderedPageBreak/>
        <w:t>According to the basic identification support, it can be recognised that at the present situation, the energy cost expansion support including the taxation initiative generally imposed a certain volume of burden relation to the operating stability and formulation approach which is unable to formulate the strategic initiative for the hospitality business in Australia. The fundamental formulations related to this particular report initiate a specific development and strategic initiative including the compatibility majoring approach with the identification of the stability formulations including some of the strategic maintenance that have been identified</w:t>
      </w:r>
      <w:r w:rsidR="002B2E1E">
        <w:t xml:space="preserve"> (</w:t>
      </w:r>
      <w:proofErr w:type="spellStart"/>
      <w:r w:rsidR="002B2E1E" w:rsidRPr="002B2E1E">
        <w:t>Kazmina</w:t>
      </w:r>
      <w:proofErr w:type="spellEnd"/>
      <w:r w:rsidR="002B2E1E">
        <w:t xml:space="preserve"> </w:t>
      </w:r>
      <w:r w:rsidR="002B2E1E" w:rsidRPr="002B2E1E">
        <w:rPr>
          <w:i/>
        </w:rPr>
        <w:t>et al.,</w:t>
      </w:r>
      <w:r w:rsidR="002B2E1E">
        <w:t xml:space="preserve"> 2021)</w:t>
      </w:r>
      <w:r w:rsidRPr="002B2E1E">
        <w:t xml:space="preserve">. As per the basic recognitions, it can be identified that the overall profit earning position of the business represents a comparatively optimised positioning approach however the present operating crisis is initiating a challenging approach for formulating the business development with furtherance support. Associated with the same approach it can also be recognised that the overall marketing development including the comparative development approach mainly initiates a certain volume of challenging crises which is unable to manage the sustainable growth positioning approach in the present operating structure. </w:t>
      </w:r>
    </w:p>
    <w:p w14:paraId="3CFC6072" w14:textId="77777777" w:rsidR="00CB00BA" w:rsidRPr="002B2E1E" w:rsidRDefault="002E301D">
      <w:r w:rsidRPr="002B2E1E">
        <w:t xml:space="preserve">Under the present position, it can be identified that the management of Accor with the present operations position needs to formulate some progressive growth and Standardized operating initiative support properly for the compatibility growth and some of the statutory performance initiative positions for the upcoming period.  depending on the present operating structure and performance initiative approach the management of the business needs to provide importance to the green energy formulation concept for avoiding the basic difficulties of energy cost burden. Considering the present taxation approach the management of Accor also needs to provide significance to the Federal Tax rate of 30% on an optimised basis so that proper stability positioning formulations related to the tax burden can be avoided. Including the same approach support depending on the expanded market labour charges a proper volume of importance to the employee retention concept is required to be initiated by the managerial department of the business so that the progressive growth and statutory implementations can be maintained properly. </w:t>
      </w:r>
    </w:p>
    <w:p w14:paraId="390CDCAA" w14:textId="77777777" w:rsidR="00CB00BA" w:rsidRPr="002B2E1E" w:rsidRDefault="002E301D">
      <w:r w:rsidRPr="002B2E1E">
        <w:t xml:space="preserve">With the above-provided recommendation, the management of the business needs to restructure the overall operating performances including the comparative operating value systematically so that the statutory growth including some of the comprehensive operating values can be implemented in the upcoming period. Even in the present situation, the management of the business also needs to reformulate the operating growth development approach in a proper basis for gaining competitive marketing advantages on a proper basis. </w:t>
      </w:r>
    </w:p>
    <w:p w14:paraId="3D7A4B23" w14:textId="77777777" w:rsidR="00CB00BA" w:rsidRDefault="002B2E1E" w:rsidP="002B2E1E">
      <w:pPr>
        <w:pStyle w:val="Heading1"/>
      </w:pPr>
      <w:bookmarkStart w:id="15" w:name="_Toc157294160"/>
      <w:r>
        <w:t>References</w:t>
      </w:r>
      <w:bookmarkEnd w:id="15"/>
      <w:r>
        <w:t xml:space="preserve"> </w:t>
      </w:r>
    </w:p>
    <w:p w14:paraId="17A14E57" w14:textId="77777777" w:rsidR="002B2E1E" w:rsidRPr="00D53404" w:rsidRDefault="002B2E1E" w:rsidP="002B2E1E">
      <w:pPr>
        <w:pStyle w:val="NoSpacing"/>
        <w:spacing w:line="360" w:lineRule="auto"/>
        <w:jc w:val="both"/>
        <w:rPr>
          <w:rFonts w:ascii="Times New Roman" w:hAnsi="Times New Roman" w:cs="Times New Roman"/>
          <w:sz w:val="24"/>
          <w:szCs w:val="24"/>
          <w:lang w:val="en-IN" w:eastAsia="en-IN"/>
        </w:rPr>
      </w:pPr>
      <w:r w:rsidRPr="00D53404">
        <w:rPr>
          <w:rFonts w:ascii="Times New Roman" w:hAnsi="Times New Roman" w:cs="Times New Roman"/>
          <w:sz w:val="24"/>
          <w:szCs w:val="24"/>
          <w:lang w:val="en-IN" w:eastAsia="en-IN"/>
        </w:rPr>
        <w:lastRenderedPageBreak/>
        <w:t xml:space="preserve">Accor (2019). </w:t>
      </w:r>
      <w:r w:rsidRPr="00D53404">
        <w:rPr>
          <w:rFonts w:ascii="Times New Roman" w:hAnsi="Times New Roman" w:cs="Times New Roman"/>
          <w:i/>
          <w:iCs/>
          <w:sz w:val="24"/>
          <w:szCs w:val="24"/>
          <w:lang w:val="en-IN" w:eastAsia="en-IN"/>
        </w:rPr>
        <w:t>The new Accor strategy</w:t>
      </w:r>
      <w:r w:rsidRPr="00D53404">
        <w:rPr>
          <w:rFonts w:ascii="Times New Roman" w:hAnsi="Times New Roman" w:cs="Times New Roman"/>
          <w:sz w:val="24"/>
          <w:szCs w:val="24"/>
          <w:lang w:val="en-IN" w:eastAsia="en-IN"/>
        </w:rPr>
        <w:t>. [online] Accor.com. Available at: https://group.accor.com/en/Actualites/2019/03/strategy-all-accor-live-limitless-sebastien-bazin [Accessed 27 Jan. 2024].</w:t>
      </w:r>
    </w:p>
    <w:p w14:paraId="2247242B" w14:textId="77777777" w:rsidR="002B2E1E" w:rsidRPr="00D53404" w:rsidRDefault="002B2E1E" w:rsidP="002B2E1E">
      <w:pPr>
        <w:pStyle w:val="NoSpacing"/>
        <w:spacing w:line="360" w:lineRule="auto"/>
        <w:jc w:val="both"/>
        <w:rPr>
          <w:rFonts w:ascii="Times New Roman" w:hAnsi="Times New Roman" w:cs="Times New Roman"/>
          <w:sz w:val="24"/>
          <w:szCs w:val="24"/>
          <w:lang w:val="en-IN" w:eastAsia="en-IN"/>
        </w:rPr>
      </w:pPr>
      <w:r w:rsidRPr="00D53404">
        <w:rPr>
          <w:rFonts w:ascii="Times New Roman" w:hAnsi="Times New Roman" w:cs="Times New Roman"/>
          <w:sz w:val="24"/>
          <w:szCs w:val="24"/>
          <w:lang w:val="en-IN" w:eastAsia="en-IN"/>
        </w:rPr>
        <w:t xml:space="preserve">accor.com (2022). </w:t>
      </w:r>
      <w:r w:rsidRPr="00D53404">
        <w:rPr>
          <w:rFonts w:ascii="Times New Roman" w:hAnsi="Times New Roman" w:cs="Times New Roman"/>
          <w:i/>
          <w:iCs/>
          <w:sz w:val="24"/>
          <w:szCs w:val="24"/>
          <w:lang w:val="en-IN" w:eastAsia="en-IN"/>
        </w:rPr>
        <w:t>Accor – Newsroom | Asia &amp; Pacific | Accor to open spectacular new properties across Australia and New Zealand in 2023</w:t>
      </w:r>
      <w:r w:rsidRPr="00D53404">
        <w:rPr>
          <w:rFonts w:ascii="Times New Roman" w:hAnsi="Times New Roman" w:cs="Times New Roman"/>
          <w:sz w:val="24"/>
          <w:szCs w:val="24"/>
          <w:lang w:val="en-IN" w:eastAsia="en-IN"/>
        </w:rPr>
        <w:t>. [online] Accor – Newsroom | Asia &amp; Pacific. Available at: https://press.accor.com/middle-east-africa-turkey-asia-pacific/accor-to-open-spectacular-new-properties-across-australia-and-new-zealand-in-2023/?lang=en [Accessed 27 Jan. 2024].</w:t>
      </w:r>
    </w:p>
    <w:p w14:paraId="1E4340D1" w14:textId="77777777" w:rsidR="002B2E1E" w:rsidRPr="00D53404" w:rsidRDefault="002B2E1E" w:rsidP="002B2E1E">
      <w:pPr>
        <w:pStyle w:val="NoSpacing"/>
        <w:spacing w:line="360" w:lineRule="auto"/>
        <w:jc w:val="both"/>
        <w:rPr>
          <w:rFonts w:ascii="Times New Roman" w:hAnsi="Times New Roman" w:cs="Times New Roman"/>
          <w:sz w:val="24"/>
          <w:szCs w:val="24"/>
          <w:lang w:val="en-IN" w:eastAsia="en-IN"/>
        </w:rPr>
      </w:pPr>
      <w:r w:rsidRPr="00D53404">
        <w:rPr>
          <w:rFonts w:ascii="Times New Roman" w:hAnsi="Times New Roman" w:cs="Times New Roman"/>
          <w:sz w:val="24"/>
          <w:szCs w:val="24"/>
          <w:lang w:val="en-IN" w:eastAsia="en-IN"/>
        </w:rPr>
        <w:t xml:space="preserve">accor.com (2024). </w:t>
      </w:r>
      <w:r w:rsidRPr="00D53404">
        <w:rPr>
          <w:rFonts w:ascii="Times New Roman" w:hAnsi="Times New Roman" w:cs="Times New Roman"/>
          <w:i/>
          <w:iCs/>
          <w:sz w:val="24"/>
          <w:szCs w:val="24"/>
          <w:lang w:val="en-IN" w:eastAsia="en-IN"/>
        </w:rPr>
        <w:t>Annual report</w:t>
      </w:r>
      <w:r w:rsidRPr="00D53404">
        <w:rPr>
          <w:rFonts w:ascii="Times New Roman" w:hAnsi="Times New Roman" w:cs="Times New Roman"/>
          <w:sz w:val="24"/>
          <w:szCs w:val="24"/>
          <w:lang w:val="en-IN" w:eastAsia="en-IN"/>
        </w:rPr>
        <w:t>. [online] group.accor.com. Available at: https://group.accor.com/en/finance/results-and-publications/financial-result [Accessed 27 Jan. 2024].</w:t>
      </w:r>
    </w:p>
    <w:p w14:paraId="151A5870"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Ali, A. and Dunay, A., 2021. Tourism Sector–an Unexploited Resource for Restructuring the Libyan Economy.</w:t>
      </w:r>
    </w:p>
    <w:p w14:paraId="2EBF713E" w14:textId="77777777" w:rsidR="002B2E1E" w:rsidRPr="00D53404" w:rsidRDefault="002B2E1E" w:rsidP="002B2E1E">
      <w:pPr>
        <w:pStyle w:val="NoSpacing"/>
        <w:spacing w:line="360" w:lineRule="auto"/>
        <w:jc w:val="both"/>
        <w:rPr>
          <w:rFonts w:ascii="Times New Roman" w:hAnsi="Times New Roman" w:cs="Times New Roman"/>
          <w:sz w:val="24"/>
          <w:szCs w:val="24"/>
          <w:lang w:val="en-IN" w:eastAsia="en-IN"/>
        </w:rPr>
      </w:pPr>
      <w:r w:rsidRPr="00D53404">
        <w:rPr>
          <w:rFonts w:ascii="Times New Roman" w:hAnsi="Times New Roman" w:cs="Times New Roman"/>
          <w:sz w:val="24"/>
          <w:szCs w:val="24"/>
          <w:lang w:val="en-IN" w:eastAsia="en-IN"/>
        </w:rPr>
        <w:t xml:space="preserve">all.accor.com. (2023). </w:t>
      </w:r>
      <w:r w:rsidRPr="00D53404">
        <w:rPr>
          <w:rFonts w:ascii="Times New Roman" w:hAnsi="Times New Roman" w:cs="Times New Roman"/>
          <w:i/>
          <w:iCs/>
          <w:sz w:val="24"/>
          <w:szCs w:val="24"/>
          <w:lang w:val="en-IN" w:eastAsia="en-IN"/>
        </w:rPr>
        <w:t>Hotels in Australia and the Pacific | Accor</w:t>
      </w:r>
      <w:r w:rsidRPr="00D53404">
        <w:rPr>
          <w:rFonts w:ascii="Times New Roman" w:hAnsi="Times New Roman" w:cs="Times New Roman"/>
          <w:sz w:val="24"/>
          <w:szCs w:val="24"/>
          <w:lang w:val="en-IN" w:eastAsia="en-IN"/>
        </w:rPr>
        <w:t>. [online] Available at: https://all.accor.com/gb/continent/hotels-australia-pacific-c05.shtml#:~:text=With%20over%20400%20Accor%20hotels [Accessed 27 Jan. 2024].</w:t>
      </w:r>
    </w:p>
    <w:p w14:paraId="016825FA" w14:textId="77777777" w:rsidR="002B2E1E"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 xml:space="preserve">Asadpourian, Z., </w:t>
      </w:r>
      <w:proofErr w:type="spellStart"/>
      <w:r w:rsidRPr="00D53404">
        <w:rPr>
          <w:rFonts w:ascii="Times New Roman" w:hAnsi="Times New Roman" w:cs="Times New Roman"/>
          <w:sz w:val="24"/>
          <w:szCs w:val="24"/>
          <w:lang w:eastAsia="en-IN"/>
        </w:rPr>
        <w:t>Rahimian</w:t>
      </w:r>
      <w:proofErr w:type="spellEnd"/>
      <w:r w:rsidRPr="00D53404">
        <w:rPr>
          <w:rFonts w:ascii="Times New Roman" w:hAnsi="Times New Roman" w:cs="Times New Roman"/>
          <w:sz w:val="24"/>
          <w:szCs w:val="24"/>
          <w:lang w:eastAsia="en-IN"/>
        </w:rPr>
        <w:t xml:space="preserve">, M. and </w:t>
      </w:r>
      <w:proofErr w:type="spellStart"/>
      <w:r w:rsidRPr="00D53404">
        <w:rPr>
          <w:rFonts w:ascii="Times New Roman" w:hAnsi="Times New Roman" w:cs="Times New Roman"/>
          <w:sz w:val="24"/>
          <w:szCs w:val="24"/>
          <w:lang w:eastAsia="en-IN"/>
        </w:rPr>
        <w:t>Gholamrezai</w:t>
      </w:r>
      <w:proofErr w:type="spellEnd"/>
      <w:r w:rsidRPr="00D53404">
        <w:rPr>
          <w:rFonts w:ascii="Times New Roman" w:hAnsi="Times New Roman" w:cs="Times New Roman"/>
          <w:sz w:val="24"/>
          <w:szCs w:val="24"/>
          <w:lang w:eastAsia="en-IN"/>
        </w:rPr>
        <w:t>, S., 2020. SWOT-AHP-TOWS analysis for sustainable ecotourism development in the best area in Lorestan Province, Iran. </w:t>
      </w:r>
      <w:r w:rsidRPr="00D53404">
        <w:rPr>
          <w:rFonts w:ascii="Times New Roman" w:hAnsi="Times New Roman" w:cs="Times New Roman"/>
          <w:i/>
          <w:iCs/>
          <w:sz w:val="24"/>
          <w:szCs w:val="24"/>
          <w:lang w:eastAsia="en-IN"/>
        </w:rPr>
        <w:t>Social Indicators Research</w:t>
      </w:r>
      <w:r w:rsidRPr="00D53404">
        <w:rPr>
          <w:rFonts w:ascii="Times New Roman" w:hAnsi="Times New Roman" w:cs="Times New Roman"/>
          <w:sz w:val="24"/>
          <w:szCs w:val="24"/>
          <w:lang w:eastAsia="en-IN"/>
        </w:rPr>
        <w:t>, </w:t>
      </w:r>
      <w:r w:rsidRPr="00D53404">
        <w:rPr>
          <w:rFonts w:ascii="Times New Roman" w:hAnsi="Times New Roman" w:cs="Times New Roman"/>
          <w:i/>
          <w:iCs/>
          <w:sz w:val="24"/>
          <w:szCs w:val="24"/>
          <w:lang w:eastAsia="en-IN"/>
        </w:rPr>
        <w:t>152</w:t>
      </w:r>
      <w:r w:rsidRPr="00D53404">
        <w:rPr>
          <w:rFonts w:ascii="Times New Roman" w:hAnsi="Times New Roman" w:cs="Times New Roman"/>
          <w:sz w:val="24"/>
          <w:szCs w:val="24"/>
          <w:lang w:eastAsia="en-IN"/>
        </w:rPr>
        <w:t>, pp.289-315.</w:t>
      </w:r>
    </w:p>
    <w:p w14:paraId="1385A21E" w14:textId="77777777" w:rsidR="002B2E1E" w:rsidRPr="00D53404" w:rsidRDefault="002B2E1E" w:rsidP="002B2E1E">
      <w:pPr>
        <w:pStyle w:val="NoSpacing"/>
        <w:spacing w:line="360" w:lineRule="auto"/>
        <w:jc w:val="both"/>
        <w:rPr>
          <w:rFonts w:ascii="Times New Roman" w:hAnsi="Times New Roman" w:cs="Times New Roman"/>
          <w:sz w:val="24"/>
          <w:szCs w:val="24"/>
          <w:lang w:val="en-IN" w:eastAsia="en-IN"/>
        </w:rPr>
      </w:pPr>
      <w:r w:rsidRPr="00D53404">
        <w:rPr>
          <w:rFonts w:ascii="Times New Roman" w:hAnsi="Times New Roman" w:cs="Times New Roman"/>
          <w:sz w:val="24"/>
          <w:szCs w:val="24"/>
          <w:lang w:val="en-IN" w:eastAsia="en-IN"/>
        </w:rPr>
        <w:t xml:space="preserve">Australian Bureau of Statistics (2023). </w:t>
      </w:r>
      <w:r w:rsidRPr="00D53404">
        <w:rPr>
          <w:rFonts w:ascii="Times New Roman" w:hAnsi="Times New Roman" w:cs="Times New Roman"/>
          <w:i/>
          <w:iCs/>
          <w:sz w:val="24"/>
          <w:szCs w:val="24"/>
          <w:lang w:val="en-IN" w:eastAsia="en-IN"/>
        </w:rPr>
        <w:t>Labour Force, Australia</w:t>
      </w:r>
      <w:r w:rsidRPr="00D53404">
        <w:rPr>
          <w:rFonts w:ascii="Times New Roman" w:hAnsi="Times New Roman" w:cs="Times New Roman"/>
          <w:sz w:val="24"/>
          <w:szCs w:val="24"/>
          <w:lang w:val="en-IN" w:eastAsia="en-IN"/>
        </w:rPr>
        <w:t>. [online] Australian Bureau of Statistics. Available at: https://www.abs.gov.au/statistics/labour/employment-and-unemployment/labour-force-australia/latest-release [Accessed 27 Jan. 2024].</w:t>
      </w:r>
    </w:p>
    <w:p w14:paraId="08A91884"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Baron, A. and Armstrong, M. (2007) Human Capital Management. London: Kogan Page.</w:t>
      </w:r>
    </w:p>
    <w:p w14:paraId="5A1E4719"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Bichler, B.F., Kallmuenzer, A. and Peters, M., 2020. Entrepreneurial ecosystems in hospitality: The relevance of entrepreneurs’ quality of life. </w:t>
      </w:r>
      <w:r w:rsidRPr="00D53404">
        <w:rPr>
          <w:rFonts w:ascii="Times New Roman" w:hAnsi="Times New Roman" w:cs="Times New Roman"/>
          <w:i/>
          <w:iCs/>
          <w:sz w:val="24"/>
          <w:szCs w:val="24"/>
          <w:lang w:eastAsia="en-IN"/>
        </w:rPr>
        <w:t>Journal of Hospitality and Tourism Management</w:t>
      </w:r>
      <w:r w:rsidRPr="00D53404">
        <w:rPr>
          <w:rFonts w:ascii="Times New Roman" w:hAnsi="Times New Roman" w:cs="Times New Roman"/>
          <w:sz w:val="24"/>
          <w:szCs w:val="24"/>
          <w:lang w:eastAsia="en-IN"/>
        </w:rPr>
        <w:t>, </w:t>
      </w:r>
      <w:r w:rsidRPr="00D53404">
        <w:rPr>
          <w:rFonts w:ascii="Times New Roman" w:hAnsi="Times New Roman" w:cs="Times New Roman"/>
          <w:i/>
          <w:iCs/>
          <w:sz w:val="24"/>
          <w:szCs w:val="24"/>
          <w:lang w:eastAsia="en-IN"/>
        </w:rPr>
        <w:t>44</w:t>
      </w:r>
      <w:r w:rsidRPr="00D53404">
        <w:rPr>
          <w:rFonts w:ascii="Times New Roman" w:hAnsi="Times New Roman" w:cs="Times New Roman"/>
          <w:sz w:val="24"/>
          <w:szCs w:val="24"/>
          <w:lang w:eastAsia="en-IN"/>
        </w:rPr>
        <w:t>, pp.152-161.</w:t>
      </w:r>
    </w:p>
    <w:p w14:paraId="569A62AF" w14:textId="77777777" w:rsidR="002B2E1E" w:rsidRPr="00D53404" w:rsidRDefault="002B2E1E" w:rsidP="002B2E1E">
      <w:pPr>
        <w:pStyle w:val="NoSpacing"/>
        <w:spacing w:line="360" w:lineRule="auto"/>
        <w:jc w:val="both"/>
        <w:rPr>
          <w:rFonts w:ascii="Times New Roman" w:hAnsi="Times New Roman" w:cs="Times New Roman"/>
          <w:sz w:val="24"/>
          <w:szCs w:val="24"/>
          <w:lang w:val="en-IN" w:eastAsia="en-IN"/>
        </w:rPr>
      </w:pPr>
      <w:r w:rsidRPr="00D53404">
        <w:rPr>
          <w:rFonts w:ascii="Times New Roman" w:hAnsi="Times New Roman" w:cs="Times New Roman"/>
          <w:sz w:val="24"/>
          <w:szCs w:val="24"/>
          <w:lang w:val="en-IN" w:eastAsia="en-IN"/>
        </w:rPr>
        <w:t xml:space="preserve">Bruno, A., Davis, K. and </w:t>
      </w:r>
      <w:proofErr w:type="spellStart"/>
      <w:r w:rsidRPr="00D53404">
        <w:rPr>
          <w:rFonts w:ascii="Times New Roman" w:hAnsi="Times New Roman" w:cs="Times New Roman"/>
          <w:sz w:val="24"/>
          <w:szCs w:val="24"/>
          <w:lang w:val="en-IN" w:eastAsia="en-IN"/>
        </w:rPr>
        <w:t>Staib</w:t>
      </w:r>
      <w:proofErr w:type="spellEnd"/>
      <w:r w:rsidRPr="00D53404">
        <w:rPr>
          <w:rFonts w:ascii="Times New Roman" w:hAnsi="Times New Roman" w:cs="Times New Roman"/>
          <w:sz w:val="24"/>
          <w:szCs w:val="24"/>
          <w:lang w:val="en-IN" w:eastAsia="en-IN"/>
        </w:rPr>
        <w:t xml:space="preserve">, A. (2022). The Recovery in the Australian Tourism Industry. </w:t>
      </w:r>
      <w:r w:rsidRPr="00D53404">
        <w:rPr>
          <w:rFonts w:ascii="Times New Roman" w:hAnsi="Times New Roman" w:cs="Times New Roman"/>
          <w:i/>
          <w:iCs/>
          <w:sz w:val="24"/>
          <w:szCs w:val="24"/>
          <w:lang w:val="en-IN" w:eastAsia="en-IN"/>
        </w:rPr>
        <w:t>Reserve Bank of Australia</w:t>
      </w:r>
      <w:r w:rsidRPr="00D53404">
        <w:rPr>
          <w:rFonts w:ascii="Times New Roman" w:hAnsi="Times New Roman" w:cs="Times New Roman"/>
          <w:sz w:val="24"/>
          <w:szCs w:val="24"/>
          <w:lang w:val="en-IN" w:eastAsia="en-IN"/>
        </w:rPr>
        <w:t>. [online] Available at: https://www.rba.gov.au/publications/bulletin/2022/dec/the-recovery-in-the-australian-tourism-industry.html [Accessed 27 Jan. 2024].</w:t>
      </w:r>
    </w:p>
    <w:p w14:paraId="7BC8B893"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Burnes, B. (2014) 4th Edition, Managing Change, Great Britain, Prentice Hall.</w:t>
      </w:r>
    </w:p>
    <w:p w14:paraId="5E5DD9E9" w14:textId="77777777" w:rsidR="002B2E1E" w:rsidRPr="00D53404" w:rsidRDefault="002B2E1E" w:rsidP="002B2E1E">
      <w:pPr>
        <w:pStyle w:val="NoSpacing"/>
        <w:spacing w:line="360" w:lineRule="auto"/>
        <w:jc w:val="both"/>
        <w:rPr>
          <w:rFonts w:ascii="Times New Roman" w:hAnsi="Times New Roman" w:cs="Times New Roman"/>
          <w:sz w:val="24"/>
          <w:szCs w:val="24"/>
          <w:lang w:val="en-IN" w:eastAsia="en-IN"/>
        </w:rPr>
      </w:pPr>
      <w:proofErr w:type="spellStart"/>
      <w:r w:rsidRPr="00D53404">
        <w:rPr>
          <w:rFonts w:ascii="Times New Roman" w:hAnsi="Times New Roman" w:cs="Times New Roman"/>
          <w:sz w:val="24"/>
          <w:szCs w:val="24"/>
          <w:lang w:val="en-IN" w:eastAsia="en-IN"/>
        </w:rPr>
        <w:t>Buttrick</w:t>
      </w:r>
      <w:proofErr w:type="spellEnd"/>
      <w:r w:rsidRPr="00D53404">
        <w:rPr>
          <w:rFonts w:ascii="Times New Roman" w:hAnsi="Times New Roman" w:cs="Times New Roman"/>
          <w:sz w:val="24"/>
          <w:szCs w:val="24"/>
          <w:lang w:val="en-IN" w:eastAsia="en-IN"/>
        </w:rPr>
        <w:t xml:space="preserve">, R. (2009) The Project Workout, </w:t>
      </w:r>
      <w:proofErr w:type="spellStart"/>
      <w:proofErr w:type="gramStart"/>
      <w:r w:rsidRPr="00D53404">
        <w:rPr>
          <w:rFonts w:ascii="Times New Roman" w:hAnsi="Times New Roman" w:cs="Times New Roman"/>
          <w:sz w:val="24"/>
          <w:szCs w:val="24"/>
          <w:lang w:val="en-IN" w:eastAsia="en-IN"/>
        </w:rPr>
        <w:t>London:Prentice</w:t>
      </w:r>
      <w:proofErr w:type="spellEnd"/>
      <w:proofErr w:type="gramEnd"/>
      <w:r w:rsidRPr="00D53404">
        <w:rPr>
          <w:rFonts w:ascii="Times New Roman" w:hAnsi="Times New Roman" w:cs="Times New Roman"/>
          <w:sz w:val="24"/>
          <w:szCs w:val="24"/>
          <w:lang w:val="en-IN" w:eastAsia="en-IN"/>
        </w:rPr>
        <w:t xml:space="preserve"> Hall</w:t>
      </w:r>
    </w:p>
    <w:p w14:paraId="517D98E2"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Cai, C.W., 2020. Nudging the financial market? A review of the nudge theory. </w:t>
      </w:r>
      <w:r w:rsidRPr="00D53404">
        <w:rPr>
          <w:rFonts w:ascii="Times New Roman" w:hAnsi="Times New Roman" w:cs="Times New Roman"/>
          <w:i/>
          <w:iCs/>
          <w:sz w:val="24"/>
          <w:szCs w:val="24"/>
          <w:lang w:eastAsia="en-IN"/>
        </w:rPr>
        <w:t>Accounting &amp; Finance</w:t>
      </w:r>
      <w:r w:rsidRPr="00D53404">
        <w:rPr>
          <w:rFonts w:ascii="Times New Roman" w:hAnsi="Times New Roman" w:cs="Times New Roman"/>
          <w:sz w:val="24"/>
          <w:szCs w:val="24"/>
          <w:lang w:eastAsia="en-IN"/>
        </w:rPr>
        <w:t>, </w:t>
      </w:r>
      <w:r w:rsidRPr="00D53404">
        <w:rPr>
          <w:rFonts w:ascii="Times New Roman" w:hAnsi="Times New Roman" w:cs="Times New Roman"/>
          <w:i/>
          <w:iCs/>
          <w:sz w:val="24"/>
          <w:szCs w:val="24"/>
          <w:lang w:eastAsia="en-IN"/>
        </w:rPr>
        <w:t>60</w:t>
      </w:r>
      <w:r w:rsidRPr="00D53404">
        <w:rPr>
          <w:rFonts w:ascii="Times New Roman" w:hAnsi="Times New Roman" w:cs="Times New Roman"/>
          <w:sz w:val="24"/>
          <w:szCs w:val="24"/>
          <w:lang w:eastAsia="en-IN"/>
        </w:rPr>
        <w:t>(4), pp.3341-3365.</w:t>
      </w:r>
    </w:p>
    <w:p w14:paraId="5A5EFCC1" w14:textId="77777777" w:rsidR="002B2E1E" w:rsidRPr="00D53404" w:rsidRDefault="002B2E1E" w:rsidP="002B2E1E">
      <w:pPr>
        <w:pStyle w:val="NoSpacing"/>
        <w:spacing w:line="360" w:lineRule="auto"/>
        <w:jc w:val="both"/>
        <w:rPr>
          <w:rFonts w:ascii="Times New Roman" w:hAnsi="Times New Roman" w:cs="Times New Roman"/>
          <w:sz w:val="24"/>
          <w:szCs w:val="24"/>
          <w:lang w:val="en-IN" w:eastAsia="en-IN"/>
        </w:rPr>
      </w:pPr>
      <w:r w:rsidRPr="00D53404">
        <w:rPr>
          <w:rFonts w:ascii="Times New Roman" w:hAnsi="Times New Roman" w:cs="Times New Roman"/>
          <w:sz w:val="24"/>
          <w:szCs w:val="24"/>
          <w:lang w:val="en-IN" w:eastAsia="en-IN"/>
        </w:rPr>
        <w:lastRenderedPageBreak/>
        <w:t xml:space="preserve">Cambon, A. (2023). </w:t>
      </w:r>
      <w:r w:rsidRPr="00D53404">
        <w:rPr>
          <w:rFonts w:ascii="Times New Roman" w:hAnsi="Times New Roman" w:cs="Times New Roman"/>
          <w:i/>
          <w:iCs/>
          <w:sz w:val="24"/>
          <w:szCs w:val="24"/>
          <w:lang w:val="en-IN" w:eastAsia="en-IN"/>
        </w:rPr>
        <w:t>Accor unveils its strategic priorities and its medium-term growth ambitions</w:t>
      </w:r>
      <w:r w:rsidRPr="00D53404">
        <w:rPr>
          <w:rFonts w:ascii="Times New Roman" w:hAnsi="Times New Roman" w:cs="Times New Roman"/>
          <w:sz w:val="24"/>
          <w:szCs w:val="24"/>
          <w:lang w:val="en-IN" w:eastAsia="en-IN"/>
        </w:rPr>
        <w:t>. [online] Accor – Newsroom. Available at: https://press.accor.com/accor-unveils-its-strategic-priorities-and-its-medium-term-growth-ambitions/?lang=en [Accessed 27 Jan. 2024].</w:t>
      </w:r>
    </w:p>
    <w:p w14:paraId="09134C1D" w14:textId="77777777" w:rsidR="002B2E1E" w:rsidRPr="00D53404" w:rsidRDefault="002B2E1E" w:rsidP="002B2E1E">
      <w:pPr>
        <w:pStyle w:val="NoSpacing"/>
        <w:spacing w:line="360" w:lineRule="auto"/>
        <w:jc w:val="both"/>
        <w:rPr>
          <w:rFonts w:ascii="Times New Roman" w:hAnsi="Times New Roman" w:cs="Times New Roman"/>
          <w:sz w:val="24"/>
          <w:szCs w:val="24"/>
          <w:lang w:val="en-IN" w:eastAsia="en-IN"/>
        </w:rPr>
      </w:pPr>
      <w:r w:rsidRPr="00D53404">
        <w:rPr>
          <w:rFonts w:ascii="Times New Roman" w:hAnsi="Times New Roman" w:cs="Times New Roman"/>
          <w:sz w:val="24"/>
          <w:szCs w:val="24"/>
          <w:lang w:val="en-IN" w:eastAsia="en-IN"/>
        </w:rPr>
        <w:t xml:space="preserve">ceicdata.com (2024). </w:t>
      </w:r>
      <w:r w:rsidRPr="00D53404">
        <w:rPr>
          <w:rFonts w:ascii="Times New Roman" w:hAnsi="Times New Roman" w:cs="Times New Roman"/>
          <w:i/>
          <w:iCs/>
          <w:sz w:val="24"/>
          <w:szCs w:val="24"/>
          <w:lang w:val="en-IN" w:eastAsia="en-IN"/>
        </w:rPr>
        <w:t>Australia Unit Labour Cost | Economic Indicators | CEIC</w:t>
      </w:r>
      <w:r w:rsidRPr="00D53404">
        <w:rPr>
          <w:rFonts w:ascii="Times New Roman" w:hAnsi="Times New Roman" w:cs="Times New Roman"/>
          <w:sz w:val="24"/>
          <w:szCs w:val="24"/>
          <w:lang w:val="en-IN" w:eastAsia="en-IN"/>
        </w:rPr>
        <w:t>. [online] www.ceicdata.com. Available at: https://www.ceicdata.com/en/australia/hours-worked-unit-labour-cost-and-labour-compensation-forecast-oecd-member-annual/au-unit-labour-cost [Accessed 27 Jan. 2024].</w:t>
      </w:r>
    </w:p>
    <w:p w14:paraId="445B9966"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Cox, J., 2021. The higher education environment driving academic library strategy: A political, economic, social and technological (PEST) analysis. </w:t>
      </w:r>
      <w:r w:rsidRPr="00D53404">
        <w:rPr>
          <w:rFonts w:ascii="Times New Roman" w:hAnsi="Times New Roman" w:cs="Times New Roman"/>
          <w:i/>
          <w:iCs/>
          <w:sz w:val="24"/>
          <w:szCs w:val="24"/>
          <w:lang w:eastAsia="en-IN"/>
        </w:rPr>
        <w:t>The Journal of Academic Librarianship</w:t>
      </w:r>
      <w:r w:rsidRPr="00D53404">
        <w:rPr>
          <w:rFonts w:ascii="Times New Roman" w:hAnsi="Times New Roman" w:cs="Times New Roman"/>
          <w:sz w:val="24"/>
          <w:szCs w:val="24"/>
          <w:lang w:eastAsia="en-IN"/>
        </w:rPr>
        <w:t>, </w:t>
      </w:r>
      <w:r w:rsidRPr="00D53404">
        <w:rPr>
          <w:rFonts w:ascii="Times New Roman" w:hAnsi="Times New Roman" w:cs="Times New Roman"/>
          <w:i/>
          <w:iCs/>
          <w:sz w:val="24"/>
          <w:szCs w:val="24"/>
          <w:lang w:eastAsia="en-IN"/>
        </w:rPr>
        <w:t>47</w:t>
      </w:r>
      <w:r w:rsidRPr="00D53404">
        <w:rPr>
          <w:rFonts w:ascii="Times New Roman" w:hAnsi="Times New Roman" w:cs="Times New Roman"/>
          <w:sz w:val="24"/>
          <w:szCs w:val="24"/>
          <w:lang w:eastAsia="en-IN"/>
        </w:rPr>
        <w:t>(1), p.102219.</w:t>
      </w:r>
    </w:p>
    <w:p w14:paraId="0918C5FC"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Cummings, S., Bridgman, T. and Brown, K.G., 2016. Unfreezing change as three steps: Rethinking Kurt Lewin’s legacy for change management. </w:t>
      </w:r>
      <w:r w:rsidRPr="00D53404">
        <w:rPr>
          <w:rFonts w:ascii="Times New Roman" w:hAnsi="Times New Roman" w:cs="Times New Roman"/>
          <w:i/>
          <w:iCs/>
          <w:sz w:val="24"/>
          <w:szCs w:val="24"/>
          <w:lang w:eastAsia="en-IN"/>
        </w:rPr>
        <w:t>Human relations</w:t>
      </w:r>
      <w:r w:rsidRPr="00D53404">
        <w:rPr>
          <w:rFonts w:ascii="Times New Roman" w:hAnsi="Times New Roman" w:cs="Times New Roman"/>
          <w:sz w:val="24"/>
          <w:szCs w:val="24"/>
          <w:lang w:eastAsia="en-IN"/>
        </w:rPr>
        <w:t>, </w:t>
      </w:r>
      <w:r w:rsidRPr="00D53404">
        <w:rPr>
          <w:rFonts w:ascii="Times New Roman" w:hAnsi="Times New Roman" w:cs="Times New Roman"/>
          <w:i/>
          <w:iCs/>
          <w:sz w:val="24"/>
          <w:szCs w:val="24"/>
          <w:lang w:eastAsia="en-IN"/>
        </w:rPr>
        <w:t>69</w:t>
      </w:r>
      <w:r w:rsidRPr="00D53404">
        <w:rPr>
          <w:rFonts w:ascii="Times New Roman" w:hAnsi="Times New Roman" w:cs="Times New Roman"/>
          <w:sz w:val="24"/>
          <w:szCs w:val="24"/>
          <w:lang w:eastAsia="en-IN"/>
        </w:rPr>
        <w:t>(1), pp.33-60.</w:t>
      </w:r>
    </w:p>
    <w:p w14:paraId="1670058E" w14:textId="77777777" w:rsidR="002B2E1E" w:rsidRPr="00D53404" w:rsidRDefault="002B2E1E" w:rsidP="002B2E1E">
      <w:pPr>
        <w:pStyle w:val="NoSpacing"/>
        <w:spacing w:line="360" w:lineRule="auto"/>
        <w:jc w:val="both"/>
        <w:rPr>
          <w:rFonts w:ascii="Times New Roman" w:hAnsi="Times New Roman" w:cs="Times New Roman"/>
          <w:sz w:val="24"/>
          <w:szCs w:val="24"/>
          <w:lang w:val="en-IN" w:eastAsia="en-IN"/>
        </w:rPr>
      </w:pPr>
      <w:r w:rsidRPr="00D53404">
        <w:rPr>
          <w:rFonts w:ascii="Times New Roman" w:hAnsi="Times New Roman" w:cs="Times New Roman"/>
          <w:sz w:val="24"/>
          <w:szCs w:val="24"/>
          <w:lang w:val="en-IN" w:eastAsia="en-IN"/>
        </w:rPr>
        <w:t xml:space="preserve">Curzonconsulting.com (2023). </w:t>
      </w:r>
      <w:r w:rsidRPr="00D53404">
        <w:rPr>
          <w:rFonts w:ascii="Times New Roman" w:hAnsi="Times New Roman" w:cs="Times New Roman"/>
          <w:i/>
          <w:iCs/>
          <w:sz w:val="24"/>
          <w:szCs w:val="24"/>
          <w:lang w:val="en-IN" w:eastAsia="en-IN"/>
        </w:rPr>
        <w:t>About us – Curzon Consulting</w:t>
      </w:r>
      <w:r w:rsidRPr="00D53404">
        <w:rPr>
          <w:rFonts w:ascii="Times New Roman" w:hAnsi="Times New Roman" w:cs="Times New Roman"/>
          <w:sz w:val="24"/>
          <w:szCs w:val="24"/>
          <w:lang w:val="en-IN" w:eastAsia="en-IN"/>
        </w:rPr>
        <w:t>. [online] www.curzonconsulting.com. Available at: https://www.curzonconsulting.com/about/ [Accessed 27 Jan. 2024].</w:t>
      </w:r>
    </w:p>
    <w:p w14:paraId="6291C41E"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proofErr w:type="spellStart"/>
      <w:r w:rsidRPr="00D53404">
        <w:rPr>
          <w:rFonts w:ascii="Times New Roman" w:hAnsi="Times New Roman" w:cs="Times New Roman"/>
          <w:sz w:val="24"/>
          <w:szCs w:val="24"/>
          <w:lang w:eastAsia="en-IN"/>
        </w:rPr>
        <w:t>Davahli</w:t>
      </w:r>
      <w:proofErr w:type="spellEnd"/>
      <w:r w:rsidRPr="00D53404">
        <w:rPr>
          <w:rFonts w:ascii="Times New Roman" w:hAnsi="Times New Roman" w:cs="Times New Roman"/>
          <w:sz w:val="24"/>
          <w:szCs w:val="24"/>
          <w:lang w:eastAsia="en-IN"/>
        </w:rPr>
        <w:t xml:space="preserve">, M.R., </w:t>
      </w:r>
      <w:proofErr w:type="spellStart"/>
      <w:r w:rsidRPr="00D53404">
        <w:rPr>
          <w:rFonts w:ascii="Times New Roman" w:hAnsi="Times New Roman" w:cs="Times New Roman"/>
          <w:sz w:val="24"/>
          <w:szCs w:val="24"/>
          <w:lang w:eastAsia="en-IN"/>
        </w:rPr>
        <w:t>Karwowski</w:t>
      </w:r>
      <w:proofErr w:type="spellEnd"/>
      <w:r w:rsidRPr="00D53404">
        <w:rPr>
          <w:rFonts w:ascii="Times New Roman" w:hAnsi="Times New Roman" w:cs="Times New Roman"/>
          <w:sz w:val="24"/>
          <w:szCs w:val="24"/>
          <w:lang w:eastAsia="en-IN"/>
        </w:rPr>
        <w:t xml:space="preserve">, W., </w:t>
      </w:r>
      <w:proofErr w:type="spellStart"/>
      <w:r w:rsidRPr="00D53404">
        <w:rPr>
          <w:rFonts w:ascii="Times New Roman" w:hAnsi="Times New Roman" w:cs="Times New Roman"/>
          <w:sz w:val="24"/>
          <w:szCs w:val="24"/>
          <w:lang w:eastAsia="en-IN"/>
        </w:rPr>
        <w:t>Sonmez</w:t>
      </w:r>
      <w:proofErr w:type="spellEnd"/>
      <w:r w:rsidRPr="00D53404">
        <w:rPr>
          <w:rFonts w:ascii="Times New Roman" w:hAnsi="Times New Roman" w:cs="Times New Roman"/>
          <w:sz w:val="24"/>
          <w:szCs w:val="24"/>
          <w:lang w:eastAsia="en-IN"/>
        </w:rPr>
        <w:t xml:space="preserve">, S. and </w:t>
      </w:r>
      <w:proofErr w:type="spellStart"/>
      <w:r w:rsidRPr="00D53404">
        <w:rPr>
          <w:rFonts w:ascii="Times New Roman" w:hAnsi="Times New Roman" w:cs="Times New Roman"/>
          <w:sz w:val="24"/>
          <w:szCs w:val="24"/>
          <w:lang w:eastAsia="en-IN"/>
        </w:rPr>
        <w:t>Apostolopoulos</w:t>
      </w:r>
      <w:proofErr w:type="spellEnd"/>
      <w:r w:rsidRPr="00D53404">
        <w:rPr>
          <w:rFonts w:ascii="Times New Roman" w:hAnsi="Times New Roman" w:cs="Times New Roman"/>
          <w:sz w:val="24"/>
          <w:szCs w:val="24"/>
          <w:lang w:eastAsia="en-IN"/>
        </w:rPr>
        <w:t>, Y., 2020. The hospitality industry in the face of the COVID-19 pandemic: Current topics and research methods. </w:t>
      </w:r>
      <w:r w:rsidRPr="00D53404">
        <w:rPr>
          <w:rFonts w:ascii="Times New Roman" w:hAnsi="Times New Roman" w:cs="Times New Roman"/>
          <w:i/>
          <w:iCs/>
          <w:sz w:val="24"/>
          <w:szCs w:val="24"/>
          <w:lang w:eastAsia="en-IN"/>
        </w:rPr>
        <w:t>International journal of environmental research and public health</w:t>
      </w:r>
      <w:r w:rsidRPr="00D53404">
        <w:rPr>
          <w:rFonts w:ascii="Times New Roman" w:hAnsi="Times New Roman" w:cs="Times New Roman"/>
          <w:sz w:val="24"/>
          <w:szCs w:val="24"/>
          <w:lang w:eastAsia="en-IN"/>
        </w:rPr>
        <w:t>, </w:t>
      </w:r>
      <w:r w:rsidRPr="00D53404">
        <w:rPr>
          <w:rFonts w:ascii="Times New Roman" w:hAnsi="Times New Roman" w:cs="Times New Roman"/>
          <w:i/>
          <w:iCs/>
          <w:sz w:val="24"/>
          <w:szCs w:val="24"/>
          <w:lang w:eastAsia="en-IN"/>
        </w:rPr>
        <w:t>17</w:t>
      </w:r>
      <w:r w:rsidRPr="00D53404">
        <w:rPr>
          <w:rFonts w:ascii="Times New Roman" w:hAnsi="Times New Roman" w:cs="Times New Roman"/>
          <w:sz w:val="24"/>
          <w:szCs w:val="24"/>
          <w:lang w:eastAsia="en-IN"/>
        </w:rPr>
        <w:t>(20), p.7366.</w:t>
      </w:r>
    </w:p>
    <w:p w14:paraId="0D1DA132"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 xml:space="preserve">Diaz Ruiz, C.A., Baker, J.J., Mason, K. and Tierney, K., 2020. Market-scanning and market-shaping: why are firms blindsided by market-shaping </w:t>
      </w:r>
      <w:proofErr w:type="gramStart"/>
      <w:r w:rsidRPr="00D53404">
        <w:rPr>
          <w:rFonts w:ascii="Times New Roman" w:hAnsi="Times New Roman" w:cs="Times New Roman"/>
          <w:sz w:val="24"/>
          <w:szCs w:val="24"/>
          <w:lang w:eastAsia="en-IN"/>
        </w:rPr>
        <w:t>acts?.</w:t>
      </w:r>
      <w:proofErr w:type="gramEnd"/>
      <w:r w:rsidRPr="00D53404">
        <w:rPr>
          <w:rFonts w:ascii="Times New Roman" w:hAnsi="Times New Roman" w:cs="Times New Roman"/>
          <w:sz w:val="24"/>
          <w:szCs w:val="24"/>
          <w:lang w:eastAsia="en-IN"/>
        </w:rPr>
        <w:t> </w:t>
      </w:r>
      <w:r w:rsidRPr="00D53404">
        <w:rPr>
          <w:rFonts w:ascii="Times New Roman" w:hAnsi="Times New Roman" w:cs="Times New Roman"/>
          <w:i/>
          <w:iCs/>
          <w:sz w:val="24"/>
          <w:szCs w:val="24"/>
          <w:lang w:eastAsia="en-IN"/>
        </w:rPr>
        <w:t>Journal of Business &amp; Industrial Marketing</w:t>
      </w:r>
      <w:r w:rsidRPr="00D53404">
        <w:rPr>
          <w:rFonts w:ascii="Times New Roman" w:hAnsi="Times New Roman" w:cs="Times New Roman"/>
          <w:sz w:val="24"/>
          <w:szCs w:val="24"/>
          <w:lang w:eastAsia="en-IN"/>
        </w:rPr>
        <w:t>, </w:t>
      </w:r>
      <w:r w:rsidRPr="00D53404">
        <w:rPr>
          <w:rFonts w:ascii="Times New Roman" w:hAnsi="Times New Roman" w:cs="Times New Roman"/>
          <w:i/>
          <w:iCs/>
          <w:sz w:val="24"/>
          <w:szCs w:val="24"/>
          <w:lang w:eastAsia="en-IN"/>
        </w:rPr>
        <w:t>35</w:t>
      </w:r>
      <w:r w:rsidRPr="00D53404">
        <w:rPr>
          <w:rFonts w:ascii="Times New Roman" w:hAnsi="Times New Roman" w:cs="Times New Roman"/>
          <w:sz w:val="24"/>
          <w:szCs w:val="24"/>
          <w:lang w:eastAsia="en-IN"/>
        </w:rPr>
        <w:t>(9), pp.1389-1401.</w:t>
      </w:r>
    </w:p>
    <w:p w14:paraId="44BDBD07"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Döringer, S., 2020. Governance entrepreneurship in regional economic development: individual agency in Austria. </w:t>
      </w:r>
      <w:r w:rsidRPr="00D53404">
        <w:rPr>
          <w:rFonts w:ascii="Times New Roman" w:hAnsi="Times New Roman" w:cs="Times New Roman"/>
          <w:i/>
          <w:iCs/>
          <w:sz w:val="24"/>
          <w:szCs w:val="24"/>
          <w:lang w:eastAsia="en-IN"/>
        </w:rPr>
        <w:t>Regional Studies, Regional Science</w:t>
      </w:r>
      <w:r w:rsidRPr="00D53404">
        <w:rPr>
          <w:rFonts w:ascii="Times New Roman" w:hAnsi="Times New Roman" w:cs="Times New Roman"/>
          <w:sz w:val="24"/>
          <w:szCs w:val="24"/>
          <w:lang w:eastAsia="en-IN"/>
        </w:rPr>
        <w:t>, </w:t>
      </w:r>
      <w:r w:rsidRPr="00D53404">
        <w:rPr>
          <w:rFonts w:ascii="Times New Roman" w:hAnsi="Times New Roman" w:cs="Times New Roman"/>
          <w:i/>
          <w:iCs/>
          <w:sz w:val="24"/>
          <w:szCs w:val="24"/>
          <w:lang w:eastAsia="en-IN"/>
        </w:rPr>
        <w:t>7</w:t>
      </w:r>
      <w:r w:rsidRPr="00D53404">
        <w:rPr>
          <w:rFonts w:ascii="Times New Roman" w:hAnsi="Times New Roman" w:cs="Times New Roman"/>
          <w:sz w:val="24"/>
          <w:szCs w:val="24"/>
          <w:lang w:eastAsia="en-IN"/>
        </w:rPr>
        <w:t>(1), pp.550-567.</w:t>
      </w:r>
    </w:p>
    <w:p w14:paraId="3E09826B"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Fraser, B., 2020. From hospitality classrooms to successful careers: A current appraisal of Australian international hotel requirements. </w:t>
      </w:r>
      <w:r w:rsidRPr="00D53404">
        <w:rPr>
          <w:rFonts w:ascii="Times New Roman" w:hAnsi="Times New Roman" w:cs="Times New Roman"/>
          <w:i/>
          <w:iCs/>
          <w:sz w:val="24"/>
          <w:szCs w:val="24"/>
          <w:lang w:eastAsia="en-IN"/>
        </w:rPr>
        <w:t>Journal of Hospitality &amp; Tourism Education</w:t>
      </w:r>
      <w:r w:rsidRPr="00D53404">
        <w:rPr>
          <w:rFonts w:ascii="Times New Roman" w:hAnsi="Times New Roman" w:cs="Times New Roman"/>
          <w:sz w:val="24"/>
          <w:szCs w:val="24"/>
          <w:lang w:eastAsia="en-IN"/>
        </w:rPr>
        <w:t>, </w:t>
      </w:r>
      <w:r w:rsidRPr="00D53404">
        <w:rPr>
          <w:rFonts w:ascii="Times New Roman" w:hAnsi="Times New Roman" w:cs="Times New Roman"/>
          <w:i/>
          <w:iCs/>
          <w:sz w:val="24"/>
          <w:szCs w:val="24"/>
          <w:lang w:eastAsia="en-IN"/>
        </w:rPr>
        <w:t>32</w:t>
      </w:r>
      <w:r w:rsidRPr="00D53404">
        <w:rPr>
          <w:rFonts w:ascii="Times New Roman" w:hAnsi="Times New Roman" w:cs="Times New Roman"/>
          <w:sz w:val="24"/>
          <w:szCs w:val="24"/>
          <w:lang w:eastAsia="en-IN"/>
        </w:rPr>
        <w:t>(4), pp.234-254.</w:t>
      </w:r>
    </w:p>
    <w:p w14:paraId="0DDD2AA6"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Gössling, S. and Lund-Durlacher, D., 2021. Tourist accommodation, climate change and mitigation: An assessment for Austria. </w:t>
      </w:r>
      <w:r w:rsidRPr="00D53404">
        <w:rPr>
          <w:rFonts w:ascii="Times New Roman" w:hAnsi="Times New Roman" w:cs="Times New Roman"/>
          <w:i/>
          <w:iCs/>
          <w:sz w:val="24"/>
          <w:szCs w:val="24"/>
          <w:lang w:eastAsia="en-IN"/>
        </w:rPr>
        <w:t>Journal of Outdoor Recreation and Tourism</w:t>
      </w:r>
      <w:r w:rsidRPr="00D53404">
        <w:rPr>
          <w:rFonts w:ascii="Times New Roman" w:hAnsi="Times New Roman" w:cs="Times New Roman"/>
          <w:sz w:val="24"/>
          <w:szCs w:val="24"/>
          <w:lang w:eastAsia="en-IN"/>
        </w:rPr>
        <w:t>, </w:t>
      </w:r>
      <w:r w:rsidRPr="00D53404">
        <w:rPr>
          <w:rFonts w:ascii="Times New Roman" w:hAnsi="Times New Roman" w:cs="Times New Roman"/>
          <w:i/>
          <w:iCs/>
          <w:sz w:val="24"/>
          <w:szCs w:val="24"/>
          <w:lang w:eastAsia="en-IN"/>
        </w:rPr>
        <w:t>34</w:t>
      </w:r>
      <w:r w:rsidRPr="00D53404">
        <w:rPr>
          <w:rFonts w:ascii="Times New Roman" w:hAnsi="Times New Roman" w:cs="Times New Roman"/>
          <w:sz w:val="24"/>
          <w:szCs w:val="24"/>
          <w:lang w:eastAsia="en-IN"/>
        </w:rPr>
        <w:t>, p.100367.</w:t>
      </w:r>
    </w:p>
    <w:p w14:paraId="78B9EBBB"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 xml:space="preserve">Harrison, R., Fischer, S., </w:t>
      </w:r>
      <w:proofErr w:type="spellStart"/>
      <w:r w:rsidRPr="00D53404">
        <w:rPr>
          <w:rFonts w:ascii="Times New Roman" w:hAnsi="Times New Roman" w:cs="Times New Roman"/>
          <w:sz w:val="24"/>
          <w:szCs w:val="24"/>
          <w:lang w:eastAsia="en-IN"/>
        </w:rPr>
        <w:t>Walpola</w:t>
      </w:r>
      <w:proofErr w:type="spellEnd"/>
      <w:r w:rsidRPr="00D53404">
        <w:rPr>
          <w:rFonts w:ascii="Times New Roman" w:hAnsi="Times New Roman" w:cs="Times New Roman"/>
          <w:sz w:val="24"/>
          <w:szCs w:val="24"/>
          <w:lang w:eastAsia="en-IN"/>
        </w:rPr>
        <w:t>, R.L., Chauhan, A., Babalola, T., Mears, S. and Le-Dao, H., 2021. Where do models for change management, improvement and implementation meet? A systematic review of the applications of change management models in healthcare. </w:t>
      </w:r>
      <w:r w:rsidRPr="00D53404">
        <w:rPr>
          <w:rFonts w:ascii="Times New Roman" w:hAnsi="Times New Roman" w:cs="Times New Roman"/>
          <w:i/>
          <w:iCs/>
          <w:sz w:val="24"/>
          <w:szCs w:val="24"/>
          <w:lang w:eastAsia="en-IN"/>
        </w:rPr>
        <w:t>Journal of healthcare leadership</w:t>
      </w:r>
      <w:r w:rsidRPr="00D53404">
        <w:rPr>
          <w:rFonts w:ascii="Times New Roman" w:hAnsi="Times New Roman" w:cs="Times New Roman"/>
          <w:sz w:val="24"/>
          <w:szCs w:val="24"/>
          <w:lang w:eastAsia="en-IN"/>
        </w:rPr>
        <w:t>, pp.85-108.</w:t>
      </w:r>
    </w:p>
    <w:p w14:paraId="0F956570"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lastRenderedPageBreak/>
        <w:t xml:space="preserve">Heimerl, P., </w:t>
      </w:r>
      <w:proofErr w:type="spellStart"/>
      <w:r w:rsidRPr="00D53404">
        <w:rPr>
          <w:rFonts w:ascii="Times New Roman" w:hAnsi="Times New Roman" w:cs="Times New Roman"/>
          <w:sz w:val="24"/>
          <w:szCs w:val="24"/>
          <w:lang w:eastAsia="en-IN"/>
        </w:rPr>
        <w:t>Haid</w:t>
      </w:r>
      <w:proofErr w:type="spellEnd"/>
      <w:r w:rsidRPr="00D53404">
        <w:rPr>
          <w:rFonts w:ascii="Times New Roman" w:hAnsi="Times New Roman" w:cs="Times New Roman"/>
          <w:sz w:val="24"/>
          <w:szCs w:val="24"/>
          <w:lang w:eastAsia="en-IN"/>
        </w:rPr>
        <w:t xml:space="preserve">, M., </w:t>
      </w:r>
      <w:proofErr w:type="spellStart"/>
      <w:r w:rsidRPr="00D53404">
        <w:rPr>
          <w:rFonts w:ascii="Times New Roman" w:hAnsi="Times New Roman" w:cs="Times New Roman"/>
          <w:sz w:val="24"/>
          <w:szCs w:val="24"/>
          <w:lang w:eastAsia="en-IN"/>
        </w:rPr>
        <w:t>Benedikt</w:t>
      </w:r>
      <w:proofErr w:type="spellEnd"/>
      <w:r w:rsidRPr="00D53404">
        <w:rPr>
          <w:rFonts w:ascii="Times New Roman" w:hAnsi="Times New Roman" w:cs="Times New Roman"/>
          <w:sz w:val="24"/>
          <w:szCs w:val="24"/>
          <w:lang w:eastAsia="en-IN"/>
        </w:rPr>
        <w:t>, L. and Scholl-</w:t>
      </w:r>
      <w:proofErr w:type="spellStart"/>
      <w:r w:rsidRPr="00D53404">
        <w:rPr>
          <w:rFonts w:ascii="Times New Roman" w:hAnsi="Times New Roman" w:cs="Times New Roman"/>
          <w:sz w:val="24"/>
          <w:szCs w:val="24"/>
          <w:lang w:eastAsia="en-IN"/>
        </w:rPr>
        <w:t>Grissemann</w:t>
      </w:r>
      <w:proofErr w:type="spellEnd"/>
      <w:r w:rsidRPr="00D53404">
        <w:rPr>
          <w:rFonts w:ascii="Times New Roman" w:hAnsi="Times New Roman" w:cs="Times New Roman"/>
          <w:sz w:val="24"/>
          <w:szCs w:val="24"/>
          <w:lang w:eastAsia="en-IN"/>
        </w:rPr>
        <w:t>, U., 2020. Factors influencing job satisfaction in hospitality industry. </w:t>
      </w:r>
      <w:r w:rsidRPr="00D53404">
        <w:rPr>
          <w:rFonts w:ascii="Times New Roman" w:hAnsi="Times New Roman" w:cs="Times New Roman"/>
          <w:i/>
          <w:iCs/>
          <w:sz w:val="24"/>
          <w:szCs w:val="24"/>
          <w:lang w:eastAsia="en-IN"/>
        </w:rPr>
        <w:t>SAGE open</w:t>
      </w:r>
      <w:r w:rsidRPr="00D53404">
        <w:rPr>
          <w:rFonts w:ascii="Times New Roman" w:hAnsi="Times New Roman" w:cs="Times New Roman"/>
          <w:sz w:val="24"/>
          <w:szCs w:val="24"/>
          <w:lang w:eastAsia="en-IN"/>
        </w:rPr>
        <w:t>, </w:t>
      </w:r>
      <w:r w:rsidRPr="00D53404">
        <w:rPr>
          <w:rFonts w:ascii="Times New Roman" w:hAnsi="Times New Roman" w:cs="Times New Roman"/>
          <w:i/>
          <w:iCs/>
          <w:sz w:val="24"/>
          <w:szCs w:val="24"/>
          <w:lang w:eastAsia="en-IN"/>
        </w:rPr>
        <w:t>10</w:t>
      </w:r>
      <w:r w:rsidRPr="00D53404">
        <w:rPr>
          <w:rFonts w:ascii="Times New Roman" w:hAnsi="Times New Roman" w:cs="Times New Roman"/>
          <w:sz w:val="24"/>
          <w:szCs w:val="24"/>
          <w:lang w:eastAsia="en-IN"/>
        </w:rPr>
        <w:t>(4), p.2158244020982998.</w:t>
      </w:r>
    </w:p>
    <w:p w14:paraId="716140F1"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 xml:space="preserve">Heimerl, P., </w:t>
      </w:r>
      <w:proofErr w:type="spellStart"/>
      <w:r w:rsidRPr="00D53404">
        <w:rPr>
          <w:rFonts w:ascii="Times New Roman" w:hAnsi="Times New Roman" w:cs="Times New Roman"/>
          <w:sz w:val="24"/>
          <w:szCs w:val="24"/>
          <w:lang w:eastAsia="en-IN"/>
        </w:rPr>
        <w:t>Haid</w:t>
      </w:r>
      <w:proofErr w:type="spellEnd"/>
      <w:r w:rsidRPr="00D53404">
        <w:rPr>
          <w:rFonts w:ascii="Times New Roman" w:hAnsi="Times New Roman" w:cs="Times New Roman"/>
          <w:sz w:val="24"/>
          <w:szCs w:val="24"/>
          <w:lang w:eastAsia="en-IN"/>
        </w:rPr>
        <w:t xml:space="preserve">, M., </w:t>
      </w:r>
      <w:proofErr w:type="spellStart"/>
      <w:r w:rsidRPr="00D53404">
        <w:rPr>
          <w:rFonts w:ascii="Times New Roman" w:hAnsi="Times New Roman" w:cs="Times New Roman"/>
          <w:sz w:val="24"/>
          <w:szCs w:val="24"/>
          <w:lang w:eastAsia="en-IN"/>
        </w:rPr>
        <w:t>Perkmann</w:t>
      </w:r>
      <w:proofErr w:type="spellEnd"/>
      <w:r w:rsidRPr="00D53404">
        <w:rPr>
          <w:rFonts w:ascii="Times New Roman" w:hAnsi="Times New Roman" w:cs="Times New Roman"/>
          <w:sz w:val="24"/>
          <w:szCs w:val="24"/>
          <w:lang w:eastAsia="en-IN"/>
        </w:rPr>
        <w:t xml:space="preserve">, U. and </w:t>
      </w:r>
      <w:proofErr w:type="spellStart"/>
      <w:r w:rsidRPr="00D53404">
        <w:rPr>
          <w:rFonts w:ascii="Times New Roman" w:hAnsi="Times New Roman" w:cs="Times New Roman"/>
          <w:sz w:val="24"/>
          <w:szCs w:val="24"/>
          <w:lang w:eastAsia="en-IN"/>
        </w:rPr>
        <w:t>Rabensteiner</w:t>
      </w:r>
      <w:proofErr w:type="spellEnd"/>
      <w:r w:rsidRPr="00D53404">
        <w:rPr>
          <w:rFonts w:ascii="Times New Roman" w:hAnsi="Times New Roman" w:cs="Times New Roman"/>
          <w:sz w:val="24"/>
          <w:szCs w:val="24"/>
          <w:lang w:eastAsia="en-IN"/>
        </w:rPr>
        <w:t>, M., 2020. Job satisfaction as a driver for sustainable development in the hospitality industry? Evidence from the Alpine region. </w:t>
      </w:r>
      <w:r w:rsidRPr="00D53404">
        <w:rPr>
          <w:rFonts w:ascii="Times New Roman" w:hAnsi="Times New Roman" w:cs="Times New Roman"/>
          <w:i/>
          <w:iCs/>
          <w:sz w:val="24"/>
          <w:szCs w:val="24"/>
          <w:lang w:eastAsia="en-IN"/>
        </w:rPr>
        <w:t>Sustainability</w:t>
      </w:r>
      <w:r w:rsidRPr="00D53404">
        <w:rPr>
          <w:rFonts w:ascii="Times New Roman" w:hAnsi="Times New Roman" w:cs="Times New Roman"/>
          <w:sz w:val="24"/>
          <w:szCs w:val="24"/>
          <w:lang w:eastAsia="en-IN"/>
        </w:rPr>
        <w:t>, </w:t>
      </w:r>
      <w:r w:rsidRPr="00D53404">
        <w:rPr>
          <w:rFonts w:ascii="Times New Roman" w:hAnsi="Times New Roman" w:cs="Times New Roman"/>
          <w:i/>
          <w:iCs/>
          <w:sz w:val="24"/>
          <w:szCs w:val="24"/>
          <w:lang w:eastAsia="en-IN"/>
        </w:rPr>
        <w:t>12</w:t>
      </w:r>
      <w:r w:rsidRPr="00D53404">
        <w:rPr>
          <w:rFonts w:ascii="Times New Roman" w:hAnsi="Times New Roman" w:cs="Times New Roman"/>
          <w:sz w:val="24"/>
          <w:szCs w:val="24"/>
          <w:lang w:eastAsia="en-IN"/>
        </w:rPr>
        <w:t>(17), p.6754.</w:t>
      </w:r>
    </w:p>
    <w:p w14:paraId="3B0553CA"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Hortal, A., 2023. Evidence-based policies, nudge theory and Nancy Cartwright: a search for causal principles. </w:t>
      </w:r>
      <w:r w:rsidRPr="00D53404">
        <w:rPr>
          <w:rFonts w:ascii="Times New Roman" w:hAnsi="Times New Roman" w:cs="Times New Roman"/>
          <w:i/>
          <w:iCs/>
          <w:sz w:val="24"/>
          <w:szCs w:val="24"/>
          <w:lang w:eastAsia="en-IN"/>
        </w:rPr>
        <w:t>Behavioural Public Policy</w:t>
      </w:r>
      <w:r w:rsidRPr="00D53404">
        <w:rPr>
          <w:rFonts w:ascii="Times New Roman" w:hAnsi="Times New Roman" w:cs="Times New Roman"/>
          <w:sz w:val="24"/>
          <w:szCs w:val="24"/>
          <w:lang w:eastAsia="en-IN"/>
        </w:rPr>
        <w:t>, </w:t>
      </w:r>
      <w:r w:rsidRPr="00D53404">
        <w:rPr>
          <w:rFonts w:ascii="Times New Roman" w:hAnsi="Times New Roman" w:cs="Times New Roman"/>
          <w:i/>
          <w:iCs/>
          <w:sz w:val="24"/>
          <w:szCs w:val="24"/>
          <w:lang w:eastAsia="en-IN"/>
        </w:rPr>
        <w:t>7</w:t>
      </w:r>
      <w:r w:rsidRPr="00D53404">
        <w:rPr>
          <w:rFonts w:ascii="Times New Roman" w:hAnsi="Times New Roman" w:cs="Times New Roman"/>
          <w:sz w:val="24"/>
          <w:szCs w:val="24"/>
          <w:lang w:eastAsia="en-IN"/>
        </w:rPr>
        <w:t>(2), pp.333-352.</w:t>
      </w:r>
    </w:p>
    <w:p w14:paraId="566C3822"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proofErr w:type="spellStart"/>
      <w:r w:rsidRPr="00D53404">
        <w:rPr>
          <w:rFonts w:ascii="Times New Roman" w:hAnsi="Times New Roman" w:cs="Times New Roman"/>
          <w:sz w:val="24"/>
          <w:szCs w:val="24"/>
          <w:lang w:eastAsia="en-IN"/>
        </w:rPr>
        <w:t>Houben</w:t>
      </w:r>
      <w:proofErr w:type="spellEnd"/>
      <w:r w:rsidRPr="00D53404">
        <w:rPr>
          <w:rFonts w:ascii="Times New Roman" w:hAnsi="Times New Roman" w:cs="Times New Roman"/>
          <w:sz w:val="24"/>
          <w:szCs w:val="24"/>
          <w:lang w:eastAsia="en-IN"/>
        </w:rPr>
        <w:t xml:space="preserve">, M.A.M., </w:t>
      </w:r>
      <w:proofErr w:type="spellStart"/>
      <w:r w:rsidRPr="00D53404">
        <w:rPr>
          <w:rFonts w:ascii="Times New Roman" w:hAnsi="Times New Roman" w:cs="Times New Roman"/>
          <w:sz w:val="24"/>
          <w:szCs w:val="24"/>
          <w:lang w:eastAsia="en-IN"/>
        </w:rPr>
        <w:t>Caekebeke</w:t>
      </w:r>
      <w:proofErr w:type="spellEnd"/>
      <w:r w:rsidRPr="00D53404">
        <w:rPr>
          <w:rFonts w:ascii="Times New Roman" w:hAnsi="Times New Roman" w:cs="Times New Roman"/>
          <w:sz w:val="24"/>
          <w:szCs w:val="24"/>
          <w:lang w:eastAsia="en-IN"/>
        </w:rPr>
        <w:t xml:space="preserve">, N., van den </w:t>
      </w:r>
      <w:proofErr w:type="spellStart"/>
      <w:r w:rsidRPr="00D53404">
        <w:rPr>
          <w:rFonts w:ascii="Times New Roman" w:hAnsi="Times New Roman" w:cs="Times New Roman"/>
          <w:sz w:val="24"/>
          <w:szCs w:val="24"/>
          <w:lang w:eastAsia="en-IN"/>
        </w:rPr>
        <w:t>Hoogen</w:t>
      </w:r>
      <w:proofErr w:type="spellEnd"/>
      <w:r w:rsidRPr="00D53404">
        <w:rPr>
          <w:rFonts w:ascii="Times New Roman" w:hAnsi="Times New Roman" w:cs="Times New Roman"/>
          <w:sz w:val="24"/>
          <w:szCs w:val="24"/>
          <w:lang w:eastAsia="en-IN"/>
        </w:rPr>
        <w:t xml:space="preserve">, A., </w:t>
      </w:r>
      <w:proofErr w:type="spellStart"/>
      <w:r w:rsidRPr="00D53404">
        <w:rPr>
          <w:rFonts w:ascii="Times New Roman" w:hAnsi="Times New Roman" w:cs="Times New Roman"/>
          <w:sz w:val="24"/>
          <w:szCs w:val="24"/>
          <w:lang w:eastAsia="en-IN"/>
        </w:rPr>
        <w:t>Ringenier</w:t>
      </w:r>
      <w:proofErr w:type="spellEnd"/>
      <w:r w:rsidRPr="00D53404">
        <w:rPr>
          <w:rFonts w:ascii="Times New Roman" w:hAnsi="Times New Roman" w:cs="Times New Roman"/>
          <w:sz w:val="24"/>
          <w:szCs w:val="24"/>
          <w:lang w:eastAsia="en-IN"/>
        </w:rPr>
        <w:t xml:space="preserve">, M., Tobias, T.J., Jonquiere, F.J., </w:t>
      </w:r>
      <w:proofErr w:type="spellStart"/>
      <w:r w:rsidRPr="00D53404">
        <w:rPr>
          <w:rFonts w:ascii="Times New Roman" w:hAnsi="Times New Roman" w:cs="Times New Roman"/>
          <w:sz w:val="24"/>
          <w:szCs w:val="24"/>
          <w:lang w:eastAsia="en-IN"/>
        </w:rPr>
        <w:t>Sleeckx</w:t>
      </w:r>
      <w:proofErr w:type="spellEnd"/>
      <w:r w:rsidRPr="00D53404">
        <w:rPr>
          <w:rFonts w:ascii="Times New Roman" w:hAnsi="Times New Roman" w:cs="Times New Roman"/>
          <w:sz w:val="24"/>
          <w:szCs w:val="24"/>
          <w:lang w:eastAsia="en-IN"/>
        </w:rPr>
        <w:t xml:space="preserve">, N., </w:t>
      </w:r>
      <w:proofErr w:type="spellStart"/>
      <w:r w:rsidRPr="00D53404">
        <w:rPr>
          <w:rFonts w:ascii="Times New Roman" w:hAnsi="Times New Roman" w:cs="Times New Roman"/>
          <w:sz w:val="24"/>
          <w:szCs w:val="24"/>
          <w:lang w:eastAsia="en-IN"/>
        </w:rPr>
        <w:t>Velkers</w:t>
      </w:r>
      <w:proofErr w:type="spellEnd"/>
      <w:r w:rsidRPr="00D53404">
        <w:rPr>
          <w:rFonts w:ascii="Times New Roman" w:hAnsi="Times New Roman" w:cs="Times New Roman"/>
          <w:sz w:val="24"/>
          <w:szCs w:val="24"/>
          <w:lang w:eastAsia="en-IN"/>
        </w:rPr>
        <w:t xml:space="preserve">, F.C., Stegeman, J.A., </w:t>
      </w:r>
      <w:proofErr w:type="spellStart"/>
      <w:r w:rsidRPr="00D53404">
        <w:rPr>
          <w:rFonts w:ascii="Times New Roman" w:hAnsi="Times New Roman" w:cs="Times New Roman"/>
          <w:sz w:val="24"/>
          <w:szCs w:val="24"/>
          <w:lang w:eastAsia="en-IN"/>
        </w:rPr>
        <w:t>Dewulf</w:t>
      </w:r>
      <w:proofErr w:type="spellEnd"/>
      <w:r w:rsidRPr="00D53404">
        <w:rPr>
          <w:rFonts w:ascii="Times New Roman" w:hAnsi="Times New Roman" w:cs="Times New Roman"/>
          <w:sz w:val="24"/>
          <w:szCs w:val="24"/>
          <w:lang w:eastAsia="en-IN"/>
        </w:rPr>
        <w:t>, J. and Postma, M., 2020. The ADKAR® change management model for farmer profiling with regard to antimicrobial stewardship in livestock production. </w:t>
      </w:r>
      <w:proofErr w:type="spellStart"/>
      <w:r w:rsidRPr="00D53404">
        <w:rPr>
          <w:rFonts w:ascii="Times New Roman" w:hAnsi="Times New Roman" w:cs="Times New Roman"/>
          <w:i/>
          <w:iCs/>
          <w:sz w:val="24"/>
          <w:szCs w:val="24"/>
          <w:lang w:eastAsia="en-IN"/>
        </w:rPr>
        <w:t>Vlaams</w:t>
      </w:r>
      <w:proofErr w:type="spellEnd"/>
      <w:r w:rsidRPr="00D53404">
        <w:rPr>
          <w:rFonts w:ascii="Times New Roman" w:hAnsi="Times New Roman" w:cs="Times New Roman"/>
          <w:i/>
          <w:iCs/>
          <w:sz w:val="24"/>
          <w:szCs w:val="24"/>
          <w:lang w:eastAsia="en-IN"/>
        </w:rPr>
        <w:t xml:space="preserve"> </w:t>
      </w:r>
      <w:proofErr w:type="spellStart"/>
      <w:r w:rsidRPr="00D53404">
        <w:rPr>
          <w:rFonts w:ascii="Times New Roman" w:hAnsi="Times New Roman" w:cs="Times New Roman"/>
          <w:i/>
          <w:iCs/>
          <w:sz w:val="24"/>
          <w:szCs w:val="24"/>
          <w:lang w:eastAsia="en-IN"/>
        </w:rPr>
        <w:t>Diergeneeskundig</w:t>
      </w:r>
      <w:proofErr w:type="spellEnd"/>
      <w:r w:rsidRPr="00D53404">
        <w:rPr>
          <w:rFonts w:ascii="Times New Roman" w:hAnsi="Times New Roman" w:cs="Times New Roman"/>
          <w:i/>
          <w:iCs/>
          <w:sz w:val="24"/>
          <w:szCs w:val="24"/>
          <w:lang w:eastAsia="en-IN"/>
        </w:rPr>
        <w:t xml:space="preserve"> </w:t>
      </w:r>
      <w:proofErr w:type="spellStart"/>
      <w:r w:rsidRPr="00D53404">
        <w:rPr>
          <w:rFonts w:ascii="Times New Roman" w:hAnsi="Times New Roman" w:cs="Times New Roman"/>
          <w:i/>
          <w:iCs/>
          <w:sz w:val="24"/>
          <w:szCs w:val="24"/>
          <w:lang w:eastAsia="en-IN"/>
        </w:rPr>
        <w:t>Tijdschrift</w:t>
      </w:r>
      <w:proofErr w:type="spellEnd"/>
      <w:r w:rsidRPr="00D53404">
        <w:rPr>
          <w:rFonts w:ascii="Times New Roman" w:hAnsi="Times New Roman" w:cs="Times New Roman"/>
          <w:sz w:val="24"/>
          <w:szCs w:val="24"/>
          <w:lang w:eastAsia="en-IN"/>
        </w:rPr>
        <w:t>, </w:t>
      </w:r>
      <w:r w:rsidRPr="00D53404">
        <w:rPr>
          <w:rFonts w:ascii="Times New Roman" w:hAnsi="Times New Roman" w:cs="Times New Roman"/>
          <w:i/>
          <w:iCs/>
          <w:sz w:val="24"/>
          <w:szCs w:val="24"/>
          <w:lang w:eastAsia="en-IN"/>
        </w:rPr>
        <w:t>89</w:t>
      </w:r>
      <w:r w:rsidRPr="00D53404">
        <w:rPr>
          <w:rFonts w:ascii="Times New Roman" w:hAnsi="Times New Roman" w:cs="Times New Roman"/>
          <w:sz w:val="24"/>
          <w:szCs w:val="24"/>
          <w:lang w:eastAsia="en-IN"/>
        </w:rPr>
        <w:t>(6).</w:t>
      </w:r>
    </w:p>
    <w:p w14:paraId="10B262B2"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proofErr w:type="spellStart"/>
      <w:r w:rsidRPr="00D53404">
        <w:rPr>
          <w:rFonts w:ascii="Times New Roman" w:hAnsi="Times New Roman" w:cs="Times New Roman"/>
          <w:sz w:val="24"/>
          <w:szCs w:val="24"/>
          <w:lang w:eastAsia="en-IN"/>
        </w:rPr>
        <w:t>Hrytsenko</w:t>
      </w:r>
      <w:proofErr w:type="spellEnd"/>
      <w:r w:rsidRPr="00D53404">
        <w:rPr>
          <w:rFonts w:ascii="Times New Roman" w:hAnsi="Times New Roman" w:cs="Times New Roman"/>
          <w:sz w:val="24"/>
          <w:szCs w:val="24"/>
          <w:lang w:eastAsia="en-IN"/>
        </w:rPr>
        <w:t xml:space="preserve">, P.V., Kovalenko, Y.V., </w:t>
      </w:r>
      <w:proofErr w:type="spellStart"/>
      <w:r w:rsidRPr="00D53404">
        <w:rPr>
          <w:rFonts w:ascii="Times New Roman" w:hAnsi="Times New Roman" w:cs="Times New Roman"/>
          <w:sz w:val="24"/>
          <w:szCs w:val="24"/>
          <w:lang w:eastAsia="en-IN"/>
        </w:rPr>
        <w:t>Voronenko</w:t>
      </w:r>
      <w:proofErr w:type="spellEnd"/>
      <w:r w:rsidRPr="00D53404">
        <w:rPr>
          <w:rFonts w:ascii="Times New Roman" w:hAnsi="Times New Roman" w:cs="Times New Roman"/>
          <w:sz w:val="24"/>
          <w:szCs w:val="24"/>
          <w:lang w:eastAsia="en-IN"/>
        </w:rPr>
        <w:t xml:space="preserve">, V.I., </w:t>
      </w:r>
      <w:proofErr w:type="spellStart"/>
      <w:r w:rsidRPr="00D53404">
        <w:rPr>
          <w:rFonts w:ascii="Times New Roman" w:hAnsi="Times New Roman" w:cs="Times New Roman"/>
          <w:sz w:val="24"/>
          <w:szCs w:val="24"/>
          <w:lang w:eastAsia="en-IN"/>
        </w:rPr>
        <w:t>Smakouz</w:t>
      </w:r>
      <w:proofErr w:type="spellEnd"/>
      <w:r w:rsidRPr="00D53404">
        <w:rPr>
          <w:rFonts w:ascii="Times New Roman" w:hAnsi="Times New Roman" w:cs="Times New Roman"/>
          <w:sz w:val="24"/>
          <w:szCs w:val="24"/>
          <w:lang w:eastAsia="en-IN"/>
        </w:rPr>
        <w:t xml:space="preserve">, A.M. and </w:t>
      </w:r>
      <w:proofErr w:type="spellStart"/>
      <w:r w:rsidRPr="00D53404">
        <w:rPr>
          <w:rFonts w:ascii="Times New Roman" w:hAnsi="Times New Roman" w:cs="Times New Roman"/>
          <w:sz w:val="24"/>
          <w:szCs w:val="24"/>
          <w:lang w:eastAsia="en-IN"/>
        </w:rPr>
        <w:t>Stepanenko</w:t>
      </w:r>
      <w:proofErr w:type="spellEnd"/>
      <w:r w:rsidRPr="00D53404">
        <w:rPr>
          <w:rFonts w:ascii="Times New Roman" w:hAnsi="Times New Roman" w:cs="Times New Roman"/>
          <w:sz w:val="24"/>
          <w:szCs w:val="24"/>
          <w:lang w:eastAsia="en-IN"/>
        </w:rPr>
        <w:t>, Y.S., 2021. Analysis of the Definition of “Change” as an Economic Category.</w:t>
      </w:r>
    </w:p>
    <w:p w14:paraId="2681012F"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 xml:space="preserve">Johnson, J., Whittington, R., </w:t>
      </w:r>
      <w:proofErr w:type="spellStart"/>
      <w:r w:rsidRPr="00D53404">
        <w:rPr>
          <w:rFonts w:ascii="Times New Roman" w:hAnsi="Times New Roman" w:cs="Times New Roman"/>
          <w:sz w:val="24"/>
          <w:szCs w:val="24"/>
          <w:lang w:eastAsia="en-IN"/>
        </w:rPr>
        <w:t>Regnér</w:t>
      </w:r>
      <w:proofErr w:type="spellEnd"/>
      <w:r w:rsidRPr="00D53404">
        <w:rPr>
          <w:rFonts w:ascii="Times New Roman" w:hAnsi="Times New Roman" w:cs="Times New Roman"/>
          <w:sz w:val="24"/>
          <w:szCs w:val="24"/>
          <w:lang w:eastAsia="en-IN"/>
        </w:rPr>
        <w:t>, P., Angwin, D., Johnson, G. and Scholes, K., 2020. </w:t>
      </w:r>
      <w:r w:rsidRPr="00D53404">
        <w:rPr>
          <w:rFonts w:ascii="Times New Roman" w:hAnsi="Times New Roman" w:cs="Times New Roman"/>
          <w:i/>
          <w:iCs/>
          <w:sz w:val="24"/>
          <w:szCs w:val="24"/>
          <w:lang w:eastAsia="en-IN"/>
        </w:rPr>
        <w:t>Exploring strategy</w:t>
      </w:r>
      <w:r w:rsidRPr="00D53404">
        <w:rPr>
          <w:rFonts w:ascii="Times New Roman" w:hAnsi="Times New Roman" w:cs="Times New Roman"/>
          <w:sz w:val="24"/>
          <w:szCs w:val="24"/>
          <w:lang w:eastAsia="en-IN"/>
        </w:rPr>
        <w:t>. Pearson UK.</w:t>
      </w:r>
    </w:p>
    <w:p w14:paraId="3E173C98"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 xml:space="preserve">Kallmuenzer, A., Peters, M. and </w:t>
      </w:r>
      <w:proofErr w:type="spellStart"/>
      <w:r w:rsidRPr="00D53404">
        <w:rPr>
          <w:rFonts w:ascii="Times New Roman" w:hAnsi="Times New Roman" w:cs="Times New Roman"/>
          <w:sz w:val="24"/>
          <w:szCs w:val="24"/>
          <w:lang w:eastAsia="en-IN"/>
        </w:rPr>
        <w:t>Buhalis</w:t>
      </w:r>
      <w:proofErr w:type="spellEnd"/>
      <w:r w:rsidRPr="00D53404">
        <w:rPr>
          <w:rFonts w:ascii="Times New Roman" w:hAnsi="Times New Roman" w:cs="Times New Roman"/>
          <w:sz w:val="24"/>
          <w:szCs w:val="24"/>
          <w:lang w:eastAsia="en-IN"/>
        </w:rPr>
        <w:t>, D., 2020. The role of family firm image perception in host-guest value co-creation of hospitality firms. </w:t>
      </w:r>
      <w:r w:rsidRPr="00D53404">
        <w:rPr>
          <w:rFonts w:ascii="Times New Roman" w:hAnsi="Times New Roman" w:cs="Times New Roman"/>
          <w:i/>
          <w:iCs/>
          <w:sz w:val="24"/>
          <w:szCs w:val="24"/>
          <w:lang w:eastAsia="en-IN"/>
        </w:rPr>
        <w:t>Current Issues in Tourism</w:t>
      </w:r>
      <w:r w:rsidRPr="00D53404">
        <w:rPr>
          <w:rFonts w:ascii="Times New Roman" w:hAnsi="Times New Roman" w:cs="Times New Roman"/>
          <w:sz w:val="24"/>
          <w:szCs w:val="24"/>
          <w:lang w:eastAsia="en-IN"/>
        </w:rPr>
        <w:t>, </w:t>
      </w:r>
      <w:r w:rsidRPr="00D53404">
        <w:rPr>
          <w:rFonts w:ascii="Times New Roman" w:hAnsi="Times New Roman" w:cs="Times New Roman"/>
          <w:i/>
          <w:iCs/>
          <w:sz w:val="24"/>
          <w:szCs w:val="24"/>
          <w:lang w:eastAsia="en-IN"/>
        </w:rPr>
        <w:t>23</w:t>
      </w:r>
      <w:r w:rsidRPr="00D53404">
        <w:rPr>
          <w:rFonts w:ascii="Times New Roman" w:hAnsi="Times New Roman" w:cs="Times New Roman"/>
          <w:sz w:val="24"/>
          <w:szCs w:val="24"/>
          <w:lang w:eastAsia="en-IN"/>
        </w:rPr>
        <w:t>(19), pp.2410-2427.</w:t>
      </w:r>
    </w:p>
    <w:p w14:paraId="1C7C68DD"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 xml:space="preserve">Kallmuenzer, A., Zach, F.J., Wachter, T., Kraus, S. and </w:t>
      </w:r>
      <w:proofErr w:type="spellStart"/>
      <w:r w:rsidRPr="00D53404">
        <w:rPr>
          <w:rFonts w:ascii="Times New Roman" w:hAnsi="Times New Roman" w:cs="Times New Roman"/>
          <w:sz w:val="24"/>
          <w:szCs w:val="24"/>
          <w:lang w:eastAsia="en-IN"/>
        </w:rPr>
        <w:t>Salner</w:t>
      </w:r>
      <w:proofErr w:type="spellEnd"/>
      <w:r w:rsidRPr="00D53404">
        <w:rPr>
          <w:rFonts w:ascii="Times New Roman" w:hAnsi="Times New Roman" w:cs="Times New Roman"/>
          <w:sz w:val="24"/>
          <w:szCs w:val="24"/>
          <w:lang w:eastAsia="en-IN"/>
        </w:rPr>
        <w:t>, P., 2021. Antecedents of coopetition in small and medium-sized hospitality firms. </w:t>
      </w:r>
      <w:r w:rsidRPr="00D53404">
        <w:rPr>
          <w:rFonts w:ascii="Times New Roman" w:hAnsi="Times New Roman" w:cs="Times New Roman"/>
          <w:i/>
          <w:iCs/>
          <w:sz w:val="24"/>
          <w:szCs w:val="24"/>
          <w:lang w:eastAsia="en-IN"/>
        </w:rPr>
        <w:t>International Journal of Hospitality Management</w:t>
      </w:r>
      <w:r w:rsidRPr="00D53404">
        <w:rPr>
          <w:rFonts w:ascii="Times New Roman" w:hAnsi="Times New Roman" w:cs="Times New Roman"/>
          <w:sz w:val="24"/>
          <w:szCs w:val="24"/>
          <w:lang w:eastAsia="en-IN"/>
        </w:rPr>
        <w:t>, </w:t>
      </w:r>
      <w:r w:rsidRPr="00D53404">
        <w:rPr>
          <w:rFonts w:ascii="Times New Roman" w:hAnsi="Times New Roman" w:cs="Times New Roman"/>
          <w:i/>
          <w:iCs/>
          <w:sz w:val="24"/>
          <w:szCs w:val="24"/>
          <w:lang w:eastAsia="en-IN"/>
        </w:rPr>
        <w:t>99</w:t>
      </w:r>
      <w:r w:rsidRPr="00D53404">
        <w:rPr>
          <w:rFonts w:ascii="Times New Roman" w:hAnsi="Times New Roman" w:cs="Times New Roman"/>
          <w:sz w:val="24"/>
          <w:szCs w:val="24"/>
          <w:lang w:eastAsia="en-IN"/>
        </w:rPr>
        <w:t>, p.103076.</w:t>
      </w:r>
    </w:p>
    <w:p w14:paraId="6BCFB15C"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proofErr w:type="spellStart"/>
      <w:r w:rsidRPr="002B2E1E">
        <w:rPr>
          <w:rFonts w:ascii="Times New Roman" w:hAnsi="Times New Roman" w:cs="Times New Roman"/>
          <w:sz w:val="24"/>
          <w:szCs w:val="24"/>
          <w:lang w:eastAsia="en-IN"/>
        </w:rPr>
        <w:t>Kazmina</w:t>
      </w:r>
      <w:proofErr w:type="spellEnd"/>
      <w:r w:rsidRPr="002B2E1E">
        <w:rPr>
          <w:rFonts w:ascii="Times New Roman" w:hAnsi="Times New Roman" w:cs="Times New Roman"/>
          <w:sz w:val="24"/>
          <w:szCs w:val="24"/>
          <w:lang w:eastAsia="en-IN"/>
        </w:rPr>
        <w:t xml:space="preserve">, L., </w:t>
      </w:r>
      <w:proofErr w:type="spellStart"/>
      <w:r w:rsidRPr="002B2E1E">
        <w:rPr>
          <w:rFonts w:ascii="Times New Roman" w:hAnsi="Times New Roman" w:cs="Times New Roman"/>
          <w:sz w:val="24"/>
          <w:szCs w:val="24"/>
          <w:lang w:eastAsia="en-IN"/>
        </w:rPr>
        <w:t>Provotorina</w:t>
      </w:r>
      <w:proofErr w:type="spellEnd"/>
      <w:r w:rsidRPr="002B2E1E">
        <w:rPr>
          <w:rFonts w:ascii="Times New Roman" w:hAnsi="Times New Roman" w:cs="Times New Roman"/>
          <w:sz w:val="24"/>
          <w:szCs w:val="24"/>
          <w:lang w:eastAsia="en-IN"/>
        </w:rPr>
        <w:t xml:space="preserve">, V., Makarenko, V. and </w:t>
      </w:r>
      <w:proofErr w:type="spellStart"/>
      <w:r w:rsidRPr="002B2E1E">
        <w:rPr>
          <w:rFonts w:ascii="Times New Roman" w:hAnsi="Times New Roman" w:cs="Times New Roman"/>
          <w:sz w:val="24"/>
          <w:szCs w:val="24"/>
          <w:lang w:eastAsia="en-IN"/>
        </w:rPr>
        <w:t>Petrenko</w:t>
      </w:r>
      <w:proofErr w:type="spellEnd"/>
      <w:r w:rsidRPr="002B2E1E">
        <w:rPr>
          <w:rFonts w:ascii="Times New Roman" w:hAnsi="Times New Roman" w:cs="Times New Roman"/>
          <w:sz w:val="24"/>
          <w:szCs w:val="24"/>
          <w:lang w:eastAsia="en-IN"/>
        </w:rPr>
        <w:t>, A., 2021. Social and financial feasibility of the development of rural tourism and the hospitality industry in the Rostov Region. In </w:t>
      </w:r>
      <w:r w:rsidRPr="002B2E1E">
        <w:rPr>
          <w:rFonts w:ascii="Times New Roman" w:hAnsi="Times New Roman" w:cs="Times New Roman"/>
          <w:i/>
          <w:iCs/>
          <w:sz w:val="24"/>
          <w:szCs w:val="24"/>
          <w:lang w:eastAsia="en-IN"/>
        </w:rPr>
        <w:t>E3S Web of Conferences</w:t>
      </w:r>
      <w:r w:rsidRPr="002B2E1E">
        <w:rPr>
          <w:rFonts w:ascii="Times New Roman" w:hAnsi="Times New Roman" w:cs="Times New Roman"/>
          <w:sz w:val="24"/>
          <w:szCs w:val="24"/>
          <w:lang w:eastAsia="en-IN"/>
        </w:rPr>
        <w:t> (Vol. 273, p. 09002). EDP Sciences.</w:t>
      </w:r>
    </w:p>
    <w:p w14:paraId="19D416C7"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Kim, Y., 2021. Crisis Management Strategy for the Korean MICE Industry Using SWOT-AHP-TOWS Analysis. </w:t>
      </w:r>
      <w:r w:rsidRPr="00D53404">
        <w:rPr>
          <w:rFonts w:ascii="Times New Roman" w:hAnsi="Times New Roman" w:cs="Times New Roman"/>
          <w:i/>
          <w:iCs/>
          <w:sz w:val="24"/>
          <w:szCs w:val="24"/>
          <w:lang w:eastAsia="en-IN"/>
        </w:rPr>
        <w:t>Journal of Korea Trade</w:t>
      </w:r>
      <w:r w:rsidRPr="00D53404">
        <w:rPr>
          <w:rFonts w:ascii="Times New Roman" w:hAnsi="Times New Roman" w:cs="Times New Roman"/>
          <w:sz w:val="24"/>
          <w:szCs w:val="24"/>
          <w:lang w:eastAsia="en-IN"/>
        </w:rPr>
        <w:t>, </w:t>
      </w:r>
      <w:r w:rsidRPr="00D53404">
        <w:rPr>
          <w:rFonts w:ascii="Times New Roman" w:hAnsi="Times New Roman" w:cs="Times New Roman"/>
          <w:i/>
          <w:iCs/>
          <w:sz w:val="24"/>
          <w:szCs w:val="24"/>
          <w:lang w:eastAsia="en-IN"/>
        </w:rPr>
        <w:t>25</w:t>
      </w:r>
      <w:r w:rsidRPr="00D53404">
        <w:rPr>
          <w:rFonts w:ascii="Times New Roman" w:hAnsi="Times New Roman" w:cs="Times New Roman"/>
          <w:sz w:val="24"/>
          <w:szCs w:val="24"/>
          <w:lang w:eastAsia="en-IN"/>
        </w:rPr>
        <w:t>(6), pp.34-56.</w:t>
      </w:r>
    </w:p>
    <w:p w14:paraId="787A899C"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Kipping, and Clark, T. (2012). The Oxford handbook of management consulting. Oxford University Press</w:t>
      </w:r>
    </w:p>
    <w:p w14:paraId="0FFE2427"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Kotter, J (2012). Leading change. Harvard Business Review Press.</w:t>
      </w:r>
    </w:p>
    <w:p w14:paraId="23BDB706"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 xml:space="preserve">Kwan, Y.H., Cheng, T.Y., Yoon, S., Ho, L.Y.C., Huang, C.W., Chew, E.H., </w:t>
      </w:r>
      <w:proofErr w:type="spellStart"/>
      <w:r w:rsidRPr="00D53404">
        <w:rPr>
          <w:rFonts w:ascii="Times New Roman" w:hAnsi="Times New Roman" w:cs="Times New Roman"/>
          <w:sz w:val="24"/>
          <w:szCs w:val="24"/>
          <w:lang w:eastAsia="en-IN"/>
        </w:rPr>
        <w:t>Thumboo</w:t>
      </w:r>
      <w:proofErr w:type="spellEnd"/>
      <w:r w:rsidRPr="00D53404">
        <w:rPr>
          <w:rFonts w:ascii="Times New Roman" w:hAnsi="Times New Roman" w:cs="Times New Roman"/>
          <w:sz w:val="24"/>
          <w:szCs w:val="24"/>
          <w:lang w:eastAsia="en-IN"/>
        </w:rPr>
        <w:t xml:space="preserve">, J., </w:t>
      </w:r>
      <w:proofErr w:type="spellStart"/>
      <w:r w:rsidRPr="00D53404">
        <w:rPr>
          <w:rFonts w:ascii="Times New Roman" w:hAnsi="Times New Roman" w:cs="Times New Roman"/>
          <w:sz w:val="24"/>
          <w:szCs w:val="24"/>
          <w:lang w:eastAsia="en-IN"/>
        </w:rPr>
        <w:t>Østbye</w:t>
      </w:r>
      <w:proofErr w:type="spellEnd"/>
      <w:r w:rsidRPr="00D53404">
        <w:rPr>
          <w:rFonts w:ascii="Times New Roman" w:hAnsi="Times New Roman" w:cs="Times New Roman"/>
          <w:sz w:val="24"/>
          <w:szCs w:val="24"/>
          <w:lang w:eastAsia="en-IN"/>
        </w:rPr>
        <w:t>, T. and Low, L.L., 2020. A systematic review of nudge theories and strategies used to influence adult health behaviour and outcome in diabetes management. </w:t>
      </w:r>
      <w:r w:rsidRPr="00D53404">
        <w:rPr>
          <w:rFonts w:ascii="Times New Roman" w:hAnsi="Times New Roman" w:cs="Times New Roman"/>
          <w:i/>
          <w:iCs/>
          <w:sz w:val="24"/>
          <w:szCs w:val="24"/>
          <w:lang w:eastAsia="en-IN"/>
        </w:rPr>
        <w:t>Diabetes &amp; metabolism</w:t>
      </w:r>
      <w:r w:rsidRPr="00D53404">
        <w:rPr>
          <w:rFonts w:ascii="Times New Roman" w:hAnsi="Times New Roman" w:cs="Times New Roman"/>
          <w:sz w:val="24"/>
          <w:szCs w:val="24"/>
          <w:lang w:eastAsia="en-IN"/>
        </w:rPr>
        <w:t>, </w:t>
      </w:r>
      <w:r w:rsidRPr="00D53404">
        <w:rPr>
          <w:rFonts w:ascii="Times New Roman" w:hAnsi="Times New Roman" w:cs="Times New Roman"/>
          <w:i/>
          <w:iCs/>
          <w:sz w:val="24"/>
          <w:szCs w:val="24"/>
          <w:lang w:eastAsia="en-IN"/>
        </w:rPr>
        <w:t>46</w:t>
      </w:r>
      <w:r w:rsidRPr="00D53404">
        <w:rPr>
          <w:rFonts w:ascii="Times New Roman" w:hAnsi="Times New Roman" w:cs="Times New Roman"/>
          <w:sz w:val="24"/>
          <w:szCs w:val="24"/>
          <w:lang w:eastAsia="en-IN"/>
        </w:rPr>
        <w:t>(6), pp.450-460.</w:t>
      </w:r>
    </w:p>
    <w:p w14:paraId="40232644"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lastRenderedPageBreak/>
        <w:t>Mavridopoulou, and O’Mahoney, J. (2020). Elitism in Strategy Consulting: How Institutional Prestige Influences Recruitment. Management Consulting Journal, 3(1), 12–22.</w:t>
      </w:r>
    </w:p>
    <w:p w14:paraId="1F7FC450"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 xml:space="preserve">Meixner, O., </w:t>
      </w:r>
      <w:proofErr w:type="spellStart"/>
      <w:r w:rsidRPr="00D53404">
        <w:rPr>
          <w:rFonts w:ascii="Times New Roman" w:hAnsi="Times New Roman" w:cs="Times New Roman"/>
          <w:sz w:val="24"/>
          <w:szCs w:val="24"/>
          <w:lang w:eastAsia="en-IN"/>
        </w:rPr>
        <w:t>Quehl</w:t>
      </w:r>
      <w:proofErr w:type="spellEnd"/>
      <w:r w:rsidRPr="00D53404">
        <w:rPr>
          <w:rFonts w:ascii="Times New Roman" w:hAnsi="Times New Roman" w:cs="Times New Roman"/>
          <w:sz w:val="24"/>
          <w:szCs w:val="24"/>
          <w:lang w:eastAsia="en-IN"/>
        </w:rPr>
        <w:t xml:space="preserve">, H.E., </w:t>
      </w:r>
      <w:proofErr w:type="spellStart"/>
      <w:r w:rsidRPr="00D53404">
        <w:rPr>
          <w:rFonts w:ascii="Times New Roman" w:hAnsi="Times New Roman" w:cs="Times New Roman"/>
          <w:sz w:val="24"/>
          <w:szCs w:val="24"/>
          <w:lang w:eastAsia="en-IN"/>
        </w:rPr>
        <w:t>Pöchtrager</w:t>
      </w:r>
      <w:proofErr w:type="spellEnd"/>
      <w:r w:rsidRPr="00D53404">
        <w:rPr>
          <w:rFonts w:ascii="Times New Roman" w:hAnsi="Times New Roman" w:cs="Times New Roman"/>
          <w:sz w:val="24"/>
          <w:szCs w:val="24"/>
          <w:lang w:eastAsia="en-IN"/>
        </w:rPr>
        <w:t>, S. and Haas, R., 2022. Being a farmer in Austria during COVID-19—a qualitative study on challenges and opportunities. </w:t>
      </w:r>
      <w:r w:rsidRPr="00D53404">
        <w:rPr>
          <w:rFonts w:ascii="Times New Roman" w:hAnsi="Times New Roman" w:cs="Times New Roman"/>
          <w:i/>
          <w:iCs/>
          <w:sz w:val="24"/>
          <w:szCs w:val="24"/>
          <w:lang w:eastAsia="en-IN"/>
        </w:rPr>
        <w:t>Agronomy</w:t>
      </w:r>
      <w:r w:rsidRPr="00D53404">
        <w:rPr>
          <w:rFonts w:ascii="Times New Roman" w:hAnsi="Times New Roman" w:cs="Times New Roman"/>
          <w:sz w:val="24"/>
          <w:szCs w:val="24"/>
          <w:lang w:eastAsia="en-IN"/>
        </w:rPr>
        <w:t>, </w:t>
      </w:r>
      <w:r w:rsidRPr="00D53404">
        <w:rPr>
          <w:rFonts w:ascii="Times New Roman" w:hAnsi="Times New Roman" w:cs="Times New Roman"/>
          <w:i/>
          <w:iCs/>
          <w:sz w:val="24"/>
          <w:szCs w:val="24"/>
          <w:lang w:eastAsia="en-IN"/>
        </w:rPr>
        <w:t>12</w:t>
      </w:r>
      <w:r w:rsidRPr="00D53404">
        <w:rPr>
          <w:rFonts w:ascii="Times New Roman" w:hAnsi="Times New Roman" w:cs="Times New Roman"/>
          <w:sz w:val="24"/>
          <w:szCs w:val="24"/>
          <w:lang w:eastAsia="en-IN"/>
        </w:rPr>
        <w:t>(5), p.1240.</w:t>
      </w:r>
    </w:p>
    <w:p w14:paraId="039B0117" w14:textId="77777777" w:rsidR="002B2E1E" w:rsidRPr="00D53404" w:rsidRDefault="002B2E1E" w:rsidP="002B2E1E">
      <w:pPr>
        <w:pStyle w:val="NoSpacing"/>
        <w:spacing w:line="360" w:lineRule="auto"/>
        <w:jc w:val="both"/>
        <w:rPr>
          <w:rFonts w:ascii="Times New Roman" w:hAnsi="Times New Roman" w:cs="Times New Roman"/>
          <w:sz w:val="24"/>
          <w:szCs w:val="24"/>
          <w:lang w:val="en-IN" w:eastAsia="en-IN"/>
        </w:rPr>
      </w:pPr>
      <w:r w:rsidRPr="00D53404">
        <w:rPr>
          <w:rFonts w:ascii="Times New Roman" w:hAnsi="Times New Roman" w:cs="Times New Roman"/>
          <w:sz w:val="24"/>
          <w:szCs w:val="24"/>
          <w:lang w:val="en-IN" w:eastAsia="en-IN"/>
        </w:rPr>
        <w:t xml:space="preserve">Mizen, R. (2023). </w:t>
      </w:r>
      <w:r w:rsidRPr="00D53404">
        <w:rPr>
          <w:rFonts w:ascii="Times New Roman" w:hAnsi="Times New Roman" w:cs="Times New Roman"/>
          <w:i/>
          <w:iCs/>
          <w:sz w:val="24"/>
          <w:szCs w:val="24"/>
          <w:lang w:val="en-IN" w:eastAsia="en-IN"/>
        </w:rPr>
        <w:t>Australia’s ‘nice problem’ from the Ukraine war</w:t>
      </w:r>
      <w:r w:rsidRPr="00D53404">
        <w:rPr>
          <w:rFonts w:ascii="Times New Roman" w:hAnsi="Times New Roman" w:cs="Times New Roman"/>
          <w:sz w:val="24"/>
          <w:szCs w:val="24"/>
          <w:lang w:val="en-IN" w:eastAsia="en-IN"/>
        </w:rPr>
        <w:t>. [online] Australian Financial Review. Available at: https://www.afr.com/policy/economy/australia-s-nice-problem-from-the-ukraine-war-20221103-p5bvcf#:~:text=Natural%20gas%20and%20agricultural%20exports%20hit%20record%20highs%20in%20September [Accessed 27 Jan. 2024].</w:t>
      </w:r>
    </w:p>
    <w:p w14:paraId="6C858287"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 xml:space="preserve">Muhardi, M., </w:t>
      </w:r>
      <w:proofErr w:type="spellStart"/>
      <w:r w:rsidRPr="00D53404">
        <w:rPr>
          <w:rFonts w:ascii="Times New Roman" w:hAnsi="Times New Roman" w:cs="Times New Roman"/>
          <w:sz w:val="24"/>
          <w:szCs w:val="24"/>
          <w:lang w:eastAsia="en-IN"/>
        </w:rPr>
        <w:t>Mafruhat</w:t>
      </w:r>
      <w:proofErr w:type="spellEnd"/>
      <w:r w:rsidRPr="00D53404">
        <w:rPr>
          <w:rFonts w:ascii="Times New Roman" w:hAnsi="Times New Roman" w:cs="Times New Roman"/>
          <w:sz w:val="24"/>
          <w:szCs w:val="24"/>
          <w:lang w:eastAsia="en-IN"/>
        </w:rPr>
        <w:t xml:space="preserve">, A.Y., </w:t>
      </w:r>
      <w:proofErr w:type="spellStart"/>
      <w:r w:rsidRPr="00D53404">
        <w:rPr>
          <w:rFonts w:ascii="Times New Roman" w:hAnsi="Times New Roman" w:cs="Times New Roman"/>
          <w:sz w:val="24"/>
          <w:szCs w:val="24"/>
          <w:lang w:eastAsia="en-IN"/>
        </w:rPr>
        <w:t>Cintyawati</w:t>
      </w:r>
      <w:proofErr w:type="spellEnd"/>
      <w:r w:rsidRPr="00D53404">
        <w:rPr>
          <w:rFonts w:ascii="Times New Roman" w:hAnsi="Times New Roman" w:cs="Times New Roman"/>
          <w:sz w:val="24"/>
          <w:szCs w:val="24"/>
          <w:lang w:eastAsia="en-IN"/>
        </w:rPr>
        <w:t xml:space="preserve">, C., Ramli, T.A., </w:t>
      </w:r>
      <w:proofErr w:type="spellStart"/>
      <w:r w:rsidRPr="00D53404">
        <w:rPr>
          <w:rFonts w:ascii="Times New Roman" w:hAnsi="Times New Roman" w:cs="Times New Roman"/>
          <w:sz w:val="24"/>
          <w:szCs w:val="24"/>
          <w:lang w:eastAsia="en-IN"/>
        </w:rPr>
        <w:t>Sabar</w:t>
      </w:r>
      <w:proofErr w:type="spellEnd"/>
      <w:r w:rsidRPr="00D53404">
        <w:rPr>
          <w:rFonts w:ascii="Times New Roman" w:hAnsi="Times New Roman" w:cs="Times New Roman"/>
          <w:sz w:val="24"/>
          <w:szCs w:val="24"/>
          <w:lang w:eastAsia="en-IN"/>
        </w:rPr>
        <w:t xml:space="preserve">, R., Ahmad, H., </w:t>
      </w:r>
      <w:proofErr w:type="spellStart"/>
      <w:r w:rsidRPr="00D53404">
        <w:rPr>
          <w:rFonts w:ascii="Times New Roman" w:hAnsi="Times New Roman" w:cs="Times New Roman"/>
          <w:sz w:val="24"/>
          <w:szCs w:val="24"/>
          <w:lang w:eastAsia="en-IN"/>
        </w:rPr>
        <w:t>Shaharruddin</w:t>
      </w:r>
      <w:proofErr w:type="spellEnd"/>
      <w:r w:rsidRPr="00D53404">
        <w:rPr>
          <w:rFonts w:ascii="Times New Roman" w:hAnsi="Times New Roman" w:cs="Times New Roman"/>
          <w:sz w:val="24"/>
          <w:szCs w:val="24"/>
          <w:lang w:eastAsia="en-IN"/>
        </w:rPr>
        <w:t xml:space="preserve">, S. and </w:t>
      </w:r>
      <w:proofErr w:type="spellStart"/>
      <w:r w:rsidRPr="00D53404">
        <w:rPr>
          <w:rFonts w:ascii="Times New Roman" w:hAnsi="Times New Roman" w:cs="Times New Roman"/>
          <w:sz w:val="24"/>
          <w:szCs w:val="24"/>
          <w:lang w:eastAsia="en-IN"/>
        </w:rPr>
        <w:t>Bohari</w:t>
      </w:r>
      <w:proofErr w:type="spellEnd"/>
      <w:r w:rsidRPr="00D53404">
        <w:rPr>
          <w:rFonts w:ascii="Times New Roman" w:hAnsi="Times New Roman" w:cs="Times New Roman"/>
          <w:sz w:val="24"/>
          <w:szCs w:val="24"/>
          <w:lang w:eastAsia="en-IN"/>
        </w:rPr>
        <w:t>, A.M., 2020. New holistic strategy of sustainable rural development management-experience from Indonesia: A PESTEL-SOAR analysis. </w:t>
      </w:r>
      <w:r w:rsidRPr="00D53404">
        <w:rPr>
          <w:rFonts w:ascii="Times New Roman" w:hAnsi="Times New Roman" w:cs="Times New Roman"/>
          <w:i/>
          <w:iCs/>
          <w:sz w:val="24"/>
          <w:szCs w:val="24"/>
          <w:lang w:eastAsia="en-IN"/>
        </w:rPr>
        <w:t>International Journal of Sustainable Development and Planning</w:t>
      </w:r>
      <w:r w:rsidRPr="00D53404">
        <w:rPr>
          <w:rFonts w:ascii="Times New Roman" w:hAnsi="Times New Roman" w:cs="Times New Roman"/>
          <w:sz w:val="24"/>
          <w:szCs w:val="24"/>
          <w:lang w:eastAsia="en-IN"/>
        </w:rPr>
        <w:t>, </w:t>
      </w:r>
      <w:r w:rsidRPr="00D53404">
        <w:rPr>
          <w:rFonts w:ascii="Times New Roman" w:hAnsi="Times New Roman" w:cs="Times New Roman"/>
          <w:i/>
          <w:iCs/>
          <w:sz w:val="24"/>
          <w:szCs w:val="24"/>
          <w:lang w:eastAsia="en-IN"/>
        </w:rPr>
        <w:t>15</w:t>
      </w:r>
      <w:r w:rsidRPr="00D53404">
        <w:rPr>
          <w:rFonts w:ascii="Times New Roman" w:hAnsi="Times New Roman" w:cs="Times New Roman"/>
          <w:sz w:val="24"/>
          <w:szCs w:val="24"/>
          <w:lang w:eastAsia="en-IN"/>
        </w:rPr>
        <w:t>(7), pp.1025-1033.</w:t>
      </w:r>
    </w:p>
    <w:p w14:paraId="58ED7791"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Newton, R (2010). The management consultant: mastering the art of consultancy. Financial Times.</w:t>
      </w:r>
    </w:p>
    <w:p w14:paraId="2910DFB3"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 xml:space="preserve">Noordzife, G. (2014) Project Management of Hotel Opening Processes: Exploring Better Ways to </w:t>
      </w:r>
      <w:proofErr w:type="spellStart"/>
      <w:r w:rsidRPr="00D53404">
        <w:rPr>
          <w:rFonts w:ascii="Times New Roman" w:hAnsi="Times New Roman" w:cs="Times New Roman"/>
          <w:sz w:val="24"/>
          <w:szCs w:val="24"/>
          <w:lang w:eastAsia="en-IN"/>
        </w:rPr>
        <w:t>ManageNew</w:t>
      </w:r>
      <w:proofErr w:type="spellEnd"/>
      <w:r w:rsidRPr="00D53404">
        <w:rPr>
          <w:rFonts w:ascii="Times New Roman" w:hAnsi="Times New Roman" w:cs="Times New Roman"/>
          <w:sz w:val="24"/>
          <w:szCs w:val="24"/>
          <w:lang w:eastAsia="en-IN"/>
        </w:rPr>
        <w:t xml:space="preserve"> Hotel Openings, CreateSpace</w:t>
      </w:r>
    </w:p>
    <w:p w14:paraId="0762B0B2"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O’Mahoney, J. (2021). How Small Consultancies Grow: Challenging Problem-Based Theorising. Management Consulting Journal, 4(1), 5–20</w:t>
      </w:r>
    </w:p>
    <w:p w14:paraId="702147E5" w14:textId="77777777" w:rsidR="002B2E1E" w:rsidRPr="00D53404" w:rsidRDefault="002B2E1E" w:rsidP="002B2E1E">
      <w:pPr>
        <w:pStyle w:val="NoSpacing"/>
        <w:spacing w:line="360" w:lineRule="auto"/>
        <w:jc w:val="both"/>
        <w:rPr>
          <w:rFonts w:ascii="Times New Roman" w:hAnsi="Times New Roman" w:cs="Times New Roman"/>
          <w:sz w:val="24"/>
          <w:szCs w:val="24"/>
          <w:lang w:val="en-IN" w:eastAsia="en-IN"/>
        </w:rPr>
      </w:pPr>
      <w:r w:rsidRPr="00D53404">
        <w:rPr>
          <w:rFonts w:ascii="Times New Roman" w:hAnsi="Times New Roman" w:cs="Times New Roman"/>
          <w:sz w:val="24"/>
          <w:szCs w:val="24"/>
          <w:lang w:val="en-IN" w:eastAsia="en-IN"/>
        </w:rPr>
        <w:t xml:space="preserve">OECD (2023). </w:t>
      </w:r>
      <w:r w:rsidRPr="00D53404">
        <w:rPr>
          <w:rFonts w:ascii="Times New Roman" w:hAnsi="Times New Roman" w:cs="Times New Roman"/>
          <w:i/>
          <w:iCs/>
          <w:sz w:val="24"/>
          <w:szCs w:val="24"/>
          <w:lang w:val="en-IN" w:eastAsia="en-IN"/>
        </w:rPr>
        <w:t>Australia Economic Snapshot - OECD</w:t>
      </w:r>
      <w:r w:rsidRPr="00D53404">
        <w:rPr>
          <w:rFonts w:ascii="Times New Roman" w:hAnsi="Times New Roman" w:cs="Times New Roman"/>
          <w:sz w:val="24"/>
          <w:szCs w:val="24"/>
          <w:lang w:val="en-IN" w:eastAsia="en-IN"/>
        </w:rPr>
        <w:t>. [online] www.oecd.org. Available at: https://www.oecd.org/economy/australia-economic-snapshot/ [Accessed 27 Jan. 2024].</w:t>
      </w:r>
    </w:p>
    <w:p w14:paraId="47D014FA" w14:textId="77777777" w:rsidR="002B2E1E" w:rsidRPr="00D53404" w:rsidRDefault="002B2E1E" w:rsidP="002B2E1E">
      <w:pPr>
        <w:pStyle w:val="NoSpacing"/>
        <w:spacing w:line="360" w:lineRule="auto"/>
        <w:jc w:val="both"/>
        <w:rPr>
          <w:rFonts w:ascii="Times New Roman" w:hAnsi="Times New Roman" w:cs="Times New Roman"/>
          <w:sz w:val="24"/>
          <w:szCs w:val="24"/>
          <w:lang w:val="en-IN" w:eastAsia="en-IN"/>
        </w:rPr>
      </w:pPr>
      <w:r w:rsidRPr="00D53404">
        <w:rPr>
          <w:rFonts w:ascii="Times New Roman" w:hAnsi="Times New Roman" w:cs="Times New Roman"/>
          <w:sz w:val="24"/>
          <w:szCs w:val="24"/>
          <w:lang w:val="en-IN" w:eastAsia="en-IN"/>
        </w:rPr>
        <w:t xml:space="preserve">Parliament of Australia (2019). </w:t>
      </w:r>
      <w:r w:rsidRPr="00D53404">
        <w:rPr>
          <w:rFonts w:ascii="Times New Roman" w:hAnsi="Times New Roman" w:cs="Times New Roman"/>
          <w:i/>
          <w:iCs/>
          <w:sz w:val="24"/>
          <w:szCs w:val="24"/>
          <w:lang w:val="en-IN" w:eastAsia="en-IN"/>
        </w:rPr>
        <w:t>The Australian System of Government</w:t>
      </w:r>
      <w:r w:rsidRPr="00D53404">
        <w:rPr>
          <w:rFonts w:ascii="Times New Roman" w:hAnsi="Times New Roman" w:cs="Times New Roman"/>
          <w:sz w:val="24"/>
          <w:szCs w:val="24"/>
          <w:lang w:val="en-IN" w:eastAsia="en-IN"/>
        </w:rPr>
        <w:t>. [online] Aph.gov.au. Available at: https://www.aph.gov.au/About_Parliament/House_of_Representatives/Powers_practice_and_procedure/00_-_Infosheets/Infosheet_20_-_The_Australian_system_of_government [Accessed 27 Jan. 2024].</w:t>
      </w:r>
    </w:p>
    <w:p w14:paraId="14C18D2B"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 xml:space="preserve">Philipp, J., </w:t>
      </w:r>
      <w:proofErr w:type="spellStart"/>
      <w:r w:rsidRPr="00D53404">
        <w:rPr>
          <w:rFonts w:ascii="Times New Roman" w:hAnsi="Times New Roman" w:cs="Times New Roman"/>
          <w:sz w:val="24"/>
          <w:szCs w:val="24"/>
          <w:lang w:eastAsia="en-IN"/>
        </w:rPr>
        <w:t>Thees</w:t>
      </w:r>
      <w:proofErr w:type="spellEnd"/>
      <w:r w:rsidRPr="00D53404">
        <w:rPr>
          <w:rFonts w:ascii="Times New Roman" w:hAnsi="Times New Roman" w:cs="Times New Roman"/>
          <w:sz w:val="24"/>
          <w:szCs w:val="24"/>
          <w:lang w:eastAsia="en-IN"/>
        </w:rPr>
        <w:t xml:space="preserve">, H., </w:t>
      </w:r>
      <w:proofErr w:type="spellStart"/>
      <w:r w:rsidRPr="00D53404">
        <w:rPr>
          <w:rFonts w:ascii="Times New Roman" w:hAnsi="Times New Roman" w:cs="Times New Roman"/>
          <w:sz w:val="24"/>
          <w:szCs w:val="24"/>
          <w:lang w:eastAsia="en-IN"/>
        </w:rPr>
        <w:t>Olbrich</w:t>
      </w:r>
      <w:proofErr w:type="spellEnd"/>
      <w:r w:rsidRPr="00D53404">
        <w:rPr>
          <w:rFonts w:ascii="Times New Roman" w:hAnsi="Times New Roman" w:cs="Times New Roman"/>
          <w:sz w:val="24"/>
          <w:szCs w:val="24"/>
          <w:lang w:eastAsia="en-IN"/>
        </w:rPr>
        <w:t xml:space="preserve">, N. and </w:t>
      </w:r>
      <w:proofErr w:type="spellStart"/>
      <w:r w:rsidRPr="00D53404">
        <w:rPr>
          <w:rFonts w:ascii="Times New Roman" w:hAnsi="Times New Roman" w:cs="Times New Roman"/>
          <w:sz w:val="24"/>
          <w:szCs w:val="24"/>
          <w:lang w:eastAsia="en-IN"/>
        </w:rPr>
        <w:t>Pechlaner</w:t>
      </w:r>
      <w:proofErr w:type="spellEnd"/>
      <w:r w:rsidRPr="00D53404">
        <w:rPr>
          <w:rFonts w:ascii="Times New Roman" w:hAnsi="Times New Roman" w:cs="Times New Roman"/>
          <w:sz w:val="24"/>
          <w:szCs w:val="24"/>
          <w:lang w:eastAsia="en-IN"/>
        </w:rPr>
        <w:t>, H., 2022. Towards an ecosystem of hospitality: The dynamic future of destinations. </w:t>
      </w:r>
      <w:r w:rsidRPr="00D53404">
        <w:rPr>
          <w:rFonts w:ascii="Times New Roman" w:hAnsi="Times New Roman" w:cs="Times New Roman"/>
          <w:i/>
          <w:iCs/>
          <w:sz w:val="24"/>
          <w:szCs w:val="24"/>
          <w:lang w:eastAsia="en-IN"/>
        </w:rPr>
        <w:t>Sustainability</w:t>
      </w:r>
      <w:r w:rsidRPr="00D53404">
        <w:rPr>
          <w:rFonts w:ascii="Times New Roman" w:hAnsi="Times New Roman" w:cs="Times New Roman"/>
          <w:sz w:val="24"/>
          <w:szCs w:val="24"/>
          <w:lang w:eastAsia="en-IN"/>
        </w:rPr>
        <w:t>, </w:t>
      </w:r>
      <w:r w:rsidRPr="00D53404">
        <w:rPr>
          <w:rFonts w:ascii="Times New Roman" w:hAnsi="Times New Roman" w:cs="Times New Roman"/>
          <w:i/>
          <w:iCs/>
          <w:sz w:val="24"/>
          <w:szCs w:val="24"/>
          <w:lang w:eastAsia="en-IN"/>
        </w:rPr>
        <w:t>14</w:t>
      </w:r>
      <w:r w:rsidRPr="00D53404">
        <w:rPr>
          <w:rFonts w:ascii="Times New Roman" w:hAnsi="Times New Roman" w:cs="Times New Roman"/>
          <w:sz w:val="24"/>
          <w:szCs w:val="24"/>
          <w:lang w:eastAsia="en-IN"/>
        </w:rPr>
        <w:t>(2), p.821.</w:t>
      </w:r>
    </w:p>
    <w:p w14:paraId="605175FF"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 xml:space="preserve">Pugachov, M., Pugachov, V., Shevchenko, O., </w:t>
      </w:r>
      <w:proofErr w:type="spellStart"/>
      <w:r w:rsidRPr="00D53404">
        <w:rPr>
          <w:rFonts w:ascii="Times New Roman" w:hAnsi="Times New Roman" w:cs="Times New Roman"/>
          <w:sz w:val="24"/>
          <w:szCs w:val="24"/>
          <w:lang w:eastAsia="en-IN"/>
        </w:rPr>
        <w:t>Banyeva</w:t>
      </w:r>
      <w:proofErr w:type="spellEnd"/>
      <w:r w:rsidRPr="00D53404">
        <w:rPr>
          <w:rFonts w:ascii="Times New Roman" w:hAnsi="Times New Roman" w:cs="Times New Roman"/>
          <w:sz w:val="24"/>
          <w:szCs w:val="24"/>
          <w:lang w:eastAsia="en-IN"/>
        </w:rPr>
        <w:t xml:space="preserve">, I. and </w:t>
      </w:r>
      <w:proofErr w:type="spellStart"/>
      <w:r w:rsidRPr="00D53404">
        <w:rPr>
          <w:rFonts w:ascii="Times New Roman" w:hAnsi="Times New Roman" w:cs="Times New Roman"/>
          <w:sz w:val="24"/>
          <w:szCs w:val="24"/>
          <w:lang w:eastAsia="en-IN"/>
        </w:rPr>
        <w:t>Kushniruk</w:t>
      </w:r>
      <w:proofErr w:type="spellEnd"/>
      <w:r w:rsidRPr="00D53404">
        <w:rPr>
          <w:rFonts w:ascii="Times New Roman" w:hAnsi="Times New Roman" w:cs="Times New Roman"/>
          <w:sz w:val="24"/>
          <w:szCs w:val="24"/>
          <w:lang w:eastAsia="en-IN"/>
        </w:rPr>
        <w:t>, V., 2022. Perspectives for the Tourism and Hospitality Industry in a Globally Competitive Environment.</w:t>
      </w:r>
    </w:p>
    <w:p w14:paraId="3028AD80"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Roy, M., 2021. Tourism Industry in Australia: An Assessment of Advanced SWOT Model and TOWS Matrix. </w:t>
      </w:r>
      <w:r w:rsidRPr="00D53404">
        <w:rPr>
          <w:rFonts w:ascii="Times New Roman" w:hAnsi="Times New Roman" w:cs="Times New Roman"/>
          <w:i/>
          <w:iCs/>
          <w:sz w:val="24"/>
          <w:szCs w:val="24"/>
          <w:lang w:eastAsia="en-IN"/>
        </w:rPr>
        <w:t xml:space="preserve">Tourism in </w:t>
      </w:r>
      <w:r w:rsidRPr="00D53404">
        <w:rPr>
          <w:rFonts w:ascii="Times New Roman" w:hAnsi="Times New Roman" w:cs="Times New Roman"/>
          <w:i/>
          <w:sz w:val="24"/>
          <w:szCs w:val="24"/>
          <w:lang w:eastAsia="en-IN"/>
        </w:rPr>
        <w:t>Australia</w:t>
      </w:r>
      <w:r w:rsidRPr="00D53404">
        <w:rPr>
          <w:rFonts w:ascii="Times New Roman" w:hAnsi="Times New Roman" w:cs="Times New Roman"/>
          <w:i/>
          <w:iCs/>
          <w:sz w:val="24"/>
          <w:szCs w:val="24"/>
          <w:lang w:eastAsia="en-IN"/>
        </w:rPr>
        <w:t>: Investment and Development Perspectives</w:t>
      </w:r>
      <w:r w:rsidRPr="00D53404">
        <w:rPr>
          <w:rFonts w:ascii="Times New Roman" w:hAnsi="Times New Roman" w:cs="Times New Roman"/>
          <w:sz w:val="24"/>
          <w:szCs w:val="24"/>
          <w:lang w:eastAsia="en-IN"/>
        </w:rPr>
        <w:t>, pp.279-310.</w:t>
      </w:r>
    </w:p>
    <w:p w14:paraId="2394D6A0"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lastRenderedPageBreak/>
        <w:t>Santana-Sosa, A. and Kovacic, I., 2022. Barriers, Opportunities and Recommendations to Enhance the Adoption of Timber within Multi-Storey Buildings in Austria. </w:t>
      </w:r>
      <w:r w:rsidRPr="00D53404">
        <w:rPr>
          <w:rFonts w:ascii="Times New Roman" w:hAnsi="Times New Roman" w:cs="Times New Roman"/>
          <w:i/>
          <w:iCs/>
          <w:sz w:val="24"/>
          <w:szCs w:val="24"/>
          <w:lang w:eastAsia="en-IN"/>
        </w:rPr>
        <w:t>Buildings</w:t>
      </w:r>
      <w:r w:rsidRPr="00D53404">
        <w:rPr>
          <w:rFonts w:ascii="Times New Roman" w:hAnsi="Times New Roman" w:cs="Times New Roman"/>
          <w:sz w:val="24"/>
          <w:szCs w:val="24"/>
          <w:lang w:eastAsia="en-IN"/>
        </w:rPr>
        <w:t>, </w:t>
      </w:r>
      <w:r w:rsidRPr="00D53404">
        <w:rPr>
          <w:rFonts w:ascii="Times New Roman" w:hAnsi="Times New Roman" w:cs="Times New Roman"/>
          <w:i/>
          <w:iCs/>
          <w:sz w:val="24"/>
          <w:szCs w:val="24"/>
          <w:lang w:eastAsia="en-IN"/>
        </w:rPr>
        <w:t>12</w:t>
      </w:r>
      <w:r w:rsidRPr="00D53404">
        <w:rPr>
          <w:rFonts w:ascii="Times New Roman" w:hAnsi="Times New Roman" w:cs="Times New Roman"/>
          <w:sz w:val="24"/>
          <w:szCs w:val="24"/>
          <w:lang w:eastAsia="en-IN"/>
        </w:rPr>
        <w:t>(9), p.1416.</w:t>
      </w:r>
    </w:p>
    <w:p w14:paraId="1FFA8AC6"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proofErr w:type="spellStart"/>
      <w:r w:rsidRPr="00D53404">
        <w:rPr>
          <w:rFonts w:ascii="Times New Roman" w:hAnsi="Times New Roman" w:cs="Times New Roman"/>
          <w:sz w:val="24"/>
          <w:szCs w:val="24"/>
          <w:lang w:eastAsia="en-IN"/>
        </w:rPr>
        <w:t>Sarayreh</w:t>
      </w:r>
      <w:proofErr w:type="spellEnd"/>
      <w:r w:rsidRPr="00D53404">
        <w:rPr>
          <w:rFonts w:ascii="Times New Roman" w:hAnsi="Times New Roman" w:cs="Times New Roman"/>
          <w:sz w:val="24"/>
          <w:szCs w:val="24"/>
          <w:lang w:eastAsia="en-IN"/>
        </w:rPr>
        <w:t xml:space="preserve">, B.H., </w:t>
      </w:r>
      <w:proofErr w:type="spellStart"/>
      <w:r w:rsidRPr="00D53404">
        <w:rPr>
          <w:rFonts w:ascii="Times New Roman" w:hAnsi="Times New Roman" w:cs="Times New Roman"/>
          <w:sz w:val="24"/>
          <w:szCs w:val="24"/>
          <w:lang w:eastAsia="en-IN"/>
        </w:rPr>
        <w:t>Khudair</w:t>
      </w:r>
      <w:proofErr w:type="spellEnd"/>
      <w:r w:rsidRPr="00D53404">
        <w:rPr>
          <w:rFonts w:ascii="Times New Roman" w:hAnsi="Times New Roman" w:cs="Times New Roman"/>
          <w:sz w:val="24"/>
          <w:szCs w:val="24"/>
          <w:lang w:eastAsia="en-IN"/>
        </w:rPr>
        <w:t>, H. and Barakat, E.A., 2023. Comparative study: The Kurt Lewin of change management. </w:t>
      </w:r>
      <w:r w:rsidRPr="00D53404">
        <w:rPr>
          <w:rFonts w:ascii="Times New Roman" w:hAnsi="Times New Roman" w:cs="Times New Roman"/>
          <w:i/>
          <w:iCs/>
          <w:sz w:val="24"/>
          <w:szCs w:val="24"/>
          <w:lang w:eastAsia="en-IN"/>
        </w:rPr>
        <w:t>International Journal of Computer and Information Technology</w:t>
      </w:r>
      <w:r w:rsidRPr="00D53404">
        <w:rPr>
          <w:rFonts w:ascii="Times New Roman" w:hAnsi="Times New Roman" w:cs="Times New Roman"/>
          <w:sz w:val="24"/>
          <w:szCs w:val="24"/>
          <w:lang w:eastAsia="en-IN"/>
        </w:rPr>
        <w:t>, </w:t>
      </w:r>
      <w:r w:rsidRPr="00D53404">
        <w:rPr>
          <w:rFonts w:ascii="Times New Roman" w:hAnsi="Times New Roman" w:cs="Times New Roman"/>
          <w:i/>
          <w:iCs/>
          <w:sz w:val="24"/>
          <w:szCs w:val="24"/>
          <w:lang w:eastAsia="en-IN"/>
        </w:rPr>
        <w:t>2</w:t>
      </w:r>
      <w:r w:rsidRPr="00D53404">
        <w:rPr>
          <w:rFonts w:ascii="Times New Roman" w:hAnsi="Times New Roman" w:cs="Times New Roman"/>
          <w:sz w:val="24"/>
          <w:szCs w:val="24"/>
          <w:lang w:eastAsia="en-IN"/>
        </w:rPr>
        <w:t>(4), pp.626-629.</w:t>
      </w:r>
    </w:p>
    <w:p w14:paraId="69AA8ED1"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Scorza, F. and Santopietro, L., 2021. A systemic perspective for the Sustainable Energy and Climate Action Plan (SECAP). </w:t>
      </w:r>
      <w:r w:rsidRPr="00D53404">
        <w:rPr>
          <w:rFonts w:ascii="Times New Roman" w:hAnsi="Times New Roman" w:cs="Times New Roman"/>
          <w:i/>
          <w:iCs/>
          <w:sz w:val="24"/>
          <w:szCs w:val="24"/>
          <w:lang w:eastAsia="en-IN"/>
        </w:rPr>
        <w:t>European Planning Studies</w:t>
      </w:r>
      <w:r w:rsidRPr="00D53404">
        <w:rPr>
          <w:rFonts w:ascii="Times New Roman" w:hAnsi="Times New Roman" w:cs="Times New Roman"/>
          <w:sz w:val="24"/>
          <w:szCs w:val="24"/>
          <w:lang w:eastAsia="en-IN"/>
        </w:rPr>
        <w:t>, pp.1-21.</w:t>
      </w:r>
    </w:p>
    <w:p w14:paraId="4F35CD4E"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Shah, M.H., 2014. An Application of ADKAR Change Model for the Change Management Competencies of School Heads in Pakistan. </w:t>
      </w:r>
      <w:r w:rsidRPr="00D53404">
        <w:rPr>
          <w:rFonts w:ascii="Times New Roman" w:hAnsi="Times New Roman" w:cs="Times New Roman"/>
          <w:i/>
          <w:iCs/>
          <w:sz w:val="24"/>
          <w:szCs w:val="24"/>
          <w:lang w:eastAsia="en-IN"/>
        </w:rPr>
        <w:t>Journal of Managerial Sciences</w:t>
      </w:r>
      <w:r w:rsidRPr="00D53404">
        <w:rPr>
          <w:rFonts w:ascii="Times New Roman" w:hAnsi="Times New Roman" w:cs="Times New Roman"/>
          <w:sz w:val="24"/>
          <w:szCs w:val="24"/>
          <w:lang w:eastAsia="en-IN"/>
        </w:rPr>
        <w:t>, </w:t>
      </w:r>
      <w:r w:rsidRPr="00D53404">
        <w:rPr>
          <w:rFonts w:ascii="Times New Roman" w:hAnsi="Times New Roman" w:cs="Times New Roman"/>
          <w:i/>
          <w:iCs/>
          <w:sz w:val="24"/>
          <w:szCs w:val="24"/>
          <w:lang w:eastAsia="en-IN"/>
        </w:rPr>
        <w:t>8</w:t>
      </w:r>
      <w:r w:rsidRPr="00D53404">
        <w:rPr>
          <w:rFonts w:ascii="Times New Roman" w:hAnsi="Times New Roman" w:cs="Times New Roman"/>
          <w:sz w:val="24"/>
          <w:szCs w:val="24"/>
          <w:lang w:eastAsia="en-IN"/>
        </w:rPr>
        <w:t>(1).</w:t>
      </w:r>
    </w:p>
    <w:p w14:paraId="5E11F9F5" w14:textId="77777777" w:rsidR="002B2E1E" w:rsidRPr="00D53404" w:rsidRDefault="002B2E1E" w:rsidP="002B2E1E">
      <w:pPr>
        <w:pStyle w:val="NoSpacing"/>
        <w:spacing w:line="360" w:lineRule="auto"/>
        <w:jc w:val="both"/>
        <w:rPr>
          <w:rFonts w:ascii="Times New Roman" w:hAnsi="Times New Roman" w:cs="Times New Roman"/>
          <w:sz w:val="24"/>
          <w:szCs w:val="24"/>
          <w:lang w:val="en-IN" w:eastAsia="en-IN"/>
        </w:rPr>
      </w:pPr>
      <w:r w:rsidRPr="00D53404">
        <w:rPr>
          <w:rFonts w:ascii="Times New Roman" w:hAnsi="Times New Roman" w:cs="Times New Roman"/>
          <w:sz w:val="24"/>
          <w:szCs w:val="24"/>
          <w:lang w:val="en-IN" w:eastAsia="en-IN"/>
        </w:rPr>
        <w:t xml:space="preserve">Statista (2023). </w:t>
      </w:r>
      <w:r w:rsidRPr="00D53404">
        <w:rPr>
          <w:rFonts w:ascii="Times New Roman" w:hAnsi="Times New Roman" w:cs="Times New Roman"/>
          <w:i/>
          <w:iCs/>
          <w:sz w:val="24"/>
          <w:szCs w:val="24"/>
          <w:lang w:val="en-IN" w:eastAsia="en-IN"/>
        </w:rPr>
        <w:t>Hotels - Australia | Statista Market Forecast</w:t>
      </w:r>
      <w:r w:rsidRPr="00D53404">
        <w:rPr>
          <w:rFonts w:ascii="Times New Roman" w:hAnsi="Times New Roman" w:cs="Times New Roman"/>
          <w:sz w:val="24"/>
          <w:szCs w:val="24"/>
          <w:lang w:val="en-IN" w:eastAsia="en-IN"/>
        </w:rPr>
        <w:t>. [online] Statista. Available at: https://www.statista.com/outlook/mmo/travel-tourism/hotels/australia [Accessed 27 Jan. 2024].</w:t>
      </w:r>
    </w:p>
    <w:p w14:paraId="72AF16EC" w14:textId="77777777" w:rsidR="002B2E1E" w:rsidRPr="00D53404" w:rsidRDefault="002B2E1E" w:rsidP="002B2E1E">
      <w:pPr>
        <w:pStyle w:val="NoSpacing"/>
        <w:spacing w:line="360" w:lineRule="auto"/>
        <w:jc w:val="both"/>
        <w:rPr>
          <w:rFonts w:ascii="Times New Roman" w:hAnsi="Times New Roman" w:cs="Times New Roman"/>
          <w:sz w:val="24"/>
          <w:szCs w:val="24"/>
          <w:lang w:val="en-IN" w:eastAsia="en-IN"/>
        </w:rPr>
      </w:pPr>
      <w:r w:rsidRPr="00D53404">
        <w:rPr>
          <w:rFonts w:ascii="Times New Roman" w:hAnsi="Times New Roman" w:cs="Times New Roman"/>
          <w:sz w:val="24"/>
          <w:szCs w:val="24"/>
          <w:lang w:val="en-IN" w:eastAsia="en-IN"/>
        </w:rPr>
        <w:t xml:space="preserve">Statista Daily Data. (2023). </w:t>
      </w:r>
      <w:r w:rsidRPr="00D53404">
        <w:rPr>
          <w:rFonts w:ascii="Times New Roman" w:hAnsi="Times New Roman" w:cs="Times New Roman"/>
          <w:i/>
          <w:iCs/>
          <w:sz w:val="24"/>
          <w:szCs w:val="24"/>
          <w:lang w:val="en-IN" w:eastAsia="en-IN"/>
        </w:rPr>
        <w:t>Infographic: Leading challenges for the Australian accommodation industry</w:t>
      </w:r>
      <w:r w:rsidRPr="00D53404">
        <w:rPr>
          <w:rFonts w:ascii="Times New Roman" w:hAnsi="Times New Roman" w:cs="Times New Roman"/>
          <w:sz w:val="24"/>
          <w:szCs w:val="24"/>
          <w:lang w:val="en-IN" w:eastAsia="en-IN"/>
        </w:rPr>
        <w:t>. [online] Available at: https://www.statista.com/chart/31186/leading-challenges-for-the-australian-accommodation-industry/#:~:text=Findings%20from%20the%20inaugural%20Australian [Accessed 27 Jan. 2024].</w:t>
      </w:r>
    </w:p>
    <w:p w14:paraId="420F63A8"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 xml:space="preserve">Subramaniam, Collier, P., </w:t>
      </w:r>
      <w:proofErr w:type="spellStart"/>
      <w:r w:rsidRPr="00D53404">
        <w:rPr>
          <w:rFonts w:ascii="Times New Roman" w:hAnsi="Times New Roman" w:cs="Times New Roman"/>
          <w:sz w:val="24"/>
          <w:szCs w:val="24"/>
          <w:lang w:eastAsia="en-IN"/>
        </w:rPr>
        <w:t>Phang</w:t>
      </w:r>
      <w:proofErr w:type="spellEnd"/>
      <w:r w:rsidRPr="00D53404">
        <w:rPr>
          <w:rFonts w:ascii="Times New Roman" w:hAnsi="Times New Roman" w:cs="Times New Roman"/>
          <w:sz w:val="24"/>
          <w:szCs w:val="24"/>
          <w:lang w:eastAsia="en-IN"/>
        </w:rPr>
        <w:t>, M., and Burke, G. (2011). The effects of perceived business uncertainty, external consultants and risk management on organisational outcomes. Journal of Accounting &amp; Organizational Change, 7(2), 132–157.</w:t>
      </w:r>
    </w:p>
    <w:p w14:paraId="636EEAB0"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Tang, K.N. and Tang, K.N., 2019. Change management. </w:t>
      </w:r>
      <w:r w:rsidRPr="00D53404">
        <w:rPr>
          <w:rFonts w:ascii="Times New Roman" w:hAnsi="Times New Roman" w:cs="Times New Roman"/>
          <w:i/>
          <w:iCs/>
          <w:sz w:val="24"/>
          <w:szCs w:val="24"/>
          <w:lang w:eastAsia="en-IN"/>
        </w:rPr>
        <w:t>Leadership and change management</w:t>
      </w:r>
      <w:r w:rsidRPr="00D53404">
        <w:rPr>
          <w:rFonts w:ascii="Times New Roman" w:hAnsi="Times New Roman" w:cs="Times New Roman"/>
          <w:sz w:val="24"/>
          <w:szCs w:val="24"/>
          <w:lang w:eastAsia="en-IN"/>
        </w:rPr>
        <w:t>, pp.47-55.</w:t>
      </w:r>
    </w:p>
    <w:p w14:paraId="312E46CB"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Thakur, V., 2021. Framework for PESTEL dimensions of sustainable healthcare waste management: Learnings from COVID-19 outbreak. </w:t>
      </w:r>
      <w:r w:rsidRPr="00D53404">
        <w:rPr>
          <w:rFonts w:ascii="Times New Roman" w:hAnsi="Times New Roman" w:cs="Times New Roman"/>
          <w:i/>
          <w:iCs/>
          <w:sz w:val="24"/>
          <w:szCs w:val="24"/>
          <w:lang w:eastAsia="en-IN"/>
        </w:rPr>
        <w:t>Journal of cleaner production</w:t>
      </w:r>
      <w:r w:rsidRPr="00D53404">
        <w:rPr>
          <w:rFonts w:ascii="Times New Roman" w:hAnsi="Times New Roman" w:cs="Times New Roman"/>
          <w:sz w:val="24"/>
          <w:szCs w:val="24"/>
          <w:lang w:eastAsia="en-IN"/>
        </w:rPr>
        <w:t>, </w:t>
      </w:r>
      <w:r w:rsidRPr="00D53404">
        <w:rPr>
          <w:rFonts w:ascii="Times New Roman" w:hAnsi="Times New Roman" w:cs="Times New Roman"/>
          <w:i/>
          <w:iCs/>
          <w:sz w:val="24"/>
          <w:szCs w:val="24"/>
          <w:lang w:eastAsia="en-IN"/>
        </w:rPr>
        <w:t>287</w:t>
      </w:r>
      <w:r w:rsidRPr="00D53404">
        <w:rPr>
          <w:rFonts w:ascii="Times New Roman" w:hAnsi="Times New Roman" w:cs="Times New Roman"/>
          <w:sz w:val="24"/>
          <w:szCs w:val="24"/>
          <w:lang w:eastAsia="en-IN"/>
        </w:rPr>
        <w:t>, p.125562.</w:t>
      </w:r>
    </w:p>
    <w:p w14:paraId="575E9FF4"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Thommandru, A., Espinoza-</w:t>
      </w:r>
      <w:proofErr w:type="spellStart"/>
      <w:r w:rsidRPr="00D53404">
        <w:rPr>
          <w:rFonts w:ascii="Times New Roman" w:hAnsi="Times New Roman" w:cs="Times New Roman"/>
          <w:sz w:val="24"/>
          <w:szCs w:val="24"/>
          <w:lang w:eastAsia="en-IN"/>
        </w:rPr>
        <w:t>Maguiña</w:t>
      </w:r>
      <w:proofErr w:type="spellEnd"/>
      <w:r w:rsidRPr="00D53404">
        <w:rPr>
          <w:rFonts w:ascii="Times New Roman" w:hAnsi="Times New Roman" w:cs="Times New Roman"/>
          <w:sz w:val="24"/>
          <w:szCs w:val="24"/>
          <w:lang w:eastAsia="en-IN"/>
        </w:rPr>
        <w:t>, M., Ramirez-</w:t>
      </w:r>
      <w:proofErr w:type="spellStart"/>
      <w:r w:rsidRPr="00D53404">
        <w:rPr>
          <w:rFonts w:ascii="Times New Roman" w:hAnsi="Times New Roman" w:cs="Times New Roman"/>
          <w:sz w:val="24"/>
          <w:szCs w:val="24"/>
          <w:lang w:eastAsia="en-IN"/>
        </w:rPr>
        <w:t>Asis</w:t>
      </w:r>
      <w:proofErr w:type="spellEnd"/>
      <w:r w:rsidRPr="00D53404">
        <w:rPr>
          <w:rFonts w:ascii="Times New Roman" w:hAnsi="Times New Roman" w:cs="Times New Roman"/>
          <w:sz w:val="24"/>
          <w:szCs w:val="24"/>
          <w:lang w:eastAsia="en-IN"/>
        </w:rPr>
        <w:t xml:space="preserve">, E., Ray, S., </w:t>
      </w:r>
      <w:proofErr w:type="spellStart"/>
      <w:r w:rsidRPr="00D53404">
        <w:rPr>
          <w:rFonts w:ascii="Times New Roman" w:hAnsi="Times New Roman" w:cs="Times New Roman"/>
          <w:sz w:val="24"/>
          <w:szCs w:val="24"/>
          <w:lang w:eastAsia="en-IN"/>
        </w:rPr>
        <w:t>Naved</w:t>
      </w:r>
      <w:proofErr w:type="spellEnd"/>
      <w:r w:rsidRPr="00D53404">
        <w:rPr>
          <w:rFonts w:ascii="Times New Roman" w:hAnsi="Times New Roman" w:cs="Times New Roman"/>
          <w:sz w:val="24"/>
          <w:szCs w:val="24"/>
          <w:lang w:eastAsia="en-IN"/>
        </w:rPr>
        <w:t>, M. and Guzman-Avalos, M., 2023. Role of tourism and hospitality business in economic development. </w:t>
      </w:r>
      <w:r w:rsidRPr="00D53404">
        <w:rPr>
          <w:rFonts w:ascii="Times New Roman" w:hAnsi="Times New Roman" w:cs="Times New Roman"/>
          <w:i/>
          <w:iCs/>
          <w:sz w:val="24"/>
          <w:szCs w:val="24"/>
          <w:lang w:eastAsia="en-IN"/>
        </w:rPr>
        <w:t>Materials Today: Proceedings</w:t>
      </w:r>
      <w:r w:rsidRPr="00D53404">
        <w:rPr>
          <w:rFonts w:ascii="Times New Roman" w:hAnsi="Times New Roman" w:cs="Times New Roman"/>
          <w:sz w:val="24"/>
          <w:szCs w:val="24"/>
          <w:lang w:eastAsia="en-IN"/>
        </w:rPr>
        <w:t>, </w:t>
      </w:r>
      <w:r w:rsidRPr="00D53404">
        <w:rPr>
          <w:rFonts w:ascii="Times New Roman" w:hAnsi="Times New Roman" w:cs="Times New Roman"/>
          <w:i/>
          <w:iCs/>
          <w:sz w:val="24"/>
          <w:szCs w:val="24"/>
          <w:lang w:eastAsia="en-IN"/>
        </w:rPr>
        <w:t>80</w:t>
      </w:r>
      <w:r w:rsidRPr="00D53404">
        <w:rPr>
          <w:rFonts w:ascii="Times New Roman" w:hAnsi="Times New Roman" w:cs="Times New Roman"/>
          <w:sz w:val="24"/>
          <w:szCs w:val="24"/>
          <w:lang w:eastAsia="en-IN"/>
        </w:rPr>
        <w:t>, pp.2901-2904.</w:t>
      </w:r>
    </w:p>
    <w:p w14:paraId="642B350C" w14:textId="77777777" w:rsidR="002B2E1E" w:rsidRPr="00D53404" w:rsidRDefault="002B2E1E" w:rsidP="002B2E1E">
      <w:pPr>
        <w:pStyle w:val="NoSpacing"/>
        <w:spacing w:line="360" w:lineRule="auto"/>
        <w:jc w:val="both"/>
        <w:rPr>
          <w:rFonts w:ascii="Times New Roman" w:hAnsi="Times New Roman" w:cs="Times New Roman"/>
          <w:sz w:val="24"/>
          <w:szCs w:val="24"/>
          <w:lang w:eastAsia="en-IN"/>
        </w:rPr>
      </w:pPr>
      <w:r w:rsidRPr="00D53404">
        <w:rPr>
          <w:rFonts w:ascii="Times New Roman" w:hAnsi="Times New Roman" w:cs="Times New Roman"/>
          <w:sz w:val="24"/>
          <w:szCs w:val="24"/>
          <w:lang w:eastAsia="en-IN"/>
        </w:rPr>
        <w:t xml:space="preserve">Tijani, B., </w:t>
      </w:r>
      <w:proofErr w:type="spellStart"/>
      <w:r w:rsidRPr="00D53404">
        <w:rPr>
          <w:rFonts w:ascii="Times New Roman" w:hAnsi="Times New Roman" w:cs="Times New Roman"/>
          <w:sz w:val="24"/>
          <w:szCs w:val="24"/>
          <w:lang w:eastAsia="en-IN"/>
        </w:rPr>
        <w:t>Jin</w:t>
      </w:r>
      <w:proofErr w:type="spellEnd"/>
      <w:r w:rsidRPr="00D53404">
        <w:rPr>
          <w:rFonts w:ascii="Times New Roman" w:hAnsi="Times New Roman" w:cs="Times New Roman"/>
          <w:sz w:val="24"/>
          <w:szCs w:val="24"/>
          <w:lang w:eastAsia="en-IN"/>
        </w:rPr>
        <w:t>, X.H. and Osei-</w:t>
      </w:r>
      <w:proofErr w:type="spellStart"/>
      <w:r w:rsidRPr="00D53404">
        <w:rPr>
          <w:rFonts w:ascii="Times New Roman" w:hAnsi="Times New Roman" w:cs="Times New Roman"/>
          <w:sz w:val="24"/>
          <w:szCs w:val="24"/>
          <w:lang w:eastAsia="en-IN"/>
        </w:rPr>
        <w:t>Kyei</w:t>
      </w:r>
      <w:proofErr w:type="spellEnd"/>
      <w:r w:rsidRPr="00D53404">
        <w:rPr>
          <w:rFonts w:ascii="Times New Roman" w:hAnsi="Times New Roman" w:cs="Times New Roman"/>
          <w:sz w:val="24"/>
          <w:szCs w:val="24"/>
          <w:lang w:eastAsia="en-IN"/>
        </w:rPr>
        <w:t>, R., 2023. PESTEL analysis of mental health management of project management practitioners (PMPs) in architecture, engineering and construction (AEC) project organization. </w:t>
      </w:r>
      <w:r w:rsidRPr="00D53404">
        <w:rPr>
          <w:rFonts w:ascii="Times New Roman" w:hAnsi="Times New Roman" w:cs="Times New Roman"/>
          <w:i/>
          <w:iCs/>
          <w:sz w:val="24"/>
          <w:szCs w:val="24"/>
          <w:lang w:eastAsia="en-IN"/>
        </w:rPr>
        <w:t>Smart and Sustainable Built Environment</w:t>
      </w:r>
      <w:r w:rsidRPr="00D53404">
        <w:rPr>
          <w:rFonts w:ascii="Times New Roman" w:hAnsi="Times New Roman" w:cs="Times New Roman"/>
          <w:sz w:val="24"/>
          <w:szCs w:val="24"/>
          <w:lang w:eastAsia="en-IN"/>
        </w:rPr>
        <w:t>, </w:t>
      </w:r>
      <w:r w:rsidRPr="00D53404">
        <w:rPr>
          <w:rFonts w:ascii="Times New Roman" w:hAnsi="Times New Roman" w:cs="Times New Roman"/>
          <w:i/>
          <w:iCs/>
          <w:sz w:val="24"/>
          <w:szCs w:val="24"/>
          <w:lang w:eastAsia="en-IN"/>
        </w:rPr>
        <w:t>12</w:t>
      </w:r>
      <w:r w:rsidRPr="00D53404">
        <w:rPr>
          <w:rFonts w:ascii="Times New Roman" w:hAnsi="Times New Roman" w:cs="Times New Roman"/>
          <w:sz w:val="24"/>
          <w:szCs w:val="24"/>
          <w:lang w:eastAsia="en-IN"/>
        </w:rPr>
        <w:t>(5), pp.1002-1030.</w:t>
      </w:r>
    </w:p>
    <w:p w14:paraId="689EEC4B" w14:textId="77777777" w:rsidR="002B2E1E" w:rsidRPr="002B2E1E" w:rsidRDefault="002B2E1E">
      <w:pPr>
        <w:rPr>
          <w:b/>
        </w:rPr>
      </w:pPr>
    </w:p>
    <w:sectPr w:rsidR="002B2E1E" w:rsidRPr="002B2E1E">
      <w:footerReference w:type="default" r:id="rId1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F60FC8" w14:textId="77777777" w:rsidR="0025619C" w:rsidRDefault="0025619C" w:rsidP="00B358E3">
      <w:pPr>
        <w:spacing w:line="240" w:lineRule="auto"/>
      </w:pPr>
      <w:r>
        <w:separator/>
      </w:r>
    </w:p>
  </w:endnote>
  <w:endnote w:type="continuationSeparator" w:id="0">
    <w:p w14:paraId="789B5ECB" w14:textId="77777777" w:rsidR="0025619C" w:rsidRDefault="0025619C" w:rsidP="00B358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7094987"/>
      <w:docPartObj>
        <w:docPartGallery w:val="Page Numbers (Bottom of Page)"/>
        <w:docPartUnique/>
      </w:docPartObj>
    </w:sdtPr>
    <w:sdtEndPr>
      <w:rPr>
        <w:noProof/>
      </w:rPr>
    </w:sdtEndPr>
    <w:sdtContent>
      <w:p w14:paraId="10791537" w14:textId="77777777" w:rsidR="00B358E3" w:rsidRDefault="00B358E3">
        <w:pPr>
          <w:pStyle w:val="Footer"/>
          <w:jc w:val="right"/>
        </w:pPr>
        <w:r>
          <w:fldChar w:fldCharType="begin"/>
        </w:r>
        <w:r>
          <w:instrText xml:space="preserve"> PAGE   \* MERGEFORMAT </w:instrText>
        </w:r>
        <w:r>
          <w:fldChar w:fldCharType="separate"/>
        </w:r>
        <w:r w:rsidR="0008345A">
          <w:rPr>
            <w:noProof/>
          </w:rPr>
          <w:t>30</w:t>
        </w:r>
        <w:r>
          <w:rPr>
            <w:noProof/>
          </w:rPr>
          <w:fldChar w:fldCharType="end"/>
        </w:r>
      </w:p>
    </w:sdtContent>
  </w:sdt>
  <w:p w14:paraId="102F995A" w14:textId="77777777" w:rsidR="00B358E3" w:rsidRDefault="00B358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8A4E94" w14:textId="77777777" w:rsidR="0025619C" w:rsidRDefault="0025619C" w:rsidP="00B358E3">
      <w:pPr>
        <w:spacing w:line="240" w:lineRule="auto"/>
      </w:pPr>
      <w:r>
        <w:separator/>
      </w:r>
    </w:p>
  </w:footnote>
  <w:footnote w:type="continuationSeparator" w:id="0">
    <w:p w14:paraId="47A3B51D" w14:textId="77777777" w:rsidR="0025619C" w:rsidRDefault="0025619C" w:rsidP="00B358E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B3149"/>
    <w:multiLevelType w:val="multilevel"/>
    <w:tmpl w:val="DE888F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72262A"/>
    <w:multiLevelType w:val="hybridMultilevel"/>
    <w:tmpl w:val="8D86C3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5972539"/>
    <w:multiLevelType w:val="multilevel"/>
    <w:tmpl w:val="72A485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90F28E4"/>
    <w:multiLevelType w:val="hybridMultilevel"/>
    <w:tmpl w:val="CEFC0E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F3A1547"/>
    <w:multiLevelType w:val="multilevel"/>
    <w:tmpl w:val="E564DF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00BA"/>
    <w:rsid w:val="0008345A"/>
    <w:rsid w:val="0025619C"/>
    <w:rsid w:val="002B2E1E"/>
    <w:rsid w:val="002E301D"/>
    <w:rsid w:val="004E1F74"/>
    <w:rsid w:val="00B358E3"/>
    <w:rsid w:val="00CB00BA"/>
    <w:rsid w:val="00E554F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573E1"/>
  <w15:docId w15:val="{DEA4AE9F-A717-4627-BEBE-86737B08B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2B2E1E"/>
    <w:pPr>
      <w:outlineLvl w:val="0"/>
    </w:pPr>
    <w:rPr>
      <w:b/>
    </w:rPr>
  </w:style>
  <w:style w:type="paragraph" w:styleId="Heading2">
    <w:name w:val="heading 2"/>
    <w:basedOn w:val="Normal"/>
    <w:next w:val="Normal"/>
    <w:rsid w:val="002B2E1E"/>
    <w:pPr>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NoSpacing">
    <w:name w:val="No Spacing"/>
    <w:uiPriority w:val="1"/>
    <w:qFormat/>
    <w:rsid w:val="002B2E1E"/>
    <w:pPr>
      <w:spacing w:line="240" w:lineRule="auto"/>
      <w:jc w:val="left"/>
    </w:pPr>
    <w:rPr>
      <w:rFonts w:asciiTheme="minorHAnsi" w:eastAsiaTheme="minorHAnsi" w:hAnsiTheme="minorHAnsi" w:cstheme="minorBidi"/>
      <w:sz w:val="22"/>
      <w:szCs w:val="22"/>
      <w:lang w:val="en-GB" w:eastAsia="en-US"/>
    </w:rPr>
  </w:style>
  <w:style w:type="paragraph" w:styleId="TOCHeading">
    <w:name w:val="TOC Heading"/>
    <w:basedOn w:val="Heading1"/>
    <w:next w:val="Normal"/>
    <w:uiPriority w:val="39"/>
    <w:unhideWhenUsed/>
    <w:qFormat/>
    <w:rsid w:val="002B2E1E"/>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B2E1E"/>
    <w:pPr>
      <w:spacing w:after="100"/>
    </w:pPr>
  </w:style>
  <w:style w:type="paragraph" w:styleId="TOC2">
    <w:name w:val="toc 2"/>
    <w:basedOn w:val="Normal"/>
    <w:next w:val="Normal"/>
    <w:autoRedefine/>
    <w:uiPriority w:val="39"/>
    <w:unhideWhenUsed/>
    <w:rsid w:val="002B2E1E"/>
    <w:pPr>
      <w:spacing w:after="100"/>
      <w:ind w:left="240"/>
    </w:pPr>
  </w:style>
  <w:style w:type="character" w:styleId="Hyperlink">
    <w:name w:val="Hyperlink"/>
    <w:basedOn w:val="DefaultParagraphFont"/>
    <w:uiPriority w:val="99"/>
    <w:unhideWhenUsed/>
    <w:rsid w:val="002B2E1E"/>
    <w:rPr>
      <w:color w:val="0000FF" w:themeColor="hyperlink"/>
      <w:u w:val="single"/>
    </w:rPr>
  </w:style>
  <w:style w:type="paragraph" w:styleId="ListParagraph">
    <w:name w:val="List Paragraph"/>
    <w:basedOn w:val="Normal"/>
    <w:uiPriority w:val="34"/>
    <w:qFormat/>
    <w:rsid w:val="002B2E1E"/>
    <w:pPr>
      <w:ind w:left="720"/>
      <w:contextualSpacing/>
    </w:pPr>
  </w:style>
  <w:style w:type="paragraph" w:styleId="Header">
    <w:name w:val="header"/>
    <w:basedOn w:val="Normal"/>
    <w:link w:val="HeaderChar"/>
    <w:uiPriority w:val="99"/>
    <w:unhideWhenUsed/>
    <w:rsid w:val="00B358E3"/>
    <w:pPr>
      <w:tabs>
        <w:tab w:val="center" w:pos="4513"/>
        <w:tab w:val="right" w:pos="9026"/>
      </w:tabs>
      <w:spacing w:line="240" w:lineRule="auto"/>
    </w:pPr>
  </w:style>
  <w:style w:type="character" w:customStyle="1" w:styleId="HeaderChar">
    <w:name w:val="Header Char"/>
    <w:basedOn w:val="DefaultParagraphFont"/>
    <w:link w:val="Header"/>
    <w:uiPriority w:val="99"/>
    <w:rsid w:val="00B358E3"/>
    <w:rPr>
      <w:lang w:val="en-GB"/>
    </w:rPr>
  </w:style>
  <w:style w:type="paragraph" w:styleId="Footer">
    <w:name w:val="footer"/>
    <w:basedOn w:val="Normal"/>
    <w:link w:val="FooterChar"/>
    <w:uiPriority w:val="99"/>
    <w:unhideWhenUsed/>
    <w:rsid w:val="00B358E3"/>
    <w:pPr>
      <w:tabs>
        <w:tab w:val="center" w:pos="4513"/>
        <w:tab w:val="right" w:pos="9026"/>
      </w:tabs>
      <w:spacing w:line="240" w:lineRule="auto"/>
    </w:pPr>
  </w:style>
  <w:style w:type="character" w:customStyle="1" w:styleId="FooterChar">
    <w:name w:val="Footer Char"/>
    <w:basedOn w:val="DefaultParagraphFont"/>
    <w:link w:val="Footer"/>
    <w:uiPriority w:val="99"/>
    <w:rsid w:val="00B358E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9DDD59-2CFF-4789-A4C7-4D856A02F1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30</Pages>
  <Words>8513</Words>
  <Characters>48526</Characters>
  <Application>Microsoft Office Word</Application>
  <DocSecurity>0</DocSecurity>
  <Lines>404</Lines>
  <Paragraphs>113</Paragraphs>
  <ScaleCrop>false</ScaleCrop>
  <Company/>
  <LinksUpToDate>false</LinksUpToDate>
  <CharactersWithSpaces>56926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Nicolae Nica (2122931)</cp:lastModifiedBy>
  <cp:revision>6</cp:revision>
  <dcterms:created xsi:type="dcterms:W3CDTF">2024-01-27T18:47:00Z</dcterms:created>
  <dcterms:modified xsi:type="dcterms:W3CDTF">2024-02-22T13:07:00Z</dcterms:modified>
</cp:coreProperties>
</file>