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944E1" w14:textId="77777777" w:rsidR="00831184" w:rsidRPr="007D5DE3" w:rsidRDefault="00831184" w:rsidP="007D5DE3">
      <w:pPr>
        <w:spacing w:line="480" w:lineRule="auto"/>
        <w:ind w:left="567"/>
        <w:jc w:val="center"/>
        <w:rPr>
          <w:rFonts w:ascii="Arial" w:eastAsia="Calibri" w:hAnsi="Arial" w:cs="Arial"/>
          <w:b/>
          <w:bCs/>
          <w:sz w:val="28"/>
          <w:szCs w:val="28"/>
        </w:rPr>
      </w:pPr>
      <w:r w:rsidRPr="007D5DE3">
        <w:rPr>
          <w:rFonts w:ascii="Arial" w:eastAsia="Calibri" w:hAnsi="Arial" w:cs="Arial"/>
          <w:b/>
          <w:bCs/>
          <w:sz w:val="28"/>
          <w:szCs w:val="28"/>
        </w:rPr>
        <w:t>Essay one:</w:t>
      </w:r>
    </w:p>
    <w:p w14:paraId="54E45649" w14:textId="77777777" w:rsidR="00831184" w:rsidRPr="007D5DE3" w:rsidRDefault="00831184" w:rsidP="007D5DE3">
      <w:pPr>
        <w:spacing w:line="480" w:lineRule="auto"/>
        <w:ind w:left="567"/>
        <w:jc w:val="both"/>
        <w:rPr>
          <w:rFonts w:ascii="Arial" w:eastAsia="Calibri" w:hAnsi="Arial" w:cs="Arial"/>
          <w:b/>
          <w:bCs/>
          <w:sz w:val="22"/>
          <w:szCs w:val="22"/>
        </w:rPr>
      </w:pPr>
    </w:p>
    <w:p w14:paraId="3847DE1A" w14:textId="2DC0A263" w:rsidR="00831184" w:rsidRPr="00C746ED" w:rsidRDefault="00831184" w:rsidP="007D5DE3">
      <w:pPr>
        <w:spacing w:line="480" w:lineRule="auto"/>
        <w:jc w:val="both"/>
        <w:rPr>
          <w:rFonts w:ascii="Arial" w:eastAsia="Calibri" w:hAnsi="Arial" w:cs="Arial"/>
          <w:sz w:val="22"/>
          <w:szCs w:val="22"/>
          <w:u w:val="single"/>
        </w:rPr>
      </w:pPr>
      <w:r w:rsidRPr="007D5DE3">
        <w:rPr>
          <w:rFonts w:ascii="Arial" w:eastAsia="Calibri" w:hAnsi="Arial" w:cs="Arial"/>
          <w:sz w:val="22"/>
          <w:szCs w:val="22"/>
          <w:u w:val="single"/>
        </w:rPr>
        <w:t>How effectively has the police service adapted to accommodate diversity within the UK? Consider the police force itself and/or the way police engage with diverse communities.</w:t>
      </w:r>
    </w:p>
    <w:p w14:paraId="4DFFBBF0" w14:textId="77777777" w:rsidR="00F76A9E" w:rsidRPr="007D5DE3" w:rsidRDefault="00F76A9E" w:rsidP="007D5DE3">
      <w:pPr>
        <w:spacing w:line="480" w:lineRule="auto"/>
        <w:jc w:val="both"/>
        <w:rPr>
          <w:rFonts w:ascii="Arial" w:eastAsia="Calibri" w:hAnsi="Arial" w:cs="Arial"/>
          <w:b/>
          <w:bCs/>
          <w:sz w:val="22"/>
          <w:szCs w:val="22"/>
        </w:rPr>
      </w:pPr>
    </w:p>
    <w:p w14:paraId="55BCC0A3" w14:textId="453712E4" w:rsidR="00E33A40" w:rsidRPr="007D5DE3" w:rsidRDefault="00B93AC8" w:rsidP="007D5DE3">
      <w:pPr>
        <w:spacing w:line="480" w:lineRule="auto"/>
        <w:jc w:val="both"/>
        <w:rPr>
          <w:rFonts w:ascii="Arial" w:eastAsia="Calibri" w:hAnsi="Arial" w:cs="Arial"/>
          <w:sz w:val="22"/>
          <w:szCs w:val="22"/>
        </w:rPr>
      </w:pPr>
      <w:r w:rsidRPr="007D5DE3">
        <w:rPr>
          <w:rFonts w:ascii="Arial" w:eastAsia="Calibri" w:hAnsi="Arial" w:cs="Arial"/>
          <w:sz w:val="22"/>
          <w:szCs w:val="22"/>
        </w:rPr>
        <w:tab/>
      </w:r>
      <w:r w:rsidR="006568C1" w:rsidRPr="007D5DE3">
        <w:rPr>
          <w:rFonts w:ascii="Arial" w:eastAsia="Calibri" w:hAnsi="Arial" w:cs="Arial"/>
          <w:sz w:val="22"/>
          <w:szCs w:val="22"/>
        </w:rPr>
        <w:t xml:space="preserve">As indicated </w:t>
      </w:r>
      <w:proofErr w:type="gramStart"/>
      <w:r w:rsidR="006568C1" w:rsidRPr="007D5DE3">
        <w:rPr>
          <w:rFonts w:ascii="Arial" w:eastAsia="Calibri" w:hAnsi="Arial" w:cs="Arial"/>
          <w:sz w:val="22"/>
          <w:szCs w:val="22"/>
        </w:rPr>
        <w:t>by Pass</w:t>
      </w:r>
      <w:proofErr w:type="gramEnd"/>
      <w:r w:rsidR="006568C1" w:rsidRPr="007D5DE3">
        <w:rPr>
          <w:rFonts w:ascii="Arial" w:eastAsia="Calibri" w:hAnsi="Arial" w:cs="Arial"/>
          <w:sz w:val="22"/>
          <w:szCs w:val="22"/>
        </w:rPr>
        <w:t xml:space="preserve"> et al. (2020) a</w:t>
      </w:r>
      <w:r w:rsidR="00F76A9E" w:rsidRPr="007D5DE3">
        <w:rPr>
          <w:rFonts w:ascii="Arial" w:eastAsia="Calibri" w:hAnsi="Arial" w:cs="Arial"/>
          <w:sz w:val="22"/>
          <w:szCs w:val="22"/>
        </w:rPr>
        <w:t xml:space="preserve"> complex combination of general mistrust, structural underrepresentation and systematic bias between the UK’s police service and minority groups</w:t>
      </w:r>
      <w:r w:rsidR="00752F0C" w:rsidRPr="007D5DE3">
        <w:rPr>
          <w:rFonts w:ascii="Arial" w:eastAsia="Calibri" w:hAnsi="Arial" w:cs="Arial"/>
          <w:sz w:val="22"/>
          <w:szCs w:val="22"/>
        </w:rPr>
        <w:t xml:space="preserve"> undermined the relationship and cooperation between the two sides</w:t>
      </w:r>
      <w:r w:rsidR="006568C1" w:rsidRPr="007D5DE3">
        <w:rPr>
          <w:rFonts w:ascii="Arial" w:eastAsia="Calibri" w:hAnsi="Arial" w:cs="Arial"/>
          <w:sz w:val="22"/>
          <w:szCs w:val="22"/>
        </w:rPr>
        <w:t xml:space="preserve">. </w:t>
      </w:r>
      <w:r w:rsidR="00FF3D5D" w:rsidRPr="007D5DE3">
        <w:rPr>
          <w:rFonts w:ascii="Arial" w:eastAsia="Calibri" w:hAnsi="Arial" w:cs="Arial"/>
          <w:sz w:val="22"/>
          <w:szCs w:val="22"/>
        </w:rPr>
        <w:t>Recently, awareness of social inequalities has become more pronounced, prompting the public to demand long-awaited reforms. This essay will explore how effectively has the police service adapted to meet the needs of diversity within the UK with the consideration of the police force itself and the ways that the police engage with diverse communities.</w:t>
      </w:r>
    </w:p>
    <w:p w14:paraId="6725C797" w14:textId="57111E61" w:rsidR="00E33A40" w:rsidRPr="007D5DE3" w:rsidRDefault="00BB68C2" w:rsidP="007D5DE3">
      <w:pPr>
        <w:spacing w:line="480" w:lineRule="auto"/>
        <w:jc w:val="both"/>
        <w:rPr>
          <w:rFonts w:ascii="Arial" w:eastAsia="Calibri" w:hAnsi="Arial" w:cs="Arial"/>
          <w:sz w:val="22"/>
          <w:szCs w:val="22"/>
        </w:rPr>
      </w:pPr>
      <w:r w:rsidRPr="007D5DE3">
        <w:rPr>
          <w:rFonts w:ascii="Arial" w:eastAsia="Calibri" w:hAnsi="Arial" w:cs="Arial"/>
          <w:sz w:val="22"/>
          <w:szCs w:val="22"/>
        </w:rPr>
        <w:t>Police services within the UK began to implement a substantiative change following the acknowledgement that inclusive representation was crucial to serving diversified communities.</w:t>
      </w:r>
      <w:r w:rsidR="009A386B" w:rsidRPr="007D5DE3">
        <w:rPr>
          <w:rFonts w:ascii="Arial" w:eastAsia="Calibri" w:hAnsi="Arial" w:cs="Arial"/>
          <w:sz w:val="22"/>
          <w:szCs w:val="22"/>
        </w:rPr>
        <w:t xml:space="preserve"> Diversity consists of recognition of members from varied backgrounds and with different protected characteristics defined by The Equality Act (2010). Inclusion involves creating environments where those members </w:t>
      </w:r>
      <w:r w:rsidR="00581EEC" w:rsidRPr="007D5DE3">
        <w:rPr>
          <w:rFonts w:ascii="Arial" w:eastAsia="Calibri" w:hAnsi="Arial" w:cs="Arial"/>
          <w:sz w:val="22"/>
          <w:szCs w:val="22"/>
        </w:rPr>
        <w:t>are treated with equal respect, value and where they can contribute with no restrictions (</w:t>
      </w:r>
      <w:proofErr w:type="spellStart"/>
      <w:r w:rsidR="00581EEC" w:rsidRPr="007D5DE3">
        <w:rPr>
          <w:rFonts w:ascii="Arial" w:eastAsia="Calibri" w:hAnsi="Arial" w:cs="Arial"/>
          <w:sz w:val="22"/>
          <w:szCs w:val="22"/>
        </w:rPr>
        <w:t>Acas</w:t>
      </w:r>
      <w:proofErr w:type="spellEnd"/>
      <w:r w:rsidR="00581EEC" w:rsidRPr="007D5DE3">
        <w:rPr>
          <w:rFonts w:ascii="Arial" w:eastAsia="Calibri" w:hAnsi="Arial" w:cs="Arial"/>
          <w:sz w:val="22"/>
          <w:szCs w:val="22"/>
        </w:rPr>
        <w:t>, 2024).</w:t>
      </w:r>
    </w:p>
    <w:p w14:paraId="301622CD" w14:textId="30B16CED" w:rsidR="00BB68C2" w:rsidRPr="007D5DE3" w:rsidRDefault="00DB06F5" w:rsidP="007D5DE3">
      <w:pPr>
        <w:spacing w:line="480" w:lineRule="auto"/>
        <w:ind w:firstLine="720"/>
        <w:jc w:val="both"/>
        <w:rPr>
          <w:rFonts w:ascii="Arial" w:eastAsia="Calibri" w:hAnsi="Arial" w:cs="Arial"/>
          <w:sz w:val="22"/>
          <w:szCs w:val="22"/>
        </w:rPr>
      </w:pPr>
      <w:r w:rsidRPr="007D5DE3">
        <w:rPr>
          <w:rFonts w:ascii="Arial" w:eastAsia="Calibri" w:hAnsi="Arial" w:cs="Arial"/>
          <w:sz w:val="22"/>
          <w:szCs w:val="22"/>
        </w:rPr>
        <w:t>Historically, individuals from diverse communities faced significant obstacles to even joining the police. However, in the last decades, the prioritisation of diversity and inclusion within law enforcement facilitated access to these roles.</w:t>
      </w:r>
    </w:p>
    <w:p w14:paraId="14F1155B" w14:textId="0B92193E" w:rsidR="00F560A6" w:rsidRPr="007D5DE3" w:rsidRDefault="00B31839" w:rsidP="007D5DE3">
      <w:pPr>
        <w:spacing w:line="480" w:lineRule="auto"/>
        <w:jc w:val="both"/>
        <w:rPr>
          <w:rFonts w:ascii="Arial" w:eastAsia="Calibri" w:hAnsi="Arial" w:cs="Arial"/>
          <w:sz w:val="22"/>
          <w:szCs w:val="22"/>
        </w:rPr>
      </w:pPr>
      <w:r w:rsidRPr="007D5DE3">
        <w:rPr>
          <w:rFonts w:ascii="Arial" w:eastAsia="Calibri" w:hAnsi="Arial" w:cs="Arial"/>
          <w:sz w:val="22"/>
          <w:szCs w:val="22"/>
        </w:rPr>
        <w:t>The successful campaign for more inclusive recruitment proved effective, with officers from Black, Asian and Minority Ethnic (BAME) communities making up 8.4% of all officers in England and Wales</w:t>
      </w:r>
      <w:r w:rsidR="00F560A6" w:rsidRPr="007D5DE3">
        <w:rPr>
          <w:rFonts w:ascii="Arial" w:eastAsia="Calibri" w:hAnsi="Arial" w:cs="Arial"/>
          <w:sz w:val="22"/>
          <w:szCs w:val="22"/>
        </w:rPr>
        <w:t xml:space="preserve"> in 2024. </w:t>
      </w:r>
      <w:r w:rsidRPr="007D5DE3">
        <w:rPr>
          <w:rFonts w:ascii="Arial" w:eastAsia="Calibri" w:hAnsi="Arial" w:cs="Arial"/>
          <w:sz w:val="22"/>
          <w:szCs w:val="22"/>
        </w:rPr>
        <w:t>In comparison to 2007, the percentage of BAME representation was only 4.7%.</w:t>
      </w:r>
      <w:r w:rsidR="00B27494" w:rsidRPr="007D5DE3">
        <w:rPr>
          <w:rFonts w:ascii="Arial" w:eastAsia="Calibri" w:hAnsi="Arial" w:cs="Arial"/>
          <w:sz w:val="22"/>
          <w:szCs w:val="22"/>
        </w:rPr>
        <w:t xml:space="preserve"> According to</w:t>
      </w:r>
      <w:r w:rsidR="00891CB1" w:rsidRPr="007D5DE3">
        <w:rPr>
          <w:rFonts w:ascii="Arial" w:eastAsia="Calibri" w:hAnsi="Arial" w:cs="Arial"/>
          <w:sz w:val="22"/>
          <w:szCs w:val="22"/>
        </w:rPr>
        <w:t xml:space="preserve"> Police workforce 2024 report,</w:t>
      </w:r>
      <w:r w:rsidR="00B27494" w:rsidRPr="007D5DE3">
        <w:rPr>
          <w:rFonts w:ascii="Arial" w:eastAsia="Calibri" w:hAnsi="Arial" w:cs="Arial"/>
          <w:sz w:val="22"/>
          <w:szCs w:val="22"/>
        </w:rPr>
        <w:t xml:space="preserve"> t</w:t>
      </w:r>
      <w:r w:rsidR="00804492" w:rsidRPr="007D5DE3">
        <w:rPr>
          <w:rFonts w:ascii="Arial" w:eastAsia="Calibri" w:hAnsi="Arial" w:cs="Arial"/>
          <w:sz w:val="22"/>
          <w:szCs w:val="22"/>
        </w:rPr>
        <w:t>he representation of women within the police force also increased</w:t>
      </w:r>
      <w:r w:rsidR="00B27494" w:rsidRPr="007D5DE3">
        <w:rPr>
          <w:rFonts w:ascii="Arial" w:eastAsia="Calibri" w:hAnsi="Arial" w:cs="Arial"/>
          <w:sz w:val="22"/>
          <w:szCs w:val="22"/>
        </w:rPr>
        <w:t>, as of March 2024</w:t>
      </w:r>
      <w:r w:rsidR="00891CB1" w:rsidRPr="007D5DE3">
        <w:rPr>
          <w:rFonts w:ascii="Arial" w:eastAsia="Calibri" w:hAnsi="Arial" w:cs="Arial"/>
          <w:sz w:val="22"/>
          <w:szCs w:val="22"/>
        </w:rPr>
        <w:t>,</w:t>
      </w:r>
      <w:r w:rsidR="00804492" w:rsidRPr="007D5DE3">
        <w:rPr>
          <w:rFonts w:ascii="Arial" w:eastAsia="Calibri" w:hAnsi="Arial" w:cs="Arial"/>
          <w:sz w:val="22"/>
          <w:szCs w:val="22"/>
        </w:rPr>
        <w:t xml:space="preserve"> 35.4% </w:t>
      </w:r>
      <w:r w:rsidR="00B27494" w:rsidRPr="007D5DE3">
        <w:rPr>
          <w:rFonts w:ascii="Arial" w:eastAsia="Calibri" w:hAnsi="Arial" w:cs="Arial"/>
          <w:sz w:val="22"/>
          <w:szCs w:val="22"/>
        </w:rPr>
        <w:t xml:space="preserve">of </w:t>
      </w:r>
      <w:r w:rsidR="00891CB1" w:rsidRPr="007D5DE3">
        <w:rPr>
          <w:rFonts w:ascii="Arial" w:eastAsia="Calibri" w:hAnsi="Arial" w:cs="Arial"/>
          <w:sz w:val="22"/>
          <w:szCs w:val="22"/>
        </w:rPr>
        <w:t>active police officers</w:t>
      </w:r>
      <w:r w:rsidR="00B27494" w:rsidRPr="007D5DE3">
        <w:rPr>
          <w:rFonts w:ascii="Arial" w:eastAsia="Calibri" w:hAnsi="Arial" w:cs="Arial"/>
          <w:sz w:val="22"/>
          <w:szCs w:val="22"/>
        </w:rPr>
        <w:t xml:space="preserve"> are </w:t>
      </w:r>
      <w:r w:rsidR="00804492" w:rsidRPr="007D5DE3">
        <w:rPr>
          <w:rFonts w:ascii="Arial" w:eastAsia="Calibri" w:hAnsi="Arial" w:cs="Arial"/>
          <w:sz w:val="22"/>
          <w:szCs w:val="22"/>
        </w:rPr>
        <w:t>women.</w:t>
      </w:r>
    </w:p>
    <w:p w14:paraId="448C052E" w14:textId="63681678" w:rsidR="00804492" w:rsidRPr="007D5DE3" w:rsidRDefault="00804492" w:rsidP="007D5DE3">
      <w:pPr>
        <w:spacing w:line="480" w:lineRule="auto"/>
        <w:jc w:val="both"/>
        <w:rPr>
          <w:rFonts w:ascii="Arial" w:eastAsia="Calibri" w:hAnsi="Arial" w:cs="Arial"/>
          <w:sz w:val="22"/>
          <w:szCs w:val="22"/>
        </w:rPr>
      </w:pPr>
      <w:r w:rsidRPr="007D5DE3">
        <w:rPr>
          <w:rFonts w:ascii="Arial" w:eastAsia="Calibri" w:hAnsi="Arial" w:cs="Arial"/>
          <w:sz w:val="22"/>
          <w:szCs w:val="22"/>
        </w:rPr>
        <w:lastRenderedPageBreak/>
        <w:t>In addition to gender and ethnic representation, the percentage of the police officers identifying as non-heterosexual also improved, showing approximately 8.3% police officers declaring different sexual orientation</w:t>
      </w:r>
      <w:r w:rsidR="009D30A2" w:rsidRPr="007D5DE3">
        <w:rPr>
          <w:rFonts w:ascii="Arial" w:eastAsia="Calibri" w:hAnsi="Arial" w:cs="Arial"/>
          <w:sz w:val="22"/>
          <w:szCs w:val="22"/>
        </w:rPr>
        <w:t xml:space="preserve"> (GOV, 2025).</w:t>
      </w:r>
    </w:p>
    <w:p w14:paraId="4997F1C0" w14:textId="21AC803D" w:rsidR="001971CE" w:rsidRPr="007D5DE3" w:rsidRDefault="001971CE" w:rsidP="007D5DE3">
      <w:pPr>
        <w:spacing w:line="480" w:lineRule="auto"/>
        <w:jc w:val="both"/>
        <w:rPr>
          <w:rFonts w:ascii="Arial" w:eastAsia="Calibri" w:hAnsi="Arial" w:cs="Arial"/>
          <w:sz w:val="22"/>
          <w:szCs w:val="22"/>
        </w:rPr>
      </w:pPr>
      <w:r w:rsidRPr="007D5DE3">
        <w:rPr>
          <w:rFonts w:ascii="Arial" w:eastAsia="Calibri" w:hAnsi="Arial" w:cs="Arial"/>
          <w:sz w:val="22"/>
          <w:szCs w:val="22"/>
        </w:rPr>
        <w:t>From an ethical standpoint, recruitment of members from different communities gives them an equal and fair chance for public service while also providing a better understanding of multicultural issues and expectations from the inside.</w:t>
      </w:r>
    </w:p>
    <w:p w14:paraId="07455D97" w14:textId="081874B2" w:rsidR="00B27494" w:rsidRPr="007D5DE3" w:rsidRDefault="001971CE" w:rsidP="007D5DE3">
      <w:pPr>
        <w:spacing w:line="480" w:lineRule="auto"/>
        <w:jc w:val="both"/>
        <w:rPr>
          <w:rFonts w:ascii="Arial" w:eastAsia="Calibri" w:hAnsi="Arial" w:cs="Arial"/>
          <w:sz w:val="22"/>
          <w:szCs w:val="22"/>
        </w:rPr>
      </w:pPr>
      <w:r w:rsidRPr="007D5DE3">
        <w:rPr>
          <w:rFonts w:ascii="Arial" w:eastAsia="Calibri" w:hAnsi="Arial" w:cs="Arial"/>
          <w:sz w:val="22"/>
          <w:szCs w:val="22"/>
        </w:rPr>
        <w:t>From a practical perspective, the increased number of diverse officers brings the police force different skills, such as fluency in various languages, varied cultures and habits. Understanding those differences allows the police force itself to unite those underrepresented communities back and gain their trust in policing.</w:t>
      </w:r>
    </w:p>
    <w:p w14:paraId="161F7F4D" w14:textId="46C74C60" w:rsidR="00E33A40" w:rsidRPr="007D5DE3" w:rsidRDefault="00A81274" w:rsidP="007D5DE3">
      <w:pPr>
        <w:spacing w:line="480" w:lineRule="auto"/>
        <w:jc w:val="both"/>
        <w:rPr>
          <w:rFonts w:ascii="Arial" w:eastAsia="Calibri" w:hAnsi="Arial" w:cs="Arial"/>
          <w:sz w:val="22"/>
          <w:szCs w:val="22"/>
        </w:rPr>
      </w:pPr>
      <w:r w:rsidRPr="007D5DE3">
        <w:rPr>
          <w:rFonts w:ascii="Arial" w:eastAsia="Calibri" w:hAnsi="Arial" w:cs="Arial"/>
          <w:sz w:val="22"/>
          <w:szCs w:val="22"/>
        </w:rPr>
        <w:t xml:space="preserve">Efforts to promote diversity within the police forces have resulted in increased numbers of officers from underrepresented groups on senior positions. As per previous report, numbers shows that 6.5% of senior officers identified as ethnic minorities. Despite limited numbers within the senior leadership positions, the representation of minorities in senior roles contribute to inclusive workspace and a message of equality to those who are underrepresented but are looking for promotion. </w:t>
      </w:r>
      <w:r w:rsidR="003C1AC3" w:rsidRPr="007D5DE3">
        <w:rPr>
          <w:rFonts w:ascii="Arial" w:eastAsia="Calibri" w:hAnsi="Arial" w:cs="Arial"/>
          <w:sz w:val="22"/>
          <w:szCs w:val="22"/>
        </w:rPr>
        <w:t>This rapid change in organisational culture clearly affirms an effort and commitment to equality and inclusivity (GOV, 2025).</w:t>
      </w:r>
    </w:p>
    <w:p w14:paraId="4940AB21" w14:textId="2FD3A444" w:rsidR="00E91791" w:rsidRPr="007D5DE3" w:rsidRDefault="00B93AC8" w:rsidP="007D5DE3">
      <w:pPr>
        <w:spacing w:line="480" w:lineRule="auto"/>
        <w:jc w:val="both"/>
        <w:rPr>
          <w:rFonts w:ascii="Arial" w:eastAsia="Calibri" w:hAnsi="Arial" w:cs="Arial"/>
          <w:sz w:val="22"/>
          <w:szCs w:val="22"/>
        </w:rPr>
      </w:pPr>
      <w:r w:rsidRPr="007D5DE3">
        <w:rPr>
          <w:rFonts w:ascii="Arial" w:eastAsia="Calibri" w:hAnsi="Arial" w:cs="Arial"/>
          <w:sz w:val="22"/>
          <w:szCs w:val="22"/>
        </w:rPr>
        <w:tab/>
      </w:r>
      <w:r w:rsidR="00E91791" w:rsidRPr="007D5DE3">
        <w:rPr>
          <w:rFonts w:ascii="Arial" w:eastAsia="Calibri" w:hAnsi="Arial" w:cs="Arial"/>
          <w:sz w:val="22"/>
          <w:szCs w:val="22"/>
        </w:rPr>
        <w:t>Multiple police forces across the UK, have tackled the diversity with specially established Positive Action Teams. Their main aim is to support applicants through the process of applying but also to gain an understanding of the challenges they may need to overcome to become successful police officers (South Wales Police, 2025).</w:t>
      </w:r>
      <w:r w:rsidR="008B04A0" w:rsidRPr="007D5DE3">
        <w:rPr>
          <w:rFonts w:ascii="Arial" w:eastAsia="Calibri" w:hAnsi="Arial" w:cs="Arial"/>
          <w:sz w:val="22"/>
          <w:szCs w:val="22"/>
        </w:rPr>
        <w:t xml:space="preserve"> </w:t>
      </w:r>
      <w:r w:rsidR="006000A5" w:rsidRPr="007D5DE3">
        <w:rPr>
          <w:rFonts w:ascii="Arial" w:eastAsia="Calibri" w:hAnsi="Arial" w:cs="Arial"/>
          <w:sz w:val="22"/>
          <w:szCs w:val="22"/>
        </w:rPr>
        <w:t>While the measurable outcomes of effectiveness of Positive Teams remain unknown, the study conducted by Nowacki et al. (2020) argues that the organisations with targeted outreach teams are more successful at diverse hiring.</w:t>
      </w:r>
    </w:p>
    <w:p w14:paraId="333FA84D" w14:textId="37DEC6F0" w:rsidR="001352D7" w:rsidRPr="007D5DE3" w:rsidRDefault="001352D7" w:rsidP="007D5DE3">
      <w:pPr>
        <w:spacing w:line="480" w:lineRule="auto"/>
        <w:jc w:val="both"/>
        <w:rPr>
          <w:rFonts w:ascii="Arial" w:eastAsia="Calibri" w:hAnsi="Arial" w:cs="Arial"/>
          <w:sz w:val="22"/>
          <w:szCs w:val="22"/>
        </w:rPr>
      </w:pPr>
      <w:r w:rsidRPr="007D5DE3">
        <w:rPr>
          <w:rFonts w:ascii="Arial" w:eastAsia="Calibri" w:hAnsi="Arial" w:cs="Arial"/>
          <w:sz w:val="22"/>
          <w:szCs w:val="22"/>
        </w:rPr>
        <w:t xml:space="preserve">Although recruitment programs aim to increase the number of officers from underrepresented communities, the structural inequalities within the police forces undermine those efforts. </w:t>
      </w:r>
      <w:r w:rsidR="002C45B5" w:rsidRPr="007D5DE3">
        <w:rPr>
          <w:rFonts w:ascii="Arial" w:hAnsi="Arial" w:cs="Arial"/>
          <w:color w:val="000000"/>
          <w:sz w:val="22"/>
          <w:szCs w:val="22"/>
        </w:rPr>
        <w:t>Commission on Race and Ethnic Disparities report (</w:t>
      </w:r>
      <w:r w:rsidRPr="007D5DE3">
        <w:rPr>
          <w:rFonts w:ascii="Arial" w:eastAsia="Calibri" w:hAnsi="Arial" w:cs="Arial"/>
          <w:sz w:val="22"/>
          <w:szCs w:val="22"/>
        </w:rPr>
        <w:t xml:space="preserve">2021) highlighted ongoing disparities within BAME officers, showing that the rates of disciplinary actions against them are higher, </w:t>
      </w:r>
      <w:r w:rsidRPr="007D5DE3">
        <w:rPr>
          <w:rFonts w:ascii="Arial" w:eastAsia="Calibri" w:hAnsi="Arial" w:cs="Arial"/>
          <w:sz w:val="22"/>
          <w:szCs w:val="22"/>
        </w:rPr>
        <w:lastRenderedPageBreak/>
        <w:t>with outcomes more severe. However, it also noted that small mistakes are frequently escalated to formal disciplinary proceedings.</w:t>
      </w:r>
    </w:p>
    <w:p w14:paraId="704F0138" w14:textId="66C9D03F" w:rsidR="00E33A40" w:rsidRPr="007D5DE3" w:rsidRDefault="00E72E88" w:rsidP="007D5DE3">
      <w:pPr>
        <w:spacing w:line="480" w:lineRule="auto"/>
        <w:jc w:val="both"/>
        <w:rPr>
          <w:rFonts w:ascii="Arial" w:eastAsia="Calibri" w:hAnsi="Arial" w:cs="Arial"/>
          <w:sz w:val="22"/>
          <w:szCs w:val="22"/>
        </w:rPr>
      </w:pPr>
      <w:r w:rsidRPr="007D5DE3">
        <w:rPr>
          <w:rFonts w:ascii="Arial" w:eastAsia="Calibri" w:hAnsi="Arial" w:cs="Arial"/>
          <w:sz w:val="22"/>
          <w:szCs w:val="22"/>
        </w:rPr>
        <w:t>The failure to address the highlighted disparities and institutional bias will undermine the efforts made by Positive Teams on a long-term basis, as the perception of unequal treatment will jeopardize potential applicants' and the communit</w:t>
      </w:r>
      <w:r w:rsidR="00A5615F" w:rsidRPr="007D5DE3">
        <w:rPr>
          <w:rFonts w:ascii="Arial" w:eastAsia="Calibri" w:hAnsi="Arial" w:cs="Arial"/>
          <w:sz w:val="22"/>
          <w:szCs w:val="22"/>
        </w:rPr>
        <w:t>y’s</w:t>
      </w:r>
      <w:r w:rsidRPr="007D5DE3">
        <w:rPr>
          <w:rFonts w:ascii="Arial" w:eastAsia="Calibri" w:hAnsi="Arial" w:cs="Arial"/>
          <w:sz w:val="22"/>
          <w:szCs w:val="22"/>
        </w:rPr>
        <w:t xml:space="preserve"> trust.</w:t>
      </w:r>
    </w:p>
    <w:p w14:paraId="66E6F9EA" w14:textId="5572C550" w:rsidR="00E85F21" w:rsidRPr="007D5DE3" w:rsidRDefault="00B93AC8" w:rsidP="007D5DE3">
      <w:pPr>
        <w:spacing w:line="480" w:lineRule="auto"/>
        <w:jc w:val="both"/>
        <w:rPr>
          <w:rFonts w:ascii="Arial" w:eastAsia="Calibri" w:hAnsi="Arial" w:cs="Arial"/>
          <w:sz w:val="22"/>
          <w:szCs w:val="22"/>
        </w:rPr>
      </w:pPr>
      <w:r w:rsidRPr="007D5DE3">
        <w:rPr>
          <w:rFonts w:ascii="Arial" w:eastAsia="Calibri" w:hAnsi="Arial" w:cs="Arial"/>
          <w:sz w:val="22"/>
          <w:szCs w:val="22"/>
        </w:rPr>
        <w:tab/>
      </w:r>
      <w:r w:rsidR="00E85F21" w:rsidRPr="007D5DE3">
        <w:rPr>
          <w:rFonts w:ascii="Arial" w:eastAsia="Calibri" w:hAnsi="Arial" w:cs="Arial"/>
          <w:sz w:val="22"/>
          <w:szCs w:val="22"/>
        </w:rPr>
        <w:t xml:space="preserve">As a strategic response to the increased diversity within communities, police forces invested in the expansion of the Neighbourhood Policing Teams (NPT). Their main aim is to repair broken trust and actively engage with especially marginalised communities to get to know their distinctive needs, </w:t>
      </w:r>
      <w:r w:rsidR="00F476F8" w:rsidRPr="007D5DE3">
        <w:rPr>
          <w:rFonts w:ascii="Arial" w:eastAsia="Calibri" w:hAnsi="Arial" w:cs="Arial"/>
          <w:sz w:val="22"/>
          <w:szCs w:val="22"/>
        </w:rPr>
        <w:t>expectations,</w:t>
      </w:r>
      <w:r w:rsidR="00E85F21" w:rsidRPr="007D5DE3">
        <w:rPr>
          <w:rFonts w:ascii="Arial" w:eastAsia="Calibri" w:hAnsi="Arial" w:cs="Arial"/>
          <w:sz w:val="22"/>
          <w:szCs w:val="22"/>
        </w:rPr>
        <w:t xml:space="preserve"> and problems.</w:t>
      </w:r>
    </w:p>
    <w:p w14:paraId="460E8011" w14:textId="7401DB39" w:rsidR="00E85F21" w:rsidRPr="007D5DE3" w:rsidRDefault="00E85F21" w:rsidP="007D5DE3">
      <w:pPr>
        <w:spacing w:line="480" w:lineRule="auto"/>
        <w:jc w:val="both"/>
        <w:rPr>
          <w:rFonts w:ascii="Arial" w:eastAsia="Calibri" w:hAnsi="Arial" w:cs="Arial"/>
          <w:sz w:val="22"/>
          <w:szCs w:val="22"/>
        </w:rPr>
      </w:pPr>
      <w:r w:rsidRPr="007D5DE3">
        <w:rPr>
          <w:rFonts w:ascii="Arial" w:eastAsia="Calibri" w:hAnsi="Arial" w:cs="Arial"/>
          <w:sz w:val="22"/>
          <w:szCs w:val="22"/>
        </w:rPr>
        <w:t xml:space="preserve">Many forces implemented community engagement programs such as ‘’Cuppa with a Copper’’ (Police Professional, 2008). This initiative involves the NPT to conduct frequent, non-formal meetings with individuals in which they can raise their worries or concerns, provide independent </w:t>
      </w:r>
      <w:r w:rsidR="00F476F8" w:rsidRPr="007D5DE3">
        <w:rPr>
          <w:rFonts w:ascii="Arial" w:eastAsia="Calibri" w:hAnsi="Arial" w:cs="Arial"/>
          <w:sz w:val="22"/>
          <w:szCs w:val="22"/>
        </w:rPr>
        <w:t>feedback,</w:t>
      </w:r>
      <w:r w:rsidRPr="007D5DE3">
        <w:rPr>
          <w:rFonts w:ascii="Arial" w:eastAsia="Calibri" w:hAnsi="Arial" w:cs="Arial"/>
          <w:sz w:val="22"/>
          <w:szCs w:val="22"/>
        </w:rPr>
        <w:t xml:space="preserve"> or share intelligence and experiences. The informal setting of this initiative reduces barriers between the police and the community, but the effectiveness is </w:t>
      </w:r>
      <w:r w:rsidR="00F476F8" w:rsidRPr="007D5DE3">
        <w:rPr>
          <w:rFonts w:ascii="Arial" w:eastAsia="Calibri" w:hAnsi="Arial" w:cs="Arial"/>
          <w:sz w:val="22"/>
          <w:szCs w:val="22"/>
        </w:rPr>
        <w:t>dependent</w:t>
      </w:r>
      <w:r w:rsidRPr="007D5DE3">
        <w:rPr>
          <w:rFonts w:ascii="Arial" w:eastAsia="Calibri" w:hAnsi="Arial" w:cs="Arial"/>
          <w:sz w:val="22"/>
          <w:szCs w:val="22"/>
        </w:rPr>
        <w:t xml:space="preserve"> on the police involvement and real changes.</w:t>
      </w:r>
    </w:p>
    <w:p w14:paraId="3553E1E5" w14:textId="44DF8CE3" w:rsidR="00E85F21" w:rsidRPr="007D5DE3" w:rsidRDefault="00E85F21" w:rsidP="007D5DE3">
      <w:pPr>
        <w:spacing w:line="480" w:lineRule="auto"/>
        <w:jc w:val="both"/>
        <w:rPr>
          <w:rFonts w:ascii="Arial" w:eastAsia="Calibri" w:hAnsi="Arial" w:cs="Arial"/>
          <w:sz w:val="22"/>
          <w:szCs w:val="22"/>
        </w:rPr>
      </w:pPr>
      <w:r w:rsidRPr="007D5DE3">
        <w:rPr>
          <w:rFonts w:ascii="Arial" w:eastAsia="Calibri" w:hAnsi="Arial" w:cs="Arial"/>
          <w:sz w:val="22"/>
          <w:szCs w:val="22"/>
        </w:rPr>
        <w:t>The support and engagement with diverse communities are not only limited to structured initiatives. It can also be demonstrated by the attendance of the police representatives at many cultural or religious events. By participating in those events, the police show not only commitment to every member of society but also respect for their culture and values and can play an instrumental role in fostering and maintaining good relationships.</w:t>
      </w:r>
    </w:p>
    <w:p w14:paraId="7C6A9EAC" w14:textId="31FF1A22" w:rsidR="00E85F21" w:rsidRPr="007D5DE3" w:rsidRDefault="00B93AC8" w:rsidP="007D5DE3">
      <w:pPr>
        <w:spacing w:line="480" w:lineRule="auto"/>
        <w:jc w:val="both"/>
        <w:rPr>
          <w:rFonts w:ascii="Arial" w:eastAsia="Calibri" w:hAnsi="Arial" w:cs="Arial"/>
          <w:sz w:val="22"/>
          <w:szCs w:val="22"/>
        </w:rPr>
      </w:pPr>
      <w:r w:rsidRPr="007D5DE3">
        <w:rPr>
          <w:rFonts w:ascii="Arial" w:eastAsia="Calibri" w:hAnsi="Arial" w:cs="Arial"/>
          <w:sz w:val="22"/>
          <w:szCs w:val="22"/>
        </w:rPr>
        <w:t>Just like</w:t>
      </w:r>
      <w:r w:rsidR="00E85F21" w:rsidRPr="007D5DE3">
        <w:rPr>
          <w:rFonts w:ascii="Arial" w:eastAsia="Calibri" w:hAnsi="Arial" w:cs="Arial"/>
          <w:sz w:val="22"/>
          <w:szCs w:val="22"/>
        </w:rPr>
        <w:t xml:space="preserve"> any organisation, the police force follows good leadership who actively engages and creates a safe working environment. For example, South Wales Police, by attending a PRIDE parade and openly supporting LGBTQ+ Chief Constable Jeremy Vaughan sent a powerful message to both his employees and communities. Such actions by high-profile officers show real commitment and not only reinforce police values but also improve trust with underrepresented groups (Police.UK 2025).</w:t>
      </w:r>
    </w:p>
    <w:p w14:paraId="4155CD79" w14:textId="6746E4C4" w:rsidR="00683DCE" w:rsidRPr="007D5DE3" w:rsidRDefault="00E85F21" w:rsidP="007D5DE3">
      <w:pPr>
        <w:spacing w:line="480" w:lineRule="auto"/>
        <w:ind w:firstLine="720"/>
        <w:jc w:val="both"/>
        <w:rPr>
          <w:rFonts w:ascii="Arial" w:eastAsia="Calibri" w:hAnsi="Arial" w:cs="Arial"/>
          <w:sz w:val="22"/>
          <w:szCs w:val="22"/>
        </w:rPr>
      </w:pPr>
      <w:r w:rsidRPr="007D5DE3">
        <w:rPr>
          <w:rFonts w:ascii="Arial" w:eastAsia="Calibri" w:hAnsi="Arial" w:cs="Arial"/>
          <w:sz w:val="22"/>
          <w:szCs w:val="22"/>
        </w:rPr>
        <w:t xml:space="preserve">There is visible progress within the police force in adapting to the increased diversity within the UK communities. </w:t>
      </w:r>
      <w:r w:rsidR="00F476F8" w:rsidRPr="007D5DE3">
        <w:rPr>
          <w:rFonts w:ascii="Arial" w:eastAsia="Calibri" w:hAnsi="Arial" w:cs="Arial"/>
          <w:sz w:val="22"/>
          <w:szCs w:val="22"/>
        </w:rPr>
        <w:t>N</w:t>
      </w:r>
      <w:r w:rsidRPr="007D5DE3">
        <w:rPr>
          <w:rFonts w:ascii="Arial" w:eastAsia="Calibri" w:hAnsi="Arial" w:cs="Arial"/>
          <w:sz w:val="22"/>
          <w:szCs w:val="22"/>
        </w:rPr>
        <w:t xml:space="preserve">umerous initiatives – both internal as well as external aim to </w:t>
      </w:r>
      <w:r w:rsidRPr="007D5DE3">
        <w:rPr>
          <w:rFonts w:ascii="Arial" w:eastAsia="Calibri" w:hAnsi="Arial" w:cs="Arial"/>
          <w:sz w:val="22"/>
          <w:szCs w:val="22"/>
        </w:rPr>
        <w:lastRenderedPageBreak/>
        <w:t xml:space="preserve">improve the representation and improve trust and engagement of every member of the public. Nonetheless, institutional challenges persist with </w:t>
      </w:r>
      <w:r w:rsidR="00710570" w:rsidRPr="007D5DE3">
        <w:rPr>
          <w:rFonts w:ascii="Arial" w:eastAsia="Calibri" w:hAnsi="Arial" w:cs="Arial"/>
          <w:sz w:val="22"/>
          <w:szCs w:val="22"/>
        </w:rPr>
        <w:t xml:space="preserve">instances of </w:t>
      </w:r>
      <w:r w:rsidRPr="007D5DE3">
        <w:rPr>
          <w:rFonts w:ascii="Arial" w:eastAsia="Calibri" w:hAnsi="Arial" w:cs="Arial"/>
          <w:sz w:val="22"/>
          <w:szCs w:val="22"/>
        </w:rPr>
        <w:t xml:space="preserve">reported institutional bias and underrepresentation on senior positions. The effectiveness of those efforts is not easily measurable and, in most </w:t>
      </w:r>
      <w:r w:rsidR="00710570" w:rsidRPr="007D5DE3">
        <w:rPr>
          <w:rFonts w:ascii="Arial" w:eastAsia="Calibri" w:hAnsi="Arial" w:cs="Arial"/>
          <w:sz w:val="22"/>
          <w:szCs w:val="22"/>
        </w:rPr>
        <w:t>cases</w:t>
      </w:r>
      <w:r w:rsidRPr="007D5DE3">
        <w:rPr>
          <w:rFonts w:ascii="Arial" w:eastAsia="Calibri" w:hAnsi="Arial" w:cs="Arial"/>
          <w:sz w:val="22"/>
          <w:szCs w:val="22"/>
        </w:rPr>
        <w:t>, depends on the police’s accountability, openness to change, and real-life engagement and feedback from the communities.</w:t>
      </w:r>
      <w:r w:rsidR="00710570" w:rsidRPr="007D5DE3">
        <w:rPr>
          <w:rFonts w:ascii="Arial" w:eastAsia="Calibri" w:hAnsi="Arial" w:cs="Arial"/>
          <w:sz w:val="22"/>
          <w:szCs w:val="22"/>
        </w:rPr>
        <w:t xml:space="preserve"> Albeit the numbers show </w:t>
      </w:r>
      <w:r w:rsidR="00F159AF" w:rsidRPr="007D5DE3">
        <w:rPr>
          <w:rFonts w:ascii="Arial" w:eastAsia="Calibri" w:hAnsi="Arial" w:cs="Arial"/>
          <w:sz w:val="22"/>
          <w:szCs w:val="22"/>
        </w:rPr>
        <w:t xml:space="preserve">gradual progression toward a </w:t>
      </w:r>
      <w:r w:rsidR="00710570" w:rsidRPr="007D5DE3">
        <w:rPr>
          <w:rFonts w:ascii="Arial" w:eastAsia="Calibri" w:hAnsi="Arial" w:cs="Arial"/>
          <w:sz w:val="22"/>
          <w:szCs w:val="22"/>
        </w:rPr>
        <w:t xml:space="preserve">positive change, </w:t>
      </w:r>
      <w:r w:rsidR="00F159AF" w:rsidRPr="007D5DE3">
        <w:rPr>
          <w:rFonts w:ascii="Arial" w:eastAsia="Calibri" w:hAnsi="Arial" w:cs="Arial"/>
          <w:sz w:val="22"/>
          <w:szCs w:val="22"/>
        </w:rPr>
        <w:t xml:space="preserve">these </w:t>
      </w:r>
      <w:r w:rsidR="00DE57BF" w:rsidRPr="007D5DE3">
        <w:rPr>
          <w:rFonts w:ascii="Arial" w:eastAsia="Calibri" w:hAnsi="Arial" w:cs="Arial"/>
          <w:sz w:val="22"/>
          <w:szCs w:val="22"/>
        </w:rPr>
        <w:t xml:space="preserve">already implemented </w:t>
      </w:r>
      <w:r w:rsidR="00F159AF" w:rsidRPr="007D5DE3">
        <w:rPr>
          <w:rFonts w:ascii="Arial" w:eastAsia="Calibri" w:hAnsi="Arial" w:cs="Arial"/>
          <w:sz w:val="22"/>
          <w:szCs w:val="22"/>
        </w:rPr>
        <w:t>changes are just small response to bigger structural dysfunction.</w:t>
      </w:r>
    </w:p>
    <w:p w14:paraId="5EC3BEF4" w14:textId="77777777" w:rsidR="00E440D7" w:rsidRPr="007D5DE3" w:rsidRDefault="00E440D7" w:rsidP="007D5DE3">
      <w:pPr>
        <w:spacing w:line="480" w:lineRule="auto"/>
        <w:jc w:val="both"/>
        <w:rPr>
          <w:rFonts w:ascii="Arial" w:eastAsia="Calibri" w:hAnsi="Arial" w:cs="Arial"/>
          <w:sz w:val="22"/>
          <w:szCs w:val="22"/>
        </w:rPr>
      </w:pPr>
    </w:p>
    <w:p w14:paraId="24EE4FC0" w14:textId="47930843" w:rsidR="00F159AF" w:rsidRPr="007D5DE3" w:rsidRDefault="00F159AF" w:rsidP="007D5DE3">
      <w:pPr>
        <w:spacing w:line="480" w:lineRule="auto"/>
        <w:jc w:val="right"/>
        <w:rPr>
          <w:rFonts w:ascii="Arial" w:eastAsia="Calibri" w:hAnsi="Arial" w:cs="Arial"/>
          <w:b/>
          <w:bCs/>
          <w:sz w:val="22"/>
          <w:szCs w:val="22"/>
        </w:rPr>
      </w:pPr>
      <w:r w:rsidRPr="007D5DE3">
        <w:rPr>
          <w:rFonts w:ascii="Arial" w:eastAsia="Calibri" w:hAnsi="Arial" w:cs="Arial"/>
          <w:b/>
          <w:bCs/>
          <w:sz w:val="22"/>
          <w:szCs w:val="22"/>
        </w:rPr>
        <w:t>WORD COUNT: 100</w:t>
      </w:r>
      <w:r w:rsidR="007D5DE3">
        <w:rPr>
          <w:rFonts w:ascii="Arial" w:eastAsia="Calibri" w:hAnsi="Arial" w:cs="Arial"/>
          <w:b/>
          <w:bCs/>
          <w:sz w:val="22"/>
          <w:szCs w:val="22"/>
        </w:rPr>
        <w:t>3</w:t>
      </w:r>
    </w:p>
    <w:p w14:paraId="59AADD09" w14:textId="695DAC57" w:rsidR="009A50E3" w:rsidRPr="007D5DE3" w:rsidRDefault="009A50E3" w:rsidP="007D5DE3">
      <w:pPr>
        <w:spacing w:line="480" w:lineRule="auto"/>
        <w:jc w:val="both"/>
        <w:rPr>
          <w:rFonts w:ascii="Arial" w:eastAsia="Calibri" w:hAnsi="Arial" w:cs="Arial"/>
          <w:sz w:val="22"/>
          <w:szCs w:val="22"/>
        </w:rPr>
      </w:pPr>
    </w:p>
    <w:p w14:paraId="3A6C33A0" w14:textId="77777777" w:rsidR="00811EC5" w:rsidRPr="007D5DE3" w:rsidRDefault="00811EC5" w:rsidP="007D5DE3">
      <w:pPr>
        <w:spacing w:line="480" w:lineRule="auto"/>
        <w:ind w:right="531"/>
        <w:jc w:val="both"/>
        <w:rPr>
          <w:rFonts w:ascii="Arial" w:eastAsia="Calibri" w:hAnsi="Arial" w:cs="Arial"/>
          <w:sz w:val="22"/>
          <w:szCs w:val="22"/>
        </w:rPr>
      </w:pPr>
    </w:p>
    <w:p w14:paraId="4C905E45" w14:textId="77777777" w:rsidR="00470F1E" w:rsidRPr="007D5DE3" w:rsidRDefault="00470F1E" w:rsidP="007D5DE3">
      <w:pPr>
        <w:spacing w:line="480" w:lineRule="auto"/>
        <w:ind w:right="531"/>
        <w:jc w:val="both"/>
        <w:rPr>
          <w:rFonts w:ascii="Arial" w:eastAsia="Calibri" w:hAnsi="Arial" w:cs="Arial"/>
          <w:sz w:val="22"/>
          <w:szCs w:val="22"/>
        </w:rPr>
      </w:pPr>
    </w:p>
    <w:p w14:paraId="3BBA8E94" w14:textId="77777777" w:rsidR="00470F1E" w:rsidRPr="007D5DE3" w:rsidRDefault="00470F1E" w:rsidP="007D5DE3">
      <w:pPr>
        <w:spacing w:line="480" w:lineRule="auto"/>
        <w:ind w:right="531"/>
        <w:jc w:val="both"/>
        <w:rPr>
          <w:rFonts w:ascii="Arial" w:eastAsia="Calibri" w:hAnsi="Arial" w:cs="Arial"/>
          <w:sz w:val="22"/>
          <w:szCs w:val="22"/>
        </w:rPr>
      </w:pPr>
    </w:p>
    <w:p w14:paraId="3A53DFD9" w14:textId="6C96AF81" w:rsidR="003C1AC3" w:rsidRPr="007D5DE3" w:rsidRDefault="009A0D4C" w:rsidP="007D5DE3">
      <w:pPr>
        <w:spacing w:line="480" w:lineRule="auto"/>
        <w:ind w:right="531"/>
        <w:jc w:val="both"/>
        <w:rPr>
          <w:rFonts w:ascii="Arial" w:eastAsia="Calibri" w:hAnsi="Arial" w:cs="Arial"/>
          <w:sz w:val="22"/>
          <w:szCs w:val="22"/>
        </w:rPr>
      </w:pPr>
      <w:r w:rsidRPr="007D5DE3">
        <w:rPr>
          <w:rFonts w:ascii="Arial" w:eastAsia="Calibri" w:hAnsi="Arial" w:cs="Arial"/>
          <w:sz w:val="22"/>
          <w:szCs w:val="22"/>
        </w:rPr>
        <w:tab/>
        <w:t xml:space="preserve"> </w:t>
      </w:r>
    </w:p>
    <w:p w14:paraId="1FC8E88C" w14:textId="77777777" w:rsidR="00B27494" w:rsidRPr="007D5DE3" w:rsidRDefault="00B27494" w:rsidP="007D5DE3">
      <w:pPr>
        <w:spacing w:line="480" w:lineRule="auto"/>
        <w:ind w:right="531"/>
        <w:jc w:val="both"/>
        <w:rPr>
          <w:rFonts w:ascii="Arial" w:eastAsia="Calibri" w:hAnsi="Arial" w:cs="Arial"/>
          <w:sz w:val="22"/>
          <w:szCs w:val="22"/>
        </w:rPr>
      </w:pPr>
    </w:p>
    <w:p w14:paraId="62EF0793" w14:textId="77777777" w:rsidR="004C57E9" w:rsidRPr="007D5DE3" w:rsidRDefault="004C57E9" w:rsidP="007D5DE3">
      <w:pPr>
        <w:spacing w:line="480" w:lineRule="auto"/>
        <w:ind w:right="531"/>
        <w:jc w:val="both"/>
        <w:rPr>
          <w:rFonts w:ascii="Arial" w:eastAsia="Calibri" w:hAnsi="Arial" w:cs="Arial"/>
          <w:sz w:val="22"/>
          <w:szCs w:val="22"/>
        </w:rPr>
      </w:pPr>
    </w:p>
    <w:p w14:paraId="06665103" w14:textId="77777777" w:rsidR="004C57E9" w:rsidRPr="007D5DE3" w:rsidRDefault="004C57E9" w:rsidP="007D5DE3">
      <w:pPr>
        <w:spacing w:line="480" w:lineRule="auto"/>
        <w:ind w:right="531"/>
        <w:jc w:val="both"/>
        <w:rPr>
          <w:rFonts w:ascii="Arial" w:eastAsia="Calibri" w:hAnsi="Arial" w:cs="Arial"/>
          <w:sz w:val="22"/>
          <w:szCs w:val="22"/>
        </w:rPr>
      </w:pPr>
    </w:p>
    <w:p w14:paraId="5B2C597E" w14:textId="77777777" w:rsidR="00B27494" w:rsidRPr="007D5DE3" w:rsidRDefault="00B27494" w:rsidP="007D5DE3">
      <w:pPr>
        <w:spacing w:line="480" w:lineRule="auto"/>
        <w:ind w:right="531"/>
        <w:jc w:val="both"/>
        <w:rPr>
          <w:rFonts w:ascii="Arial" w:eastAsia="Calibri" w:hAnsi="Arial" w:cs="Arial"/>
          <w:sz w:val="22"/>
          <w:szCs w:val="22"/>
        </w:rPr>
      </w:pPr>
    </w:p>
    <w:p w14:paraId="43E8B784" w14:textId="77777777" w:rsidR="00DE57BF" w:rsidRPr="007D5DE3" w:rsidRDefault="00DE57BF" w:rsidP="007D5DE3">
      <w:pPr>
        <w:pStyle w:val="ListParagraph"/>
        <w:spacing w:line="480" w:lineRule="auto"/>
        <w:ind w:left="1287" w:right="531"/>
        <w:jc w:val="both"/>
        <w:rPr>
          <w:rFonts w:ascii="Arial" w:eastAsia="Calibri" w:hAnsi="Arial" w:cs="Arial"/>
          <w:b/>
          <w:bCs/>
          <w:sz w:val="22"/>
          <w:szCs w:val="22"/>
        </w:rPr>
      </w:pPr>
    </w:p>
    <w:p w14:paraId="589BBD21" w14:textId="77777777" w:rsidR="00533482" w:rsidRPr="007D5DE3" w:rsidRDefault="00533482" w:rsidP="007D5DE3">
      <w:pPr>
        <w:pStyle w:val="ListParagraph"/>
        <w:spacing w:line="480" w:lineRule="auto"/>
        <w:ind w:left="1287" w:right="531"/>
        <w:jc w:val="both"/>
        <w:rPr>
          <w:rFonts w:ascii="Arial" w:eastAsia="Calibri" w:hAnsi="Arial" w:cs="Arial"/>
          <w:b/>
          <w:bCs/>
          <w:sz w:val="22"/>
          <w:szCs w:val="22"/>
        </w:rPr>
      </w:pPr>
    </w:p>
    <w:p w14:paraId="283AD896"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618EF307"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727671AA"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49490E42"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3E206B3F"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49F615AB"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1DA107A4" w14:textId="77777777" w:rsidR="00CD5D2F" w:rsidRPr="007D5DE3" w:rsidRDefault="00CD5D2F" w:rsidP="007D5DE3">
      <w:pPr>
        <w:pStyle w:val="ListParagraph"/>
        <w:spacing w:line="480" w:lineRule="auto"/>
        <w:ind w:left="1287" w:right="531"/>
        <w:jc w:val="both"/>
        <w:rPr>
          <w:rFonts w:ascii="Arial" w:eastAsia="Calibri" w:hAnsi="Arial" w:cs="Arial"/>
          <w:b/>
          <w:bCs/>
          <w:sz w:val="22"/>
          <w:szCs w:val="22"/>
        </w:rPr>
      </w:pPr>
    </w:p>
    <w:p w14:paraId="54C17092" w14:textId="77777777" w:rsidR="00F60FBA" w:rsidRDefault="00F60FBA" w:rsidP="007D5DE3">
      <w:pPr>
        <w:pStyle w:val="ListParagraph"/>
        <w:spacing w:line="480" w:lineRule="auto"/>
        <w:ind w:left="1287" w:right="531"/>
        <w:jc w:val="both"/>
        <w:rPr>
          <w:rFonts w:ascii="Arial" w:eastAsia="Calibri" w:hAnsi="Arial" w:cs="Arial"/>
          <w:b/>
          <w:bCs/>
          <w:sz w:val="22"/>
          <w:szCs w:val="22"/>
        </w:rPr>
      </w:pPr>
    </w:p>
    <w:p w14:paraId="117A72B4" w14:textId="7EBDDC82" w:rsidR="00831184" w:rsidRPr="0089785A" w:rsidRDefault="00831184" w:rsidP="00F60FBA">
      <w:pPr>
        <w:pStyle w:val="ListParagraph"/>
        <w:spacing w:line="480" w:lineRule="auto"/>
        <w:ind w:left="1287" w:right="531"/>
        <w:jc w:val="center"/>
        <w:rPr>
          <w:rFonts w:ascii="Arial" w:eastAsia="Calibri" w:hAnsi="Arial" w:cs="Arial"/>
          <w:b/>
          <w:bCs/>
          <w:sz w:val="28"/>
          <w:szCs w:val="28"/>
        </w:rPr>
      </w:pPr>
      <w:r w:rsidRPr="0089785A">
        <w:rPr>
          <w:rFonts w:ascii="Arial" w:eastAsia="Calibri" w:hAnsi="Arial" w:cs="Arial"/>
          <w:b/>
          <w:bCs/>
          <w:sz w:val="28"/>
          <w:szCs w:val="28"/>
        </w:rPr>
        <w:lastRenderedPageBreak/>
        <w:t>Essay two</w:t>
      </w:r>
    </w:p>
    <w:p w14:paraId="218F1465" w14:textId="77777777" w:rsidR="00831184" w:rsidRPr="007D5DE3" w:rsidRDefault="00831184" w:rsidP="007D5DE3">
      <w:pPr>
        <w:spacing w:line="480" w:lineRule="auto"/>
        <w:ind w:right="531"/>
        <w:jc w:val="both"/>
        <w:rPr>
          <w:rFonts w:ascii="Arial" w:eastAsia="Calibri" w:hAnsi="Arial" w:cs="Arial"/>
          <w:sz w:val="22"/>
          <w:szCs w:val="22"/>
        </w:rPr>
      </w:pPr>
    </w:p>
    <w:p w14:paraId="090E3897" w14:textId="77777777" w:rsidR="00831184" w:rsidRPr="007D5DE3" w:rsidRDefault="00831184" w:rsidP="007D5DE3">
      <w:pPr>
        <w:spacing w:line="480" w:lineRule="auto"/>
        <w:ind w:right="531"/>
        <w:jc w:val="both"/>
        <w:rPr>
          <w:rFonts w:ascii="Arial" w:eastAsia="Calibri" w:hAnsi="Arial" w:cs="Arial"/>
          <w:sz w:val="22"/>
          <w:szCs w:val="22"/>
          <w:u w:val="single"/>
        </w:rPr>
      </w:pPr>
      <w:r w:rsidRPr="007D5DE3">
        <w:rPr>
          <w:rFonts w:ascii="Arial" w:eastAsia="Calibri" w:hAnsi="Arial" w:cs="Arial"/>
          <w:sz w:val="22"/>
          <w:szCs w:val="22"/>
          <w:u w:val="single"/>
        </w:rPr>
        <w:t>Why is it important to manage mental wellbeing in policing?</w:t>
      </w:r>
    </w:p>
    <w:p w14:paraId="019DC0CA" w14:textId="77777777" w:rsidR="00831184" w:rsidRPr="007D5DE3" w:rsidRDefault="00831184" w:rsidP="007D5DE3">
      <w:pPr>
        <w:spacing w:line="480" w:lineRule="auto"/>
        <w:ind w:right="531"/>
        <w:jc w:val="both"/>
        <w:rPr>
          <w:rFonts w:ascii="Arial" w:eastAsia="Calibri" w:hAnsi="Arial" w:cs="Arial"/>
          <w:sz w:val="22"/>
          <w:szCs w:val="22"/>
          <w:u w:val="single"/>
        </w:rPr>
      </w:pPr>
      <w:r w:rsidRPr="007D5DE3">
        <w:rPr>
          <w:rFonts w:ascii="Arial" w:eastAsia="Calibri" w:hAnsi="Arial" w:cs="Arial"/>
          <w:sz w:val="22"/>
          <w:szCs w:val="22"/>
          <w:u w:val="single"/>
        </w:rPr>
        <w:t>What can be the consequences if mental wellbeing is not managed appropriately?</w:t>
      </w:r>
    </w:p>
    <w:p w14:paraId="14F8FAB3" w14:textId="31F0334F" w:rsidR="00831184" w:rsidRPr="007D5DE3" w:rsidRDefault="00831184" w:rsidP="007D5DE3">
      <w:pPr>
        <w:spacing w:line="480" w:lineRule="auto"/>
        <w:ind w:right="531"/>
        <w:jc w:val="both"/>
        <w:rPr>
          <w:rFonts w:ascii="Arial" w:eastAsia="Calibri" w:hAnsi="Arial" w:cs="Arial"/>
          <w:b/>
          <w:bCs/>
          <w:sz w:val="22"/>
          <w:szCs w:val="22"/>
        </w:rPr>
      </w:pPr>
    </w:p>
    <w:p w14:paraId="7E24C03B" w14:textId="7D9B147A" w:rsidR="000A2D09"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 xml:space="preserve">Police is a </w:t>
      </w:r>
      <w:r w:rsidR="00D865A3" w:rsidRPr="007D5DE3">
        <w:rPr>
          <w:rFonts w:ascii="Arial" w:hAnsi="Arial" w:cs="Arial"/>
          <w:sz w:val="22"/>
          <w:szCs w:val="22"/>
        </w:rPr>
        <w:t>high-pressure</w:t>
      </w:r>
      <w:r w:rsidRPr="007D5DE3">
        <w:rPr>
          <w:rFonts w:ascii="Arial" w:hAnsi="Arial" w:cs="Arial"/>
          <w:sz w:val="22"/>
          <w:szCs w:val="22"/>
        </w:rPr>
        <w:t xml:space="preserve"> profession in which officers face long working hours, organisational demands on a regular basis and face traumatic events frequently. As it has been observed in the UK rise in stress related absences and psychological distress. </w:t>
      </w:r>
      <w:r w:rsidRPr="007D5DE3">
        <w:rPr>
          <w:rFonts w:ascii="Arial" w:hAnsi="Arial" w:cs="Arial"/>
          <w:color w:val="000000"/>
          <w:sz w:val="22"/>
          <w:szCs w:val="22"/>
        </w:rPr>
        <w:t>(Phythian et al., 2022)</w:t>
      </w:r>
    </w:p>
    <w:p w14:paraId="1C06807C" w14:textId="09AE4EC7" w:rsidR="000A2D09"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 xml:space="preserve">This essay will explore why is it important to manage wellbeing in policing, as well as what can be the consequences if mental wellbeing is not managed appropriately. Effective management of mental health is crucial for operational efficiency and public safety as well as personal health. As a result of not efficient management public trust falls, and personal issues arise such as impaired judgement, </w:t>
      </w:r>
      <w:r w:rsidR="00D865A3" w:rsidRPr="007D5DE3">
        <w:rPr>
          <w:rFonts w:ascii="Arial" w:hAnsi="Arial" w:cs="Arial"/>
          <w:sz w:val="22"/>
          <w:szCs w:val="22"/>
        </w:rPr>
        <w:t>burnout,</w:t>
      </w:r>
      <w:r w:rsidRPr="007D5DE3">
        <w:rPr>
          <w:rFonts w:ascii="Arial" w:hAnsi="Arial" w:cs="Arial"/>
          <w:sz w:val="22"/>
          <w:szCs w:val="22"/>
        </w:rPr>
        <w:t xml:space="preserve"> and poor work efficiency. </w:t>
      </w:r>
      <w:r w:rsidRPr="007D5DE3">
        <w:rPr>
          <w:rFonts w:ascii="Arial" w:hAnsi="Arial" w:cs="Arial"/>
          <w:color w:val="000000"/>
          <w:sz w:val="22"/>
          <w:szCs w:val="22"/>
        </w:rPr>
        <w:t>(Phythian et al., 2022)</w:t>
      </w:r>
    </w:p>
    <w:p w14:paraId="07C6C7F5" w14:textId="6F218894" w:rsidR="000A2D09"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 xml:space="preserve">A career within the police seems like a dream job, new challenges every day and the continuous aspiration and further satisfaction of serving the public. Whilst most people will deal with traumatic event </w:t>
      </w:r>
      <w:r w:rsidR="00D865A3" w:rsidRPr="007D5DE3">
        <w:rPr>
          <w:rFonts w:ascii="Arial" w:hAnsi="Arial" w:cs="Arial"/>
          <w:sz w:val="22"/>
          <w:szCs w:val="22"/>
        </w:rPr>
        <w:t>a</w:t>
      </w:r>
      <w:r w:rsidRPr="007D5DE3">
        <w:rPr>
          <w:rFonts w:ascii="Arial" w:hAnsi="Arial" w:cs="Arial"/>
          <w:sz w:val="22"/>
          <w:szCs w:val="22"/>
        </w:rPr>
        <w:t xml:space="preserve"> couple of times within their lives, it is estimated that police officers experience traumatic situations approximately 300-400 times within their career (Hampshire Police Federation,2023). </w:t>
      </w:r>
    </w:p>
    <w:p w14:paraId="26F9FF4A" w14:textId="7F10D360" w:rsidR="000A2D09"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In the UK, officers are increasingly experiencing psychological stress. In the last year alone, over 14,000 officers were signed off for depression, stress, PTSD, or anxiety, a number that has more than doubled over the last 10 years. Over 80% of respondents to the Police Federation’s annual poll</w:t>
      </w:r>
      <w:r w:rsidR="00041F43" w:rsidRPr="007D5DE3">
        <w:rPr>
          <w:rFonts w:ascii="Arial" w:hAnsi="Arial" w:cs="Arial"/>
          <w:sz w:val="22"/>
          <w:szCs w:val="22"/>
        </w:rPr>
        <w:t>,</w:t>
      </w:r>
      <w:r w:rsidRPr="007D5DE3">
        <w:rPr>
          <w:rFonts w:ascii="Arial" w:hAnsi="Arial" w:cs="Arial"/>
          <w:sz w:val="22"/>
          <w:szCs w:val="22"/>
        </w:rPr>
        <w:t xml:space="preserve"> report feeling psychologically under pressure, with excessive workload and organizational culture being identified as the main cause </w:t>
      </w:r>
      <w:r w:rsidRPr="007D5DE3">
        <w:rPr>
          <w:rFonts w:ascii="Arial" w:hAnsi="Arial" w:cs="Arial"/>
          <w:color w:val="000000"/>
          <w:sz w:val="22"/>
          <w:szCs w:val="22"/>
        </w:rPr>
        <w:t>(Police Federation, 2024).</w:t>
      </w:r>
      <w:r w:rsidRPr="007D5DE3">
        <w:rPr>
          <w:rFonts w:ascii="Arial" w:hAnsi="Arial" w:cs="Arial"/>
          <w:sz w:val="22"/>
          <w:szCs w:val="22"/>
        </w:rPr>
        <w:t xml:space="preserve"> Trauma effective from crime scenes, suicides and child protection cases exacerbates the emotional strain. According to a University of Cambridge research, around one out of every seven police </w:t>
      </w:r>
      <w:r w:rsidR="00D865A3" w:rsidRPr="007D5DE3">
        <w:rPr>
          <w:rFonts w:ascii="Arial" w:hAnsi="Arial" w:cs="Arial"/>
          <w:sz w:val="22"/>
          <w:szCs w:val="22"/>
        </w:rPr>
        <w:t>offer</w:t>
      </w:r>
      <w:r w:rsidRPr="007D5DE3">
        <w:rPr>
          <w:rFonts w:ascii="Arial" w:hAnsi="Arial" w:cs="Arial"/>
          <w:sz w:val="22"/>
          <w:szCs w:val="22"/>
        </w:rPr>
        <w:t xml:space="preserve"> has symptoms of PTSD. These situations were substantially higher among </w:t>
      </w:r>
      <w:r w:rsidRPr="007D5DE3">
        <w:rPr>
          <w:rFonts w:ascii="Arial" w:hAnsi="Arial" w:cs="Arial"/>
          <w:sz w:val="22"/>
          <w:szCs w:val="22"/>
        </w:rPr>
        <w:lastRenderedPageBreak/>
        <w:t xml:space="preserve">officers without </w:t>
      </w:r>
      <w:r w:rsidR="00D865A3" w:rsidRPr="007D5DE3">
        <w:rPr>
          <w:rFonts w:ascii="Arial" w:hAnsi="Arial" w:cs="Arial"/>
          <w:sz w:val="22"/>
          <w:szCs w:val="22"/>
        </w:rPr>
        <w:t>institutional support</w:t>
      </w:r>
      <w:r w:rsidRPr="007D5DE3">
        <w:rPr>
          <w:rFonts w:ascii="Arial" w:hAnsi="Arial" w:cs="Arial"/>
          <w:sz w:val="22"/>
          <w:szCs w:val="22"/>
        </w:rPr>
        <w:t xml:space="preserve">. Inadequate personnel and budgetary strains also make psychological stress worse </w:t>
      </w:r>
      <w:r w:rsidRPr="007D5DE3">
        <w:rPr>
          <w:rFonts w:ascii="Arial" w:hAnsi="Arial" w:cs="Arial"/>
          <w:color w:val="000000"/>
          <w:sz w:val="22"/>
          <w:szCs w:val="22"/>
        </w:rPr>
        <w:t>(University of Cambridge, 2022)</w:t>
      </w:r>
      <w:r w:rsidRPr="007D5DE3">
        <w:rPr>
          <w:rFonts w:ascii="Arial" w:hAnsi="Arial" w:cs="Arial"/>
          <w:sz w:val="22"/>
          <w:szCs w:val="22"/>
        </w:rPr>
        <w:t xml:space="preserve">. More than half of the officers experienced mental health issues </w:t>
      </w:r>
      <w:proofErr w:type="gramStart"/>
      <w:r w:rsidRPr="007D5DE3">
        <w:rPr>
          <w:rFonts w:ascii="Arial" w:hAnsi="Arial" w:cs="Arial"/>
          <w:sz w:val="22"/>
          <w:szCs w:val="22"/>
        </w:rPr>
        <w:t>as a result of</w:t>
      </w:r>
      <w:proofErr w:type="gramEnd"/>
      <w:r w:rsidRPr="007D5DE3">
        <w:rPr>
          <w:rFonts w:ascii="Arial" w:hAnsi="Arial" w:cs="Arial"/>
          <w:sz w:val="22"/>
          <w:szCs w:val="22"/>
        </w:rPr>
        <w:t xml:space="preserve"> financial insecurity, with some skipping meals or considering resignation, according to 2024 cost of living survey </w:t>
      </w:r>
      <w:r w:rsidRPr="007D5DE3">
        <w:rPr>
          <w:rFonts w:ascii="Arial" w:hAnsi="Arial" w:cs="Arial"/>
          <w:color w:val="000000"/>
          <w:sz w:val="22"/>
          <w:szCs w:val="22"/>
        </w:rPr>
        <w:t>(Polfed.org, 2025)</w:t>
      </w:r>
      <w:r w:rsidRPr="007D5DE3">
        <w:rPr>
          <w:rFonts w:ascii="Arial" w:hAnsi="Arial" w:cs="Arial"/>
          <w:sz w:val="22"/>
          <w:szCs w:val="22"/>
        </w:rPr>
        <w:t>. These results highlight how the problem is ingrained in the profession’s structure and is not only a frontline trauma issue.</w:t>
      </w:r>
    </w:p>
    <w:p w14:paraId="68D9A1FC" w14:textId="5A5EA462" w:rsidR="000A2D09" w:rsidRPr="007D5DE3" w:rsidRDefault="00D865A3" w:rsidP="00C746ED">
      <w:pPr>
        <w:spacing w:line="480" w:lineRule="auto"/>
        <w:ind w:firstLine="720"/>
        <w:jc w:val="both"/>
        <w:rPr>
          <w:rFonts w:ascii="Arial" w:hAnsi="Arial" w:cs="Arial"/>
          <w:sz w:val="22"/>
          <w:szCs w:val="22"/>
        </w:rPr>
      </w:pPr>
      <w:r w:rsidRPr="007D5DE3">
        <w:rPr>
          <w:rFonts w:ascii="Arial" w:hAnsi="Arial" w:cs="Arial"/>
          <w:sz w:val="22"/>
          <w:szCs w:val="22"/>
        </w:rPr>
        <w:t xml:space="preserve">For </w:t>
      </w:r>
      <w:proofErr w:type="gramStart"/>
      <w:r w:rsidRPr="007D5DE3">
        <w:rPr>
          <w:rFonts w:ascii="Arial" w:hAnsi="Arial" w:cs="Arial"/>
          <w:sz w:val="22"/>
          <w:szCs w:val="22"/>
        </w:rPr>
        <w:t>a</w:t>
      </w:r>
      <w:r w:rsidR="000A2D09" w:rsidRPr="007D5DE3">
        <w:rPr>
          <w:rFonts w:ascii="Arial" w:hAnsi="Arial" w:cs="Arial"/>
          <w:sz w:val="22"/>
          <w:szCs w:val="22"/>
        </w:rPr>
        <w:t xml:space="preserve"> number of</w:t>
      </w:r>
      <w:proofErr w:type="gramEnd"/>
      <w:r w:rsidR="000A2D09" w:rsidRPr="007D5DE3">
        <w:rPr>
          <w:rFonts w:ascii="Arial" w:hAnsi="Arial" w:cs="Arial"/>
          <w:sz w:val="22"/>
          <w:szCs w:val="22"/>
        </w:rPr>
        <w:t xml:space="preserve"> reasons, policing must effectively manage mental health of their officers. </w:t>
      </w:r>
      <w:proofErr w:type="gramStart"/>
      <w:r w:rsidR="000A2D09" w:rsidRPr="007D5DE3">
        <w:rPr>
          <w:rFonts w:ascii="Arial" w:hAnsi="Arial" w:cs="Arial"/>
          <w:sz w:val="22"/>
          <w:szCs w:val="22"/>
        </w:rPr>
        <w:t>First of all</w:t>
      </w:r>
      <w:proofErr w:type="gramEnd"/>
      <w:r w:rsidR="000A2D09" w:rsidRPr="007D5DE3">
        <w:rPr>
          <w:rFonts w:ascii="Arial" w:hAnsi="Arial" w:cs="Arial"/>
          <w:sz w:val="22"/>
          <w:szCs w:val="22"/>
        </w:rPr>
        <w:t xml:space="preserve">, there is a fundamental ethical and legal need to take care of the employees. If police officers are ill or unsupported the morale falls, absent rates skyrocket, and there is a higher chance of getting sick. Burnout, which influences judgment and social interactions, is also a result of emotional tiredness </w:t>
      </w:r>
      <w:r w:rsidR="000A2D09" w:rsidRPr="007D5DE3">
        <w:rPr>
          <w:rFonts w:ascii="Arial" w:hAnsi="Arial" w:cs="Arial"/>
          <w:color w:val="000000"/>
          <w:sz w:val="22"/>
          <w:szCs w:val="22"/>
        </w:rPr>
        <w:t>(College of Policing, 2024).</w:t>
      </w:r>
    </w:p>
    <w:p w14:paraId="00283ECE" w14:textId="046E74D0" w:rsidR="000A2D09"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Second</w:t>
      </w:r>
      <w:r w:rsidR="00CA642B" w:rsidRPr="007D5DE3">
        <w:rPr>
          <w:rFonts w:ascii="Arial" w:hAnsi="Arial" w:cs="Arial"/>
          <w:sz w:val="22"/>
          <w:szCs w:val="22"/>
        </w:rPr>
        <w:t>ly,</w:t>
      </w:r>
      <w:r w:rsidRPr="007D5DE3">
        <w:rPr>
          <w:rFonts w:ascii="Arial" w:hAnsi="Arial" w:cs="Arial"/>
          <w:sz w:val="22"/>
          <w:szCs w:val="22"/>
        </w:rPr>
        <w:t xml:space="preserve"> operational performance requires psychological resilience. In high stakes situation, officer frequently makes split second decision. Untreated stress or mental exhaustion can affect situational awareness, </w:t>
      </w:r>
      <w:r w:rsidR="00D865A3" w:rsidRPr="007D5DE3">
        <w:rPr>
          <w:rFonts w:ascii="Arial" w:hAnsi="Arial" w:cs="Arial"/>
          <w:sz w:val="22"/>
          <w:szCs w:val="22"/>
        </w:rPr>
        <w:t>judgment, and</w:t>
      </w:r>
      <w:r w:rsidRPr="007D5DE3">
        <w:rPr>
          <w:rFonts w:ascii="Arial" w:hAnsi="Arial" w:cs="Arial"/>
          <w:sz w:val="22"/>
          <w:szCs w:val="22"/>
        </w:rPr>
        <w:t xml:space="preserve"> reaction speed. This can endanger themselves, as well as other officers and public safety at risk </w:t>
      </w:r>
      <w:r w:rsidRPr="007D5DE3">
        <w:rPr>
          <w:rFonts w:ascii="Arial" w:hAnsi="Arial" w:cs="Arial"/>
          <w:color w:val="000000"/>
          <w:sz w:val="22"/>
          <w:szCs w:val="22"/>
        </w:rPr>
        <w:t>(Phythian et al., 2022).</w:t>
      </w:r>
    </w:p>
    <w:p w14:paraId="55E0DD03" w14:textId="4389F4B9" w:rsidR="00497FE4"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 xml:space="preserve">Furthermore, </w:t>
      </w:r>
      <w:r w:rsidR="00D865A3" w:rsidRPr="007D5DE3">
        <w:rPr>
          <w:rFonts w:ascii="Arial" w:hAnsi="Arial" w:cs="Arial"/>
          <w:sz w:val="22"/>
          <w:szCs w:val="22"/>
        </w:rPr>
        <w:t>officers’</w:t>
      </w:r>
      <w:r w:rsidRPr="007D5DE3">
        <w:rPr>
          <w:rFonts w:ascii="Arial" w:hAnsi="Arial" w:cs="Arial"/>
          <w:sz w:val="22"/>
          <w:szCs w:val="22"/>
        </w:rPr>
        <w:t xml:space="preserve"> behaviour, which is determined by their psychological state, affects the public’s trust in law enforcement. Frustration, distress, emotional repression can cause people to aggressive responses or mishandling of delicate situations. Therefore, an essential component of moral and community focused policing is the implementation of effective mental health measures </w:t>
      </w:r>
      <w:r w:rsidRPr="007D5DE3">
        <w:rPr>
          <w:rFonts w:ascii="Arial" w:hAnsi="Arial" w:cs="Arial"/>
          <w:color w:val="000000"/>
          <w:sz w:val="22"/>
          <w:szCs w:val="22"/>
        </w:rPr>
        <w:t>(College of Policing, 2021).</w:t>
      </w:r>
    </w:p>
    <w:p w14:paraId="20F12A88" w14:textId="7161B524" w:rsidR="004F16E1"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 xml:space="preserve">Neglecting mental health in law enforcement has both individual and institutional repercussions. Unmanaged stress and trauma can result in suicide, </w:t>
      </w:r>
      <w:r w:rsidR="00D865A3" w:rsidRPr="007D5DE3">
        <w:rPr>
          <w:rFonts w:ascii="Arial" w:hAnsi="Arial" w:cs="Arial"/>
          <w:sz w:val="22"/>
          <w:szCs w:val="22"/>
        </w:rPr>
        <w:t>abuse,</w:t>
      </w:r>
      <w:r w:rsidRPr="007D5DE3">
        <w:rPr>
          <w:rFonts w:ascii="Arial" w:hAnsi="Arial" w:cs="Arial"/>
          <w:sz w:val="22"/>
          <w:szCs w:val="22"/>
        </w:rPr>
        <w:t xml:space="preserve"> or chronic illness. </w:t>
      </w:r>
      <w:r w:rsidR="004F16E1" w:rsidRPr="007D5DE3">
        <w:rPr>
          <w:rFonts w:ascii="Arial" w:hAnsi="Arial" w:cs="Arial"/>
          <w:sz w:val="22"/>
          <w:szCs w:val="22"/>
        </w:rPr>
        <w:t xml:space="preserve">Office for National Statistics (2021) reports that between 2011 and 2022 and only across England and Wales, 173 police officers and 8 PCSO’s lost their life by committing suicide. </w:t>
      </w:r>
    </w:p>
    <w:p w14:paraId="4242B401" w14:textId="6B35177A" w:rsidR="000A2D09"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 xml:space="preserve">High absence rates are a problem for the </w:t>
      </w:r>
      <w:proofErr w:type="gramStart"/>
      <w:r w:rsidRPr="007D5DE3">
        <w:rPr>
          <w:rFonts w:ascii="Arial" w:hAnsi="Arial" w:cs="Arial"/>
          <w:sz w:val="22"/>
          <w:szCs w:val="22"/>
        </w:rPr>
        <w:t>forces as a whole</w:t>
      </w:r>
      <w:proofErr w:type="gramEnd"/>
      <w:r w:rsidRPr="007D5DE3">
        <w:rPr>
          <w:rFonts w:ascii="Arial" w:hAnsi="Arial" w:cs="Arial"/>
          <w:sz w:val="22"/>
          <w:szCs w:val="22"/>
        </w:rPr>
        <w:t xml:space="preserve"> </w:t>
      </w:r>
      <w:r w:rsidRPr="007D5DE3">
        <w:rPr>
          <w:rFonts w:ascii="Arial" w:hAnsi="Arial" w:cs="Arial"/>
          <w:color w:val="000000"/>
          <w:sz w:val="22"/>
          <w:szCs w:val="22"/>
        </w:rPr>
        <w:t>(Craddock and Telesco, 2021)</w:t>
      </w:r>
      <w:r w:rsidRPr="007D5DE3">
        <w:rPr>
          <w:rFonts w:ascii="Arial" w:hAnsi="Arial" w:cs="Arial"/>
          <w:sz w:val="22"/>
          <w:szCs w:val="22"/>
        </w:rPr>
        <w:t xml:space="preserve">. Over 770,000 working days were lost by UK police forces in the 2023-2024 years </w:t>
      </w:r>
      <w:proofErr w:type="gramStart"/>
      <w:r w:rsidRPr="007D5DE3">
        <w:rPr>
          <w:rFonts w:ascii="Arial" w:hAnsi="Arial" w:cs="Arial"/>
          <w:sz w:val="22"/>
          <w:szCs w:val="22"/>
        </w:rPr>
        <w:t>as a result of</w:t>
      </w:r>
      <w:proofErr w:type="gramEnd"/>
      <w:r w:rsidRPr="007D5DE3">
        <w:rPr>
          <w:rFonts w:ascii="Arial" w:hAnsi="Arial" w:cs="Arial"/>
          <w:sz w:val="22"/>
          <w:szCs w:val="22"/>
        </w:rPr>
        <w:t xml:space="preserve"> mental health related absences </w:t>
      </w:r>
      <w:r w:rsidRPr="007D5DE3">
        <w:rPr>
          <w:rFonts w:ascii="Arial" w:hAnsi="Arial" w:cs="Arial"/>
          <w:color w:val="000000"/>
          <w:sz w:val="22"/>
          <w:szCs w:val="22"/>
        </w:rPr>
        <w:t>(</w:t>
      </w:r>
      <w:proofErr w:type="spellStart"/>
      <w:r w:rsidRPr="007D5DE3">
        <w:rPr>
          <w:rFonts w:ascii="Arial" w:hAnsi="Arial" w:cs="Arial"/>
          <w:color w:val="000000"/>
          <w:sz w:val="22"/>
          <w:szCs w:val="22"/>
        </w:rPr>
        <w:t>Policelife</w:t>
      </w:r>
      <w:proofErr w:type="spellEnd"/>
      <w:r w:rsidRPr="007D5DE3">
        <w:rPr>
          <w:rFonts w:ascii="Arial" w:hAnsi="Arial" w:cs="Arial"/>
          <w:color w:val="000000"/>
          <w:sz w:val="22"/>
          <w:szCs w:val="22"/>
        </w:rPr>
        <w:t xml:space="preserve">, 2025). </w:t>
      </w:r>
      <w:r w:rsidRPr="007D5DE3">
        <w:rPr>
          <w:rFonts w:ascii="Arial" w:hAnsi="Arial" w:cs="Arial"/>
          <w:sz w:val="22"/>
          <w:szCs w:val="22"/>
        </w:rPr>
        <w:t xml:space="preserve">This translates into operational inefficiencies, decreased ability to meet public demand, and overtime costs. Additionally, it </w:t>
      </w:r>
      <w:r w:rsidRPr="007D5DE3">
        <w:rPr>
          <w:rFonts w:ascii="Arial" w:hAnsi="Arial" w:cs="Arial"/>
          <w:sz w:val="22"/>
          <w:szCs w:val="22"/>
        </w:rPr>
        <w:lastRenderedPageBreak/>
        <w:t xml:space="preserve">starts a vicious loop that makes the surviving employees even more overworked, which makes stress levels worse. Moreover, when mental health is not properly prioritised, officers are more likely to leave the profession </w:t>
      </w:r>
      <w:r w:rsidRPr="007D5DE3">
        <w:rPr>
          <w:rFonts w:ascii="Arial" w:hAnsi="Arial" w:cs="Arial"/>
          <w:color w:val="000000"/>
          <w:sz w:val="22"/>
          <w:szCs w:val="22"/>
        </w:rPr>
        <w:t>(Parkes et al., 2024).</w:t>
      </w:r>
      <w:r w:rsidRPr="007D5DE3">
        <w:rPr>
          <w:rFonts w:ascii="Arial" w:hAnsi="Arial" w:cs="Arial"/>
          <w:sz w:val="22"/>
          <w:szCs w:val="22"/>
        </w:rPr>
        <w:t xml:space="preserve"> Number of officers resigning due to workload and poor support has risen, and the Police Federation has issued a warning about imminent crisis. Long term effects on organizational knowledge, training capacity and community relations result from loss of experiences staff. </w:t>
      </w:r>
    </w:p>
    <w:p w14:paraId="14005479" w14:textId="77777777" w:rsidR="000A2D09" w:rsidRPr="007D5DE3" w:rsidRDefault="000A2D09" w:rsidP="00C746ED">
      <w:pPr>
        <w:spacing w:line="480" w:lineRule="auto"/>
        <w:ind w:firstLine="720"/>
        <w:jc w:val="both"/>
        <w:rPr>
          <w:rFonts w:ascii="Arial" w:hAnsi="Arial" w:cs="Arial"/>
          <w:sz w:val="22"/>
          <w:szCs w:val="22"/>
        </w:rPr>
      </w:pPr>
      <w:r w:rsidRPr="007D5DE3">
        <w:rPr>
          <w:rFonts w:ascii="Arial" w:hAnsi="Arial" w:cs="Arial"/>
          <w:sz w:val="22"/>
          <w:szCs w:val="22"/>
        </w:rPr>
        <w:t>Enhancing mental health in law enforcement calls for coordinated and evidence-based approach. The stigma that portrays emotional vulnerability as weakness must be abandoned by the police. Officers should be free to talk honestly and openly about their mental health without worrying about criticism or losing their jobs</w:t>
      </w:r>
      <w:r w:rsidRPr="007D5DE3">
        <w:rPr>
          <w:rFonts w:ascii="Arial" w:hAnsi="Arial" w:cs="Arial"/>
          <w:color w:val="000000"/>
          <w:sz w:val="22"/>
          <w:szCs w:val="22"/>
        </w:rPr>
        <w:t xml:space="preserve"> (</w:t>
      </w:r>
      <w:proofErr w:type="spellStart"/>
      <w:r w:rsidRPr="007D5DE3">
        <w:rPr>
          <w:rFonts w:ascii="Arial" w:hAnsi="Arial" w:cs="Arial"/>
          <w:color w:val="000000"/>
          <w:sz w:val="22"/>
          <w:szCs w:val="22"/>
        </w:rPr>
        <w:t>Demou</w:t>
      </w:r>
      <w:proofErr w:type="spellEnd"/>
      <w:r w:rsidRPr="007D5DE3">
        <w:rPr>
          <w:rFonts w:ascii="Arial" w:hAnsi="Arial" w:cs="Arial"/>
          <w:color w:val="000000"/>
          <w:sz w:val="22"/>
          <w:szCs w:val="22"/>
        </w:rPr>
        <w:t>, Hale and Hunt, 2020)</w:t>
      </w:r>
      <w:r w:rsidRPr="007D5DE3">
        <w:rPr>
          <w:rFonts w:ascii="Arial" w:hAnsi="Arial" w:cs="Arial"/>
          <w:sz w:val="22"/>
          <w:szCs w:val="22"/>
        </w:rPr>
        <w:t xml:space="preserve">. </w:t>
      </w:r>
    </w:p>
    <w:p w14:paraId="6BB5572F" w14:textId="77777777" w:rsidR="000A2D09"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 xml:space="preserve">Secondly, the workplace needs to incorporate proactive support systems. Early intervention can be effectively provided </w:t>
      </w:r>
      <w:proofErr w:type="gramStart"/>
      <w:r w:rsidRPr="007D5DE3">
        <w:rPr>
          <w:rFonts w:ascii="Arial" w:hAnsi="Arial" w:cs="Arial"/>
          <w:sz w:val="22"/>
          <w:szCs w:val="22"/>
        </w:rPr>
        <w:t>through the use of</w:t>
      </w:r>
      <w:proofErr w:type="gramEnd"/>
      <w:r w:rsidRPr="007D5DE3">
        <w:rPr>
          <w:rFonts w:ascii="Arial" w:hAnsi="Arial" w:cs="Arial"/>
          <w:sz w:val="22"/>
          <w:szCs w:val="22"/>
        </w:rPr>
        <w:t xml:space="preserve"> peer-support networks and Trauma Risk Management programs. According to research, officers who have peer and leadership support are much less likely to experience PTSD symptoms</w:t>
      </w:r>
      <w:r w:rsidRPr="007D5DE3">
        <w:rPr>
          <w:rFonts w:ascii="Arial" w:hAnsi="Arial" w:cs="Arial"/>
          <w:color w:val="000000"/>
          <w:sz w:val="22"/>
          <w:szCs w:val="22"/>
        </w:rPr>
        <w:t xml:space="preserve"> (Fallon et al., 2023)</w:t>
      </w:r>
      <w:r w:rsidRPr="007D5DE3">
        <w:rPr>
          <w:rFonts w:ascii="Arial" w:hAnsi="Arial" w:cs="Arial"/>
          <w:sz w:val="22"/>
          <w:szCs w:val="22"/>
        </w:rPr>
        <w:t xml:space="preserve">. </w:t>
      </w:r>
    </w:p>
    <w:p w14:paraId="26DE8CE1" w14:textId="77777777" w:rsidR="000A2D09"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Third, its critical to work together with social and health care services. Police officers often respond to mental health situations when other medical specialists would be better suited. Programs such as street triage teams, in which officers are accompanied by mental health professionals, have demonstrated efficacy in lowering needles detentions and enhancing public results</w:t>
      </w:r>
      <w:r w:rsidRPr="007D5DE3">
        <w:rPr>
          <w:rFonts w:ascii="Arial" w:hAnsi="Arial" w:cs="Arial"/>
          <w:color w:val="000000"/>
          <w:sz w:val="22"/>
          <w:szCs w:val="22"/>
        </w:rPr>
        <w:t xml:space="preserve"> (Horspool, Drabble and </w:t>
      </w:r>
      <w:proofErr w:type="spellStart"/>
      <w:r w:rsidRPr="007D5DE3">
        <w:rPr>
          <w:rFonts w:ascii="Arial" w:hAnsi="Arial" w:cs="Arial"/>
          <w:color w:val="000000"/>
          <w:sz w:val="22"/>
          <w:szCs w:val="22"/>
        </w:rPr>
        <w:t>O’Cathain</w:t>
      </w:r>
      <w:proofErr w:type="spellEnd"/>
      <w:r w:rsidRPr="007D5DE3">
        <w:rPr>
          <w:rFonts w:ascii="Arial" w:hAnsi="Arial" w:cs="Arial"/>
          <w:color w:val="000000"/>
          <w:sz w:val="22"/>
          <w:szCs w:val="22"/>
        </w:rPr>
        <w:t>, 2016)</w:t>
      </w:r>
      <w:r w:rsidRPr="007D5DE3">
        <w:rPr>
          <w:rFonts w:ascii="Arial" w:hAnsi="Arial" w:cs="Arial"/>
          <w:sz w:val="22"/>
          <w:szCs w:val="22"/>
        </w:rPr>
        <w:t xml:space="preserve">. </w:t>
      </w:r>
    </w:p>
    <w:p w14:paraId="3E636D93" w14:textId="6ED297FB" w:rsidR="000A2D09" w:rsidRPr="007D5DE3" w:rsidRDefault="000A2D09" w:rsidP="00C746ED">
      <w:pPr>
        <w:spacing w:line="480" w:lineRule="auto"/>
        <w:jc w:val="both"/>
        <w:rPr>
          <w:rFonts w:ascii="Arial" w:hAnsi="Arial" w:cs="Arial"/>
          <w:sz w:val="22"/>
          <w:szCs w:val="22"/>
        </w:rPr>
      </w:pPr>
      <w:r w:rsidRPr="007D5DE3">
        <w:rPr>
          <w:rFonts w:ascii="Arial" w:hAnsi="Arial" w:cs="Arial"/>
          <w:sz w:val="22"/>
          <w:szCs w:val="22"/>
        </w:rPr>
        <w:t>Adoption of national standards and guidelines is the last step. For forces looking to benchmark and enhance their internal support systems, the Blue Light Wellbeing Framework by Oscar Kilo and the Collage of Policing offer helpful resources</w:t>
      </w:r>
      <w:r w:rsidRPr="007D5DE3">
        <w:rPr>
          <w:rFonts w:ascii="Arial" w:hAnsi="Arial" w:cs="Arial"/>
          <w:color w:val="000000"/>
          <w:sz w:val="22"/>
          <w:szCs w:val="22"/>
        </w:rPr>
        <w:t xml:space="preserve"> (Phythian et al., 2022)</w:t>
      </w:r>
      <w:r w:rsidRPr="007D5DE3">
        <w:rPr>
          <w:rFonts w:ascii="Arial" w:hAnsi="Arial" w:cs="Arial"/>
          <w:sz w:val="22"/>
          <w:szCs w:val="22"/>
        </w:rPr>
        <w:t>.</w:t>
      </w:r>
    </w:p>
    <w:p w14:paraId="591380D1" w14:textId="0253FF9D" w:rsidR="000A2D09" w:rsidRPr="007D5DE3" w:rsidRDefault="000A2D09" w:rsidP="00C746ED">
      <w:pPr>
        <w:spacing w:line="480" w:lineRule="auto"/>
        <w:ind w:firstLine="720"/>
        <w:jc w:val="both"/>
        <w:rPr>
          <w:rStyle w:val="extn-css-0"/>
          <w:rFonts w:ascii="Arial" w:hAnsi="Arial" w:cs="Arial"/>
          <w:color w:val="000000"/>
          <w:sz w:val="22"/>
          <w:szCs w:val="22"/>
        </w:rPr>
      </w:pPr>
      <w:r w:rsidRPr="007D5DE3">
        <w:rPr>
          <w:rFonts w:ascii="Arial" w:hAnsi="Arial" w:cs="Arial"/>
          <w:sz w:val="22"/>
          <w:szCs w:val="22"/>
        </w:rPr>
        <w:t xml:space="preserve">Managing mental wellbeing in policing is essential to public safety, institutional integrity and police </w:t>
      </w:r>
      <w:r w:rsidR="00D865A3" w:rsidRPr="007D5DE3">
        <w:rPr>
          <w:rFonts w:ascii="Arial" w:hAnsi="Arial" w:cs="Arial"/>
          <w:sz w:val="22"/>
          <w:szCs w:val="22"/>
        </w:rPr>
        <w:t>officers’</w:t>
      </w:r>
      <w:r w:rsidRPr="007D5DE3">
        <w:rPr>
          <w:rFonts w:ascii="Arial" w:hAnsi="Arial" w:cs="Arial"/>
          <w:sz w:val="22"/>
          <w:szCs w:val="22"/>
        </w:rPr>
        <w:t xml:space="preserve"> welfare. As described high prevalence of stress related illness, extensive </w:t>
      </w:r>
      <w:r w:rsidR="00D865A3" w:rsidRPr="007D5DE3">
        <w:rPr>
          <w:rFonts w:ascii="Arial" w:hAnsi="Arial" w:cs="Arial"/>
          <w:sz w:val="22"/>
          <w:szCs w:val="22"/>
        </w:rPr>
        <w:t>absence,</w:t>
      </w:r>
      <w:r w:rsidRPr="007D5DE3">
        <w:rPr>
          <w:rFonts w:ascii="Arial" w:hAnsi="Arial" w:cs="Arial"/>
          <w:sz w:val="22"/>
          <w:szCs w:val="22"/>
        </w:rPr>
        <w:t xml:space="preserve"> and </w:t>
      </w:r>
      <w:r w:rsidR="00D865A3" w:rsidRPr="007D5DE3">
        <w:rPr>
          <w:rFonts w:ascii="Arial" w:hAnsi="Arial" w:cs="Arial"/>
          <w:sz w:val="22"/>
          <w:szCs w:val="22"/>
        </w:rPr>
        <w:t>work-related</w:t>
      </w:r>
      <w:r w:rsidRPr="007D5DE3">
        <w:rPr>
          <w:rFonts w:ascii="Arial" w:hAnsi="Arial" w:cs="Arial"/>
          <w:sz w:val="22"/>
          <w:szCs w:val="22"/>
        </w:rPr>
        <w:t xml:space="preserve"> strains. Outcomes of poorly managed mental wellbeing range from diminished effectiveness to potential human rights violations, and tragic suicides. </w:t>
      </w:r>
      <w:r w:rsidRPr="007D5DE3">
        <w:rPr>
          <w:rStyle w:val="extn-css-0"/>
          <w:rFonts w:ascii="Arial" w:hAnsi="Arial" w:cs="Arial"/>
          <w:color w:val="000000"/>
          <w:sz w:val="22"/>
          <w:szCs w:val="22"/>
        </w:rPr>
        <w:t xml:space="preserve">On the other hand, resilience is increased by implementing trauma informed training, peer support, multi-agency cooperation, and national wellbeing standards. By assisting </w:t>
      </w:r>
      <w:r w:rsidR="00D865A3" w:rsidRPr="007D5DE3">
        <w:rPr>
          <w:rStyle w:val="extn-css-0"/>
          <w:rFonts w:ascii="Arial" w:hAnsi="Arial" w:cs="Arial"/>
          <w:color w:val="000000"/>
          <w:sz w:val="22"/>
          <w:szCs w:val="22"/>
        </w:rPr>
        <w:t>officers’</w:t>
      </w:r>
      <w:r w:rsidRPr="007D5DE3">
        <w:rPr>
          <w:rStyle w:val="extn-css-0"/>
          <w:rFonts w:ascii="Arial" w:hAnsi="Arial" w:cs="Arial"/>
          <w:color w:val="000000"/>
          <w:sz w:val="22"/>
          <w:szCs w:val="22"/>
        </w:rPr>
        <w:t xml:space="preserve"> moral manner, </w:t>
      </w:r>
      <w:r w:rsidRPr="007D5DE3">
        <w:rPr>
          <w:rStyle w:val="extn-css-0"/>
          <w:rFonts w:ascii="Arial" w:hAnsi="Arial" w:cs="Arial"/>
          <w:color w:val="000000"/>
          <w:sz w:val="22"/>
          <w:szCs w:val="22"/>
        </w:rPr>
        <w:lastRenderedPageBreak/>
        <w:t xml:space="preserve">such investments uphold public confidence and guarantee that policing continues to be both professional and humane. </w:t>
      </w:r>
    </w:p>
    <w:p w14:paraId="3EAE8CFE" w14:textId="2700BB6E" w:rsidR="00F76A9E" w:rsidRPr="007D5DE3" w:rsidRDefault="00497FE4"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r>
    </w:p>
    <w:p w14:paraId="0A156B55" w14:textId="364826BA" w:rsidR="00497FE4" w:rsidRPr="007D5DE3" w:rsidRDefault="00497FE4" w:rsidP="00C746ED">
      <w:pPr>
        <w:spacing w:line="480" w:lineRule="auto"/>
        <w:jc w:val="right"/>
        <w:rPr>
          <w:rFonts w:ascii="Arial" w:eastAsia="Calibri" w:hAnsi="Arial" w:cs="Arial"/>
          <w:b/>
          <w:bCs/>
          <w:sz w:val="22"/>
          <w:szCs w:val="22"/>
        </w:rPr>
      </w:pPr>
      <w:r w:rsidRPr="007D5DE3">
        <w:rPr>
          <w:rFonts w:ascii="Arial" w:eastAsia="Calibri" w:hAnsi="Arial" w:cs="Arial"/>
          <w:sz w:val="22"/>
          <w:szCs w:val="22"/>
        </w:rPr>
        <w:tab/>
      </w:r>
      <w:r w:rsidRPr="007D5DE3">
        <w:rPr>
          <w:rFonts w:ascii="Arial" w:eastAsia="Calibri" w:hAnsi="Arial" w:cs="Arial"/>
          <w:b/>
          <w:bCs/>
          <w:sz w:val="22"/>
          <w:szCs w:val="22"/>
        </w:rPr>
        <w:t xml:space="preserve">WORD COUNT: </w:t>
      </w:r>
      <w:r w:rsidR="00F51055" w:rsidRPr="007D5DE3">
        <w:rPr>
          <w:rFonts w:ascii="Arial" w:eastAsia="Calibri" w:hAnsi="Arial" w:cs="Arial"/>
          <w:b/>
          <w:bCs/>
          <w:sz w:val="22"/>
          <w:szCs w:val="22"/>
        </w:rPr>
        <w:t>997</w:t>
      </w:r>
    </w:p>
    <w:p w14:paraId="7A840723" w14:textId="72C34516" w:rsidR="00497FE4" w:rsidRPr="007D5DE3" w:rsidRDefault="00497FE4" w:rsidP="007D5DE3">
      <w:pPr>
        <w:spacing w:line="480" w:lineRule="auto"/>
        <w:ind w:right="531"/>
        <w:jc w:val="both"/>
        <w:rPr>
          <w:rFonts w:ascii="Arial" w:eastAsia="Calibri" w:hAnsi="Arial" w:cs="Arial"/>
          <w:sz w:val="22"/>
          <w:szCs w:val="22"/>
        </w:rPr>
      </w:pPr>
    </w:p>
    <w:p w14:paraId="66ED22C8" w14:textId="77777777" w:rsidR="00831184" w:rsidRPr="007D5DE3" w:rsidRDefault="00831184" w:rsidP="007D5DE3">
      <w:pPr>
        <w:spacing w:line="480" w:lineRule="auto"/>
        <w:jc w:val="both"/>
        <w:rPr>
          <w:rFonts w:ascii="Arial" w:eastAsia="Calibri" w:hAnsi="Arial" w:cs="Arial"/>
          <w:b/>
          <w:bCs/>
          <w:sz w:val="22"/>
          <w:szCs w:val="22"/>
        </w:rPr>
      </w:pPr>
      <w:r w:rsidRPr="007D5DE3">
        <w:rPr>
          <w:rFonts w:ascii="Arial" w:eastAsia="Calibri" w:hAnsi="Arial" w:cs="Arial"/>
          <w:b/>
          <w:bCs/>
          <w:sz w:val="22"/>
          <w:szCs w:val="22"/>
        </w:rPr>
        <w:br w:type="page"/>
      </w:r>
    </w:p>
    <w:p w14:paraId="4EE752AE" w14:textId="4A292BAD" w:rsidR="00831184" w:rsidRPr="0089785A" w:rsidRDefault="00831184" w:rsidP="00C746ED">
      <w:pPr>
        <w:spacing w:line="480" w:lineRule="auto"/>
        <w:jc w:val="center"/>
        <w:rPr>
          <w:rFonts w:ascii="Arial" w:hAnsi="Arial" w:cs="Arial"/>
          <w:b/>
          <w:bCs/>
          <w:sz w:val="28"/>
          <w:szCs w:val="28"/>
        </w:rPr>
      </w:pPr>
      <w:r w:rsidRPr="0089785A">
        <w:rPr>
          <w:rFonts w:ascii="Arial" w:hAnsi="Arial" w:cs="Arial"/>
          <w:b/>
          <w:bCs/>
          <w:sz w:val="28"/>
          <w:szCs w:val="28"/>
        </w:rPr>
        <w:lastRenderedPageBreak/>
        <w:t>Essay three</w:t>
      </w:r>
    </w:p>
    <w:p w14:paraId="1B5BA9F1" w14:textId="77777777" w:rsidR="00831184" w:rsidRPr="007D5DE3" w:rsidRDefault="00831184" w:rsidP="00C746ED">
      <w:pPr>
        <w:spacing w:line="480" w:lineRule="auto"/>
        <w:jc w:val="both"/>
        <w:rPr>
          <w:rFonts w:ascii="Arial" w:hAnsi="Arial" w:cs="Arial"/>
          <w:b/>
          <w:bCs/>
          <w:sz w:val="22"/>
          <w:szCs w:val="22"/>
        </w:rPr>
      </w:pPr>
    </w:p>
    <w:p w14:paraId="26933607" w14:textId="77777777" w:rsidR="00831184" w:rsidRPr="007D5DE3" w:rsidRDefault="00831184" w:rsidP="00C746ED">
      <w:pPr>
        <w:spacing w:line="480" w:lineRule="auto"/>
        <w:jc w:val="both"/>
        <w:rPr>
          <w:rFonts w:ascii="Arial" w:eastAsia="Calibri" w:hAnsi="Arial" w:cs="Arial"/>
          <w:sz w:val="22"/>
          <w:szCs w:val="22"/>
          <w:u w:val="single"/>
        </w:rPr>
      </w:pPr>
      <w:r w:rsidRPr="007D5DE3">
        <w:rPr>
          <w:rFonts w:ascii="Arial" w:eastAsia="Calibri" w:hAnsi="Arial" w:cs="Arial"/>
          <w:sz w:val="22"/>
          <w:szCs w:val="22"/>
          <w:u w:val="single"/>
        </w:rPr>
        <w:t>Outline potential links between serious and organised crime and public protection issues.</w:t>
      </w:r>
    </w:p>
    <w:p w14:paraId="77A921B3" w14:textId="246B62D3" w:rsidR="00751D01" w:rsidRPr="007D5DE3" w:rsidRDefault="00831184" w:rsidP="00C746ED">
      <w:pPr>
        <w:spacing w:line="480" w:lineRule="auto"/>
        <w:jc w:val="both"/>
        <w:rPr>
          <w:rFonts w:ascii="Arial" w:eastAsia="Calibri" w:hAnsi="Arial" w:cs="Arial"/>
          <w:sz w:val="22"/>
          <w:szCs w:val="22"/>
          <w:u w:val="single"/>
        </w:rPr>
      </w:pPr>
      <w:r w:rsidRPr="007D5DE3">
        <w:rPr>
          <w:rFonts w:ascii="Arial" w:eastAsia="Calibri" w:hAnsi="Arial" w:cs="Arial"/>
          <w:sz w:val="22"/>
          <w:szCs w:val="22"/>
          <w:u w:val="single"/>
        </w:rPr>
        <w:t>What characteristics make some people more vulnerable to exploitation by serious and organised crime gangs?</w:t>
      </w:r>
    </w:p>
    <w:p w14:paraId="761FFF05" w14:textId="77777777" w:rsidR="00367115" w:rsidRPr="007D5DE3" w:rsidRDefault="00367115" w:rsidP="00C746ED">
      <w:pPr>
        <w:spacing w:line="480" w:lineRule="auto"/>
        <w:jc w:val="both"/>
        <w:rPr>
          <w:rFonts w:ascii="Arial" w:eastAsia="Calibri" w:hAnsi="Arial" w:cs="Arial"/>
          <w:sz w:val="22"/>
          <w:szCs w:val="22"/>
          <w:u w:val="single"/>
        </w:rPr>
      </w:pPr>
    </w:p>
    <w:p w14:paraId="6B713088" w14:textId="77777777" w:rsidR="00C848EB" w:rsidRPr="007D5DE3" w:rsidRDefault="008F478F"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r>
      <w:r w:rsidR="00C848EB" w:rsidRPr="007D5DE3">
        <w:rPr>
          <w:rFonts w:ascii="Arial" w:eastAsia="Calibri" w:hAnsi="Arial" w:cs="Arial"/>
          <w:sz w:val="22"/>
          <w:szCs w:val="22"/>
        </w:rPr>
        <w:t xml:space="preserve">Serious and organised crime (SOC) represents a significant risk to public protection through extensive, coordinated and planned criminal conduct. Deliberate and dishonest practices used by </w:t>
      </w:r>
      <w:proofErr w:type="gramStart"/>
      <w:r w:rsidR="00C848EB" w:rsidRPr="007D5DE3">
        <w:rPr>
          <w:rFonts w:ascii="Arial" w:eastAsia="Calibri" w:hAnsi="Arial" w:cs="Arial"/>
          <w:sz w:val="22"/>
          <w:szCs w:val="22"/>
        </w:rPr>
        <w:t>criminals</w:t>
      </w:r>
      <w:proofErr w:type="gramEnd"/>
      <w:r w:rsidR="00C848EB" w:rsidRPr="007D5DE3">
        <w:rPr>
          <w:rFonts w:ascii="Arial" w:eastAsia="Calibri" w:hAnsi="Arial" w:cs="Arial"/>
          <w:sz w:val="22"/>
          <w:szCs w:val="22"/>
        </w:rPr>
        <w:t xml:space="preserve"> lead to severe implications not only for the victims of those acts but also for the whole community and the wider public. Criminals operate in structured networks, usually engaging in multiple concurrent illegal acts, with the paramount goal of generating profit. Examples include cybercrimes, drugs and/or firearms supply, human exploitation and financial abuse (</w:t>
      </w:r>
      <w:proofErr w:type="spellStart"/>
      <w:r w:rsidR="00C848EB" w:rsidRPr="007D5DE3">
        <w:rPr>
          <w:rFonts w:ascii="Arial" w:eastAsia="Calibri" w:hAnsi="Arial" w:cs="Arial"/>
          <w:sz w:val="22"/>
          <w:szCs w:val="22"/>
        </w:rPr>
        <w:t>CrimeStoppers</w:t>
      </w:r>
      <w:proofErr w:type="spellEnd"/>
      <w:r w:rsidR="00C848EB" w:rsidRPr="007D5DE3">
        <w:rPr>
          <w:rFonts w:ascii="Arial" w:eastAsia="Calibri" w:hAnsi="Arial" w:cs="Arial"/>
          <w:sz w:val="22"/>
          <w:szCs w:val="22"/>
        </w:rPr>
        <w:t>, 2025). As of 2023/2024, the estimated socio-economic cost of SOC within the UK reached approximately £47 billion (Home Office, 2023). This essay will examine the links between serious and organised crimes and public protection and explore what specific characteristics make people more susceptible to exploitation.</w:t>
      </w:r>
    </w:p>
    <w:p w14:paraId="705FCA57"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 xml:space="preserve">Age emerges as a significant risk factor for exploitation. SOC groups deliberately manipulate and strategically recruit youths from low-income or dysfunctional households. The psychological manipulation consists of providing a false sense of belonging, security and small financial gratification in exchange for illegal acts. Those include, for example, transporting a parcel to a designated place or the distribution of a drug to peers (McEwan, 2018). Children, as young as seven years old, are groomed online or through peer networks for county lines drug transportation. Initially, convinced by financial gratification and a false sense of security, but frequently subjected to debt-bonding and violence. Although the age below criminal responsibility protects them from serious legal implications, the psychological trauma is long-lasting. Perpetrators carefully foster a good relationship and illusion of belonging to the group whilst covertly viewing and using them as disposable members (Brewster at al., 2021). </w:t>
      </w:r>
    </w:p>
    <w:p w14:paraId="758BECC7" w14:textId="2E854E9D"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lastRenderedPageBreak/>
        <w:tab/>
        <w:t>Substance misuse is also a key risk factor, making vulnerable people more susceptible to criminal exploitation. Despite evidence indicating that adolescent males who are in debt and are active drug users are more likely to be involved in organised crime groups (Ashton, 2024), these factors are also recognised with all genders, and ages as well as different ethnicities.</w:t>
      </w:r>
    </w:p>
    <w:p w14:paraId="140783A2"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Individuals from diverse ethnicities, particularly those whose immigration status is insecure, are also at heightened risk of being exploited by SOC due to language barriers, social exclusion or fear of legal implications. Crimes committed against those individuals are unreported due to their fear of being deported, creating an ideal opportunity for organised groups to exploit their vulnerability and, at the same time, leaving the police clueless about their presence in the country and their need for help (</w:t>
      </w:r>
      <w:proofErr w:type="spellStart"/>
      <w:r w:rsidRPr="007D5DE3">
        <w:rPr>
          <w:rFonts w:ascii="Arial" w:eastAsia="Calibri" w:hAnsi="Arial" w:cs="Arial"/>
          <w:sz w:val="22"/>
          <w:szCs w:val="22"/>
        </w:rPr>
        <w:t>Leerkes</w:t>
      </w:r>
      <w:proofErr w:type="spellEnd"/>
      <w:r w:rsidRPr="007D5DE3">
        <w:rPr>
          <w:rFonts w:ascii="Arial" w:eastAsia="Calibri" w:hAnsi="Arial" w:cs="Arial"/>
          <w:sz w:val="22"/>
          <w:szCs w:val="22"/>
        </w:rPr>
        <w:t xml:space="preserve"> et al., 2017).</w:t>
      </w:r>
    </w:p>
    <w:p w14:paraId="79DBF72E" w14:textId="00C8C258"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 xml:space="preserve">Individuals with mental or physical disabilities who are systematically excluded from reaching for help, are at increased risk of financial or sexual exploitation. Criminals use manipulation to gain their trust and under the false pretence of help, often take over their properties and use them for criminal acts. Gormley and Watson (2021) explain that people with mental disability do not necessarily understand the seriousness of the situation they find themselves in and can't accurately assess the risk posed to them until it's too late and their safety is compromised. </w:t>
      </w:r>
    </w:p>
    <w:p w14:paraId="06A6A29D"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Serious and organised criminality present a significant threat to individuals but also jeopardizes the safety on regional and national level.</w:t>
      </w:r>
    </w:p>
    <w:p w14:paraId="41B92119"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SOC is not only compromising the efforts made by law enforcers and undermines the societal rules but also impacts community resilience and confidence in law enforcement.</w:t>
      </w:r>
    </w:p>
    <w:p w14:paraId="306A5D63" w14:textId="77777777" w:rsidR="00A74DF0"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 xml:space="preserve">Publics’ safety is compromised </w:t>
      </w:r>
      <w:proofErr w:type="gramStart"/>
      <w:r w:rsidRPr="007D5DE3">
        <w:rPr>
          <w:rFonts w:ascii="Arial" w:eastAsia="Calibri" w:hAnsi="Arial" w:cs="Arial"/>
          <w:sz w:val="22"/>
          <w:szCs w:val="22"/>
        </w:rPr>
        <w:t>by the use of</w:t>
      </w:r>
      <w:proofErr w:type="gramEnd"/>
      <w:r w:rsidRPr="007D5DE3">
        <w:rPr>
          <w:rFonts w:ascii="Arial" w:eastAsia="Calibri" w:hAnsi="Arial" w:cs="Arial"/>
          <w:sz w:val="22"/>
          <w:szCs w:val="22"/>
        </w:rPr>
        <w:t xml:space="preserve"> serious violence and preying on the vulnerabilities of the communities such as socioeconomical status.</w:t>
      </w:r>
    </w:p>
    <w:p w14:paraId="4F3CDC5C" w14:textId="5E6DABF2"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 xml:space="preserve">The severe violence combined with exploitation of vulnerabilities within communities, constitute a major threat to their safety. More often organised crime groups engage in territorial conflicts which involve use of firearms, which combined with public settings, create an increased risk to innocent bystanders (Europol, 2021). The recent events of unprovoked </w:t>
      </w:r>
      <w:r w:rsidRPr="007D5DE3">
        <w:rPr>
          <w:rFonts w:ascii="Arial" w:eastAsia="Calibri" w:hAnsi="Arial" w:cs="Arial"/>
          <w:sz w:val="22"/>
          <w:szCs w:val="22"/>
        </w:rPr>
        <w:lastRenderedPageBreak/>
        <w:t>violence towards Olivia Pratt-Korbel – a 9-year-old who was shot at her doorstep and later pronounced dead, shocked not only the closest community but had a massive impact on national perception of safety. Whilst the intended attack by a gang member was supposed to be executed on another criminal, the unfortunate incident resulted in death of complete innocent bystander (Merseyside Police, 2022).</w:t>
      </w:r>
    </w:p>
    <w:p w14:paraId="6CDE9C4C"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Violent incidents generate extended concern from not only witnesses of those crimes but also among the independent members of the public, who demand active police reforms to enhance the security. The threat of serious targeted violence undermines reporting of the crimes due to potential repercussions from the organised crime groups (Gambetta, 1993).</w:t>
      </w:r>
    </w:p>
    <w:p w14:paraId="331EF883"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 xml:space="preserve">One of the most severe threats posed by organised crime groups involved in SOC is the ability to penetrate and potentially corrupt public servants. By doing so, they compromise public organisations’ integrity resulting in decrease of public’s trust. The institutional corruption effectively undermines the efficiency of functions and allows the OCG’s to manipulate the law in their favour. </w:t>
      </w:r>
    </w:p>
    <w:p w14:paraId="46307874"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Furthermore, the increased crime rates relating to serious incidents put a strain on police resources. The complex nature of these cases, limit officers’ ability to proactively serve the public, therefore reducing visible presence on the streets (HMICFRS, 2025).</w:t>
      </w:r>
    </w:p>
    <w:p w14:paraId="4C89E331"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In conclusion, serious and organised presents a major challenge to public protection by undermining the sense of safety and undermining the trust in law enforcements. Vulnerabilities of individuals, for example, age, immigration status or disability play a key risk factor in abuse from organised crime groups. The structured exploitation of the public prevents from effective recognition and providing early help. Understanding the potential links enables to create early help strategies and combined with rapid law response allows to prevent further crimes and disrupt the criminal groups.</w:t>
      </w:r>
    </w:p>
    <w:p w14:paraId="60DD9B9A" w14:textId="77777777" w:rsidR="00C848EB" w:rsidRPr="007D5DE3" w:rsidRDefault="00C848EB" w:rsidP="00C746ED">
      <w:pPr>
        <w:spacing w:line="480" w:lineRule="auto"/>
        <w:jc w:val="both"/>
        <w:rPr>
          <w:rFonts w:ascii="Arial" w:eastAsia="Calibri" w:hAnsi="Arial" w:cs="Arial"/>
          <w:sz w:val="22"/>
          <w:szCs w:val="22"/>
        </w:rPr>
      </w:pPr>
    </w:p>
    <w:p w14:paraId="7ECB3DBB" w14:textId="2BF9EF73" w:rsidR="00C848EB" w:rsidRPr="007D5DE3" w:rsidRDefault="00C848EB" w:rsidP="00C746ED">
      <w:pPr>
        <w:spacing w:line="480" w:lineRule="auto"/>
        <w:jc w:val="right"/>
        <w:rPr>
          <w:rFonts w:ascii="Arial" w:eastAsia="Calibri" w:hAnsi="Arial" w:cs="Arial"/>
          <w:b/>
          <w:bCs/>
          <w:sz w:val="22"/>
          <w:szCs w:val="22"/>
        </w:rPr>
      </w:pPr>
      <w:r w:rsidRPr="007D5DE3">
        <w:rPr>
          <w:rFonts w:ascii="Arial" w:eastAsia="Calibri" w:hAnsi="Arial" w:cs="Arial"/>
          <w:sz w:val="22"/>
          <w:szCs w:val="22"/>
        </w:rPr>
        <w:tab/>
      </w:r>
      <w:r w:rsidRPr="007D5DE3">
        <w:rPr>
          <w:rFonts w:ascii="Arial" w:eastAsia="Calibri" w:hAnsi="Arial" w:cs="Arial"/>
          <w:b/>
          <w:bCs/>
          <w:sz w:val="22"/>
          <w:szCs w:val="22"/>
        </w:rPr>
        <w:t>WORD COUNT: 910</w:t>
      </w:r>
    </w:p>
    <w:p w14:paraId="30A743C1" w14:textId="560C2ADD" w:rsidR="00C848EB" w:rsidRPr="007D5DE3" w:rsidRDefault="00C848EB" w:rsidP="00C746ED">
      <w:pPr>
        <w:spacing w:line="480" w:lineRule="auto"/>
        <w:jc w:val="both"/>
        <w:rPr>
          <w:rFonts w:ascii="Arial" w:eastAsia="Calibri" w:hAnsi="Arial" w:cs="Arial"/>
          <w:sz w:val="22"/>
          <w:szCs w:val="22"/>
        </w:rPr>
      </w:pPr>
    </w:p>
    <w:p w14:paraId="1BDF10AB" w14:textId="77777777" w:rsidR="00C848EB" w:rsidRPr="007D5DE3" w:rsidRDefault="00C848EB" w:rsidP="00C746ED">
      <w:pPr>
        <w:spacing w:line="480" w:lineRule="auto"/>
        <w:jc w:val="both"/>
        <w:rPr>
          <w:rFonts w:ascii="Arial" w:eastAsia="Calibri" w:hAnsi="Arial" w:cs="Arial"/>
          <w:sz w:val="22"/>
          <w:szCs w:val="22"/>
        </w:rPr>
      </w:pPr>
      <w:r w:rsidRPr="007D5DE3">
        <w:rPr>
          <w:rFonts w:ascii="Arial" w:eastAsia="Calibri" w:hAnsi="Arial" w:cs="Arial"/>
          <w:sz w:val="22"/>
          <w:szCs w:val="22"/>
        </w:rPr>
        <w:tab/>
        <w:t xml:space="preserve"> </w:t>
      </w:r>
    </w:p>
    <w:p w14:paraId="6EA49BD9" w14:textId="3CF74FA7" w:rsidR="00831184" w:rsidRPr="0089785A" w:rsidRDefault="00831184" w:rsidP="00C746ED">
      <w:pPr>
        <w:spacing w:line="480" w:lineRule="auto"/>
        <w:jc w:val="center"/>
        <w:rPr>
          <w:rFonts w:ascii="Arial" w:eastAsia="Calibri" w:hAnsi="Arial" w:cs="Arial"/>
          <w:b/>
          <w:bCs/>
          <w:sz w:val="28"/>
          <w:szCs w:val="28"/>
        </w:rPr>
      </w:pPr>
      <w:r w:rsidRPr="007D5DE3">
        <w:rPr>
          <w:rFonts w:ascii="Arial" w:eastAsia="Calibri" w:hAnsi="Arial" w:cs="Arial"/>
          <w:b/>
          <w:bCs/>
          <w:sz w:val="22"/>
          <w:szCs w:val="22"/>
        </w:rPr>
        <w:br w:type="page"/>
      </w:r>
      <w:r w:rsidRPr="0089785A">
        <w:rPr>
          <w:rFonts w:ascii="Arial" w:eastAsia="Calibri" w:hAnsi="Arial" w:cs="Arial"/>
          <w:b/>
          <w:bCs/>
          <w:sz w:val="28"/>
          <w:szCs w:val="28"/>
        </w:rPr>
        <w:lastRenderedPageBreak/>
        <w:t>Essay four</w:t>
      </w:r>
    </w:p>
    <w:p w14:paraId="3BFBCD4B" w14:textId="77777777" w:rsidR="00831184" w:rsidRPr="007D5DE3" w:rsidRDefault="00831184" w:rsidP="007D5DE3">
      <w:pPr>
        <w:spacing w:line="480" w:lineRule="auto"/>
        <w:ind w:right="531"/>
        <w:jc w:val="both"/>
        <w:rPr>
          <w:rFonts w:ascii="Arial" w:eastAsia="Calibri" w:hAnsi="Arial" w:cs="Arial"/>
          <w:sz w:val="22"/>
          <w:szCs w:val="22"/>
          <w:u w:val="single"/>
        </w:rPr>
      </w:pPr>
    </w:p>
    <w:p w14:paraId="21DEACEC" w14:textId="7F51C931" w:rsidR="00AB4E9A" w:rsidRPr="007D5DE3" w:rsidRDefault="00831184" w:rsidP="0089785A">
      <w:pPr>
        <w:spacing w:line="480" w:lineRule="auto"/>
        <w:ind w:left="567" w:right="531"/>
        <w:jc w:val="both"/>
        <w:rPr>
          <w:rFonts w:ascii="Arial" w:eastAsia="Calibri" w:hAnsi="Arial" w:cs="Arial"/>
          <w:sz w:val="22"/>
          <w:szCs w:val="22"/>
          <w:u w:val="single"/>
        </w:rPr>
      </w:pPr>
      <w:r w:rsidRPr="007D5DE3">
        <w:rPr>
          <w:rFonts w:ascii="Arial" w:eastAsia="Calibri" w:hAnsi="Arial" w:cs="Arial"/>
          <w:sz w:val="22"/>
          <w:szCs w:val="22"/>
          <w:u w:val="single"/>
        </w:rPr>
        <w:t>How effective is early intervention an effective means of preventing young people from offending or re-offending?</w:t>
      </w:r>
    </w:p>
    <w:p w14:paraId="751152A6" w14:textId="77777777" w:rsidR="00831184" w:rsidRPr="007D5DE3" w:rsidRDefault="00831184" w:rsidP="007D5DE3">
      <w:pPr>
        <w:spacing w:line="480" w:lineRule="auto"/>
        <w:ind w:right="531"/>
        <w:jc w:val="both"/>
        <w:rPr>
          <w:rFonts w:ascii="Arial" w:eastAsia="Calibri" w:hAnsi="Arial" w:cs="Arial"/>
          <w:sz w:val="22"/>
          <w:szCs w:val="22"/>
        </w:rPr>
      </w:pPr>
    </w:p>
    <w:p w14:paraId="779CA21C" w14:textId="7B8D617F" w:rsidR="00831184" w:rsidRPr="007D5DE3" w:rsidRDefault="00831184" w:rsidP="00A74DF0">
      <w:pPr>
        <w:spacing w:line="480" w:lineRule="auto"/>
        <w:ind w:firstLine="567"/>
        <w:jc w:val="both"/>
        <w:rPr>
          <w:rFonts w:ascii="Arial" w:hAnsi="Arial" w:cs="Arial"/>
          <w:sz w:val="22"/>
          <w:szCs w:val="22"/>
        </w:rPr>
      </w:pPr>
      <w:r w:rsidRPr="007D5DE3">
        <w:rPr>
          <w:rFonts w:ascii="Arial" w:hAnsi="Arial" w:cs="Arial"/>
          <w:sz w:val="22"/>
          <w:szCs w:val="22"/>
        </w:rPr>
        <w:t xml:space="preserve">Youth offending remains a significant concern for criminal justice system worldwide. Early intervention strategies aim to prevent the early onset of problematic behaviour and reduce reoffending among young delinquents </w:t>
      </w:r>
      <w:r w:rsidRPr="007D5DE3">
        <w:rPr>
          <w:rFonts w:ascii="Arial" w:hAnsi="Arial" w:cs="Arial"/>
          <w:color w:val="000000"/>
          <w:sz w:val="22"/>
          <w:szCs w:val="22"/>
        </w:rPr>
        <w:t>(Hancock, 2023)</w:t>
      </w:r>
      <w:r w:rsidR="00843F9E" w:rsidRPr="007D5DE3">
        <w:rPr>
          <w:rFonts w:ascii="Arial" w:hAnsi="Arial" w:cs="Arial"/>
          <w:color w:val="000000"/>
          <w:sz w:val="22"/>
          <w:szCs w:val="22"/>
        </w:rPr>
        <w:t>.</w:t>
      </w:r>
      <w:r w:rsidRPr="007D5DE3">
        <w:rPr>
          <w:rFonts w:ascii="Arial" w:hAnsi="Arial" w:cs="Arial"/>
          <w:sz w:val="22"/>
          <w:szCs w:val="22"/>
        </w:rPr>
        <w:t xml:space="preserve"> This essay critically examines the effectiveness of early intervention programs focused on prevention and diversion, with a particular emphasis on trauma informed approaches as well as evidence based therapeutic and behavioural models. It will further explore the contextual factors that contribute to successful intervention and the challenges faced in delivering these programs in practice. </w:t>
      </w:r>
    </w:p>
    <w:p w14:paraId="69C02C2B" w14:textId="79E250BA" w:rsidR="00831184" w:rsidRPr="007D5DE3" w:rsidRDefault="00831184" w:rsidP="00A74DF0">
      <w:pPr>
        <w:spacing w:line="480" w:lineRule="auto"/>
        <w:ind w:firstLine="567"/>
        <w:jc w:val="both"/>
        <w:rPr>
          <w:rFonts w:ascii="Arial" w:hAnsi="Arial" w:cs="Arial"/>
          <w:sz w:val="22"/>
          <w:szCs w:val="22"/>
        </w:rPr>
      </w:pPr>
      <w:r w:rsidRPr="007D5DE3">
        <w:rPr>
          <w:rFonts w:ascii="Arial" w:hAnsi="Arial" w:cs="Arial"/>
          <w:sz w:val="22"/>
          <w:szCs w:val="22"/>
        </w:rPr>
        <w:t>Early intervention encompasses strategies to implement from the start of the early signs of problematic behaviour or risk factors associated with wrongdoing that led to criminality</w:t>
      </w:r>
      <w:r w:rsidR="00843F9E" w:rsidRPr="007D5DE3">
        <w:rPr>
          <w:rFonts w:ascii="Arial" w:hAnsi="Arial" w:cs="Arial"/>
          <w:sz w:val="22"/>
          <w:szCs w:val="22"/>
        </w:rPr>
        <w:t xml:space="preserve"> </w:t>
      </w:r>
      <w:r w:rsidRPr="007D5DE3">
        <w:rPr>
          <w:rFonts w:ascii="Arial" w:hAnsi="Arial" w:cs="Arial"/>
          <w:color w:val="000000"/>
          <w:sz w:val="22"/>
          <w:szCs w:val="22"/>
        </w:rPr>
        <w:t>(Hancock, 2023)</w:t>
      </w:r>
      <w:r w:rsidR="00843F9E" w:rsidRPr="007D5DE3">
        <w:rPr>
          <w:rFonts w:ascii="Arial" w:hAnsi="Arial" w:cs="Arial"/>
          <w:sz w:val="22"/>
          <w:szCs w:val="22"/>
        </w:rPr>
        <w:t xml:space="preserve">. </w:t>
      </w:r>
      <w:r w:rsidRPr="007D5DE3">
        <w:rPr>
          <w:rFonts w:ascii="Arial" w:hAnsi="Arial" w:cs="Arial"/>
          <w:sz w:val="22"/>
          <w:szCs w:val="22"/>
        </w:rPr>
        <w:t xml:space="preserve">These include, but not limited to poverty, exposure to trauma, adverse childhood experiences, family dysfunction and school exclusion. The youth justice system recognises that prevention must be embedded in the centre of individuals life, not only within specialists’ help, but also across schools, healthcare and social services. For the early intervention effectiveness guarantee it must consist of family engagement, as well as education, wider community and peer relationships </w:t>
      </w:r>
      <w:r w:rsidRPr="007D5DE3">
        <w:rPr>
          <w:rFonts w:ascii="Arial" w:hAnsi="Arial" w:cs="Arial"/>
          <w:color w:val="000000"/>
          <w:sz w:val="22"/>
          <w:szCs w:val="22"/>
        </w:rPr>
        <w:t>(Ofsted, 2024)</w:t>
      </w:r>
      <w:r w:rsidR="00843F9E" w:rsidRPr="007D5DE3">
        <w:rPr>
          <w:rFonts w:ascii="Arial" w:hAnsi="Arial" w:cs="Arial"/>
          <w:color w:val="000000"/>
          <w:sz w:val="22"/>
          <w:szCs w:val="22"/>
        </w:rPr>
        <w:t>.</w:t>
      </w:r>
    </w:p>
    <w:p w14:paraId="0C6B5E2B" w14:textId="7E68F881" w:rsidR="00831184" w:rsidRPr="007D5DE3" w:rsidRDefault="00831184" w:rsidP="007D5DE3">
      <w:pPr>
        <w:spacing w:line="480" w:lineRule="auto"/>
        <w:ind w:firstLine="567"/>
        <w:jc w:val="both"/>
        <w:rPr>
          <w:rFonts w:ascii="Arial" w:hAnsi="Arial" w:cs="Arial"/>
          <w:sz w:val="22"/>
          <w:szCs w:val="22"/>
        </w:rPr>
      </w:pPr>
      <w:r w:rsidRPr="007D5DE3">
        <w:rPr>
          <w:rFonts w:ascii="Arial" w:hAnsi="Arial" w:cs="Arial"/>
          <w:sz w:val="22"/>
          <w:szCs w:val="22"/>
        </w:rPr>
        <w:t>Trauma Focused Cognitive Behavioural Therapy is a post traumatic event intervention for children and families. The approach is built on assumption that children get overwhelmed by intense emotions and capacity to process trauma. In a short period of time, it may impact their behaviour and cause emotional difficulties leading to offending. The aim of TFCBT is to alleviate problematic symptoms and provide structured environment in which youth and caregivers feel secure to learn strategies to manage and resolve the distressing emotions. Development of cognitive skills, emotional regulation and ability to reconstruct are the aim of</w:t>
      </w:r>
      <w:r w:rsidR="00A74DF0">
        <w:rPr>
          <w:rFonts w:ascii="Arial" w:hAnsi="Arial" w:cs="Arial"/>
          <w:sz w:val="22"/>
          <w:szCs w:val="22"/>
        </w:rPr>
        <w:t xml:space="preserve"> </w:t>
      </w:r>
      <w:r w:rsidRPr="007D5DE3">
        <w:rPr>
          <w:rFonts w:ascii="Arial" w:hAnsi="Arial" w:cs="Arial"/>
          <w:sz w:val="22"/>
          <w:szCs w:val="22"/>
        </w:rPr>
        <w:lastRenderedPageBreak/>
        <w:t xml:space="preserve">the therapy </w:t>
      </w:r>
      <w:r w:rsidRPr="007D5DE3">
        <w:rPr>
          <w:rFonts w:ascii="Arial" w:hAnsi="Arial" w:cs="Arial"/>
          <w:color w:val="000000"/>
          <w:sz w:val="22"/>
          <w:szCs w:val="22"/>
        </w:rPr>
        <w:t>(Hill et al., 2023)</w:t>
      </w:r>
      <w:r w:rsidR="00843F9E" w:rsidRPr="007D5DE3">
        <w:rPr>
          <w:rFonts w:ascii="Arial" w:hAnsi="Arial" w:cs="Arial"/>
          <w:color w:val="000000"/>
          <w:sz w:val="22"/>
          <w:szCs w:val="22"/>
        </w:rPr>
        <w:t>.</w:t>
      </w:r>
      <w:r w:rsidRPr="007D5DE3">
        <w:rPr>
          <w:rFonts w:ascii="Arial" w:hAnsi="Arial" w:cs="Arial"/>
          <w:sz w:val="22"/>
          <w:szCs w:val="22"/>
        </w:rPr>
        <w:t xml:space="preserve"> Research proves its effectiveness in improving mental health outcomes and contributes to a reduction in behaviours directly liked to crime, aggression</w:t>
      </w:r>
      <w:r w:rsidR="00843F9E" w:rsidRPr="007D5DE3">
        <w:rPr>
          <w:rFonts w:ascii="Arial" w:hAnsi="Arial" w:cs="Arial"/>
          <w:sz w:val="22"/>
          <w:szCs w:val="22"/>
        </w:rPr>
        <w:t xml:space="preserve"> </w:t>
      </w:r>
      <w:r w:rsidRPr="007D5DE3">
        <w:rPr>
          <w:rFonts w:ascii="Arial" w:hAnsi="Arial" w:cs="Arial"/>
          <w:color w:val="000000"/>
          <w:sz w:val="22"/>
          <w:szCs w:val="22"/>
        </w:rPr>
        <w:t>(Hancock, 2023)</w:t>
      </w:r>
      <w:r w:rsidR="00843F9E" w:rsidRPr="007D5DE3">
        <w:rPr>
          <w:rFonts w:ascii="Arial" w:hAnsi="Arial" w:cs="Arial"/>
          <w:color w:val="000000"/>
          <w:sz w:val="22"/>
          <w:szCs w:val="22"/>
        </w:rPr>
        <w:t>.</w:t>
      </w:r>
      <w:r w:rsidRPr="007D5DE3">
        <w:rPr>
          <w:rFonts w:ascii="Arial" w:hAnsi="Arial" w:cs="Arial"/>
          <w:color w:val="000000"/>
          <w:sz w:val="22"/>
          <w:szCs w:val="22"/>
        </w:rPr>
        <w:t xml:space="preserve"> </w:t>
      </w:r>
      <w:r w:rsidRPr="007D5DE3">
        <w:rPr>
          <w:rFonts w:ascii="Arial" w:hAnsi="Arial" w:cs="Arial"/>
          <w:sz w:val="22"/>
          <w:szCs w:val="22"/>
        </w:rPr>
        <w:t xml:space="preserve">Trauma Recovery Model highlights how early childhood trauma, or attachment issues related to relationship with caregiver may lead to problems of impulsivity, poor anger management and offending. TRM provides a foundation for long term behavioural change, which is how it works well in creating a baseline for TFCBT </w:t>
      </w:r>
      <w:r w:rsidRPr="007D5DE3">
        <w:rPr>
          <w:rFonts w:ascii="Arial" w:hAnsi="Arial" w:cs="Arial"/>
          <w:color w:val="000000"/>
          <w:sz w:val="22"/>
          <w:szCs w:val="22"/>
        </w:rPr>
        <w:t>(Day et al., 2023)</w:t>
      </w:r>
      <w:r w:rsidR="00843F9E" w:rsidRPr="007D5DE3">
        <w:rPr>
          <w:rFonts w:ascii="Arial" w:hAnsi="Arial" w:cs="Arial"/>
          <w:color w:val="000000"/>
          <w:sz w:val="22"/>
          <w:szCs w:val="22"/>
        </w:rPr>
        <w:t>.</w:t>
      </w:r>
    </w:p>
    <w:p w14:paraId="6E331B64" w14:textId="1C1276F5" w:rsidR="00831184" w:rsidRPr="007D5DE3" w:rsidRDefault="00831184" w:rsidP="007D5DE3">
      <w:pPr>
        <w:spacing w:line="480" w:lineRule="auto"/>
        <w:jc w:val="both"/>
        <w:rPr>
          <w:rFonts w:ascii="Arial" w:hAnsi="Arial" w:cs="Arial"/>
          <w:sz w:val="22"/>
          <w:szCs w:val="22"/>
        </w:rPr>
      </w:pPr>
      <w:r w:rsidRPr="007D5DE3">
        <w:rPr>
          <w:rFonts w:ascii="Arial" w:hAnsi="Arial" w:cs="Arial"/>
          <w:sz w:val="22"/>
          <w:szCs w:val="22"/>
        </w:rPr>
        <w:t>Together TFCBT and TRM present the crucial role of trauma in building character and shaping behaviours of youth</w:t>
      </w:r>
      <w:r w:rsidR="00843F9E" w:rsidRPr="007D5DE3">
        <w:rPr>
          <w:rFonts w:ascii="Arial" w:hAnsi="Arial" w:cs="Arial"/>
          <w:sz w:val="22"/>
          <w:szCs w:val="22"/>
        </w:rPr>
        <w:t xml:space="preserve"> </w:t>
      </w:r>
      <w:r w:rsidRPr="007D5DE3">
        <w:rPr>
          <w:rFonts w:ascii="Arial" w:hAnsi="Arial" w:cs="Arial"/>
          <w:color w:val="000000"/>
          <w:sz w:val="22"/>
          <w:szCs w:val="22"/>
        </w:rPr>
        <w:t>(Hill et al., 2023)</w:t>
      </w:r>
      <w:r w:rsidR="00843F9E" w:rsidRPr="007D5DE3">
        <w:rPr>
          <w:rFonts w:ascii="Arial" w:hAnsi="Arial" w:cs="Arial"/>
          <w:color w:val="000000"/>
          <w:sz w:val="22"/>
          <w:szCs w:val="22"/>
        </w:rPr>
        <w:t>.</w:t>
      </w:r>
    </w:p>
    <w:p w14:paraId="7FC908E9" w14:textId="0B6A65DB" w:rsidR="00831184" w:rsidRPr="007D5DE3" w:rsidRDefault="00831184" w:rsidP="00A74DF0">
      <w:pPr>
        <w:spacing w:line="480" w:lineRule="auto"/>
        <w:ind w:firstLine="720"/>
        <w:jc w:val="both"/>
        <w:rPr>
          <w:rFonts w:ascii="Arial" w:hAnsi="Arial" w:cs="Arial"/>
          <w:sz w:val="22"/>
          <w:szCs w:val="22"/>
        </w:rPr>
      </w:pPr>
      <w:r w:rsidRPr="007D5DE3">
        <w:rPr>
          <w:rFonts w:ascii="Arial" w:hAnsi="Arial" w:cs="Arial"/>
          <w:sz w:val="22"/>
          <w:szCs w:val="22"/>
        </w:rPr>
        <w:t xml:space="preserve">Multisystemic Therapy is an intensive treatment for youth displaying serious antisocial behaviour centred around the community and family. MST is based on the idea that peer pressure, school and family are interrelated systems that impact behavioural problems. It provides specialised interventions designed to enhance school attendance, improve family functioning, and lessen affiliation with delinquents. MST is a very successful model lowering reoffending because of its systemic approach and emphasis on the family </w:t>
      </w:r>
      <w:r w:rsidR="00F86423" w:rsidRPr="007D5DE3">
        <w:rPr>
          <w:rFonts w:ascii="Arial" w:hAnsi="Arial" w:cs="Arial"/>
          <w:sz w:val="22"/>
          <w:szCs w:val="22"/>
        </w:rPr>
        <w:t>environment (</w:t>
      </w:r>
      <w:r w:rsidRPr="007D5DE3">
        <w:rPr>
          <w:rFonts w:ascii="Arial" w:hAnsi="Arial" w:cs="Arial"/>
          <w:color w:val="000000"/>
          <w:sz w:val="22"/>
          <w:szCs w:val="22"/>
        </w:rPr>
        <w:t>Littell et al., 2021)</w:t>
      </w:r>
      <w:r w:rsidR="00843F9E" w:rsidRPr="007D5DE3">
        <w:rPr>
          <w:rFonts w:ascii="Arial" w:hAnsi="Arial" w:cs="Arial"/>
          <w:color w:val="000000"/>
          <w:sz w:val="22"/>
          <w:szCs w:val="22"/>
        </w:rPr>
        <w:t>.</w:t>
      </w:r>
    </w:p>
    <w:p w14:paraId="5080BB9C" w14:textId="0BD235AA" w:rsidR="00831184" w:rsidRPr="007D5DE3" w:rsidRDefault="00831184" w:rsidP="00A74DF0">
      <w:pPr>
        <w:spacing w:line="480" w:lineRule="auto"/>
        <w:ind w:firstLine="720"/>
        <w:jc w:val="both"/>
        <w:rPr>
          <w:rFonts w:ascii="Arial" w:hAnsi="Arial" w:cs="Arial"/>
          <w:color w:val="000000"/>
          <w:sz w:val="22"/>
          <w:szCs w:val="22"/>
        </w:rPr>
      </w:pPr>
      <w:r w:rsidRPr="007D5DE3">
        <w:rPr>
          <w:rFonts w:ascii="Arial" w:hAnsi="Arial" w:cs="Arial"/>
          <w:sz w:val="22"/>
          <w:szCs w:val="22"/>
        </w:rPr>
        <w:t xml:space="preserve">Family based programs are consistently among the most effective in reducing youth reoffending. These interventions typically aim to improve communication between the parents/caregivers and an individual, as well as improve parenting strategies, which results in improved home stability. For example, adolescent offenders are placed with trained foster parents through Foster Care, which consists of trained foster parents for individualised support while working with collaboration with other therapists and carers responsible for their case </w:t>
      </w:r>
      <w:r w:rsidRPr="007D5DE3">
        <w:rPr>
          <w:rFonts w:ascii="Arial" w:hAnsi="Arial" w:cs="Arial"/>
          <w:color w:val="000000"/>
          <w:sz w:val="22"/>
          <w:szCs w:val="22"/>
        </w:rPr>
        <w:t>(Turner and Macdonald, 2011)</w:t>
      </w:r>
      <w:r w:rsidR="00843F9E" w:rsidRPr="007D5DE3">
        <w:rPr>
          <w:rFonts w:ascii="Arial" w:hAnsi="Arial" w:cs="Arial"/>
          <w:color w:val="000000"/>
          <w:sz w:val="22"/>
          <w:szCs w:val="22"/>
        </w:rPr>
        <w:t>.</w:t>
      </w:r>
      <w:r w:rsidRPr="007D5DE3">
        <w:rPr>
          <w:rFonts w:ascii="Arial" w:hAnsi="Arial" w:cs="Arial"/>
          <w:sz w:val="22"/>
          <w:szCs w:val="22"/>
        </w:rPr>
        <w:t xml:space="preserve"> Similarly, parenting programs such as Functional Family Therapy have shown promise in lowering delinquent behaviour, especially when implemented early, accurately and consistently </w:t>
      </w:r>
      <w:r w:rsidRPr="007D5DE3">
        <w:rPr>
          <w:rFonts w:ascii="Arial" w:hAnsi="Arial" w:cs="Arial"/>
          <w:color w:val="000000"/>
          <w:sz w:val="22"/>
          <w:szCs w:val="22"/>
        </w:rPr>
        <w:t>(</w:t>
      </w:r>
      <w:proofErr w:type="spellStart"/>
      <w:r w:rsidRPr="007D5DE3">
        <w:rPr>
          <w:rFonts w:ascii="Arial" w:hAnsi="Arial" w:cs="Arial"/>
          <w:color w:val="000000"/>
          <w:sz w:val="22"/>
          <w:szCs w:val="22"/>
        </w:rPr>
        <w:t>Celinska</w:t>
      </w:r>
      <w:proofErr w:type="spellEnd"/>
      <w:r w:rsidRPr="007D5DE3">
        <w:rPr>
          <w:rFonts w:ascii="Arial" w:hAnsi="Arial" w:cs="Arial"/>
          <w:color w:val="000000"/>
          <w:sz w:val="22"/>
          <w:szCs w:val="22"/>
        </w:rPr>
        <w:t xml:space="preserve"> et al., 2018)</w:t>
      </w:r>
      <w:r w:rsidR="00843F9E" w:rsidRPr="007D5DE3">
        <w:rPr>
          <w:rFonts w:ascii="Arial" w:hAnsi="Arial" w:cs="Arial"/>
          <w:color w:val="000000"/>
          <w:sz w:val="22"/>
          <w:szCs w:val="22"/>
        </w:rPr>
        <w:t>.</w:t>
      </w:r>
    </w:p>
    <w:p w14:paraId="1CF5ED88" w14:textId="1A616997" w:rsidR="00831184" w:rsidRPr="007D5DE3" w:rsidRDefault="00831184" w:rsidP="00A74DF0">
      <w:pPr>
        <w:spacing w:line="480" w:lineRule="auto"/>
        <w:ind w:firstLine="720"/>
        <w:jc w:val="both"/>
        <w:rPr>
          <w:rFonts w:ascii="Arial" w:hAnsi="Arial" w:cs="Arial"/>
          <w:color w:val="000000"/>
          <w:sz w:val="22"/>
          <w:szCs w:val="22"/>
        </w:rPr>
      </w:pPr>
      <w:r w:rsidRPr="007D5DE3">
        <w:rPr>
          <w:rFonts w:ascii="Arial" w:hAnsi="Arial" w:cs="Arial"/>
          <w:sz w:val="22"/>
          <w:szCs w:val="22"/>
        </w:rPr>
        <w:t xml:space="preserve">Programs that focus on developing young people’s social skills also play a crucial role in prevention of crime. These often include resilience training, conflict resolution and communication. According to the research </w:t>
      </w:r>
      <w:r w:rsidRPr="007D5DE3">
        <w:rPr>
          <w:rFonts w:ascii="Arial" w:hAnsi="Arial" w:cs="Arial"/>
          <w:color w:val="000000"/>
          <w:sz w:val="22"/>
          <w:szCs w:val="22"/>
        </w:rPr>
        <w:t xml:space="preserve">(Local Government Association, 2022) cognitive and behavioural techniques had significant impact on reducing the rate of offending for all </w:t>
      </w:r>
      <w:r w:rsidRPr="007D5DE3">
        <w:rPr>
          <w:rFonts w:ascii="Arial" w:hAnsi="Arial" w:cs="Arial"/>
          <w:color w:val="000000"/>
          <w:sz w:val="22"/>
          <w:szCs w:val="22"/>
        </w:rPr>
        <w:lastRenderedPageBreak/>
        <w:t>ages of children. Parenting programmes for those diagnosed with behavioural problems suggest modest benefits, focused on specialised skills training and behavioural changes. The study’s limitation was a very young age of those participating.  Mentoring may also have positive impact on aggression and delinquency; however, it is not yet established in what form its helpful most effectively. Overall, those interventions are particularly effective when they are culturally sensitive and aligned with individual needs of the target population (Ofsted, 2024)</w:t>
      </w:r>
      <w:r w:rsidR="00843F9E" w:rsidRPr="007D5DE3">
        <w:rPr>
          <w:rFonts w:ascii="Arial" w:hAnsi="Arial" w:cs="Arial"/>
          <w:color w:val="000000"/>
          <w:sz w:val="22"/>
          <w:szCs w:val="22"/>
        </w:rPr>
        <w:t>.</w:t>
      </w:r>
    </w:p>
    <w:p w14:paraId="7FA843DB" w14:textId="261C8D7D" w:rsidR="00831184" w:rsidRPr="007D5DE3" w:rsidRDefault="00831184" w:rsidP="00A74DF0">
      <w:pPr>
        <w:spacing w:line="480" w:lineRule="auto"/>
        <w:ind w:firstLine="720"/>
        <w:jc w:val="both"/>
        <w:rPr>
          <w:rFonts w:ascii="Arial" w:hAnsi="Arial" w:cs="Arial"/>
          <w:color w:val="000000"/>
          <w:sz w:val="22"/>
          <w:szCs w:val="22"/>
        </w:rPr>
      </w:pPr>
      <w:r w:rsidRPr="007D5DE3">
        <w:rPr>
          <w:rFonts w:ascii="Arial" w:hAnsi="Arial" w:cs="Arial"/>
          <w:color w:val="000000"/>
          <w:sz w:val="22"/>
          <w:szCs w:val="22"/>
        </w:rPr>
        <w:t>Diversion programs redirect at risk youth from the formal criminal justice system and toward a therapeutic or community-based services. Especially designed for first time offenders or low-level offenders to minimise the effects of criminal justice involvement. Diversion is less stigmatising, therefore supports a rehabilitation process rather than punishment. It is also a cost-effective treatment which makes it slightly more accessible</w:t>
      </w:r>
      <w:r w:rsidR="00843F9E" w:rsidRPr="007D5DE3">
        <w:rPr>
          <w:rFonts w:ascii="Arial" w:hAnsi="Arial" w:cs="Arial"/>
          <w:color w:val="000000"/>
          <w:sz w:val="22"/>
          <w:szCs w:val="22"/>
        </w:rPr>
        <w:t xml:space="preserve"> </w:t>
      </w:r>
      <w:r w:rsidRPr="007D5DE3">
        <w:rPr>
          <w:rFonts w:ascii="Arial" w:hAnsi="Arial" w:cs="Arial"/>
          <w:color w:val="000000"/>
          <w:sz w:val="22"/>
          <w:szCs w:val="22"/>
        </w:rPr>
        <w:t>(Smith, 2020)</w:t>
      </w:r>
      <w:r w:rsidR="00843F9E" w:rsidRPr="007D5DE3">
        <w:rPr>
          <w:rFonts w:ascii="Arial" w:hAnsi="Arial" w:cs="Arial"/>
          <w:color w:val="000000"/>
          <w:sz w:val="22"/>
          <w:szCs w:val="22"/>
        </w:rPr>
        <w:t>.</w:t>
      </w:r>
    </w:p>
    <w:p w14:paraId="38DE98CC" w14:textId="306CC0C3" w:rsidR="00831184" w:rsidRPr="007D5DE3" w:rsidRDefault="00831184" w:rsidP="00A74DF0">
      <w:pPr>
        <w:spacing w:line="480" w:lineRule="auto"/>
        <w:ind w:firstLine="720"/>
        <w:jc w:val="both"/>
        <w:rPr>
          <w:rFonts w:ascii="Arial" w:hAnsi="Arial" w:cs="Arial"/>
          <w:color w:val="000000"/>
          <w:sz w:val="22"/>
          <w:szCs w:val="22"/>
        </w:rPr>
      </w:pPr>
      <w:r w:rsidRPr="007D5DE3">
        <w:rPr>
          <w:rFonts w:ascii="Arial" w:hAnsi="Arial" w:cs="Arial"/>
          <w:color w:val="000000"/>
          <w:sz w:val="22"/>
          <w:szCs w:val="22"/>
        </w:rPr>
        <w:t xml:space="preserve">Early intervention programs address several structural and practical obstacles despite their potential. Access to high quality interventions is sometimes constrained by finances and limited by service capacity. Frequently restricted access persists particularly in socioeconomically deprived areas where youth crime tends to be higher. Inconsistent services delivery may result as lack of coordination amongst organisations, including the legal system, social services, schools and health care. Engaging the </w:t>
      </w:r>
      <w:r w:rsidR="00F86423" w:rsidRPr="007D5DE3">
        <w:rPr>
          <w:rFonts w:ascii="Arial" w:hAnsi="Arial" w:cs="Arial"/>
          <w:color w:val="000000"/>
          <w:sz w:val="22"/>
          <w:szCs w:val="22"/>
        </w:rPr>
        <w:t>families is</w:t>
      </w:r>
      <w:r w:rsidRPr="007D5DE3">
        <w:rPr>
          <w:rFonts w:ascii="Arial" w:hAnsi="Arial" w:cs="Arial"/>
          <w:color w:val="000000"/>
          <w:sz w:val="22"/>
          <w:szCs w:val="22"/>
        </w:rPr>
        <w:t xml:space="preserve"> another challenge, especially if there is lack of trust in the process or professionals, or they face their own complex needs and are not in the position to be included in the multimodal system. Furthermore, prompt identification and referral of kids with additional needs to trained personnel with sufficient training may not always be available. For these barriers to overcome and reach full potential in early intervention obstacles must be addressed, investments into appropriate channels should be considered, as well as strategic plans put into action to ensure effective and reaching its full potential of early intervention outcomes</w:t>
      </w:r>
      <w:r w:rsidR="00843F9E" w:rsidRPr="007D5DE3">
        <w:rPr>
          <w:rFonts w:ascii="Arial" w:hAnsi="Arial" w:cs="Arial"/>
          <w:color w:val="000000"/>
          <w:sz w:val="22"/>
          <w:szCs w:val="22"/>
        </w:rPr>
        <w:t xml:space="preserve"> </w:t>
      </w:r>
      <w:r w:rsidRPr="007D5DE3">
        <w:rPr>
          <w:rFonts w:ascii="Arial" w:hAnsi="Arial" w:cs="Arial"/>
          <w:color w:val="000000"/>
          <w:sz w:val="22"/>
          <w:szCs w:val="22"/>
        </w:rPr>
        <w:t>(GOV.UK, 2024)</w:t>
      </w:r>
      <w:r w:rsidR="00843F9E" w:rsidRPr="007D5DE3">
        <w:rPr>
          <w:rFonts w:ascii="Arial" w:hAnsi="Arial" w:cs="Arial"/>
          <w:color w:val="000000"/>
          <w:sz w:val="22"/>
          <w:szCs w:val="22"/>
        </w:rPr>
        <w:t>.</w:t>
      </w:r>
      <w:r w:rsidRPr="007D5DE3">
        <w:rPr>
          <w:rFonts w:ascii="Arial" w:hAnsi="Arial" w:cs="Arial"/>
          <w:color w:val="000000"/>
          <w:sz w:val="22"/>
          <w:szCs w:val="22"/>
        </w:rPr>
        <w:t xml:space="preserve">  </w:t>
      </w:r>
    </w:p>
    <w:p w14:paraId="4E988A2C" w14:textId="3B54D750" w:rsidR="00831184" w:rsidRPr="007D5DE3" w:rsidRDefault="00831184" w:rsidP="007D5DE3">
      <w:pPr>
        <w:spacing w:line="480" w:lineRule="auto"/>
        <w:ind w:firstLine="720"/>
        <w:jc w:val="both"/>
        <w:rPr>
          <w:rFonts w:ascii="Arial" w:hAnsi="Arial" w:cs="Arial"/>
          <w:color w:val="000000"/>
          <w:sz w:val="22"/>
          <w:szCs w:val="22"/>
        </w:rPr>
      </w:pPr>
      <w:r w:rsidRPr="007D5DE3">
        <w:rPr>
          <w:rFonts w:ascii="Arial" w:hAnsi="Arial" w:cs="Arial"/>
          <w:color w:val="000000"/>
          <w:sz w:val="22"/>
          <w:szCs w:val="22"/>
        </w:rPr>
        <w:t xml:space="preserve">In conclusion, early intervention is a highly effective approach in prevention and reduced rate of reoffending when implemented properly and comprehensively. Programs such as TFCBT, TRM, MST, family-based interventions, as well as diversion schemes provide moderate evidence for reducing youth crime and promotion of positive youth development. </w:t>
      </w:r>
      <w:r w:rsidRPr="007D5DE3">
        <w:rPr>
          <w:rFonts w:ascii="Arial" w:hAnsi="Arial" w:cs="Arial"/>
          <w:color w:val="000000"/>
          <w:sz w:val="22"/>
          <w:szCs w:val="22"/>
        </w:rPr>
        <w:lastRenderedPageBreak/>
        <w:t xml:space="preserve">Whether it’s targeting the causes of offending such as trauma, parenting styles/actions, negative environment influence, the programs mentioned aim for long term behavioural and cognitive change and good life outcomes. Nevertheless, the interventions depend on overcoming operational and structural challenges. </w:t>
      </w:r>
      <w:proofErr w:type="gramStart"/>
      <w:r w:rsidRPr="007D5DE3">
        <w:rPr>
          <w:rFonts w:ascii="Arial" w:hAnsi="Arial" w:cs="Arial"/>
          <w:color w:val="000000"/>
          <w:sz w:val="22"/>
          <w:szCs w:val="22"/>
        </w:rPr>
        <w:t>In order to</w:t>
      </w:r>
      <w:proofErr w:type="gramEnd"/>
      <w:r w:rsidRPr="007D5DE3">
        <w:rPr>
          <w:rFonts w:ascii="Arial" w:hAnsi="Arial" w:cs="Arial"/>
          <w:color w:val="000000"/>
          <w:sz w:val="22"/>
          <w:szCs w:val="22"/>
        </w:rPr>
        <w:t xml:space="preserve"> overcome these continued investment, policy support and multimodal way of care are essential for </w:t>
      </w:r>
      <w:r w:rsidR="0052645A" w:rsidRPr="007D5DE3">
        <w:rPr>
          <w:rFonts w:ascii="Arial" w:hAnsi="Arial" w:cs="Arial"/>
          <w:color w:val="000000"/>
          <w:sz w:val="22"/>
          <w:szCs w:val="22"/>
        </w:rPr>
        <w:t>assuring early</w:t>
      </w:r>
      <w:r w:rsidRPr="007D5DE3">
        <w:rPr>
          <w:rFonts w:ascii="Arial" w:hAnsi="Arial" w:cs="Arial"/>
          <w:color w:val="000000"/>
          <w:sz w:val="22"/>
          <w:szCs w:val="22"/>
        </w:rPr>
        <w:t xml:space="preserve"> intervention possible and to reach its full benefits for young people and all communities. </w:t>
      </w:r>
    </w:p>
    <w:p w14:paraId="4CF99F70" w14:textId="77777777" w:rsidR="00831184" w:rsidRPr="007D5DE3" w:rsidRDefault="00831184" w:rsidP="007D5DE3">
      <w:pPr>
        <w:spacing w:line="480" w:lineRule="auto"/>
        <w:jc w:val="both"/>
        <w:rPr>
          <w:rFonts w:ascii="Arial" w:eastAsia="Calibri" w:hAnsi="Arial" w:cs="Arial"/>
          <w:sz w:val="22"/>
          <w:szCs w:val="22"/>
        </w:rPr>
      </w:pPr>
    </w:p>
    <w:p w14:paraId="1F666348" w14:textId="2F0D0288" w:rsidR="00831184" w:rsidRPr="007D5DE3" w:rsidRDefault="00831184" w:rsidP="00A74DF0">
      <w:pPr>
        <w:spacing w:line="480" w:lineRule="auto"/>
        <w:jc w:val="right"/>
        <w:rPr>
          <w:rFonts w:ascii="Arial" w:eastAsia="Calibri" w:hAnsi="Arial" w:cs="Arial"/>
          <w:b/>
          <w:bCs/>
          <w:sz w:val="22"/>
          <w:szCs w:val="22"/>
        </w:rPr>
      </w:pPr>
      <w:r w:rsidRPr="007D5DE3">
        <w:rPr>
          <w:rFonts w:ascii="Arial" w:eastAsia="Calibri" w:hAnsi="Arial" w:cs="Arial"/>
          <w:b/>
          <w:bCs/>
          <w:sz w:val="22"/>
          <w:szCs w:val="22"/>
        </w:rPr>
        <w:t>WORD COUNT: 10</w:t>
      </w:r>
      <w:r w:rsidR="00A74DF0">
        <w:rPr>
          <w:rFonts w:ascii="Arial" w:eastAsia="Calibri" w:hAnsi="Arial" w:cs="Arial"/>
          <w:b/>
          <w:bCs/>
          <w:sz w:val="22"/>
          <w:szCs w:val="22"/>
        </w:rPr>
        <w:t>39</w:t>
      </w:r>
    </w:p>
    <w:p w14:paraId="35FB8198" w14:textId="77777777" w:rsidR="00831184" w:rsidRPr="007D5DE3" w:rsidRDefault="00831184" w:rsidP="007D5DE3">
      <w:pPr>
        <w:spacing w:line="480" w:lineRule="auto"/>
        <w:jc w:val="both"/>
        <w:rPr>
          <w:rFonts w:ascii="Arial" w:eastAsia="Calibri" w:hAnsi="Arial" w:cs="Arial"/>
          <w:sz w:val="22"/>
          <w:szCs w:val="22"/>
        </w:rPr>
      </w:pPr>
    </w:p>
    <w:p w14:paraId="0CA78627" w14:textId="77777777" w:rsidR="00831184" w:rsidRPr="007D5DE3" w:rsidRDefault="00831184" w:rsidP="007D5DE3">
      <w:pPr>
        <w:spacing w:line="480" w:lineRule="auto"/>
        <w:jc w:val="both"/>
        <w:rPr>
          <w:rFonts w:ascii="Arial" w:eastAsia="Calibri" w:hAnsi="Arial" w:cs="Arial"/>
          <w:sz w:val="22"/>
          <w:szCs w:val="22"/>
        </w:rPr>
      </w:pPr>
    </w:p>
    <w:p w14:paraId="11D24928" w14:textId="77777777" w:rsidR="00831184" w:rsidRPr="007D5DE3" w:rsidRDefault="00831184" w:rsidP="007D5DE3">
      <w:pPr>
        <w:spacing w:line="480" w:lineRule="auto"/>
        <w:jc w:val="both"/>
        <w:rPr>
          <w:rFonts w:ascii="Arial" w:eastAsia="Calibri" w:hAnsi="Arial" w:cs="Arial"/>
          <w:sz w:val="22"/>
          <w:szCs w:val="22"/>
        </w:rPr>
      </w:pPr>
    </w:p>
    <w:p w14:paraId="4B4D45D8" w14:textId="77777777" w:rsidR="00831184" w:rsidRPr="007D5DE3" w:rsidRDefault="00831184" w:rsidP="007D5DE3">
      <w:pPr>
        <w:spacing w:line="480" w:lineRule="auto"/>
        <w:jc w:val="both"/>
        <w:rPr>
          <w:rFonts w:ascii="Arial" w:eastAsia="Calibri" w:hAnsi="Arial" w:cs="Arial"/>
          <w:sz w:val="22"/>
          <w:szCs w:val="22"/>
        </w:rPr>
      </w:pPr>
    </w:p>
    <w:p w14:paraId="6E7D3FCA" w14:textId="77777777" w:rsidR="00831184" w:rsidRPr="007D5DE3" w:rsidRDefault="00831184" w:rsidP="007D5DE3">
      <w:pPr>
        <w:spacing w:line="480" w:lineRule="auto"/>
        <w:ind w:right="531"/>
        <w:jc w:val="both"/>
        <w:rPr>
          <w:rFonts w:ascii="Arial" w:eastAsia="Calibri" w:hAnsi="Arial" w:cs="Arial"/>
          <w:b/>
          <w:bCs/>
          <w:sz w:val="22"/>
          <w:szCs w:val="22"/>
        </w:rPr>
      </w:pPr>
    </w:p>
    <w:p w14:paraId="56051DCB" w14:textId="77777777" w:rsidR="00831184" w:rsidRDefault="00831184" w:rsidP="00B93AC8">
      <w:pPr>
        <w:spacing w:line="360" w:lineRule="auto"/>
        <w:ind w:right="531"/>
        <w:jc w:val="both"/>
        <w:rPr>
          <w:rFonts w:ascii="Arial" w:eastAsia="Calibri" w:hAnsi="Arial" w:cs="Arial"/>
          <w:b/>
          <w:bCs/>
          <w:sz w:val="28"/>
          <w:szCs w:val="28"/>
        </w:rPr>
      </w:pPr>
    </w:p>
    <w:p w14:paraId="1D54E6DD" w14:textId="77777777" w:rsidR="00831184" w:rsidRDefault="00831184" w:rsidP="00B93AC8">
      <w:pPr>
        <w:spacing w:line="360" w:lineRule="auto"/>
        <w:ind w:right="531"/>
        <w:jc w:val="both"/>
        <w:rPr>
          <w:rFonts w:ascii="Arial" w:eastAsia="Calibri" w:hAnsi="Arial" w:cs="Arial"/>
          <w:b/>
          <w:bCs/>
          <w:sz w:val="28"/>
          <w:szCs w:val="28"/>
        </w:rPr>
      </w:pPr>
    </w:p>
    <w:p w14:paraId="5D297843" w14:textId="77777777" w:rsidR="00831184" w:rsidRDefault="00831184" w:rsidP="00B93AC8">
      <w:pPr>
        <w:spacing w:line="360" w:lineRule="auto"/>
        <w:ind w:right="531"/>
        <w:jc w:val="both"/>
        <w:rPr>
          <w:rFonts w:ascii="Arial" w:eastAsia="Calibri" w:hAnsi="Arial" w:cs="Arial"/>
          <w:b/>
          <w:bCs/>
          <w:sz w:val="28"/>
          <w:szCs w:val="28"/>
        </w:rPr>
      </w:pPr>
    </w:p>
    <w:p w14:paraId="1AF7833A" w14:textId="77777777" w:rsidR="00831184" w:rsidRDefault="00831184" w:rsidP="00B93AC8">
      <w:pPr>
        <w:spacing w:line="360" w:lineRule="auto"/>
        <w:ind w:right="531"/>
        <w:jc w:val="both"/>
        <w:rPr>
          <w:rFonts w:ascii="Arial" w:eastAsia="Calibri" w:hAnsi="Arial" w:cs="Arial"/>
          <w:b/>
          <w:bCs/>
          <w:sz w:val="28"/>
          <w:szCs w:val="28"/>
        </w:rPr>
      </w:pPr>
    </w:p>
    <w:p w14:paraId="2471F63A" w14:textId="77777777" w:rsidR="00831184" w:rsidRDefault="00831184" w:rsidP="00B93AC8">
      <w:pPr>
        <w:spacing w:line="360" w:lineRule="auto"/>
        <w:ind w:right="531"/>
        <w:jc w:val="both"/>
        <w:rPr>
          <w:rFonts w:ascii="Arial" w:eastAsia="Calibri" w:hAnsi="Arial" w:cs="Arial"/>
          <w:b/>
          <w:bCs/>
          <w:sz w:val="28"/>
          <w:szCs w:val="28"/>
        </w:rPr>
      </w:pPr>
    </w:p>
    <w:p w14:paraId="42FFE4B7" w14:textId="77777777" w:rsidR="00831184" w:rsidRDefault="00831184" w:rsidP="00B93AC8">
      <w:pPr>
        <w:spacing w:line="360" w:lineRule="auto"/>
        <w:ind w:right="531"/>
        <w:jc w:val="both"/>
        <w:rPr>
          <w:rFonts w:ascii="Arial" w:eastAsia="Calibri" w:hAnsi="Arial" w:cs="Arial"/>
          <w:b/>
          <w:bCs/>
          <w:sz w:val="28"/>
          <w:szCs w:val="28"/>
        </w:rPr>
      </w:pPr>
    </w:p>
    <w:p w14:paraId="5D69F5A5" w14:textId="77777777" w:rsidR="00B90A8A" w:rsidRDefault="00B90A8A" w:rsidP="00B93AC8">
      <w:pPr>
        <w:spacing w:line="360" w:lineRule="auto"/>
        <w:ind w:right="531"/>
        <w:jc w:val="both"/>
        <w:rPr>
          <w:rFonts w:ascii="Arial" w:eastAsia="Calibri" w:hAnsi="Arial" w:cs="Arial"/>
          <w:b/>
          <w:bCs/>
          <w:sz w:val="28"/>
          <w:szCs w:val="28"/>
        </w:rPr>
      </w:pPr>
    </w:p>
    <w:p w14:paraId="6C19A745" w14:textId="77777777" w:rsidR="00B90A8A" w:rsidRDefault="00B90A8A" w:rsidP="00B93AC8">
      <w:pPr>
        <w:spacing w:line="360" w:lineRule="auto"/>
        <w:ind w:right="531"/>
        <w:jc w:val="both"/>
        <w:rPr>
          <w:rFonts w:ascii="Arial" w:eastAsia="Calibri" w:hAnsi="Arial" w:cs="Arial"/>
          <w:b/>
          <w:bCs/>
          <w:sz w:val="28"/>
          <w:szCs w:val="28"/>
        </w:rPr>
      </w:pPr>
    </w:p>
    <w:p w14:paraId="505000D1" w14:textId="77777777" w:rsidR="00B90A8A" w:rsidRDefault="00B90A8A" w:rsidP="00B93AC8">
      <w:pPr>
        <w:spacing w:line="360" w:lineRule="auto"/>
        <w:ind w:right="531"/>
        <w:jc w:val="both"/>
        <w:rPr>
          <w:rFonts w:ascii="Arial" w:eastAsia="Calibri" w:hAnsi="Arial" w:cs="Arial"/>
          <w:b/>
          <w:bCs/>
          <w:sz w:val="28"/>
          <w:szCs w:val="28"/>
        </w:rPr>
      </w:pPr>
    </w:p>
    <w:p w14:paraId="27EEE9CC" w14:textId="77777777" w:rsidR="00B90A8A" w:rsidRDefault="00B90A8A" w:rsidP="00B93AC8">
      <w:pPr>
        <w:spacing w:line="360" w:lineRule="auto"/>
        <w:ind w:right="531"/>
        <w:jc w:val="both"/>
        <w:rPr>
          <w:rFonts w:ascii="Arial" w:eastAsia="Calibri" w:hAnsi="Arial" w:cs="Arial"/>
          <w:b/>
          <w:bCs/>
          <w:sz w:val="28"/>
          <w:szCs w:val="28"/>
        </w:rPr>
      </w:pPr>
    </w:p>
    <w:p w14:paraId="7F19EFF4" w14:textId="77777777" w:rsidR="00B90A8A" w:rsidRDefault="00B90A8A" w:rsidP="00B93AC8">
      <w:pPr>
        <w:spacing w:line="360" w:lineRule="auto"/>
        <w:ind w:right="531"/>
        <w:jc w:val="both"/>
        <w:rPr>
          <w:rFonts w:ascii="Arial" w:eastAsia="Calibri" w:hAnsi="Arial" w:cs="Arial"/>
          <w:b/>
          <w:bCs/>
          <w:sz w:val="28"/>
          <w:szCs w:val="28"/>
        </w:rPr>
      </w:pPr>
    </w:p>
    <w:p w14:paraId="1B32B237" w14:textId="77777777" w:rsidR="00B90A8A" w:rsidRDefault="00B90A8A" w:rsidP="00B93AC8">
      <w:pPr>
        <w:spacing w:line="360" w:lineRule="auto"/>
        <w:ind w:right="531"/>
        <w:jc w:val="both"/>
        <w:rPr>
          <w:rFonts w:ascii="Arial" w:eastAsia="Calibri" w:hAnsi="Arial" w:cs="Arial"/>
          <w:b/>
          <w:bCs/>
          <w:sz w:val="28"/>
          <w:szCs w:val="28"/>
        </w:rPr>
      </w:pPr>
    </w:p>
    <w:p w14:paraId="22CED3A7" w14:textId="77777777" w:rsidR="00B90A8A" w:rsidRDefault="00B90A8A" w:rsidP="00B93AC8">
      <w:pPr>
        <w:spacing w:line="360" w:lineRule="auto"/>
        <w:ind w:right="531"/>
        <w:jc w:val="both"/>
        <w:rPr>
          <w:rFonts w:ascii="Arial" w:eastAsia="Calibri" w:hAnsi="Arial" w:cs="Arial"/>
          <w:b/>
          <w:bCs/>
          <w:sz w:val="28"/>
          <w:szCs w:val="28"/>
        </w:rPr>
      </w:pPr>
    </w:p>
    <w:p w14:paraId="08846378" w14:textId="77777777" w:rsidR="00B90A8A" w:rsidRDefault="00B90A8A" w:rsidP="00B93AC8">
      <w:pPr>
        <w:spacing w:line="360" w:lineRule="auto"/>
        <w:ind w:right="531"/>
        <w:jc w:val="both"/>
        <w:rPr>
          <w:rFonts w:ascii="Arial" w:eastAsia="Calibri" w:hAnsi="Arial" w:cs="Arial"/>
          <w:b/>
          <w:bCs/>
          <w:sz w:val="28"/>
          <w:szCs w:val="28"/>
        </w:rPr>
      </w:pPr>
    </w:p>
    <w:p w14:paraId="6DF60B8E" w14:textId="77777777" w:rsidR="00831184" w:rsidRDefault="00831184" w:rsidP="00831184">
      <w:pPr>
        <w:spacing w:line="257" w:lineRule="auto"/>
        <w:ind w:right="531"/>
        <w:jc w:val="center"/>
        <w:rPr>
          <w:rFonts w:ascii="Arial" w:eastAsia="Calibri" w:hAnsi="Arial" w:cs="Arial"/>
          <w:b/>
          <w:bCs/>
          <w:sz w:val="28"/>
          <w:szCs w:val="28"/>
        </w:rPr>
      </w:pPr>
    </w:p>
    <w:p w14:paraId="6EBD8367" w14:textId="77777777" w:rsidR="00831184" w:rsidRDefault="00831184" w:rsidP="00831184">
      <w:pPr>
        <w:spacing w:line="257" w:lineRule="auto"/>
        <w:ind w:right="531"/>
        <w:jc w:val="center"/>
        <w:rPr>
          <w:rFonts w:ascii="Arial" w:eastAsia="Calibri" w:hAnsi="Arial" w:cs="Arial"/>
          <w:b/>
          <w:bCs/>
          <w:sz w:val="28"/>
          <w:szCs w:val="28"/>
        </w:rPr>
      </w:pPr>
      <w:r w:rsidRPr="00F91B95">
        <w:rPr>
          <w:rFonts w:ascii="Arial" w:eastAsia="Calibri" w:hAnsi="Arial" w:cs="Arial"/>
          <w:b/>
          <w:bCs/>
          <w:sz w:val="28"/>
          <w:szCs w:val="28"/>
        </w:rPr>
        <w:lastRenderedPageBreak/>
        <w:t>REFERENCES:</w:t>
      </w:r>
    </w:p>
    <w:p w14:paraId="03FA99BE" w14:textId="77777777" w:rsidR="00B90A8A" w:rsidRDefault="00B90A8A" w:rsidP="00831184">
      <w:pPr>
        <w:spacing w:line="257" w:lineRule="auto"/>
        <w:ind w:right="531"/>
        <w:jc w:val="center"/>
        <w:rPr>
          <w:rFonts w:ascii="Arial" w:eastAsia="Calibri" w:hAnsi="Arial" w:cs="Arial"/>
          <w:b/>
          <w:bCs/>
          <w:sz w:val="28"/>
          <w:szCs w:val="28"/>
        </w:rPr>
      </w:pPr>
    </w:p>
    <w:p w14:paraId="66754341" w14:textId="0E23B748" w:rsidR="00865F84" w:rsidRDefault="00865F84"/>
    <w:p w14:paraId="50FEC590" w14:textId="2129660C" w:rsidR="007F2C7E" w:rsidRPr="00D240E0" w:rsidRDefault="007F2C7E"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rPr>
        <w:t>ACAS (2024)</w:t>
      </w:r>
      <w:r w:rsidR="001D254F" w:rsidRPr="00D240E0">
        <w:rPr>
          <w:rFonts w:ascii="Arial" w:hAnsi="Arial" w:cs="Arial"/>
        </w:rPr>
        <w:t>,</w:t>
      </w:r>
      <w:r w:rsidRPr="00D240E0">
        <w:rPr>
          <w:rFonts w:ascii="Arial" w:hAnsi="Arial" w:cs="Arial"/>
        </w:rPr>
        <w:t xml:space="preserve"> </w:t>
      </w:r>
      <w:r w:rsidRPr="00D240E0">
        <w:rPr>
          <w:rFonts w:ascii="Arial" w:hAnsi="Arial" w:cs="Arial"/>
          <w:i/>
          <w:iCs/>
        </w:rPr>
        <w:t xml:space="preserve">Improving equality, Diversity and Inclusion in Your </w:t>
      </w:r>
      <w:r w:rsidR="00D240E0" w:rsidRPr="00D240E0">
        <w:rPr>
          <w:rFonts w:ascii="Arial" w:hAnsi="Arial" w:cs="Arial"/>
          <w:i/>
          <w:iCs/>
        </w:rPr>
        <w:t>Workplace,</w:t>
      </w:r>
      <w:r w:rsidR="00C57282" w:rsidRPr="00D240E0">
        <w:rPr>
          <w:rFonts w:ascii="Arial" w:hAnsi="Arial" w:cs="Arial"/>
        </w:rPr>
        <w:t xml:space="preserve"> </w:t>
      </w:r>
      <w:r w:rsidRPr="00D240E0">
        <w:rPr>
          <w:rFonts w:ascii="Arial" w:hAnsi="Arial" w:cs="Arial"/>
        </w:rPr>
        <w:t>Available at: https://www.acas.org.uk/improving-equality-diversity-and-inclusion</w:t>
      </w:r>
      <w:r w:rsidR="001D254F" w:rsidRPr="00D240E0">
        <w:rPr>
          <w:rFonts w:ascii="Arial" w:hAnsi="Arial" w:cs="Arial"/>
          <w:color w:val="000000" w:themeColor="text1"/>
        </w:rPr>
        <w:t xml:space="preserve"> (Accessed 24th of June 2025)</w:t>
      </w:r>
    </w:p>
    <w:p w14:paraId="73477B0C" w14:textId="7122B319" w:rsidR="00E60C75" w:rsidRPr="00D240E0" w:rsidRDefault="00E60C75"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Ashton, S.</w:t>
      </w:r>
      <w:r w:rsidR="00D240E0" w:rsidRPr="00D240E0">
        <w:rPr>
          <w:rFonts w:ascii="Arial" w:hAnsi="Arial" w:cs="Arial"/>
          <w:color w:val="000000"/>
        </w:rPr>
        <w:t xml:space="preserve"> </w:t>
      </w:r>
      <w:r w:rsidRPr="00D240E0">
        <w:rPr>
          <w:rFonts w:ascii="Arial" w:hAnsi="Arial" w:cs="Arial"/>
          <w:color w:val="000000"/>
        </w:rPr>
        <w:t>A. (2024)</w:t>
      </w:r>
      <w:r w:rsidR="00D240E0" w:rsidRPr="00D240E0">
        <w:rPr>
          <w:rFonts w:ascii="Arial" w:hAnsi="Arial" w:cs="Arial"/>
          <w:color w:val="000000"/>
        </w:rPr>
        <w:t>,</w:t>
      </w:r>
      <w:r w:rsidRPr="00D240E0">
        <w:rPr>
          <w:rFonts w:ascii="Arial" w:hAnsi="Arial" w:cs="Arial"/>
          <w:color w:val="000000"/>
        </w:rPr>
        <w:t xml:space="preserve"> </w:t>
      </w:r>
      <w:r w:rsidRPr="00D240E0">
        <w:rPr>
          <w:rFonts w:ascii="Arial" w:hAnsi="Arial" w:cs="Arial"/>
          <w:i/>
          <w:iCs/>
          <w:color w:val="000000"/>
        </w:rPr>
        <w:t>A geography of early vulnerabilities and exploitation in the narratives of adolescent males in England.</w:t>
      </w:r>
      <w:r w:rsidRPr="00D240E0">
        <w:rPr>
          <w:rStyle w:val="apple-converted-space"/>
          <w:rFonts w:ascii="Arial" w:eastAsiaTheme="majorEastAsia" w:hAnsi="Arial" w:cs="Arial"/>
          <w:color w:val="000000"/>
        </w:rPr>
        <w:t> </w:t>
      </w:r>
      <w:r w:rsidRPr="00D240E0">
        <w:rPr>
          <w:rFonts w:ascii="Arial" w:hAnsi="Arial" w:cs="Arial"/>
          <w:color w:val="000000"/>
        </w:rPr>
        <w:t>Journal of Criminal</w:t>
      </w:r>
      <w:r w:rsidRPr="00D240E0">
        <w:rPr>
          <w:rFonts w:ascii="Arial" w:hAnsi="Arial" w:cs="Arial"/>
          <w:i/>
          <w:iCs/>
          <w:color w:val="000000"/>
        </w:rPr>
        <w:t xml:space="preserve"> </w:t>
      </w:r>
      <w:r w:rsidRPr="00D240E0">
        <w:rPr>
          <w:rFonts w:ascii="Arial" w:hAnsi="Arial" w:cs="Arial"/>
          <w:color w:val="000000"/>
        </w:rPr>
        <w:t xml:space="preserve">Psychology. </w:t>
      </w:r>
      <w:r w:rsidR="00D240E0">
        <w:rPr>
          <w:rFonts w:ascii="Arial" w:hAnsi="Arial" w:cs="Arial"/>
          <w:color w:val="000000"/>
        </w:rPr>
        <w:t xml:space="preserve">Available at: </w:t>
      </w:r>
      <w:r w:rsidR="00D240E0" w:rsidRPr="00D240E0">
        <w:rPr>
          <w:rFonts w:ascii="Arial" w:hAnsi="Arial" w:cs="Arial"/>
          <w:color w:val="000000"/>
        </w:rPr>
        <w:t>https://doi.org/10.1108/j</w:t>
      </w:r>
      <w:r w:rsidR="00D240E0" w:rsidRPr="00D240E0">
        <w:rPr>
          <w:rFonts w:ascii="Arial" w:hAnsi="Arial" w:cs="Arial"/>
          <w:color w:val="000000"/>
        </w:rPr>
        <w:t>c</w:t>
      </w:r>
      <w:r w:rsidR="00D240E0" w:rsidRPr="00D240E0">
        <w:rPr>
          <w:rFonts w:ascii="Arial" w:hAnsi="Arial" w:cs="Arial"/>
          <w:color w:val="000000"/>
        </w:rPr>
        <w:t>p-07-2024-0064</w:t>
      </w:r>
      <w:r w:rsidRPr="00D240E0">
        <w:rPr>
          <w:rFonts w:ascii="Arial" w:hAnsi="Arial" w:cs="Arial"/>
          <w:color w:val="000000"/>
        </w:rPr>
        <w:t>.</w:t>
      </w:r>
      <w:r w:rsidR="00D240E0">
        <w:rPr>
          <w:rFonts w:ascii="Arial" w:hAnsi="Arial" w:cs="Arial"/>
          <w:color w:val="000000"/>
        </w:rPr>
        <w:t xml:space="preserve"> </w:t>
      </w:r>
      <w:r w:rsidR="00D240E0" w:rsidRPr="00B90A8A">
        <w:rPr>
          <w:rFonts w:ascii="Arial" w:hAnsi="Arial" w:cs="Arial"/>
          <w:color w:val="000000" w:themeColor="text1"/>
        </w:rPr>
        <w:t>(Accessed 24th of June 2025)</w:t>
      </w:r>
    </w:p>
    <w:p w14:paraId="2F11C198" w14:textId="2370491A" w:rsidR="007F2C7E" w:rsidRPr="00220802" w:rsidRDefault="0032070D"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Brewster, B., Robinson, G., Silverman, B.W. and Walsh, D. (2021). </w:t>
      </w:r>
      <w:r w:rsidRPr="00D240E0">
        <w:rPr>
          <w:rFonts w:ascii="Arial" w:hAnsi="Arial" w:cs="Arial"/>
          <w:i/>
          <w:iCs/>
          <w:color w:val="000000"/>
        </w:rPr>
        <w:t>Covid-19 and Child Criminal Exploitation in the UK: Implications of the Pandemic for County Lines.</w:t>
      </w:r>
      <w:r w:rsidRPr="00D240E0">
        <w:rPr>
          <w:rStyle w:val="apple-converted-space"/>
          <w:rFonts w:ascii="Arial" w:eastAsiaTheme="majorEastAsia" w:hAnsi="Arial" w:cs="Arial"/>
          <w:i/>
          <w:iCs/>
          <w:color w:val="000000"/>
        </w:rPr>
        <w:t> </w:t>
      </w:r>
      <w:r w:rsidRPr="00D240E0">
        <w:rPr>
          <w:rFonts w:ascii="Arial" w:hAnsi="Arial" w:cs="Arial"/>
          <w:i/>
          <w:iCs/>
          <w:color w:val="000000"/>
        </w:rPr>
        <w:t xml:space="preserve">Trends in Organized </w:t>
      </w:r>
      <w:r w:rsidR="00D240E0" w:rsidRPr="00D240E0">
        <w:rPr>
          <w:rFonts w:ascii="Arial" w:hAnsi="Arial" w:cs="Arial"/>
          <w:i/>
          <w:iCs/>
          <w:color w:val="000000"/>
        </w:rPr>
        <w:t>Crime,</w:t>
      </w:r>
      <w:r w:rsidR="00D240E0" w:rsidRPr="00D240E0">
        <w:rPr>
          <w:rFonts w:ascii="Arial" w:hAnsi="Arial" w:cs="Arial"/>
          <w:color w:val="000000"/>
        </w:rPr>
        <w:t xml:space="preserve"> 26</w:t>
      </w:r>
      <w:r w:rsidRPr="00D240E0">
        <w:rPr>
          <w:rFonts w:ascii="Arial" w:hAnsi="Arial" w:cs="Arial"/>
          <w:color w:val="000000"/>
        </w:rPr>
        <w:t xml:space="preserve">(2). Available at: </w:t>
      </w:r>
      <w:r w:rsidR="00D240E0" w:rsidRPr="00D240E0">
        <w:rPr>
          <w:rFonts w:ascii="Arial" w:hAnsi="Arial" w:cs="Arial"/>
          <w:color w:val="000000"/>
        </w:rPr>
        <w:t>https://link.springer.com/article/10.1007/s12117-021-09442</w:t>
      </w:r>
      <w:r w:rsidR="00D240E0">
        <w:rPr>
          <w:rFonts w:ascii="Arial" w:hAnsi="Arial" w:cs="Arial"/>
          <w:color w:val="000000"/>
        </w:rPr>
        <w:t xml:space="preserve"> </w:t>
      </w:r>
      <w:r w:rsidR="00D240E0" w:rsidRPr="00B90A8A">
        <w:rPr>
          <w:rFonts w:ascii="Arial" w:hAnsi="Arial" w:cs="Arial"/>
          <w:color w:val="000000" w:themeColor="text1"/>
        </w:rPr>
        <w:t>(Accessed 24th of June 2025)</w:t>
      </w:r>
    </w:p>
    <w:p w14:paraId="5EA29C26" w14:textId="250C0F2A" w:rsidR="006664A6" w:rsidRPr="00D240E0" w:rsidRDefault="006664A6" w:rsidP="00220802">
      <w:pPr>
        <w:pStyle w:val="NormalWeb"/>
        <w:numPr>
          <w:ilvl w:val="0"/>
          <w:numId w:val="1"/>
        </w:numPr>
        <w:spacing w:before="0" w:beforeAutospacing="0" w:after="240" w:afterAutospacing="0" w:line="480" w:lineRule="auto"/>
        <w:rPr>
          <w:rFonts w:ascii="Arial" w:hAnsi="Arial" w:cs="Arial"/>
          <w:color w:val="000000"/>
        </w:rPr>
      </w:pPr>
      <w:proofErr w:type="spellStart"/>
      <w:r w:rsidRPr="00D240E0">
        <w:rPr>
          <w:rFonts w:ascii="Arial" w:hAnsi="Arial" w:cs="Arial"/>
          <w:color w:val="000000"/>
        </w:rPr>
        <w:t>Celinska</w:t>
      </w:r>
      <w:proofErr w:type="spellEnd"/>
      <w:r w:rsidRPr="00D240E0">
        <w:rPr>
          <w:rFonts w:ascii="Arial" w:hAnsi="Arial" w:cs="Arial"/>
          <w:color w:val="000000"/>
        </w:rPr>
        <w:t xml:space="preserve">, K., Sung, H.-E., Kim, C. and Valdimarsdottir, M. (2018). </w:t>
      </w:r>
      <w:r w:rsidRPr="004754E1">
        <w:rPr>
          <w:rFonts w:ascii="Arial" w:hAnsi="Arial" w:cs="Arial"/>
          <w:i/>
          <w:iCs/>
          <w:color w:val="000000"/>
        </w:rPr>
        <w:t>An outcome evaluation of Functional Family Therapy for court-involved youth.</w:t>
      </w:r>
      <w:r w:rsidRPr="00D240E0">
        <w:rPr>
          <w:rStyle w:val="apple-converted-space"/>
          <w:rFonts w:ascii="Arial" w:eastAsiaTheme="majorEastAsia" w:hAnsi="Arial" w:cs="Arial"/>
          <w:color w:val="000000"/>
        </w:rPr>
        <w:t> </w:t>
      </w:r>
      <w:r w:rsidRPr="004754E1">
        <w:rPr>
          <w:rFonts w:ascii="Arial" w:hAnsi="Arial" w:cs="Arial"/>
          <w:color w:val="000000"/>
        </w:rPr>
        <w:t>Journal of Family Therapy</w:t>
      </w:r>
      <w:r w:rsidRPr="00D240E0">
        <w:rPr>
          <w:rFonts w:ascii="Arial" w:hAnsi="Arial" w:cs="Arial"/>
          <w:color w:val="000000"/>
        </w:rPr>
        <w:t xml:space="preserve">, 41(2), pp.251–276. </w:t>
      </w:r>
      <w:r w:rsidR="004754E1">
        <w:rPr>
          <w:rFonts w:ascii="Arial" w:hAnsi="Arial" w:cs="Arial"/>
          <w:color w:val="000000"/>
        </w:rPr>
        <w:t xml:space="preserve">Available at: </w:t>
      </w:r>
      <w:r w:rsidR="00F86423" w:rsidRPr="00D240E0">
        <w:rPr>
          <w:rFonts w:ascii="Arial" w:hAnsi="Arial" w:cs="Arial"/>
          <w:color w:val="000000"/>
        </w:rPr>
        <w:t>https://doi.org/10.1111/1467-6427.12224</w:t>
      </w:r>
      <w:r w:rsidRPr="00D240E0">
        <w:rPr>
          <w:rFonts w:ascii="Arial" w:hAnsi="Arial" w:cs="Arial"/>
          <w:color w:val="000000"/>
        </w:rPr>
        <w:t>. (Accessed 15 May 2025)</w:t>
      </w:r>
    </w:p>
    <w:p w14:paraId="647098FD" w14:textId="3582693D"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College of Policing (2021).</w:t>
      </w:r>
      <w:r w:rsidRPr="00D240E0">
        <w:rPr>
          <w:rStyle w:val="apple-converted-space"/>
          <w:rFonts w:ascii="Arial" w:eastAsiaTheme="majorEastAsia" w:hAnsi="Arial" w:cs="Arial"/>
          <w:color w:val="000000"/>
        </w:rPr>
        <w:t> </w:t>
      </w:r>
      <w:r w:rsidRPr="000C19CA">
        <w:rPr>
          <w:rFonts w:ascii="Arial" w:hAnsi="Arial" w:cs="Arial"/>
          <w:i/>
          <w:iCs/>
          <w:color w:val="000000"/>
        </w:rPr>
        <w:t>Wellbeing.</w:t>
      </w:r>
      <w:r w:rsidRPr="00D240E0">
        <w:rPr>
          <w:rFonts w:ascii="Arial" w:hAnsi="Arial" w:cs="Arial"/>
          <w:color w:val="000000"/>
        </w:rPr>
        <w:t xml:space="preserve"> Available at: </w:t>
      </w:r>
      <w:r w:rsidR="000C19CA" w:rsidRPr="000C19CA">
        <w:rPr>
          <w:rFonts w:ascii="Arial" w:hAnsi="Arial" w:cs="Arial"/>
          <w:color w:val="000000"/>
        </w:rPr>
        <w:t>https://www.college.police.uk/support-forces/health-safety-welfare/wellbeing</w:t>
      </w:r>
      <w:r w:rsidRPr="00D240E0">
        <w:rPr>
          <w:rFonts w:ascii="Arial" w:hAnsi="Arial" w:cs="Arial"/>
          <w:color w:val="000000"/>
        </w:rPr>
        <w:t>.</w:t>
      </w:r>
      <w:r w:rsidR="000C19CA">
        <w:rPr>
          <w:rFonts w:ascii="Arial" w:hAnsi="Arial" w:cs="Arial"/>
          <w:color w:val="000000"/>
        </w:rPr>
        <w:t xml:space="preserve"> </w:t>
      </w:r>
      <w:r w:rsidR="000C19CA" w:rsidRPr="00B90A8A">
        <w:rPr>
          <w:rFonts w:ascii="Arial" w:hAnsi="Arial" w:cs="Arial"/>
          <w:color w:val="000000" w:themeColor="text1"/>
        </w:rPr>
        <w:t>(Accessed 24th of June 2025)</w:t>
      </w:r>
    </w:p>
    <w:p w14:paraId="0033F5FD" w14:textId="2858768E"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lastRenderedPageBreak/>
        <w:t>College of Policing (2024).</w:t>
      </w:r>
      <w:r w:rsidRPr="00D240E0">
        <w:rPr>
          <w:rStyle w:val="apple-converted-space"/>
          <w:rFonts w:ascii="Arial" w:eastAsiaTheme="majorEastAsia" w:hAnsi="Arial" w:cs="Arial"/>
          <w:color w:val="000000"/>
        </w:rPr>
        <w:t> </w:t>
      </w:r>
      <w:r w:rsidRPr="00D240E0">
        <w:rPr>
          <w:rFonts w:ascii="Arial" w:hAnsi="Arial" w:cs="Arial"/>
          <w:i/>
          <w:iCs/>
          <w:color w:val="000000"/>
        </w:rPr>
        <w:t>Ethical Policing Principles</w:t>
      </w:r>
      <w:r w:rsidRPr="00D240E0">
        <w:rPr>
          <w:rFonts w:ascii="Arial" w:hAnsi="Arial" w:cs="Arial"/>
          <w:color w:val="000000"/>
        </w:rPr>
        <w:t xml:space="preserve">. College of Policing. Available at: </w:t>
      </w:r>
      <w:r w:rsidR="000C19CA" w:rsidRPr="000C19CA">
        <w:rPr>
          <w:rFonts w:ascii="Arial" w:hAnsi="Arial" w:cs="Arial"/>
          <w:color w:val="000000"/>
        </w:rPr>
        <w:t>https://www.college.police.uk/ethics/code-of-ethics/principles</w:t>
      </w:r>
      <w:r w:rsidRPr="00D240E0">
        <w:rPr>
          <w:rFonts w:ascii="Arial" w:hAnsi="Arial" w:cs="Arial"/>
          <w:color w:val="000000"/>
        </w:rPr>
        <w:t>.</w:t>
      </w:r>
      <w:r w:rsidR="000C19CA">
        <w:rPr>
          <w:rFonts w:ascii="Arial" w:hAnsi="Arial" w:cs="Arial"/>
          <w:color w:val="000000"/>
        </w:rPr>
        <w:t xml:space="preserve"> </w:t>
      </w:r>
      <w:r w:rsidR="000C19CA" w:rsidRPr="00B90A8A">
        <w:rPr>
          <w:rFonts w:ascii="Arial" w:hAnsi="Arial" w:cs="Arial"/>
          <w:color w:val="000000" w:themeColor="text1"/>
        </w:rPr>
        <w:t>(Accessed 24th of June 2025)</w:t>
      </w:r>
    </w:p>
    <w:p w14:paraId="07BFC5EC" w14:textId="59FD4A9E" w:rsidR="006601EE" w:rsidRPr="00D240E0" w:rsidRDefault="002C45B5"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color w:val="000000"/>
        </w:rPr>
        <w:t>Commission on Race and Ethnic Disparities (2021).</w:t>
      </w:r>
      <w:r w:rsidRPr="00D240E0">
        <w:rPr>
          <w:rStyle w:val="apple-converted-space"/>
          <w:rFonts w:ascii="Arial" w:eastAsiaTheme="majorEastAsia" w:hAnsi="Arial" w:cs="Arial"/>
          <w:color w:val="000000"/>
        </w:rPr>
        <w:t> </w:t>
      </w:r>
      <w:r w:rsidRPr="00D240E0">
        <w:rPr>
          <w:rFonts w:ascii="Arial" w:hAnsi="Arial" w:cs="Arial"/>
          <w:i/>
          <w:iCs/>
          <w:color w:val="000000"/>
        </w:rPr>
        <w:t>Commission on Race and Ethnic Disparities: the Report</w:t>
      </w:r>
      <w:r w:rsidRPr="00D240E0">
        <w:rPr>
          <w:rFonts w:ascii="Arial" w:hAnsi="Arial" w:cs="Arial"/>
          <w:color w:val="000000"/>
        </w:rPr>
        <w:t xml:space="preserve">. GOV.UK. Available at: </w:t>
      </w:r>
      <w:r w:rsidR="001D254F" w:rsidRPr="00D240E0">
        <w:rPr>
          <w:rFonts w:ascii="Arial" w:hAnsi="Arial" w:cs="Arial"/>
          <w:color w:val="000000"/>
        </w:rPr>
        <w:t xml:space="preserve">https://www.gov.uk/government/publications/the-report-of-the-commission-on-race-and-ethnic-disparities </w:t>
      </w:r>
      <w:r w:rsidR="001D254F" w:rsidRPr="00D240E0">
        <w:rPr>
          <w:rFonts w:ascii="Arial" w:hAnsi="Arial" w:cs="Arial"/>
          <w:color w:val="000000" w:themeColor="text1"/>
        </w:rPr>
        <w:t>(Accessed 24th of June 2025)</w:t>
      </w:r>
    </w:p>
    <w:p w14:paraId="6318A43B" w14:textId="4959D8D3"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Craddock, T.B. and Telesco, G. (2021). </w:t>
      </w:r>
      <w:r w:rsidRPr="00D03C82">
        <w:rPr>
          <w:rFonts w:ascii="Arial" w:hAnsi="Arial" w:cs="Arial"/>
          <w:i/>
          <w:iCs/>
          <w:color w:val="000000"/>
        </w:rPr>
        <w:t>Police Stress and Deleterious Outcomes: Efforts Towards Improving Police Mental Health</w:t>
      </w:r>
      <w:r w:rsidRPr="00D240E0">
        <w:rPr>
          <w:rFonts w:ascii="Arial" w:hAnsi="Arial" w:cs="Arial"/>
          <w:color w:val="000000"/>
        </w:rPr>
        <w:t>.</w:t>
      </w:r>
      <w:r w:rsidRPr="00D240E0">
        <w:rPr>
          <w:rStyle w:val="apple-converted-space"/>
          <w:rFonts w:ascii="Arial" w:eastAsiaTheme="majorEastAsia" w:hAnsi="Arial" w:cs="Arial"/>
          <w:color w:val="000000"/>
        </w:rPr>
        <w:t> </w:t>
      </w:r>
      <w:r w:rsidRPr="00D03C82">
        <w:rPr>
          <w:rFonts w:ascii="Arial" w:hAnsi="Arial" w:cs="Arial"/>
          <w:color w:val="000000"/>
        </w:rPr>
        <w:t>Journal of Police and Criminal Psychology</w:t>
      </w:r>
      <w:r w:rsidRPr="00D240E0">
        <w:rPr>
          <w:rFonts w:ascii="Arial" w:hAnsi="Arial" w:cs="Arial"/>
          <w:color w:val="000000"/>
        </w:rPr>
        <w:t xml:space="preserve">, 37(1), pp.173–182. </w:t>
      </w:r>
      <w:r w:rsidR="00D03C82">
        <w:rPr>
          <w:rFonts w:ascii="Arial" w:hAnsi="Arial" w:cs="Arial"/>
          <w:color w:val="000000"/>
        </w:rPr>
        <w:t xml:space="preserve">Available at: </w:t>
      </w:r>
      <w:r w:rsidR="00D03C82" w:rsidRPr="00D03C82">
        <w:rPr>
          <w:rFonts w:ascii="Arial" w:hAnsi="Arial" w:cs="Arial"/>
          <w:color w:val="000000"/>
        </w:rPr>
        <w:t>https://doi.org/10.1007/s11896-021-09488-1</w:t>
      </w:r>
      <w:r w:rsidR="00D03C82">
        <w:rPr>
          <w:rFonts w:ascii="Arial" w:hAnsi="Arial" w:cs="Arial"/>
          <w:color w:val="000000"/>
        </w:rPr>
        <w:t xml:space="preserve"> </w:t>
      </w:r>
      <w:r w:rsidR="00D03C82" w:rsidRPr="00B90A8A">
        <w:rPr>
          <w:rFonts w:ascii="Arial" w:hAnsi="Arial" w:cs="Arial"/>
          <w:color w:val="000000" w:themeColor="text1"/>
        </w:rPr>
        <w:t>(Accessed 24th of June 2025)</w:t>
      </w:r>
    </w:p>
    <w:p w14:paraId="50C10486" w14:textId="3593D428" w:rsidR="00DA1404" w:rsidRPr="00C5441F" w:rsidRDefault="00DA1404" w:rsidP="00220802">
      <w:pPr>
        <w:pStyle w:val="NormalWeb"/>
        <w:numPr>
          <w:ilvl w:val="0"/>
          <w:numId w:val="1"/>
        </w:numPr>
        <w:spacing w:before="0" w:beforeAutospacing="0" w:after="240" w:afterAutospacing="0" w:line="480" w:lineRule="auto"/>
        <w:rPr>
          <w:rFonts w:ascii="Arial" w:hAnsi="Arial" w:cs="Arial"/>
        </w:rPr>
      </w:pPr>
      <w:proofErr w:type="spellStart"/>
      <w:r w:rsidRPr="00D240E0">
        <w:rPr>
          <w:rFonts w:ascii="Arial" w:hAnsi="Arial" w:cs="Arial"/>
        </w:rPr>
        <w:t>CrimeStoppers</w:t>
      </w:r>
      <w:proofErr w:type="spellEnd"/>
      <w:r w:rsidRPr="00D240E0">
        <w:rPr>
          <w:rFonts w:ascii="Arial" w:hAnsi="Arial" w:cs="Arial"/>
        </w:rPr>
        <w:t xml:space="preserve"> (2025</w:t>
      </w:r>
      <w:r w:rsidR="00F86423" w:rsidRPr="00D240E0">
        <w:rPr>
          <w:rFonts w:ascii="Arial" w:hAnsi="Arial" w:cs="Arial"/>
        </w:rPr>
        <w:t>) Serious</w:t>
      </w:r>
      <w:r w:rsidRPr="00D240E0">
        <w:rPr>
          <w:rFonts w:ascii="Arial" w:hAnsi="Arial" w:cs="Arial"/>
          <w:i/>
          <w:iCs/>
        </w:rPr>
        <w:t xml:space="preserve"> and Organised Crime, </w:t>
      </w:r>
      <w:r w:rsidRPr="00D240E0">
        <w:rPr>
          <w:rFonts w:ascii="Arial" w:hAnsi="Arial" w:cs="Arial"/>
        </w:rPr>
        <w:t>Available at: https://crimestoppers-uk.org/keeping-safe/community-family/serious-and-organised-crime (Accessed: 24</w:t>
      </w:r>
      <w:r w:rsidRPr="00D240E0">
        <w:rPr>
          <w:rFonts w:ascii="Arial" w:hAnsi="Arial" w:cs="Arial"/>
          <w:vertAlign w:val="superscript"/>
        </w:rPr>
        <w:t>th</w:t>
      </w:r>
      <w:r w:rsidRPr="00D240E0">
        <w:rPr>
          <w:rFonts w:ascii="Arial" w:hAnsi="Arial" w:cs="Arial"/>
        </w:rPr>
        <w:t xml:space="preserve"> of June 2025)</w:t>
      </w:r>
    </w:p>
    <w:p w14:paraId="595AD18F" w14:textId="0ECC589B" w:rsidR="006601EE" w:rsidRPr="00D240E0" w:rsidRDefault="006664A6"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Day, A., Malvaso, C., Boyd, C.M., Hawkins, K. and Pilkington, R. (2023). </w:t>
      </w:r>
      <w:r w:rsidRPr="00C5441F">
        <w:rPr>
          <w:rFonts w:ascii="Arial" w:hAnsi="Arial" w:cs="Arial"/>
          <w:i/>
          <w:iCs/>
          <w:color w:val="000000"/>
        </w:rPr>
        <w:t>The effectiveness of trauma-informed youth justice: a discussion and review.</w:t>
      </w:r>
      <w:r w:rsidRPr="00D240E0">
        <w:rPr>
          <w:rStyle w:val="apple-converted-space"/>
          <w:rFonts w:ascii="Arial" w:eastAsiaTheme="majorEastAsia" w:hAnsi="Arial" w:cs="Arial"/>
          <w:color w:val="000000"/>
        </w:rPr>
        <w:t> </w:t>
      </w:r>
      <w:r w:rsidRPr="00C5441F">
        <w:rPr>
          <w:rFonts w:ascii="Arial" w:hAnsi="Arial" w:cs="Arial"/>
          <w:color w:val="000000"/>
        </w:rPr>
        <w:t>Frontiers in Psychology</w:t>
      </w:r>
      <w:r w:rsidRPr="00D240E0">
        <w:rPr>
          <w:rFonts w:ascii="Arial" w:hAnsi="Arial" w:cs="Arial"/>
          <w:color w:val="000000"/>
        </w:rPr>
        <w:t xml:space="preserve">, 14. </w:t>
      </w:r>
      <w:r w:rsidR="00C5441F">
        <w:rPr>
          <w:rFonts w:ascii="Arial" w:hAnsi="Arial" w:cs="Arial"/>
          <w:color w:val="000000"/>
        </w:rPr>
        <w:t xml:space="preserve">Available at; </w:t>
      </w:r>
      <w:r w:rsidR="00F86423" w:rsidRPr="00D240E0">
        <w:rPr>
          <w:rFonts w:ascii="Arial" w:hAnsi="Arial" w:cs="Arial"/>
          <w:color w:val="000000"/>
        </w:rPr>
        <w:t>https://doi.org/10.3389/fpsyg.2023.1157695</w:t>
      </w:r>
      <w:r w:rsidRPr="00D240E0">
        <w:rPr>
          <w:rFonts w:ascii="Arial" w:hAnsi="Arial" w:cs="Arial"/>
          <w:color w:val="000000"/>
        </w:rPr>
        <w:t>. (Accessed 15 May</w:t>
      </w:r>
      <w:r w:rsidR="00B90A8A" w:rsidRPr="00D240E0">
        <w:rPr>
          <w:rFonts w:ascii="Arial" w:hAnsi="Arial" w:cs="Arial"/>
          <w:color w:val="000000"/>
        </w:rPr>
        <w:t xml:space="preserve"> </w:t>
      </w:r>
      <w:r w:rsidRPr="00D240E0">
        <w:rPr>
          <w:rFonts w:ascii="Arial" w:hAnsi="Arial" w:cs="Arial"/>
          <w:color w:val="000000"/>
        </w:rPr>
        <w:t>2025)</w:t>
      </w:r>
    </w:p>
    <w:p w14:paraId="0C264D98" w14:textId="206A283A"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proofErr w:type="spellStart"/>
      <w:r w:rsidRPr="00D240E0">
        <w:rPr>
          <w:rFonts w:ascii="Arial" w:hAnsi="Arial" w:cs="Arial"/>
          <w:color w:val="000000"/>
        </w:rPr>
        <w:t>Demou</w:t>
      </w:r>
      <w:proofErr w:type="spellEnd"/>
      <w:r w:rsidRPr="00D240E0">
        <w:rPr>
          <w:rFonts w:ascii="Arial" w:hAnsi="Arial" w:cs="Arial"/>
          <w:color w:val="000000"/>
        </w:rPr>
        <w:t xml:space="preserve">, E., Hale, H. and Hunt, K. (2020). </w:t>
      </w:r>
      <w:r w:rsidRPr="00330D2D">
        <w:rPr>
          <w:rFonts w:ascii="Arial" w:hAnsi="Arial" w:cs="Arial"/>
          <w:i/>
          <w:iCs/>
          <w:color w:val="000000"/>
        </w:rPr>
        <w:t>Understanding the mental health and wellbeing needs of police officers and staff in Scotland</w:t>
      </w:r>
      <w:r w:rsidRPr="00D240E0">
        <w:rPr>
          <w:rFonts w:ascii="Arial" w:hAnsi="Arial" w:cs="Arial"/>
          <w:color w:val="000000"/>
        </w:rPr>
        <w:t>.</w:t>
      </w:r>
      <w:r w:rsidRPr="00D240E0">
        <w:rPr>
          <w:rStyle w:val="apple-converted-space"/>
          <w:rFonts w:ascii="Arial" w:eastAsiaTheme="majorEastAsia" w:hAnsi="Arial" w:cs="Arial"/>
          <w:color w:val="000000"/>
        </w:rPr>
        <w:t> </w:t>
      </w:r>
      <w:r w:rsidRPr="00330D2D">
        <w:rPr>
          <w:rFonts w:ascii="Arial" w:hAnsi="Arial" w:cs="Arial"/>
          <w:color w:val="000000"/>
        </w:rPr>
        <w:t xml:space="preserve">Police Practice and </w:t>
      </w:r>
      <w:r w:rsidR="00330D2D" w:rsidRPr="00330D2D">
        <w:rPr>
          <w:rFonts w:ascii="Arial" w:hAnsi="Arial" w:cs="Arial"/>
          <w:color w:val="000000"/>
        </w:rPr>
        <w:t>Research,</w:t>
      </w:r>
      <w:r w:rsidR="00330D2D" w:rsidRPr="00D240E0">
        <w:rPr>
          <w:rFonts w:ascii="Arial" w:hAnsi="Arial" w:cs="Arial"/>
          <w:color w:val="000000"/>
        </w:rPr>
        <w:t xml:space="preserve"> 21</w:t>
      </w:r>
      <w:r w:rsidRPr="00D240E0">
        <w:rPr>
          <w:rFonts w:ascii="Arial" w:hAnsi="Arial" w:cs="Arial"/>
          <w:color w:val="000000"/>
        </w:rPr>
        <w:t xml:space="preserve">(6), pp.1–15. </w:t>
      </w:r>
      <w:r w:rsidR="00330D2D">
        <w:rPr>
          <w:rFonts w:ascii="Arial" w:hAnsi="Arial" w:cs="Arial"/>
          <w:color w:val="000000"/>
        </w:rPr>
        <w:t xml:space="preserve">Available at: </w:t>
      </w:r>
      <w:r w:rsidR="00330D2D" w:rsidRPr="00330D2D">
        <w:rPr>
          <w:rFonts w:ascii="Arial" w:hAnsi="Arial" w:cs="Arial"/>
          <w:color w:val="000000"/>
        </w:rPr>
        <w:t>https://doi.org/10.1080/15614263.2020.</w:t>
      </w:r>
      <w:r w:rsidR="00330D2D" w:rsidRPr="00330D2D">
        <w:rPr>
          <w:rFonts w:ascii="Arial" w:hAnsi="Arial" w:cs="Arial"/>
          <w:color w:val="000000"/>
        </w:rPr>
        <w:t>1</w:t>
      </w:r>
      <w:r w:rsidR="00330D2D" w:rsidRPr="00330D2D">
        <w:rPr>
          <w:rFonts w:ascii="Arial" w:hAnsi="Arial" w:cs="Arial"/>
          <w:color w:val="000000"/>
        </w:rPr>
        <w:t>772782</w:t>
      </w:r>
      <w:r w:rsidRPr="00D240E0">
        <w:rPr>
          <w:rFonts w:ascii="Arial" w:hAnsi="Arial" w:cs="Arial"/>
          <w:color w:val="000000"/>
        </w:rPr>
        <w:t>.</w:t>
      </w:r>
      <w:r w:rsidR="00330D2D">
        <w:rPr>
          <w:rFonts w:ascii="Arial" w:hAnsi="Arial" w:cs="Arial"/>
          <w:color w:val="000000"/>
        </w:rPr>
        <w:t xml:space="preserve"> </w:t>
      </w:r>
      <w:r w:rsidR="00330D2D" w:rsidRPr="00B90A8A">
        <w:rPr>
          <w:rFonts w:ascii="Arial" w:hAnsi="Arial" w:cs="Arial"/>
          <w:color w:val="000000" w:themeColor="text1"/>
        </w:rPr>
        <w:t>(Accessed 24th of June 2025)</w:t>
      </w:r>
    </w:p>
    <w:p w14:paraId="358590BB" w14:textId="77777777" w:rsidR="00491E22" w:rsidRPr="00D240E0" w:rsidRDefault="00491E22" w:rsidP="00220802">
      <w:pPr>
        <w:pStyle w:val="ListParagraph"/>
        <w:spacing w:line="480" w:lineRule="auto"/>
        <w:rPr>
          <w:rFonts w:ascii="Arial" w:hAnsi="Arial" w:cs="Arial"/>
          <w:color w:val="000000"/>
          <w:sz w:val="24"/>
          <w:szCs w:val="24"/>
        </w:rPr>
      </w:pPr>
    </w:p>
    <w:p w14:paraId="3D4550EC" w14:textId="08410A0F" w:rsidR="00581EEC" w:rsidRPr="00220802" w:rsidRDefault="00491E22"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rPr>
        <w:t xml:space="preserve">Europol (2021). </w:t>
      </w:r>
      <w:r w:rsidRPr="00D240E0">
        <w:rPr>
          <w:rFonts w:ascii="Arial" w:hAnsi="Arial" w:cs="Arial"/>
          <w:i/>
          <w:iCs/>
        </w:rPr>
        <w:t>Serious and Organised Crime Threat Assessment (SOCTA)</w:t>
      </w:r>
      <w:r w:rsidRPr="00D240E0">
        <w:rPr>
          <w:rFonts w:ascii="Arial" w:hAnsi="Arial" w:cs="Arial"/>
        </w:rPr>
        <w:t xml:space="preserve">. Europol. Available at: </w:t>
      </w:r>
      <w:r w:rsidR="000A003B" w:rsidRPr="000A003B">
        <w:rPr>
          <w:rFonts w:ascii="Arial" w:hAnsi="Arial" w:cs="Arial"/>
        </w:rPr>
        <w:t>https://www.europol.europa.eu/publications-events/main-reports/socta-report</w:t>
      </w:r>
      <w:r w:rsidRPr="00D240E0">
        <w:rPr>
          <w:rFonts w:ascii="Arial" w:hAnsi="Arial" w:cs="Arial"/>
        </w:rPr>
        <w:t>.</w:t>
      </w:r>
      <w:r w:rsidR="000A003B">
        <w:rPr>
          <w:rFonts w:ascii="Arial" w:hAnsi="Arial" w:cs="Arial"/>
        </w:rPr>
        <w:t xml:space="preserve"> </w:t>
      </w:r>
      <w:r w:rsidR="000A003B" w:rsidRPr="00B90A8A">
        <w:rPr>
          <w:rFonts w:ascii="Arial" w:hAnsi="Arial" w:cs="Arial"/>
          <w:color w:val="000000" w:themeColor="text1"/>
        </w:rPr>
        <w:t>(Accessed 24th of June 2025)</w:t>
      </w:r>
    </w:p>
    <w:p w14:paraId="27F2393F" w14:textId="4338E469" w:rsidR="00005784" w:rsidRPr="00D240E0" w:rsidRDefault="00581EEC"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rPr>
        <w:t xml:space="preserve">Equality Act (2010). </w:t>
      </w:r>
      <w:r w:rsidRPr="00D240E0">
        <w:rPr>
          <w:rFonts w:ascii="Arial" w:hAnsi="Arial" w:cs="Arial"/>
          <w:i/>
          <w:iCs/>
        </w:rPr>
        <w:t>Equality Act 2010</w:t>
      </w:r>
      <w:r w:rsidRPr="00D240E0">
        <w:rPr>
          <w:rFonts w:ascii="Arial" w:hAnsi="Arial" w:cs="Arial"/>
        </w:rPr>
        <w:t xml:space="preserve">. Legislation.gov.uk. Available at: </w:t>
      </w:r>
      <w:r w:rsidR="001D254F" w:rsidRPr="00D240E0">
        <w:rPr>
          <w:rFonts w:ascii="Arial" w:hAnsi="Arial" w:cs="Arial"/>
        </w:rPr>
        <w:t>https://www.legislation.gov.uk/ukpga/2010/15/contents</w:t>
      </w:r>
      <w:r w:rsidRPr="00D240E0">
        <w:rPr>
          <w:rFonts w:ascii="Arial" w:hAnsi="Arial" w:cs="Arial"/>
        </w:rPr>
        <w:t>.</w:t>
      </w:r>
      <w:r w:rsidR="001D254F" w:rsidRPr="00D240E0">
        <w:rPr>
          <w:rFonts w:ascii="Arial" w:hAnsi="Arial" w:cs="Arial"/>
        </w:rPr>
        <w:t xml:space="preserve"> </w:t>
      </w:r>
      <w:r w:rsidR="001D254F" w:rsidRPr="00D240E0">
        <w:rPr>
          <w:rFonts w:ascii="Arial" w:hAnsi="Arial" w:cs="Arial"/>
          <w:color w:val="000000" w:themeColor="text1"/>
        </w:rPr>
        <w:t>(Accessed 24th of June 2025)</w:t>
      </w:r>
    </w:p>
    <w:p w14:paraId="615FB65B" w14:textId="5CBE9D75"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Fallon, P., Jaegers, L., Zhang, Y., Dugan, A.G., </w:t>
      </w:r>
      <w:proofErr w:type="spellStart"/>
      <w:r w:rsidRPr="00D240E0">
        <w:rPr>
          <w:rFonts w:ascii="Arial" w:hAnsi="Arial" w:cs="Arial"/>
          <w:color w:val="000000"/>
        </w:rPr>
        <w:t>Cherniack</w:t>
      </w:r>
      <w:proofErr w:type="spellEnd"/>
      <w:r w:rsidRPr="00D240E0">
        <w:rPr>
          <w:rFonts w:ascii="Arial" w:hAnsi="Arial" w:cs="Arial"/>
          <w:color w:val="000000"/>
        </w:rPr>
        <w:t xml:space="preserve">, M.G. and Mazen El </w:t>
      </w:r>
      <w:proofErr w:type="spellStart"/>
      <w:r w:rsidRPr="00D240E0">
        <w:rPr>
          <w:rFonts w:ascii="Arial" w:hAnsi="Arial" w:cs="Arial"/>
          <w:color w:val="000000"/>
        </w:rPr>
        <w:t>Ghaziri</w:t>
      </w:r>
      <w:proofErr w:type="spellEnd"/>
      <w:r w:rsidRPr="00D240E0">
        <w:rPr>
          <w:rFonts w:ascii="Arial" w:hAnsi="Arial" w:cs="Arial"/>
          <w:color w:val="000000"/>
        </w:rPr>
        <w:t xml:space="preserve"> (2023). </w:t>
      </w:r>
      <w:r w:rsidRPr="008B3571">
        <w:rPr>
          <w:rFonts w:ascii="Arial" w:hAnsi="Arial" w:cs="Arial"/>
          <w:i/>
          <w:iCs/>
          <w:color w:val="000000"/>
        </w:rPr>
        <w:t>Peer Support Programs to Reduce Organizational Stress and Trauma for Public Safety Workers: A Scoping Review.</w:t>
      </w:r>
      <w:r w:rsidRPr="00D240E0">
        <w:rPr>
          <w:rStyle w:val="apple-converted-space"/>
          <w:rFonts w:ascii="Arial" w:eastAsiaTheme="majorEastAsia" w:hAnsi="Arial" w:cs="Arial"/>
          <w:color w:val="000000"/>
        </w:rPr>
        <w:t> </w:t>
      </w:r>
      <w:r w:rsidRPr="00D240E0">
        <w:rPr>
          <w:rFonts w:ascii="Arial" w:hAnsi="Arial" w:cs="Arial"/>
          <w:i/>
          <w:iCs/>
          <w:color w:val="000000"/>
        </w:rPr>
        <w:t>AAOHN Journal</w:t>
      </w:r>
      <w:r w:rsidRPr="00D240E0">
        <w:rPr>
          <w:rFonts w:ascii="Arial" w:hAnsi="Arial" w:cs="Arial"/>
          <w:color w:val="000000"/>
        </w:rPr>
        <w:t xml:space="preserve">, 71(11). </w:t>
      </w:r>
      <w:r w:rsidR="008B3571">
        <w:rPr>
          <w:rFonts w:ascii="Arial" w:hAnsi="Arial" w:cs="Arial"/>
          <w:color w:val="000000"/>
        </w:rPr>
        <w:t xml:space="preserve">Available at: </w:t>
      </w:r>
      <w:r w:rsidR="008B3571" w:rsidRPr="005E09FE">
        <w:rPr>
          <w:rFonts w:ascii="Arial" w:hAnsi="Arial" w:cs="Arial"/>
          <w:color w:val="000000"/>
        </w:rPr>
        <w:t>https://doi.org/10.1177/216507992311946</w:t>
      </w:r>
      <w:r w:rsidR="008B3571" w:rsidRPr="005E09FE">
        <w:rPr>
          <w:rFonts w:ascii="Arial" w:hAnsi="Arial" w:cs="Arial"/>
          <w:color w:val="000000"/>
        </w:rPr>
        <w:t>2</w:t>
      </w:r>
      <w:r w:rsidR="008B3571" w:rsidRPr="005E09FE">
        <w:rPr>
          <w:rFonts w:ascii="Arial" w:hAnsi="Arial" w:cs="Arial"/>
          <w:color w:val="000000"/>
        </w:rPr>
        <w:t>3</w:t>
      </w:r>
      <w:r w:rsidRPr="00D240E0">
        <w:rPr>
          <w:rFonts w:ascii="Arial" w:hAnsi="Arial" w:cs="Arial"/>
          <w:color w:val="000000"/>
        </w:rPr>
        <w:t>.</w:t>
      </w:r>
      <w:r w:rsidR="008B3571">
        <w:rPr>
          <w:rFonts w:ascii="Arial" w:hAnsi="Arial" w:cs="Arial"/>
          <w:color w:val="000000"/>
        </w:rPr>
        <w:t xml:space="preserve"> </w:t>
      </w:r>
      <w:r w:rsidR="008B3571" w:rsidRPr="00B90A8A">
        <w:rPr>
          <w:rFonts w:ascii="Arial" w:hAnsi="Arial" w:cs="Arial"/>
          <w:color w:val="000000" w:themeColor="text1"/>
        </w:rPr>
        <w:t>(Accessed 24th of June 2025)</w:t>
      </w:r>
    </w:p>
    <w:p w14:paraId="64D8847E" w14:textId="38197BF3" w:rsidR="006601EE" w:rsidRPr="00220802" w:rsidRDefault="00467ED1"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Gambetta D. (1993) </w:t>
      </w:r>
      <w:r w:rsidRPr="005E09FE">
        <w:rPr>
          <w:rFonts w:ascii="Arial" w:hAnsi="Arial" w:cs="Arial"/>
          <w:i/>
          <w:iCs/>
          <w:color w:val="000000"/>
        </w:rPr>
        <w:t>The Sicilian Mafia: The business of private protection</w:t>
      </w:r>
      <w:r w:rsidRPr="00D240E0">
        <w:rPr>
          <w:rFonts w:ascii="Arial" w:hAnsi="Arial" w:cs="Arial"/>
          <w:color w:val="000000"/>
        </w:rPr>
        <w:t>. Cambridge, MA: Harvard university Press</w:t>
      </w:r>
    </w:p>
    <w:p w14:paraId="14E0C43C" w14:textId="6A08A14E" w:rsidR="00661B3E" w:rsidRPr="00661B3E" w:rsidRDefault="00005784"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G</w:t>
      </w:r>
      <w:r w:rsidR="00EB73CD">
        <w:rPr>
          <w:rFonts w:ascii="Arial" w:hAnsi="Arial" w:cs="Arial"/>
          <w:color w:val="000000"/>
        </w:rPr>
        <w:t>ormley</w:t>
      </w:r>
      <w:r w:rsidRPr="00D240E0">
        <w:rPr>
          <w:rFonts w:ascii="Arial" w:hAnsi="Arial" w:cs="Arial"/>
          <w:color w:val="000000"/>
        </w:rPr>
        <w:t>, C. and W</w:t>
      </w:r>
      <w:r w:rsidR="00EB73CD">
        <w:rPr>
          <w:rFonts w:ascii="Arial" w:hAnsi="Arial" w:cs="Arial"/>
          <w:color w:val="000000"/>
        </w:rPr>
        <w:t>atson</w:t>
      </w:r>
      <w:r w:rsidRPr="00D240E0">
        <w:rPr>
          <w:rFonts w:ascii="Arial" w:hAnsi="Arial" w:cs="Arial"/>
          <w:color w:val="000000"/>
        </w:rPr>
        <w:t xml:space="preserve">, N. (2021). </w:t>
      </w:r>
      <w:r w:rsidRPr="00EB73CD">
        <w:rPr>
          <w:rFonts w:ascii="Arial" w:hAnsi="Arial" w:cs="Arial"/>
          <w:i/>
          <w:iCs/>
          <w:color w:val="000000"/>
        </w:rPr>
        <w:t>Inaccessible Justice: Exploring the Barriers to Justice and Fairness for Disabled People Accused of a Crime</w:t>
      </w:r>
      <w:r w:rsidRPr="00EB73CD">
        <w:rPr>
          <w:rFonts w:ascii="Arial" w:hAnsi="Arial" w:cs="Arial"/>
          <w:color w:val="000000"/>
        </w:rPr>
        <w:t>.</w:t>
      </w:r>
      <w:r w:rsidRPr="00EB73CD">
        <w:rPr>
          <w:rStyle w:val="apple-converted-space"/>
          <w:rFonts w:ascii="Arial" w:eastAsiaTheme="majorEastAsia" w:hAnsi="Arial" w:cs="Arial"/>
          <w:color w:val="000000"/>
        </w:rPr>
        <w:t> </w:t>
      </w:r>
      <w:r w:rsidRPr="00EB73CD">
        <w:rPr>
          <w:rFonts w:ascii="Arial" w:hAnsi="Arial" w:cs="Arial"/>
          <w:color w:val="000000"/>
        </w:rPr>
        <w:t>The Howard Journal of Crime and Justice,</w:t>
      </w:r>
      <w:r w:rsidRPr="00D240E0">
        <w:rPr>
          <w:rFonts w:ascii="Arial" w:hAnsi="Arial" w:cs="Arial"/>
          <w:color w:val="000000"/>
        </w:rPr>
        <w:t xml:space="preserve"> 60(4), pp.493–510. </w:t>
      </w:r>
      <w:r w:rsidR="00EB73CD">
        <w:rPr>
          <w:rFonts w:ascii="Arial" w:hAnsi="Arial" w:cs="Arial"/>
          <w:color w:val="000000"/>
        </w:rPr>
        <w:t xml:space="preserve">Available at: </w:t>
      </w:r>
      <w:r w:rsidR="00EB73CD" w:rsidRPr="00EB73CD">
        <w:rPr>
          <w:rFonts w:ascii="Arial" w:hAnsi="Arial" w:cs="Arial"/>
          <w:color w:val="000000"/>
        </w:rPr>
        <w:t>https://doi.org/10.1111/h</w:t>
      </w:r>
      <w:r w:rsidR="00EB73CD" w:rsidRPr="00EB73CD">
        <w:rPr>
          <w:rFonts w:ascii="Arial" w:hAnsi="Arial" w:cs="Arial"/>
          <w:color w:val="000000"/>
        </w:rPr>
        <w:t>o</w:t>
      </w:r>
      <w:r w:rsidR="00EB73CD" w:rsidRPr="00EB73CD">
        <w:rPr>
          <w:rFonts w:ascii="Arial" w:hAnsi="Arial" w:cs="Arial"/>
          <w:color w:val="000000"/>
        </w:rPr>
        <w:t>jo.12433</w:t>
      </w:r>
      <w:r w:rsidRPr="00D240E0">
        <w:rPr>
          <w:rFonts w:ascii="Arial" w:hAnsi="Arial" w:cs="Arial"/>
          <w:color w:val="000000"/>
        </w:rPr>
        <w:t>.</w:t>
      </w:r>
      <w:r w:rsidR="00EB73CD">
        <w:rPr>
          <w:rFonts w:ascii="Arial" w:hAnsi="Arial" w:cs="Arial"/>
          <w:color w:val="000000"/>
        </w:rPr>
        <w:t xml:space="preserve"> </w:t>
      </w:r>
      <w:r w:rsidR="00EB73CD" w:rsidRPr="00B90A8A">
        <w:rPr>
          <w:rFonts w:ascii="Arial" w:hAnsi="Arial" w:cs="Arial"/>
          <w:color w:val="000000" w:themeColor="text1"/>
        </w:rPr>
        <w:t>(Accessed 24th of June 2025)</w:t>
      </w:r>
    </w:p>
    <w:p w14:paraId="2C0C2E6E" w14:textId="252BBED0" w:rsidR="006664A6" w:rsidRPr="00D240E0" w:rsidRDefault="006664A6" w:rsidP="00220802">
      <w:pPr>
        <w:pStyle w:val="ListParagraph"/>
        <w:numPr>
          <w:ilvl w:val="0"/>
          <w:numId w:val="1"/>
        </w:numPr>
        <w:spacing w:after="240" w:line="480" w:lineRule="auto"/>
        <w:rPr>
          <w:rFonts w:ascii="Arial" w:hAnsi="Arial" w:cs="Arial"/>
          <w:color w:val="000000" w:themeColor="text1"/>
          <w:sz w:val="24"/>
          <w:szCs w:val="24"/>
        </w:rPr>
      </w:pPr>
      <w:r w:rsidRPr="00D240E0">
        <w:rPr>
          <w:rFonts w:ascii="Arial" w:hAnsi="Arial" w:cs="Arial"/>
          <w:color w:val="000000" w:themeColor="text1"/>
          <w:sz w:val="24"/>
          <w:szCs w:val="24"/>
        </w:rPr>
        <w:t xml:space="preserve">GOV.UK </w:t>
      </w:r>
      <w:r w:rsidRPr="00D240E0">
        <w:rPr>
          <w:rFonts w:ascii="Arial" w:hAnsi="Arial" w:cs="Arial"/>
          <w:color w:val="000000"/>
          <w:sz w:val="24"/>
          <w:szCs w:val="24"/>
        </w:rPr>
        <w:t xml:space="preserve">(2024) </w:t>
      </w:r>
      <w:r w:rsidRPr="00D240E0">
        <w:rPr>
          <w:rFonts w:ascii="Arial" w:hAnsi="Arial" w:cs="Arial"/>
          <w:i/>
          <w:iCs/>
          <w:color w:val="000000"/>
          <w:sz w:val="24"/>
          <w:szCs w:val="24"/>
        </w:rPr>
        <w:t>Youth justice statistics: we must collaborate</w:t>
      </w:r>
      <w:r w:rsidRPr="00D240E0">
        <w:rPr>
          <w:rFonts w:ascii="Arial" w:hAnsi="Arial" w:cs="Arial"/>
          <w:color w:val="000000"/>
          <w:sz w:val="24"/>
          <w:szCs w:val="24"/>
        </w:rPr>
        <w:t>.</w:t>
      </w:r>
      <w:r w:rsidR="00661B3E">
        <w:rPr>
          <w:rFonts w:ascii="Arial" w:hAnsi="Arial" w:cs="Arial"/>
          <w:color w:val="000000"/>
          <w:sz w:val="24"/>
          <w:szCs w:val="24"/>
        </w:rPr>
        <w:t xml:space="preserve"> </w:t>
      </w:r>
      <w:r w:rsidRPr="00D240E0">
        <w:rPr>
          <w:rFonts w:ascii="Arial" w:hAnsi="Arial" w:cs="Arial"/>
          <w:color w:val="000000"/>
          <w:sz w:val="24"/>
          <w:szCs w:val="24"/>
        </w:rPr>
        <w:t>Available at: </w:t>
      </w:r>
      <w:r w:rsidRPr="00D240E0">
        <w:rPr>
          <w:rFonts w:ascii="Arial" w:hAnsi="Arial" w:cs="Arial"/>
          <w:color w:val="000000" w:themeColor="text1"/>
          <w:sz w:val="24"/>
          <w:szCs w:val="24"/>
        </w:rPr>
        <w:t>https://www.gov.uk/government/news/youth-justice-statistics-we-must-collaborate. (Accessed: 15 May 2025)</w:t>
      </w:r>
    </w:p>
    <w:p w14:paraId="25843BD5" w14:textId="77777777" w:rsidR="009D30A2" w:rsidRPr="00D240E0" w:rsidRDefault="009D30A2" w:rsidP="00220802">
      <w:pPr>
        <w:pStyle w:val="ListParagraph"/>
        <w:spacing w:after="240" w:line="480" w:lineRule="auto"/>
        <w:rPr>
          <w:rFonts w:ascii="Arial" w:hAnsi="Arial" w:cs="Arial"/>
          <w:color w:val="000000" w:themeColor="text1"/>
          <w:sz w:val="24"/>
          <w:szCs w:val="24"/>
        </w:rPr>
      </w:pPr>
    </w:p>
    <w:p w14:paraId="5D63BBC1" w14:textId="6FBF3233" w:rsidR="009D30A2" w:rsidRPr="00D240E0" w:rsidRDefault="009D30A2" w:rsidP="00220802">
      <w:pPr>
        <w:pStyle w:val="ListParagraph"/>
        <w:numPr>
          <w:ilvl w:val="0"/>
          <w:numId w:val="1"/>
        </w:numPr>
        <w:spacing w:after="240" w:line="480" w:lineRule="auto"/>
        <w:rPr>
          <w:rFonts w:ascii="Arial" w:hAnsi="Arial" w:cs="Arial"/>
          <w:color w:val="000000" w:themeColor="text1"/>
          <w:sz w:val="24"/>
          <w:szCs w:val="24"/>
        </w:rPr>
      </w:pPr>
      <w:r w:rsidRPr="00D240E0">
        <w:rPr>
          <w:rFonts w:ascii="Arial" w:hAnsi="Arial" w:cs="Arial"/>
          <w:color w:val="000000" w:themeColor="text1"/>
          <w:sz w:val="24"/>
          <w:szCs w:val="24"/>
        </w:rPr>
        <w:lastRenderedPageBreak/>
        <w:t xml:space="preserve">GOV.UK (2025) </w:t>
      </w:r>
      <w:r w:rsidRPr="00D240E0">
        <w:rPr>
          <w:rFonts w:ascii="Arial" w:hAnsi="Arial" w:cs="Arial"/>
          <w:i/>
          <w:iCs/>
          <w:color w:val="000000" w:themeColor="text1"/>
          <w:sz w:val="24"/>
          <w:szCs w:val="24"/>
        </w:rPr>
        <w:t xml:space="preserve">Police workforce, England and Wales: 31 March 2024, </w:t>
      </w:r>
      <w:r w:rsidRPr="00D240E0">
        <w:rPr>
          <w:rFonts w:ascii="Arial" w:hAnsi="Arial" w:cs="Arial"/>
          <w:color w:val="000000" w:themeColor="text1"/>
          <w:sz w:val="24"/>
          <w:szCs w:val="24"/>
        </w:rPr>
        <w:t>Available at: https://www.gov.uk/government/statistics/police-workforce-england-and-wales-31-march-2024/police-workforce-england-and-wales-31-march-2024 (Accessed 24th of June 2025)</w:t>
      </w:r>
    </w:p>
    <w:p w14:paraId="78DB143E" w14:textId="77777777" w:rsidR="00843F9E" w:rsidRPr="00D240E0" w:rsidRDefault="00843F9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Hancock, S. (2023).</w:t>
      </w:r>
      <w:r w:rsidRPr="00D240E0">
        <w:rPr>
          <w:rStyle w:val="apple-converted-space"/>
          <w:rFonts w:ascii="Arial" w:eastAsiaTheme="majorEastAsia" w:hAnsi="Arial" w:cs="Arial"/>
          <w:color w:val="000000"/>
        </w:rPr>
        <w:t> </w:t>
      </w:r>
      <w:r w:rsidRPr="00D240E0">
        <w:rPr>
          <w:rFonts w:ascii="Arial" w:hAnsi="Arial" w:cs="Arial"/>
          <w:i/>
          <w:iCs/>
          <w:color w:val="000000"/>
        </w:rPr>
        <w:t>Early Intervention for Lifelong Benefits</w:t>
      </w:r>
      <w:r w:rsidRPr="00D240E0">
        <w:rPr>
          <w:rFonts w:ascii="Arial" w:hAnsi="Arial" w:cs="Arial"/>
          <w:color w:val="000000"/>
        </w:rPr>
        <w:t>. [online] GOV.UK. Available at: https://www.gov.uk/government/news/early-intervention-for-lifelong-benefits (Accessed 15 May 2025)</w:t>
      </w:r>
    </w:p>
    <w:p w14:paraId="19C819E6" w14:textId="405F71BB" w:rsidR="006664A6" w:rsidRPr="00D240E0" w:rsidRDefault="006664A6"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Hill, L.G., Barnett, J., Ward, J., Morton, A.R. and Schmidt, A. (2023). </w:t>
      </w:r>
      <w:r w:rsidRPr="00661B3E">
        <w:rPr>
          <w:rFonts w:ascii="Arial" w:hAnsi="Arial" w:cs="Arial"/>
          <w:i/>
          <w:iCs/>
          <w:color w:val="000000"/>
        </w:rPr>
        <w:t>Trauma</w:t>
      </w:r>
      <w:r w:rsidRPr="00661B3E">
        <w:rPr>
          <w:rFonts w:ascii="Cambria Math" w:hAnsi="Cambria Math" w:cs="Cambria Math"/>
          <w:i/>
          <w:iCs/>
          <w:color w:val="000000"/>
        </w:rPr>
        <w:t>‐</w:t>
      </w:r>
      <w:r w:rsidRPr="00661B3E">
        <w:rPr>
          <w:rFonts w:ascii="Arial" w:hAnsi="Arial" w:cs="Arial"/>
          <w:i/>
          <w:iCs/>
          <w:color w:val="000000"/>
        </w:rPr>
        <w:t>Informed Care for Justice</w:t>
      </w:r>
      <w:r w:rsidRPr="00661B3E">
        <w:rPr>
          <w:rFonts w:ascii="Cambria Math" w:hAnsi="Cambria Math" w:cs="Cambria Math"/>
          <w:i/>
          <w:iCs/>
          <w:color w:val="000000"/>
        </w:rPr>
        <w:t>‐</w:t>
      </w:r>
      <w:r w:rsidRPr="00661B3E">
        <w:rPr>
          <w:rFonts w:ascii="Arial" w:hAnsi="Arial" w:cs="Arial"/>
          <w:i/>
          <w:iCs/>
          <w:color w:val="000000"/>
        </w:rPr>
        <w:t>Involved Youth: A narrative review and synthesis.</w:t>
      </w:r>
      <w:r w:rsidRPr="00661B3E">
        <w:rPr>
          <w:rStyle w:val="apple-converted-space"/>
          <w:rFonts w:ascii="Arial" w:eastAsiaTheme="majorEastAsia" w:hAnsi="Arial" w:cs="Arial"/>
          <w:i/>
          <w:iCs/>
          <w:color w:val="000000"/>
        </w:rPr>
        <w:t> </w:t>
      </w:r>
      <w:r w:rsidRPr="00661B3E">
        <w:rPr>
          <w:rFonts w:ascii="Arial" w:hAnsi="Arial" w:cs="Arial"/>
          <w:color w:val="000000"/>
        </w:rPr>
        <w:t>Juvenile and Family Court Journal,</w:t>
      </w:r>
      <w:r w:rsidRPr="00D240E0">
        <w:rPr>
          <w:rFonts w:ascii="Arial" w:hAnsi="Arial" w:cs="Arial"/>
          <w:color w:val="000000"/>
        </w:rPr>
        <w:t xml:space="preserve"> 74(2), pp.21–33. </w:t>
      </w:r>
      <w:r w:rsidR="00661B3E">
        <w:rPr>
          <w:rFonts w:ascii="Arial" w:hAnsi="Arial" w:cs="Arial"/>
          <w:color w:val="000000"/>
        </w:rPr>
        <w:t xml:space="preserve">Available at: </w:t>
      </w:r>
      <w:r w:rsidR="00F86423" w:rsidRPr="00D240E0">
        <w:rPr>
          <w:rFonts w:ascii="Arial" w:hAnsi="Arial" w:cs="Arial"/>
          <w:color w:val="000000"/>
        </w:rPr>
        <w:t>https://doi.org/10.1111/jfcj.12236</w:t>
      </w:r>
      <w:r w:rsidRPr="00D240E0">
        <w:rPr>
          <w:rFonts w:ascii="Arial" w:hAnsi="Arial" w:cs="Arial"/>
          <w:color w:val="000000"/>
        </w:rPr>
        <w:t>. (Accessed 15 May 2025)</w:t>
      </w:r>
    </w:p>
    <w:p w14:paraId="1D320132" w14:textId="47A72E31" w:rsidR="000E0D92" w:rsidRPr="00220802" w:rsidRDefault="000E0D92"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rPr>
        <w:t xml:space="preserve">HMICFRS (2025). </w:t>
      </w:r>
      <w:r w:rsidRPr="00D240E0">
        <w:rPr>
          <w:rFonts w:ascii="Arial" w:hAnsi="Arial" w:cs="Arial"/>
          <w:i/>
          <w:iCs/>
        </w:rPr>
        <w:t>An inspection into how effectively the police investigate crime</w:t>
      </w:r>
      <w:r w:rsidRPr="00D240E0">
        <w:rPr>
          <w:rFonts w:ascii="Arial" w:hAnsi="Arial" w:cs="Arial"/>
        </w:rPr>
        <w:t xml:space="preserve">. [online] His Majesty’s Inspectorate of Constabulary and Fire &amp; Rescue Services. Available at: </w:t>
      </w:r>
      <w:r w:rsidR="00661B3E" w:rsidRPr="00661B3E">
        <w:rPr>
          <w:rFonts w:ascii="Arial" w:hAnsi="Arial" w:cs="Arial"/>
        </w:rPr>
        <w:t>https://hmicfrs.justiceinspectorates.gov.uk/publications/how-effectively-police-investigate-crime/</w:t>
      </w:r>
      <w:r w:rsidRPr="00D240E0">
        <w:rPr>
          <w:rFonts w:ascii="Arial" w:hAnsi="Arial" w:cs="Arial"/>
        </w:rPr>
        <w:t>.</w:t>
      </w:r>
      <w:r w:rsidR="00661B3E">
        <w:rPr>
          <w:rFonts w:ascii="Arial" w:hAnsi="Arial" w:cs="Arial"/>
        </w:rPr>
        <w:t xml:space="preserve"> </w:t>
      </w:r>
      <w:r w:rsidR="00661B3E" w:rsidRPr="00B90A8A">
        <w:rPr>
          <w:rFonts w:ascii="Arial" w:hAnsi="Arial" w:cs="Arial"/>
          <w:color w:val="000000" w:themeColor="text1"/>
        </w:rPr>
        <w:t>(Accessed 24th of June 2025)</w:t>
      </w:r>
    </w:p>
    <w:p w14:paraId="6D11B559" w14:textId="2EED399E" w:rsidR="006601EE" w:rsidRPr="00D240E0" w:rsidRDefault="008F478F" w:rsidP="00220802">
      <w:pPr>
        <w:pStyle w:val="ListParagraph"/>
        <w:numPr>
          <w:ilvl w:val="0"/>
          <w:numId w:val="1"/>
        </w:numPr>
        <w:spacing w:after="240" w:line="480" w:lineRule="auto"/>
        <w:rPr>
          <w:rFonts w:ascii="Arial" w:hAnsi="Arial" w:cs="Arial"/>
          <w:color w:val="000000"/>
          <w:sz w:val="24"/>
          <w:szCs w:val="24"/>
        </w:rPr>
      </w:pPr>
      <w:r w:rsidRPr="00D240E0">
        <w:rPr>
          <w:rFonts w:ascii="Arial" w:hAnsi="Arial" w:cs="Arial"/>
          <w:sz w:val="24"/>
          <w:szCs w:val="24"/>
        </w:rPr>
        <w:t xml:space="preserve">Home Office (2023) </w:t>
      </w:r>
      <w:r w:rsidRPr="00D240E0">
        <w:rPr>
          <w:rFonts w:ascii="Arial" w:hAnsi="Arial" w:cs="Arial"/>
          <w:i/>
          <w:iCs/>
          <w:sz w:val="24"/>
          <w:szCs w:val="24"/>
        </w:rPr>
        <w:t xml:space="preserve">No place to hide: serious and organised crime strategy 2023 to 2028), </w:t>
      </w:r>
      <w:r w:rsidRPr="00D240E0">
        <w:rPr>
          <w:rFonts w:ascii="Arial" w:hAnsi="Arial" w:cs="Arial"/>
          <w:sz w:val="24"/>
          <w:szCs w:val="24"/>
        </w:rPr>
        <w:t>Available at: https://www.gov.uk/government/publications/serious-and-organised-crime-strategy-2023-to-2028/no-place-to-hide-serious-and-organised-crime-strategy-2023-to-2028-accessible-version (Accessed: 24</w:t>
      </w:r>
      <w:r w:rsidRPr="00D240E0">
        <w:rPr>
          <w:rFonts w:ascii="Arial" w:hAnsi="Arial" w:cs="Arial"/>
          <w:sz w:val="24"/>
          <w:szCs w:val="24"/>
          <w:vertAlign w:val="superscript"/>
        </w:rPr>
        <w:t>th</w:t>
      </w:r>
      <w:r w:rsidRPr="00D240E0">
        <w:rPr>
          <w:rFonts w:ascii="Arial" w:hAnsi="Arial" w:cs="Arial"/>
          <w:sz w:val="24"/>
          <w:szCs w:val="24"/>
        </w:rPr>
        <w:t xml:space="preserve"> of June 2025)</w:t>
      </w:r>
    </w:p>
    <w:p w14:paraId="5B670F5E" w14:textId="7D0DA5B5"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Horspool, K., Drabble, S.J. and </w:t>
      </w:r>
      <w:proofErr w:type="spellStart"/>
      <w:r w:rsidRPr="00D240E0">
        <w:rPr>
          <w:rFonts w:ascii="Arial" w:hAnsi="Arial" w:cs="Arial"/>
          <w:color w:val="000000"/>
        </w:rPr>
        <w:t>O’Cathain</w:t>
      </w:r>
      <w:proofErr w:type="spellEnd"/>
      <w:r w:rsidRPr="00D240E0">
        <w:rPr>
          <w:rFonts w:ascii="Arial" w:hAnsi="Arial" w:cs="Arial"/>
          <w:color w:val="000000"/>
        </w:rPr>
        <w:t xml:space="preserve">, A. (2016). </w:t>
      </w:r>
      <w:r w:rsidRPr="00112E0A">
        <w:rPr>
          <w:rFonts w:ascii="Arial" w:hAnsi="Arial" w:cs="Arial"/>
          <w:i/>
          <w:iCs/>
          <w:color w:val="000000"/>
        </w:rPr>
        <w:t xml:space="preserve">Implementing Street triage: a Qualitative Study of Collaboration between Police and Mental Health </w:t>
      </w:r>
      <w:r w:rsidRPr="00112E0A">
        <w:rPr>
          <w:rFonts w:ascii="Arial" w:hAnsi="Arial" w:cs="Arial"/>
          <w:i/>
          <w:iCs/>
          <w:color w:val="000000"/>
        </w:rPr>
        <w:lastRenderedPageBreak/>
        <w:t>Services.</w:t>
      </w:r>
      <w:r w:rsidRPr="00112E0A">
        <w:rPr>
          <w:rStyle w:val="apple-converted-space"/>
          <w:rFonts w:ascii="Arial" w:eastAsiaTheme="majorEastAsia" w:hAnsi="Arial" w:cs="Arial"/>
          <w:i/>
          <w:iCs/>
          <w:color w:val="000000"/>
        </w:rPr>
        <w:t> </w:t>
      </w:r>
      <w:r w:rsidRPr="00112E0A">
        <w:rPr>
          <w:rFonts w:ascii="Arial" w:hAnsi="Arial" w:cs="Arial"/>
          <w:color w:val="000000"/>
        </w:rPr>
        <w:t xml:space="preserve">BMC </w:t>
      </w:r>
      <w:proofErr w:type="gramStart"/>
      <w:r w:rsidRPr="00112E0A">
        <w:rPr>
          <w:rFonts w:ascii="Arial" w:hAnsi="Arial" w:cs="Arial"/>
          <w:color w:val="000000"/>
        </w:rPr>
        <w:t>Psychiatry,</w:t>
      </w:r>
      <w:r w:rsidRPr="00D240E0">
        <w:rPr>
          <w:rFonts w:ascii="Arial" w:hAnsi="Arial" w:cs="Arial"/>
          <w:color w:val="000000"/>
        </w:rPr>
        <w:t xml:space="preserve">  16</w:t>
      </w:r>
      <w:proofErr w:type="gramEnd"/>
      <w:r w:rsidRPr="00D240E0">
        <w:rPr>
          <w:rFonts w:ascii="Arial" w:hAnsi="Arial" w:cs="Arial"/>
          <w:color w:val="000000"/>
        </w:rPr>
        <w:t xml:space="preserve">(1). </w:t>
      </w:r>
      <w:r w:rsidR="00112E0A">
        <w:rPr>
          <w:rFonts w:ascii="Arial" w:hAnsi="Arial" w:cs="Arial"/>
          <w:color w:val="000000"/>
        </w:rPr>
        <w:t>Available at</w:t>
      </w:r>
      <w:r w:rsidRPr="00D240E0">
        <w:rPr>
          <w:rFonts w:ascii="Arial" w:hAnsi="Arial" w:cs="Arial"/>
          <w:color w:val="000000"/>
        </w:rPr>
        <w:t>:</w:t>
      </w:r>
      <w:r w:rsidR="00112E0A">
        <w:rPr>
          <w:rFonts w:ascii="Arial" w:hAnsi="Arial" w:cs="Arial"/>
          <w:color w:val="000000"/>
        </w:rPr>
        <w:t xml:space="preserve"> </w:t>
      </w:r>
      <w:r w:rsidR="00112E0A" w:rsidRPr="004D778E">
        <w:rPr>
          <w:rFonts w:ascii="Arial" w:hAnsi="Arial" w:cs="Arial"/>
          <w:color w:val="000000"/>
        </w:rPr>
        <w:t>https://doi.org/10.1186/s12888-016-</w:t>
      </w:r>
      <w:r w:rsidR="00112E0A" w:rsidRPr="004D778E">
        <w:rPr>
          <w:rFonts w:ascii="Arial" w:hAnsi="Arial" w:cs="Arial"/>
          <w:color w:val="000000"/>
        </w:rPr>
        <w:t>1</w:t>
      </w:r>
      <w:r w:rsidR="00112E0A" w:rsidRPr="004D778E">
        <w:rPr>
          <w:rFonts w:ascii="Arial" w:hAnsi="Arial" w:cs="Arial"/>
          <w:color w:val="000000"/>
        </w:rPr>
        <w:t>026-z</w:t>
      </w:r>
      <w:r w:rsidRPr="00D240E0">
        <w:rPr>
          <w:rFonts w:ascii="Arial" w:hAnsi="Arial" w:cs="Arial"/>
          <w:color w:val="000000"/>
        </w:rPr>
        <w:t>.</w:t>
      </w:r>
      <w:r w:rsidR="00112E0A">
        <w:rPr>
          <w:rFonts w:ascii="Arial" w:hAnsi="Arial" w:cs="Arial"/>
          <w:color w:val="000000"/>
        </w:rPr>
        <w:t xml:space="preserve"> </w:t>
      </w:r>
      <w:r w:rsidR="00112E0A" w:rsidRPr="00B90A8A">
        <w:rPr>
          <w:rFonts w:ascii="Arial" w:hAnsi="Arial" w:cs="Arial"/>
          <w:color w:val="000000" w:themeColor="text1"/>
        </w:rPr>
        <w:t>(Accessed 24th of June 2025)</w:t>
      </w:r>
    </w:p>
    <w:p w14:paraId="450B87F9" w14:textId="2BE5E27A" w:rsidR="008F478F" w:rsidRPr="00D240E0" w:rsidRDefault="004A38F7" w:rsidP="00220802">
      <w:pPr>
        <w:pStyle w:val="ListParagraph"/>
        <w:numPr>
          <w:ilvl w:val="0"/>
          <w:numId w:val="1"/>
        </w:numPr>
        <w:spacing w:after="240" w:line="480" w:lineRule="auto"/>
        <w:rPr>
          <w:rFonts w:ascii="Arial" w:hAnsi="Arial" w:cs="Arial"/>
          <w:color w:val="000000"/>
          <w:sz w:val="24"/>
          <w:szCs w:val="24"/>
        </w:rPr>
      </w:pPr>
      <w:proofErr w:type="spellStart"/>
      <w:r w:rsidRPr="004D778E">
        <w:rPr>
          <w:rFonts w:ascii="Arial" w:hAnsi="Arial" w:cs="Arial"/>
          <w:color w:val="000000"/>
          <w:sz w:val="24"/>
          <w:szCs w:val="24"/>
        </w:rPr>
        <w:t>Leerkes</w:t>
      </w:r>
      <w:proofErr w:type="spellEnd"/>
      <w:r w:rsidRPr="004D778E">
        <w:rPr>
          <w:rFonts w:ascii="Arial" w:hAnsi="Arial" w:cs="Arial"/>
          <w:color w:val="000000"/>
          <w:sz w:val="24"/>
          <w:szCs w:val="24"/>
        </w:rPr>
        <w:t xml:space="preserve">, A., </w:t>
      </w:r>
      <w:proofErr w:type="spellStart"/>
      <w:r w:rsidRPr="004D778E">
        <w:rPr>
          <w:rFonts w:ascii="Arial" w:hAnsi="Arial" w:cs="Arial"/>
          <w:color w:val="000000"/>
          <w:sz w:val="24"/>
          <w:szCs w:val="24"/>
        </w:rPr>
        <w:t>Engbersen</w:t>
      </w:r>
      <w:proofErr w:type="spellEnd"/>
      <w:r w:rsidRPr="004D778E">
        <w:rPr>
          <w:rFonts w:ascii="Arial" w:hAnsi="Arial" w:cs="Arial"/>
          <w:color w:val="000000"/>
          <w:sz w:val="24"/>
          <w:szCs w:val="24"/>
        </w:rPr>
        <w:t xml:space="preserve">, G., Snel, E. and de Boom, J. (2017). </w:t>
      </w:r>
      <w:r w:rsidRPr="004D778E">
        <w:rPr>
          <w:rFonts w:ascii="Arial" w:hAnsi="Arial" w:cs="Arial"/>
          <w:i/>
          <w:iCs/>
          <w:color w:val="000000"/>
          <w:sz w:val="24"/>
          <w:szCs w:val="24"/>
        </w:rPr>
        <w:t>Civic stratification and crime. A comparison of asylum migrants with different legal statuses</w:t>
      </w:r>
      <w:r w:rsidRPr="004D778E">
        <w:rPr>
          <w:rFonts w:ascii="Arial" w:hAnsi="Arial" w:cs="Arial"/>
          <w:color w:val="000000"/>
          <w:sz w:val="24"/>
          <w:szCs w:val="24"/>
        </w:rPr>
        <w:t>.</w:t>
      </w:r>
      <w:r w:rsidRPr="004D778E">
        <w:rPr>
          <w:rStyle w:val="apple-converted-space"/>
          <w:rFonts w:ascii="Arial" w:eastAsiaTheme="majorEastAsia" w:hAnsi="Arial" w:cs="Arial"/>
          <w:color w:val="000000"/>
          <w:sz w:val="24"/>
          <w:szCs w:val="24"/>
        </w:rPr>
        <w:t> </w:t>
      </w:r>
      <w:r w:rsidRPr="004D778E">
        <w:rPr>
          <w:rFonts w:ascii="Arial" w:hAnsi="Arial" w:cs="Arial"/>
          <w:color w:val="000000"/>
          <w:sz w:val="24"/>
          <w:szCs w:val="24"/>
        </w:rPr>
        <w:t xml:space="preserve">Crime, Law and Social Change, 69(1), pp.41–66. </w:t>
      </w:r>
      <w:r w:rsidR="004D778E" w:rsidRPr="004D778E">
        <w:rPr>
          <w:rFonts w:ascii="Arial" w:hAnsi="Arial" w:cs="Arial"/>
          <w:color w:val="000000"/>
          <w:sz w:val="24"/>
          <w:szCs w:val="24"/>
        </w:rPr>
        <w:t>Available at: https://doi.org/1</w:t>
      </w:r>
      <w:r w:rsidR="004D778E" w:rsidRPr="004D778E">
        <w:rPr>
          <w:rFonts w:ascii="Arial" w:hAnsi="Arial" w:cs="Arial"/>
          <w:color w:val="000000"/>
          <w:sz w:val="24"/>
          <w:szCs w:val="24"/>
        </w:rPr>
        <w:t>0</w:t>
      </w:r>
      <w:r w:rsidR="004D778E" w:rsidRPr="004D778E">
        <w:rPr>
          <w:rFonts w:ascii="Arial" w:hAnsi="Arial" w:cs="Arial"/>
          <w:color w:val="000000"/>
          <w:sz w:val="24"/>
          <w:szCs w:val="24"/>
        </w:rPr>
        <w:t xml:space="preserve">.1007/s10611-017-9743-x </w:t>
      </w:r>
      <w:r w:rsidR="004D778E">
        <w:rPr>
          <w:rFonts w:ascii="Arial" w:hAnsi="Arial" w:cs="Arial"/>
          <w:color w:val="000000"/>
          <w:sz w:val="24"/>
          <w:szCs w:val="24"/>
        </w:rPr>
        <w:t xml:space="preserve"> </w:t>
      </w:r>
      <w:r w:rsidR="004D778E">
        <w:rPr>
          <w:rFonts w:ascii="Arial" w:hAnsi="Arial" w:cs="Arial"/>
          <w:color w:val="000000" w:themeColor="text1"/>
        </w:rPr>
        <w:t>(</w:t>
      </w:r>
      <w:r w:rsidR="004D778E" w:rsidRPr="004D778E">
        <w:rPr>
          <w:rFonts w:ascii="Arial" w:hAnsi="Arial" w:cs="Arial"/>
          <w:color w:val="000000" w:themeColor="text1"/>
          <w:sz w:val="24"/>
          <w:szCs w:val="24"/>
        </w:rPr>
        <w:t>Accessed 24th of June 2025)</w:t>
      </w:r>
      <w:r w:rsidR="004D778E" w:rsidRPr="004D778E">
        <w:rPr>
          <w:rFonts w:ascii="Arial" w:hAnsi="Arial" w:cs="Arial"/>
          <w:color w:val="000000"/>
          <w:sz w:val="24"/>
          <w:szCs w:val="24"/>
        </w:rPr>
        <w:t xml:space="preserve"> </w:t>
      </w:r>
    </w:p>
    <w:p w14:paraId="0D4F8317" w14:textId="2B257FB4" w:rsidR="006664A6" w:rsidRPr="00D240E0" w:rsidRDefault="006664A6"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Littell, J.H., Pigott, T.D., Nilsen, K.H., Green, S.J. and Montgomery, O.L.K. (2021). </w:t>
      </w:r>
      <w:r w:rsidRPr="00750823">
        <w:rPr>
          <w:rFonts w:ascii="Arial" w:hAnsi="Arial" w:cs="Arial"/>
          <w:i/>
          <w:iCs/>
          <w:color w:val="000000"/>
        </w:rPr>
        <w:t>Multisystemic Therapy</w:t>
      </w:r>
      <w:r w:rsidR="001D254F" w:rsidRPr="00750823">
        <w:rPr>
          <w:rFonts w:ascii="Arial" w:hAnsi="Arial" w:cs="Arial"/>
          <w:i/>
          <w:iCs/>
          <w:color w:val="000000"/>
        </w:rPr>
        <w:t xml:space="preserve"> </w:t>
      </w:r>
      <w:r w:rsidRPr="00750823">
        <w:rPr>
          <w:rFonts w:ascii="Arial" w:hAnsi="Arial" w:cs="Arial"/>
          <w:i/>
          <w:iCs/>
          <w:color w:val="000000"/>
        </w:rPr>
        <w:t xml:space="preserve">for social, emotional, and behavioural problems in youth </w:t>
      </w:r>
      <w:r w:rsidR="00F86423" w:rsidRPr="00750823">
        <w:rPr>
          <w:rFonts w:ascii="Arial" w:hAnsi="Arial" w:cs="Arial"/>
          <w:i/>
          <w:iCs/>
          <w:color w:val="000000"/>
        </w:rPr>
        <w:t>aged</w:t>
      </w:r>
      <w:r w:rsidRPr="00750823">
        <w:rPr>
          <w:rFonts w:ascii="Arial" w:hAnsi="Arial" w:cs="Arial"/>
          <w:i/>
          <w:iCs/>
          <w:color w:val="000000"/>
        </w:rPr>
        <w:t xml:space="preserve"> 10 to 17: An updated systematic review and meta</w:t>
      </w:r>
      <w:r w:rsidRPr="00750823">
        <w:rPr>
          <w:rFonts w:ascii="Cambria Math" w:hAnsi="Cambria Math" w:cs="Cambria Math"/>
          <w:i/>
          <w:iCs/>
          <w:color w:val="000000"/>
        </w:rPr>
        <w:t>‐</w:t>
      </w:r>
      <w:r w:rsidRPr="00750823">
        <w:rPr>
          <w:rFonts w:ascii="Arial" w:hAnsi="Arial" w:cs="Arial"/>
          <w:i/>
          <w:iCs/>
          <w:color w:val="000000"/>
        </w:rPr>
        <w:t>analysis.</w:t>
      </w:r>
      <w:r w:rsidRPr="00D240E0">
        <w:rPr>
          <w:rStyle w:val="apple-converted-space"/>
          <w:rFonts w:ascii="Arial" w:eastAsiaTheme="majorEastAsia" w:hAnsi="Arial" w:cs="Arial"/>
          <w:color w:val="000000"/>
        </w:rPr>
        <w:t> </w:t>
      </w:r>
      <w:r w:rsidRPr="00750823">
        <w:rPr>
          <w:rFonts w:ascii="Arial" w:hAnsi="Arial" w:cs="Arial"/>
          <w:color w:val="000000"/>
        </w:rPr>
        <w:t xml:space="preserve">Campbell Systematic </w:t>
      </w:r>
      <w:r w:rsidR="00750823" w:rsidRPr="00750823">
        <w:rPr>
          <w:rFonts w:ascii="Arial" w:hAnsi="Arial" w:cs="Arial"/>
          <w:color w:val="000000"/>
        </w:rPr>
        <w:t>Reviews,</w:t>
      </w:r>
      <w:r w:rsidR="00750823" w:rsidRPr="00D240E0">
        <w:rPr>
          <w:rFonts w:ascii="Arial" w:hAnsi="Arial" w:cs="Arial"/>
          <w:color w:val="000000"/>
        </w:rPr>
        <w:t xml:space="preserve"> 17</w:t>
      </w:r>
      <w:r w:rsidRPr="00D240E0">
        <w:rPr>
          <w:rFonts w:ascii="Arial" w:hAnsi="Arial" w:cs="Arial"/>
          <w:color w:val="000000"/>
        </w:rPr>
        <w:t xml:space="preserve">(4). </w:t>
      </w:r>
      <w:r w:rsidR="00750823">
        <w:rPr>
          <w:rFonts w:ascii="Arial" w:hAnsi="Arial" w:cs="Arial"/>
          <w:color w:val="000000"/>
        </w:rPr>
        <w:t xml:space="preserve">Available at: </w:t>
      </w:r>
      <w:r w:rsidR="00F86423" w:rsidRPr="00D240E0">
        <w:rPr>
          <w:rFonts w:ascii="Arial" w:hAnsi="Arial" w:cs="Arial"/>
          <w:color w:val="000000"/>
        </w:rPr>
        <w:t>https://doi.org/10.1002/cl2.1158</w:t>
      </w:r>
      <w:r w:rsidRPr="00D240E0">
        <w:rPr>
          <w:rFonts w:ascii="Arial" w:hAnsi="Arial" w:cs="Arial"/>
          <w:color w:val="000000"/>
        </w:rPr>
        <w:t>. (Accessed 15 May 2025)</w:t>
      </w:r>
    </w:p>
    <w:p w14:paraId="5E8C5BAA" w14:textId="4014ED30" w:rsidR="006664A6" w:rsidRPr="00D240E0" w:rsidRDefault="006664A6"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Local Government Association (2022).</w:t>
      </w:r>
      <w:r w:rsidRPr="00D240E0">
        <w:rPr>
          <w:rStyle w:val="apple-converted-space"/>
          <w:rFonts w:ascii="Arial" w:eastAsiaTheme="majorEastAsia" w:hAnsi="Arial" w:cs="Arial"/>
          <w:color w:val="000000"/>
        </w:rPr>
        <w:t> </w:t>
      </w:r>
      <w:r w:rsidRPr="00D240E0">
        <w:rPr>
          <w:rFonts w:ascii="Arial" w:hAnsi="Arial" w:cs="Arial"/>
          <w:i/>
          <w:iCs/>
          <w:color w:val="000000"/>
        </w:rPr>
        <w:t>Supporting the youngest children in the youth justice system: what works to reduce offending and improve outcomes? | Local Government Association</w:t>
      </w:r>
      <w:r w:rsidRPr="00D240E0">
        <w:rPr>
          <w:rFonts w:ascii="Arial" w:hAnsi="Arial" w:cs="Arial"/>
          <w:color w:val="000000"/>
        </w:rPr>
        <w:t>. www.local.gov.uk. Available at: https://www.local.gov.uk/publications/supporting-youngest-children-youth-justice-system-what-works-reduce-offending-and (Accessed 15 May 2025)</w:t>
      </w:r>
    </w:p>
    <w:p w14:paraId="7DDC7A7C" w14:textId="7DDC30C9" w:rsidR="00491E22" w:rsidRPr="00D240E0" w:rsidRDefault="00491E22"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Merseyside Police (2022) </w:t>
      </w:r>
      <w:r w:rsidRPr="00AE22FD">
        <w:rPr>
          <w:rFonts w:ascii="Arial" w:hAnsi="Arial" w:cs="Arial"/>
          <w:i/>
          <w:iCs/>
          <w:color w:val="000000"/>
        </w:rPr>
        <w:t xml:space="preserve">Two men charged in connection with the murder of Olivia Pratt-Korbel. </w:t>
      </w:r>
      <w:r w:rsidRPr="00D240E0">
        <w:rPr>
          <w:rFonts w:ascii="Arial" w:hAnsi="Arial" w:cs="Arial"/>
          <w:color w:val="000000"/>
        </w:rPr>
        <w:t xml:space="preserve">Available at: https://www.merseyside.police.uk/news/merseyside/news/2022/october/two-men-charged-in-connection-with-the-murder-of-olivia-pratt-korbel/ </w:t>
      </w:r>
      <w:r w:rsidR="00AE22FD" w:rsidRPr="00B90A8A">
        <w:rPr>
          <w:rFonts w:ascii="Arial" w:hAnsi="Arial" w:cs="Arial"/>
          <w:color w:val="000000" w:themeColor="text1"/>
        </w:rPr>
        <w:t>(Accessed 24th of June 2025)</w:t>
      </w:r>
    </w:p>
    <w:p w14:paraId="6CF33059" w14:textId="4BB930A4" w:rsidR="00F9317A" w:rsidRPr="00AE22FD" w:rsidRDefault="00F9317A"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McEwan, D. (2018).</w:t>
      </w:r>
      <w:r w:rsidRPr="00D240E0">
        <w:rPr>
          <w:rStyle w:val="apple-converted-space"/>
          <w:rFonts w:ascii="Arial" w:eastAsiaTheme="majorEastAsia" w:hAnsi="Arial" w:cs="Arial"/>
          <w:color w:val="000000"/>
        </w:rPr>
        <w:t> </w:t>
      </w:r>
      <w:r w:rsidRPr="00D240E0">
        <w:rPr>
          <w:rFonts w:ascii="Arial" w:hAnsi="Arial" w:cs="Arial"/>
          <w:i/>
          <w:iCs/>
          <w:color w:val="000000"/>
        </w:rPr>
        <w:t>Diverting Children and Young People from Serious and Organised Crime (SOC</w:t>
      </w:r>
      <w:r w:rsidR="00F86423" w:rsidRPr="00D240E0">
        <w:rPr>
          <w:rFonts w:ascii="Arial" w:hAnsi="Arial" w:cs="Arial"/>
          <w:i/>
          <w:iCs/>
          <w:color w:val="000000"/>
        </w:rPr>
        <w:t>):</w:t>
      </w:r>
      <w:r w:rsidRPr="00D240E0">
        <w:rPr>
          <w:rFonts w:ascii="Arial" w:hAnsi="Arial" w:cs="Arial"/>
          <w:i/>
          <w:iCs/>
          <w:color w:val="000000"/>
        </w:rPr>
        <w:t xml:space="preserve"> Guidance for Practice on Recognising and </w:t>
      </w:r>
      <w:r w:rsidRPr="00D240E0">
        <w:rPr>
          <w:rFonts w:ascii="Arial" w:hAnsi="Arial" w:cs="Arial"/>
          <w:i/>
          <w:iCs/>
          <w:color w:val="000000"/>
        </w:rPr>
        <w:lastRenderedPageBreak/>
        <w:t>Preventing the Exploitation of Children by SOC</w:t>
      </w:r>
      <w:r w:rsidRPr="00D240E0">
        <w:rPr>
          <w:rFonts w:ascii="Arial" w:hAnsi="Arial" w:cs="Arial"/>
          <w:color w:val="000000"/>
        </w:rPr>
        <w:t>.</w:t>
      </w:r>
      <w:r w:rsidR="00AE22FD">
        <w:rPr>
          <w:rFonts w:ascii="Arial" w:hAnsi="Arial" w:cs="Arial"/>
          <w:color w:val="000000"/>
        </w:rPr>
        <w:t xml:space="preserve"> </w:t>
      </w:r>
      <w:r w:rsidRPr="00D240E0">
        <w:rPr>
          <w:rFonts w:ascii="Arial" w:hAnsi="Arial" w:cs="Arial"/>
          <w:color w:val="000000"/>
        </w:rPr>
        <w:t xml:space="preserve">Available at: </w:t>
      </w:r>
      <w:r w:rsidR="00AE22FD" w:rsidRPr="00AE22FD">
        <w:rPr>
          <w:rFonts w:ascii="Arial" w:hAnsi="Arial" w:cs="Arial"/>
          <w:color w:val="000000"/>
        </w:rPr>
        <w:t>https://strathprints.strath.a</w:t>
      </w:r>
      <w:r w:rsidR="00AE22FD" w:rsidRPr="00AE22FD">
        <w:rPr>
          <w:rFonts w:ascii="Arial" w:hAnsi="Arial" w:cs="Arial"/>
          <w:color w:val="000000"/>
        </w:rPr>
        <w:t>c</w:t>
      </w:r>
      <w:r w:rsidR="00AE22FD" w:rsidRPr="00AE22FD">
        <w:rPr>
          <w:rFonts w:ascii="Arial" w:hAnsi="Arial" w:cs="Arial"/>
          <w:color w:val="000000"/>
        </w:rPr>
        <w:t>.uk/68063/</w:t>
      </w:r>
      <w:r w:rsidRPr="00D240E0">
        <w:rPr>
          <w:rFonts w:ascii="Arial" w:hAnsi="Arial" w:cs="Arial"/>
          <w:color w:val="000000"/>
        </w:rPr>
        <w:t>.</w:t>
      </w:r>
      <w:r w:rsidR="00AE22FD">
        <w:rPr>
          <w:rFonts w:ascii="Arial" w:hAnsi="Arial" w:cs="Arial"/>
          <w:color w:val="000000"/>
        </w:rPr>
        <w:t xml:space="preserve"> </w:t>
      </w:r>
      <w:r w:rsidR="00AE22FD" w:rsidRPr="00B90A8A">
        <w:rPr>
          <w:rFonts w:ascii="Arial" w:hAnsi="Arial" w:cs="Arial"/>
          <w:color w:val="000000" w:themeColor="text1"/>
        </w:rPr>
        <w:t>(Accessed 24th of June 2025)</w:t>
      </w:r>
    </w:p>
    <w:p w14:paraId="50EA659E" w14:textId="4B3B5A26" w:rsidR="009A4923" w:rsidRPr="00220802" w:rsidRDefault="006000A5"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Nowacki, J., Schafer, J.A. and Hibdon, J. (2020). Workforce Diversity in Police Hiring: The Influence of Organizational Characteristics.</w:t>
      </w:r>
      <w:r w:rsidRPr="00D240E0">
        <w:rPr>
          <w:rStyle w:val="apple-converted-space"/>
          <w:rFonts w:ascii="Arial" w:eastAsiaTheme="majorEastAsia" w:hAnsi="Arial" w:cs="Arial"/>
          <w:color w:val="000000"/>
        </w:rPr>
        <w:t> </w:t>
      </w:r>
      <w:r w:rsidRPr="00D240E0">
        <w:rPr>
          <w:rFonts w:ascii="Arial" w:hAnsi="Arial" w:cs="Arial"/>
          <w:i/>
          <w:iCs/>
          <w:color w:val="000000"/>
        </w:rPr>
        <w:t>Justice Evaluation Journal</w:t>
      </w:r>
      <w:r w:rsidRPr="00D240E0">
        <w:rPr>
          <w:rFonts w:ascii="Arial" w:hAnsi="Arial" w:cs="Arial"/>
          <w:color w:val="000000"/>
        </w:rPr>
        <w:t xml:space="preserve">, 4(1), pp.1–20. </w:t>
      </w:r>
      <w:r w:rsidR="00701FF0">
        <w:rPr>
          <w:rFonts w:ascii="Arial" w:hAnsi="Arial" w:cs="Arial"/>
          <w:color w:val="000000"/>
        </w:rPr>
        <w:t xml:space="preserve">Available at: </w:t>
      </w:r>
      <w:r w:rsidR="00F86423" w:rsidRPr="00D240E0">
        <w:rPr>
          <w:rFonts w:ascii="Arial" w:hAnsi="Arial" w:cs="Arial"/>
          <w:color w:val="000000"/>
        </w:rPr>
        <w:t xml:space="preserve"> </w:t>
      </w:r>
      <w:r w:rsidR="009A4923" w:rsidRPr="00701FF0">
        <w:rPr>
          <w:rFonts w:ascii="Arial" w:hAnsi="Arial" w:cs="Arial"/>
        </w:rPr>
        <w:t>https://doi.org/10.1080/24751979</w:t>
      </w:r>
      <w:r w:rsidR="009A4923" w:rsidRPr="00701FF0">
        <w:rPr>
          <w:rFonts w:ascii="Arial" w:hAnsi="Arial" w:cs="Arial"/>
        </w:rPr>
        <w:t>.</w:t>
      </w:r>
      <w:r w:rsidR="009A4923" w:rsidRPr="00701FF0">
        <w:rPr>
          <w:rFonts w:ascii="Arial" w:hAnsi="Arial" w:cs="Arial"/>
        </w:rPr>
        <w:t>2020.1759379</w:t>
      </w:r>
      <w:r w:rsidRPr="00D240E0">
        <w:rPr>
          <w:rFonts w:ascii="Arial" w:hAnsi="Arial" w:cs="Arial"/>
          <w:color w:val="000000"/>
        </w:rPr>
        <w:t>.</w:t>
      </w:r>
      <w:r w:rsidR="00701FF0">
        <w:rPr>
          <w:rFonts w:ascii="Arial" w:hAnsi="Arial" w:cs="Arial"/>
          <w:color w:val="000000"/>
        </w:rPr>
        <w:t xml:space="preserve"> </w:t>
      </w:r>
      <w:r w:rsidR="00701FF0" w:rsidRPr="00B90A8A">
        <w:rPr>
          <w:rFonts w:ascii="Arial" w:hAnsi="Arial" w:cs="Arial"/>
          <w:color w:val="000000" w:themeColor="text1"/>
        </w:rPr>
        <w:t>(Accessed 24th of June 2025)</w:t>
      </w:r>
    </w:p>
    <w:p w14:paraId="2FBF2160" w14:textId="3F715155" w:rsidR="00A06D1C" w:rsidRDefault="009A4923" w:rsidP="00220802">
      <w:pPr>
        <w:pStyle w:val="ListParagraph"/>
        <w:numPr>
          <w:ilvl w:val="0"/>
          <w:numId w:val="1"/>
        </w:numPr>
        <w:spacing w:line="480" w:lineRule="auto"/>
        <w:rPr>
          <w:rFonts w:ascii="Arial" w:hAnsi="Arial" w:cs="Arial"/>
          <w:sz w:val="24"/>
          <w:szCs w:val="24"/>
        </w:rPr>
      </w:pPr>
      <w:r w:rsidRPr="00D240E0">
        <w:rPr>
          <w:rFonts w:ascii="Arial" w:hAnsi="Arial" w:cs="Arial"/>
          <w:sz w:val="24"/>
          <w:szCs w:val="24"/>
        </w:rPr>
        <w:t xml:space="preserve">Office for National Statistics (2021) </w:t>
      </w:r>
      <w:r w:rsidRPr="00D240E0">
        <w:rPr>
          <w:rFonts w:ascii="Arial" w:hAnsi="Arial" w:cs="Arial"/>
          <w:i/>
          <w:iCs/>
          <w:sz w:val="24"/>
          <w:szCs w:val="24"/>
        </w:rPr>
        <w:t xml:space="preserve">Suicide by occupation, England and Wales, 2011 to 2020 </w:t>
      </w:r>
      <w:r w:rsidRPr="00D240E0">
        <w:rPr>
          <w:rFonts w:ascii="Arial" w:hAnsi="Arial" w:cs="Arial"/>
          <w:sz w:val="24"/>
          <w:szCs w:val="24"/>
        </w:rPr>
        <w:t>registrations, Available at: https://www.ons.gov.uk/peoplepopulationandcommunity/birthsdeathsandmarriages/deaths/adhocs/13674suicidebyoccupationenglandandwales2011to2020registrations (Accessed: 25</w:t>
      </w:r>
      <w:r w:rsidRPr="00D240E0">
        <w:rPr>
          <w:rFonts w:ascii="Arial" w:hAnsi="Arial" w:cs="Arial"/>
          <w:sz w:val="24"/>
          <w:szCs w:val="24"/>
          <w:vertAlign w:val="superscript"/>
        </w:rPr>
        <w:t>th</w:t>
      </w:r>
      <w:r w:rsidRPr="00D240E0">
        <w:rPr>
          <w:rFonts w:ascii="Arial" w:hAnsi="Arial" w:cs="Arial"/>
          <w:sz w:val="24"/>
          <w:szCs w:val="24"/>
        </w:rPr>
        <w:t xml:space="preserve"> of April 2025)</w:t>
      </w:r>
    </w:p>
    <w:p w14:paraId="261C026D" w14:textId="77777777" w:rsidR="00220802" w:rsidRPr="00220802" w:rsidRDefault="00220802" w:rsidP="00220802">
      <w:pPr>
        <w:pStyle w:val="ListParagraph"/>
        <w:spacing w:line="480" w:lineRule="auto"/>
        <w:rPr>
          <w:rFonts w:ascii="Arial" w:hAnsi="Arial" w:cs="Arial"/>
          <w:sz w:val="24"/>
          <w:szCs w:val="24"/>
        </w:rPr>
      </w:pPr>
    </w:p>
    <w:p w14:paraId="380FA442" w14:textId="466FC0FC" w:rsidR="006601EE" w:rsidRPr="00220802" w:rsidRDefault="00843F9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Ofsted (2024).</w:t>
      </w:r>
      <w:r w:rsidRPr="00D240E0">
        <w:rPr>
          <w:rStyle w:val="apple-converted-space"/>
          <w:rFonts w:ascii="Arial" w:eastAsiaTheme="majorEastAsia" w:hAnsi="Arial" w:cs="Arial"/>
          <w:color w:val="000000"/>
        </w:rPr>
        <w:t> </w:t>
      </w:r>
      <w:r w:rsidRPr="00D240E0">
        <w:rPr>
          <w:rFonts w:ascii="Arial" w:hAnsi="Arial" w:cs="Arial"/>
          <w:i/>
          <w:iCs/>
          <w:color w:val="000000"/>
        </w:rPr>
        <w:t>Multi-agency responses to serious youth violence: working together to support and protect children</w:t>
      </w:r>
      <w:r w:rsidRPr="00D240E0">
        <w:rPr>
          <w:rFonts w:ascii="Arial" w:hAnsi="Arial" w:cs="Arial"/>
          <w:color w:val="000000"/>
        </w:rPr>
        <w:t>. GOV.UK. Available at: https://www.gov.uk/government/publications/multi-agency-responses-to-serious-youth-violence-working-together-to-support-and-protect-children/multi-agency-responses-to-serious-youth-violence-working-together-to-support-and-protect-children (Accessed 15 May 2025)</w:t>
      </w:r>
    </w:p>
    <w:p w14:paraId="4B1D3844" w14:textId="7EF6A032"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Parkes, S., Irizar, P., Greenberg, N., Wessely, S., Fear, N.T., </w:t>
      </w:r>
      <w:proofErr w:type="spellStart"/>
      <w:r w:rsidRPr="00D240E0">
        <w:rPr>
          <w:rFonts w:ascii="Arial" w:hAnsi="Arial" w:cs="Arial"/>
          <w:color w:val="000000"/>
        </w:rPr>
        <w:t>Hotopf</w:t>
      </w:r>
      <w:proofErr w:type="spellEnd"/>
      <w:r w:rsidRPr="00D240E0">
        <w:rPr>
          <w:rFonts w:ascii="Arial" w:hAnsi="Arial" w:cs="Arial"/>
          <w:color w:val="000000"/>
        </w:rPr>
        <w:t xml:space="preserve">, M. and </w:t>
      </w:r>
      <w:proofErr w:type="spellStart"/>
      <w:r w:rsidRPr="00D240E0">
        <w:rPr>
          <w:rFonts w:ascii="Arial" w:hAnsi="Arial" w:cs="Arial"/>
          <w:color w:val="000000"/>
        </w:rPr>
        <w:t>Stevelink</w:t>
      </w:r>
      <w:proofErr w:type="spellEnd"/>
      <w:r w:rsidRPr="00D240E0">
        <w:rPr>
          <w:rFonts w:ascii="Arial" w:hAnsi="Arial" w:cs="Arial"/>
          <w:color w:val="000000"/>
        </w:rPr>
        <w:t>, S.A.M. (2024). Sickness absence and associations with sociodemographic factors, health risk behaviours, occupational stressors and adverse mental health in 40,343 UK police employees.</w:t>
      </w:r>
      <w:r w:rsidRPr="00D240E0">
        <w:rPr>
          <w:rStyle w:val="apple-converted-space"/>
          <w:rFonts w:ascii="Arial" w:eastAsiaTheme="majorEastAsia" w:hAnsi="Arial" w:cs="Arial"/>
          <w:color w:val="000000"/>
        </w:rPr>
        <w:t> </w:t>
      </w:r>
      <w:r w:rsidRPr="00D240E0">
        <w:rPr>
          <w:rFonts w:ascii="Arial" w:hAnsi="Arial" w:cs="Arial"/>
          <w:i/>
          <w:iCs/>
          <w:color w:val="000000"/>
        </w:rPr>
        <w:t xml:space="preserve">Epidemiology and </w:t>
      </w:r>
      <w:r w:rsidRPr="00D240E0">
        <w:rPr>
          <w:rFonts w:ascii="Arial" w:hAnsi="Arial" w:cs="Arial"/>
          <w:i/>
          <w:iCs/>
          <w:color w:val="000000"/>
        </w:rPr>
        <w:lastRenderedPageBreak/>
        <w:t>Psychiatric Sciences</w:t>
      </w:r>
      <w:r w:rsidRPr="00D240E0">
        <w:rPr>
          <w:rFonts w:ascii="Arial" w:hAnsi="Arial" w:cs="Arial"/>
          <w:color w:val="000000"/>
        </w:rPr>
        <w:t xml:space="preserve">, [online] 33. </w:t>
      </w:r>
      <w:r w:rsidR="00A06D1C">
        <w:rPr>
          <w:rFonts w:ascii="Arial" w:hAnsi="Arial" w:cs="Arial"/>
          <w:color w:val="000000"/>
        </w:rPr>
        <w:t xml:space="preserve">Available at: </w:t>
      </w:r>
      <w:r w:rsidR="00A06D1C" w:rsidRPr="00A06D1C">
        <w:rPr>
          <w:rFonts w:ascii="Arial" w:hAnsi="Arial" w:cs="Arial"/>
          <w:color w:val="000000"/>
        </w:rPr>
        <w:t>https://doi.org/10.1017/s2045796024000</w:t>
      </w:r>
      <w:r w:rsidR="00A06D1C" w:rsidRPr="00A06D1C">
        <w:rPr>
          <w:rFonts w:ascii="Arial" w:hAnsi="Arial" w:cs="Arial"/>
          <w:color w:val="000000"/>
        </w:rPr>
        <w:t>2</w:t>
      </w:r>
      <w:r w:rsidR="00A06D1C" w:rsidRPr="00A06D1C">
        <w:rPr>
          <w:rFonts w:ascii="Arial" w:hAnsi="Arial" w:cs="Arial"/>
          <w:color w:val="000000"/>
        </w:rPr>
        <w:t>83</w:t>
      </w:r>
      <w:r w:rsidRPr="00D240E0">
        <w:rPr>
          <w:rFonts w:ascii="Arial" w:hAnsi="Arial" w:cs="Arial"/>
          <w:color w:val="000000"/>
        </w:rPr>
        <w:t>.</w:t>
      </w:r>
      <w:r w:rsidR="00A06D1C">
        <w:rPr>
          <w:rFonts w:ascii="Arial" w:hAnsi="Arial" w:cs="Arial"/>
          <w:color w:val="000000"/>
        </w:rPr>
        <w:t xml:space="preserve"> </w:t>
      </w:r>
      <w:r w:rsidR="00A06D1C" w:rsidRPr="00B90A8A">
        <w:rPr>
          <w:rFonts w:ascii="Arial" w:hAnsi="Arial" w:cs="Arial"/>
          <w:color w:val="000000" w:themeColor="text1"/>
        </w:rPr>
        <w:t>(Accessed 24th of June 2025)</w:t>
      </w:r>
    </w:p>
    <w:p w14:paraId="54E16C9D" w14:textId="773C483C" w:rsidR="00752F0C" w:rsidRPr="00D240E0" w:rsidRDefault="00752F0C"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 xml:space="preserve">Pass, M.D., Madon, N.S., Murphy, K. and Sargeant, E. (2020). To trust or </w:t>
      </w:r>
      <w:r w:rsidR="00F86423" w:rsidRPr="00D240E0">
        <w:rPr>
          <w:rFonts w:ascii="Arial" w:hAnsi="Arial" w:cs="Arial"/>
          <w:color w:val="000000"/>
        </w:rPr>
        <w:t>distrust?</w:t>
      </w:r>
      <w:r w:rsidRPr="00D240E0">
        <w:rPr>
          <w:rFonts w:ascii="Arial" w:hAnsi="Arial" w:cs="Arial"/>
          <w:color w:val="000000"/>
        </w:rPr>
        <w:t xml:space="preserve"> Unpacking ethnic minority immigrants’ trust in police.</w:t>
      </w:r>
      <w:r w:rsidRPr="00D240E0">
        <w:rPr>
          <w:rStyle w:val="apple-converted-space"/>
          <w:rFonts w:ascii="Arial" w:eastAsiaTheme="majorEastAsia" w:hAnsi="Arial" w:cs="Arial"/>
          <w:color w:val="000000"/>
        </w:rPr>
        <w:t> </w:t>
      </w:r>
      <w:r w:rsidRPr="00D240E0">
        <w:rPr>
          <w:rFonts w:ascii="Arial" w:hAnsi="Arial" w:cs="Arial"/>
          <w:i/>
          <w:iCs/>
          <w:color w:val="000000"/>
        </w:rPr>
        <w:t>The British Journal of Criminology</w:t>
      </w:r>
      <w:r w:rsidRPr="00D240E0">
        <w:rPr>
          <w:rFonts w:ascii="Arial" w:hAnsi="Arial" w:cs="Arial"/>
          <w:color w:val="000000"/>
        </w:rPr>
        <w:t xml:space="preserve">, [online] 60(5), pp.1320–1341. </w:t>
      </w:r>
      <w:r w:rsidR="00B514EF">
        <w:rPr>
          <w:rFonts w:ascii="Arial" w:hAnsi="Arial" w:cs="Arial"/>
          <w:color w:val="000000"/>
        </w:rPr>
        <w:t xml:space="preserve">Available at: </w:t>
      </w:r>
      <w:r w:rsidR="00F86423" w:rsidRPr="00D240E0">
        <w:rPr>
          <w:rFonts w:ascii="Arial" w:hAnsi="Arial" w:cs="Arial"/>
          <w:color w:val="000000"/>
        </w:rPr>
        <w:t>https://doi.org/10.1093/bjc/azaa023</w:t>
      </w:r>
      <w:r w:rsidRPr="00D240E0">
        <w:rPr>
          <w:rFonts w:ascii="Arial" w:hAnsi="Arial" w:cs="Arial"/>
          <w:color w:val="000000"/>
        </w:rPr>
        <w:t>. (Accessed 24</w:t>
      </w:r>
      <w:r w:rsidRPr="00D240E0">
        <w:rPr>
          <w:rFonts w:ascii="Arial" w:hAnsi="Arial" w:cs="Arial"/>
          <w:color w:val="000000"/>
          <w:vertAlign w:val="superscript"/>
        </w:rPr>
        <w:t>th</w:t>
      </w:r>
      <w:r w:rsidRPr="00D240E0">
        <w:rPr>
          <w:rFonts w:ascii="Arial" w:hAnsi="Arial" w:cs="Arial"/>
          <w:color w:val="000000"/>
        </w:rPr>
        <w:t xml:space="preserve"> of June 2025)</w:t>
      </w:r>
    </w:p>
    <w:p w14:paraId="2452BE0F" w14:textId="036C9B3A"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Phythian, R., Birdsall, N., Kirby, S., Cooper, E., Posner, Z. and Boulton, L. (2022). Developments in UK police wellbeing: A review of blue light wellbeing frameworks.</w:t>
      </w:r>
      <w:r w:rsidRPr="00D240E0">
        <w:rPr>
          <w:rStyle w:val="apple-converted-space"/>
          <w:rFonts w:ascii="Arial" w:eastAsiaTheme="majorEastAsia" w:hAnsi="Arial" w:cs="Arial"/>
          <w:color w:val="000000"/>
        </w:rPr>
        <w:t> </w:t>
      </w:r>
      <w:r w:rsidRPr="00D240E0">
        <w:rPr>
          <w:rFonts w:ascii="Arial" w:hAnsi="Arial" w:cs="Arial"/>
          <w:i/>
          <w:iCs/>
          <w:color w:val="000000"/>
        </w:rPr>
        <w:t>The Police Journal: Theory, Practice and Principles</w:t>
      </w:r>
      <w:r w:rsidRPr="00D240E0">
        <w:rPr>
          <w:rFonts w:ascii="Arial" w:hAnsi="Arial" w:cs="Arial"/>
          <w:color w:val="000000"/>
        </w:rPr>
        <w:t xml:space="preserve">, [online] 95(1), p.0032258X2110730. </w:t>
      </w:r>
      <w:r w:rsidR="00B514EF">
        <w:rPr>
          <w:rFonts w:ascii="Arial" w:hAnsi="Arial" w:cs="Arial"/>
          <w:color w:val="000000"/>
        </w:rPr>
        <w:t xml:space="preserve">Available at: </w:t>
      </w:r>
      <w:r w:rsidR="00B514EF" w:rsidRPr="00B514EF">
        <w:rPr>
          <w:rFonts w:ascii="Arial" w:hAnsi="Arial" w:cs="Arial"/>
          <w:color w:val="000000"/>
        </w:rPr>
        <w:t>https://doi.org/10.1177/0032258x2110730</w:t>
      </w:r>
      <w:r w:rsidR="00B514EF" w:rsidRPr="00B514EF">
        <w:rPr>
          <w:rFonts w:ascii="Arial" w:hAnsi="Arial" w:cs="Arial"/>
          <w:color w:val="000000"/>
        </w:rPr>
        <w:t>0</w:t>
      </w:r>
      <w:r w:rsidR="00B514EF" w:rsidRPr="00B514EF">
        <w:rPr>
          <w:rFonts w:ascii="Arial" w:hAnsi="Arial" w:cs="Arial"/>
          <w:color w:val="000000"/>
        </w:rPr>
        <w:t>3</w:t>
      </w:r>
      <w:r w:rsidRPr="00D240E0">
        <w:rPr>
          <w:rFonts w:ascii="Arial" w:hAnsi="Arial" w:cs="Arial"/>
          <w:color w:val="000000"/>
        </w:rPr>
        <w:t>.</w:t>
      </w:r>
      <w:r w:rsidR="00B514EF">
        <w:rPr>
          <w:rFonts w:ascii="Arial" w:hAnsi="Arial" w:cs="Arial"/>
          <w:color w:val="000000"/>
        </w:rPr>
        <w:t xml:space="preserve"> </w:t>
      </w:r>
      <w:r w:rsidR="00B514EF" w:rsidRPr="00B90A8A">
        <w:rPr>
          <w:rFonts w:ascii="Arial" w:hAnsi="Arial" w:cs="Arial"/>
          <w:color w:val="000000" w:themeColor="text1"/>
        </w:rPr>
        <w:t>(Accessed 24th of June 2025)</w:t>
      </w:r>
    </w:p>
    <w:p w14:paraId="09D0A4E6" w14:textId="0108B1A9" w:rsidR="006601EE" w:rsidRPr="00220802"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Polfed.org. (2025).</w:t>
      </w:r>
      <w:r w:rsidRPr="00D240E0">
        <w:rPr>
          <w:rStyle w:val="apple-converted-space"/>
          <w:rFonts w:ascii="Arial" w:eastAsiaTheme="majorEastAsia" w:hAnsi="Arial" w:cs="Arial"/>
          <w:color w:val="000000"/>
        </w:rPr>
        <w:t> </w:t>
      </w:r>
      <w:r w:rsidRPr="00D240E0">
        <w:rPr>
          <w:rFonts w:ascii="Arial" w:hAnsi="Arial" w:cs="Arial"/>
          <w:i/>
          <w:iCs/>
          <w:color w:val="000000"/>
        </w:rPr>
        <w:t>Poor pay and treatment pushing officers towards resignation</w:t>
      </w:r>
      <w:r w:rsidRPr="00D240E0">
        <w:rPr>
          <w:rFonts w:ascii="Arial" w:hAnsi="Arial" w:cs="Arial"/>
          <w:color w:val="000000"/>
        </w:rPr>
        <w:t xml:space="preserve">. [online] Available at: </w:t>
      </w:r>
      <w:r w:rsidR="00B514EF" w:rsidRPr="00B514EF">
        <w:rPr>
          <w:rFonts w:ascii="Arial" w:hAnsi="Arial" w:cs="Arial"/>
          <w:color w:val="000000"/>
        </w:rPr>
        <w:t>https://www.polfed.org/northwal</w:t>
      </w:r>
      <w:r w:rsidR="00B514EF" w:rsidRPr="00B514EF">
        <w:rPr>
          <w:rFonts w:ascii="Arial" w:hAnsi="Arial" w:cs="Arial"/>
          <w:color w:val="000000"/>
        </w:rPr>
        <w:t>e</w:t>
      </w:r>
      <w:r w:rsidR="00B514EF" w:rsidRPr="00B514EF">
        <w:rPr>
          <w:rFonts w:ascii="Arial" w:hAnsi="Arial" w:cs="Arial"/>
          <w:color w:val="000000"/>
        </w:rPr>
        <w:t>s/news/2024/poor-pay-and-treatment-pushing-officers-towards-resignation</w:t>
      </w:r>
      <w:r w:rsidR="00B514EF">
        <w:rPr>
          <w:rFonts w:ascii="Arial" w:hAnsi="Arial" w:cs="Arial"/>
          <w:color w:val="000000"/>
        </w:rPr>
        <w:t xml:space="preserve"> </w:t>
      </w:r>
      <w:r w:rsidR="00B514EF" w:rsidRPr="00B90A8A">
        <w:rPr>
          <w:rFonts w:ascii="Arial" w:hAnsi="Arial" w:cs="Arial"/>
          <w:color w:val="000000" w:themeColor="text1"/>
        </w:rPr>
        <w:t>(Accessed 24th of June 2025)</w:t>
      </w:r>
    </w:p>
    <w:p w14:paraId="5A7D16CE" w14:textId="55592746" w:rsidR="000F1C21" w:rsidRPr="00D240E0" w:rsidRDefault="000F1C21"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rPr>
        <w:t xml:space="preserve">Police.uk. (2025). </w:t>
      </w:r>
      <w:r w:rsidRPr="00D240E0">
        <w:rPr>
          <w:rFonts w:ascii="Arial" w:hAnsi="Arial" w:cs="Arial"/>
          <w:i/>
          <w:iCs/>
        </w:rPr>
        <w:t>Allies – The National LGBT+ Police Network</w:t>
      </w:r>
      <w:r w:rsidRPr="00D240E0">
        <w:rPr>
          <w:rFonts w:ascii="Arial" w:hAnsi="Arial" w:cs="Arial"/>
        </w:rPr>
        <w:t xml:space="preserve">. [online] Available at: https://lgbt.police.uk/about-us/allies/ </w:t>
      </w:r>
      <w:r w:rsidR="001D254F" w:rsidRPr="00D240E0">
        <w:rPr>
          <w:rFonts w:ascii="Arial" w:hAnsi="Arial" w:cs="Arial"/>
        </w:rPr>
        <w:t>(</w:t>
      </w:r>
      <w:r w:rsidR="001D254F" w:rsidRPr="00D240E0">
        <w:rPr>
          <w:rFonts w:ascii="Arial" w:hAnsi="Arial" w:cs="Arial"/>
          <w:color w:val="000000" w:themeColor="text1"/>
        </w:rPr>
        <w:t>Accessed 24th of June 2025)</w:t>
      </w:r>
    </w:p>
    <w:p w14:paraId="1E814965" w14:textId="631C9994" w:rsidR="006601EE" w:rsidRPr="00D240E0"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Police Federation (2024).</w:t>
      </w:r>
      <w:r w:rsidRPr="00D240E0">
        <w:rPr>
          <w:rStyle w:val="apple-converted-space"/>
          <w:rFonts w:ascii="Arial" w:eastAsiaTheme="majorEastAsia" w:hAnsi="Arial" w:cs="Arial"/>
          <w:color w:val="000000"/>
        </w:rPr>
        <w:t> </w:t>
      </w:r>
      <w:r w:rsidRPr="00D240E0">
        <w:rPr>
          <w:rFonts w:ascii="Arial" w:hAnsi="Arial" w:cs="Arial"/>
          <w:i/>
          <w:iCs/>
          <w:color w:val="000000"/>
        </w:rPr>
        <w:t>Record 14,508 officers were signed off with poor mental health in the past year</w:t>
      </w:r>
      <w:r w:rsidRPr="00D240E0">
        <w:rPr>
          <w:rFonts w:ascii="Arial" w:hAnsi="Arial" w:cs="Arial"/>
          <w:color w:val="000000"/>
        </w:rPr>
        <w:t xml:space="preserve">. [online] Polfed.org. Available at: </w:t>
      </w:r>
      <w:r w:rsidRPr="006B3C4E">
        <w:rPr>
          <w:rFonts w:ascii="Arial" w:hAnsi="Arial" w:cs="Arial"/>
        </w:rPr>
        <w:t>https://www.polfed.org/news/latest-news/2024/record-14-508-officers-signed-off-with-poor-mental-health-in-past-year/</w:t>
      </w:r>
      <w:r w:rsidRPr="00D240E0">
        <w:rPr>
          <w:rFonts w:ascii="Arial" w:hAnsi="Arial" w:cs="Arial"/>
          <w:color w:val="000000"/>
        </w:rPr>
        <w:t>.</w:t>
      </w:r>
      <w:r w:rsidR="006B3C4E">
        <w:rPr>
          <w:rFonts w:ascii="Arial" w:hAnsi="Arial" w:cs="Arial"/>
          <w:color w:val="000000"/>
        </w:rPr>
        <w:t xml:space="preserve"> </w:t>
      </w:r>
      <w:r w:rsidR="006B3C4E" w:rsidRPr="00B90A8A">
        <w:rPr>
          <w:rFonts w:ascii="Arial" w:hAnsi="Arial" w:cs="Arial"/>
          <w:color w:val="000000" w:themeColor="text1"/>
        </w:rPr>
        <w:t>(Accessed 24th of June 2025)</w:t>
      </w:r>
    </w:p>
    <w:p w14:paraId="3C044C11" w14:textId="52752A75" w:rsidR="000F1C21" w:rsidRPr="003208A8"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lastRenderedPageBreak/>
        <w:t>Policelife.co.uk. (2025).</w:t>
      </w:r>
      <w:r w:rsidRPr="00D240E0">
        <w:rPr>
          <w:rStyle w:val="apple-converted-space"/>
          <w:rFonts w:ascii="Arial" w:eastAsiaTheme="majorEastAsia" w:hAnsi="Arial" w:cs="Arial"/>
          <w:color w:val="000000"/>
        </w:rPr>
        <w:t> </w:t>
      </w:r>
      <w:r w:rsidRPr="00D240E0">
        <w:rPr>
          <w:rFonts w:ascii="Arial" w:hAnsi="Arial" w:cs="Arial"/>
          <w:i/>
          <w:iCs/>
          <w:color w:val="000000"/>
        </w:rPr>
        <w:t>UK police forces see year-on-year rise in mental health staff absences as officers are left mentally broken | News | Police Life</w:t>
      </w:r>
      <w:r w:rsidRPr="00D240E0">
        <w:rPr>
          <w:rFonts w:ascii="Arial" w:hAnsi="Arial" w:cs="Arial"/>
          <w:color w:val="000000"/>
        </w:rPr>
        <w:t xml:space="preserve">. [online] Available at: https://www.policelife.co.uk/story/2025/04/23/uk-police-forces-see-year-on-year </w:t>
      </w:r>
      <w:r w:rsidR="003208A8" w:rsidRPr="00B90A8A">
        <w:rPr>
          <w:rFonts w:ascii="Arial" w:hAnsi="Arial" w:cs="Arial"/>
          <w:color w:val="000000" w:themeColor="text1"/>
        </w:rPr>
        <w:t>(Accessed 24th of June 2025)</w:t>
      </w:r>
    </w:p>
    <w:p w14:paraId="6CD0A441" w14:textId="281537D7" w:rsidR="00752F0C" w:rsidRPr="003208A8" w:rsidRDefault="00470F1E" w:rsidP="00220802">
      <w:pPr>
        <w:pStyle w:val="NormalWeb"/>
        <w:numPr>
          <w:ilvl w:val="0"/>
          <w:numId w:val="1"/>
        </w:numPr>
        <w:spacing w:before="0" w:beforeAutospacing="0" w:after="240" w:afterAutospacing="0" w:line="480" w:lineRule="auto"/>
        <w:rPr>
          <w:rFonts w:ascii="Arial" w:hAnsi="Arial" w:cs="Arial"/>
        </w:rPr>
      </w:pPr>
      <w:r w:rsidRPr="00D240E0">
        <w:rPr>
          <w:rFonts w:ascii="Arial" w:hAnsi="Arial" w:cs="Arial"/>
          <w:i/>
          <w:iCs/>
        </w:rPr>
        <w:t>Police Professional (2008</w:t>
      </w:r>
      <w:r w:rsidR="00F86423" w:rsidRPr="00D240E0">
        <w:rPr>
          <w:rFonts w:ascii="Arial" w:hAnsi="Arial" w:cs="Arial"/>
          <w:i/>
          <w:iCs/>
        </w:rPr>
        <w:t>) |</w:t>
      </w:r>
      <w:r w:rsidRPr="00D240E0">
        <w:rPr>
          <w:rFonts w:ascii="Arial" w:hAnsi="Arial" w:cs="Arial"/>
          <w:i/>
          <w:iCs/>
        </w:rPr>
        <w:t xml:space="preserve"> Cuppa with a copper</w:t>
      </w:r>
      <w:r w:rsidRPr="00D240E0">
        <w:rPr>
          <w:rFonts w:ascii="Arial" w:hAnsi="Arial" w:cs="Arial"/>
        </w:rPr>
        <w:t xml:space="preserve">. [online] Available at: </w:t>
      </w:r>
      <w:r w:rsidR="001D254F" w:rsidRPr="00D240E0">
        <w:rPr>
          <w:rFonts w:ascii="Arial" w:hAnsi="Arial" w:cs="Arial"/>
        </w:rPr>
        <w:t>https://policeprofessional.com/news/cuppa-with-a-copper/</w:t>
      </w:r>
      <w:r w:rsidRPr="00D240E0">
        <w:rPr>
          <w:rFonts w:ascii="Arial" w:hAnsi="Arial" w:cs="Arial"/>
        </w:rPr>
        <w:t>.</w:t>
      </w:r>
      <w:r w:rsidR="001D254F" w:rsidRPr="00D240E0">
        <w:rPr>
          <w:rFonts w:ascii="Arial" w:hAnsi="Arial" w:cs="Arial"/>
        </w:rPr>
        <w:t xml:space="preserve"> </w:t>
      </w:r>
      <w:r w:rsidR="001D254F" w:rsidRPr="00D240E0">
        <w:rPr>
          <w:rFonts w:ascii="Arial" w:hAnsi="Arial" w:cs="Arial"/>
          <w:color w:val="000000" w:themeColor="text1"/>
        </w:rPr>
        <w:t>(Accessed 24th of June 2025)</w:t>
      </w:r>
    </w:p>
    <w:p w14:paraId="35BA0D8F" w14:textId="745AB08A" w:rsidR="00E91791" w:rsidRPr="00220802" w:rsidRDefault="006664A6"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Smith, R. (2020). Diversion, Rights and Social Justice.</w:t>
      </w:r>
      <w:r w:rsidRPr="00D240E0">
        <w:rPr>
          <w:rStyle w:val="apple-converted-space"/>
          <w:rFonts w:ascii="Arial" w:eastAsiaTheme="majorEastAsia" w:hAnsi="Arial" w:cs="Arial"/>
          <w:color w:val="000000"/>
        </w:rPr>
        <w:t> </w:t>
      </w:r>
      <w:r w:rsidRPr="00D240E0">
        <w:rPr>
          <w:rFonts w:ascii="Arial" w:hAnsi="Arial" w:cs="Arial"/>
          <w:i/>
          <w:iCs/>
          <w:color w:val="000000"/>
        </w:rPr>
        <w:t>Youth Justice</w:t>
      </w:r>
      <w:r w:rsidRPr="00D240E0">
        <w:rPr>
          <w:rFonts w:ascii="Arial" w:hAnsi="Arial" w:cs="Arial"/>
          <w:color w:val="000000"/>
        </w:rPr>
        <w:t xml:space="preserve">, 21(1), p.147322542090284. </w:t>
      </w:r>
      <w:r w:rsidR="003208A8">
        <w:rPr>
          <w:rFonts w:ascii="Arial" w:hAnsi="Arial" w:cs="Arial"/>
          <w:color w:val="000000"/>
        </w:rPr>
        <w:t xml:space="preserve">Available at: </w:t>
      </w:r>
      <w:r w:rsidR="00F86423" w:rsidRPr="00D240E0">
        <w:rPr>
          <w:rFonts w:ascii="Arial" w:hAnsi="Arial" w:cs="Arial"/>
          <w:color w:val="000000"/>
        </w:rPr>
        <w:t>https://doi.org/10.1177/1473225420902845</w:t>
      </w:r>
      <w:r w:rsidRPr="00D240E0">
        <w:rPr>
          <w:rFonts w:ascii="Arial" w:hAnsi="Arial" w:cs="Arial"/>
          <w:color w:val="000000"/>
        </w:rPr>
        <w:t>. (Accessed 15 May 2025)</w:t>
      </w:r>
    </w:p>
    <w:p w14:paraId="370E2BFB" w14:textId="5CE3F883" w:rsidR="00E91791" w:rsidRDefault="00E91791" w:rsidP="00220802">
      <w:pPr>
        <w:pStyle w:val="ListParagraph"/>
        <w:numPr>
          <w:ilvl w:val="0"/>
          <w:numId w:val="1"/>
        </w:numPr>
        <w:spacing w:line="480" w:lineRule="auto"/>
        <w:rPr>
          <w:rFonts w:ascii="Arial" w:hAnsi="Arial" w:cs="Arial"/>
          <w:sz w:val="24"/>
          <w:szCs w:val="24"/>
        </w:rPr>
      </w:pPr>
      <w:r w:rsidRPr="00D240E0">
        <w:rPr>
          <w:rFonts w:ascii="Arial" w:hAnsi="Arial" w:cs="Arial"/>
          <w:sz w:val="24"/>
          <w:szCs w:val="24"/>
        </w:rPr>
        <w:t xml:space="preserve">South Wales Police (2025) </w:t>
      </w:r>
      <w:r w:rsidRPr="00D240E0">
        <w:rPr>
          <w:rFonts w:ascii="Arial" w:hAnsi="Arial" w:cs="Arial"/>
          <w:i/>
          <w:iCs/>
          <w:sz w:val="24"/>
          <w:szCs w:val="24"/>
        </w:rPr>
        <w:t>Positive Action Support</w:t>
      </w:r>
      <w:r w:rsidRPr="00D240E0">
        <w:rPr>
          <w:rFonts w:ascii="Arial" w:hAnsi="Arial" w:cs="Arial"/>
          <w:sz w:val="24"/>
          <w:szCs w:val="24"/>
        </w:rPr>
        <w:t>, Available at: https://www.south-wales.police.uk/police-forces/south-wales-police/areas/careers/careers/positive-action/ (Accessed: 20</w:t>
      </w:r>
      <w:r w:rsidRPr="00D240E0">
        <w:rPr>
          <w:rFonts w:ascii="Arial" w:hAnsi="Arial" w:cs="Arial"/>
          <w:sz w:val="24"/>
          <w:szCs w:val="24"/>
          <w:vertAlign w:val="superscript"/>
        </w:rPr>
        <w:t>th</w:t>
      </w:r>
      <w:r w:rsidRPr="00D240E0">
        <w:rPr>
          <w:rFonts w:ascii="Arial" w:hAnsi="Arial" w:cs="Arial"/>
          <w:sz w:val="24"/>
          <w:szCs w:val="24"/>
        </w:rPr>
        <w:t xml:space="preserve"> of April 2025)</w:t>
      </w:r>
    </w:p>
    <w:p w14:paraId="0CFCB7BD" w14:textId="77777777" w:rsidR="00220802" w:rsidRPr="00220802" w:rsidRDefault="00220802" w:rsidP="00220802">
      <w:pPr>
        <w:pStyle w:val="ListParagraph"/>
        <w:spacing w:line="480" w:lineRule="auto"/>
        <w:rPr>
          <w:rFonts w:ascii="Arial" w:hAnsi="Arial" w:cs="Arial"/>
          <w:sz w:val="24"/>
          <w:szCs w:val="24"/>
        </w:rPr>
      </w:pPr>
    </w:p>
    <w:p w14:paraId="7EC9CF80" w14:textId="006A4DF3" w:rsidR="006601EE" w:rsidRPr="00220802" w:rsidRDefault="00843F9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Turner, W. and Macdonald, G. (2011). Treatment Foster Care for Improving Outcomes in Children and Young People: A Systematic Review.</w:t>
      </w:r>
      <w:r w:rsidRPr="00D240E0">
        <w:rPr>
          <w:rStyle w:val="apple-converted-space"/>
          <w:rFonts w:ascii="Arial" w:eastAsiaTheme="majorEastAsia" w:hAnsi="Arial" w:cs="Arial"/>
          <w:color w:val="000000"/>
        </w:rPr>
        <w:t> </w:t>
      </w:r>
      <w:r w:rsidRPr="00D240E0">
        <w:rPr>
          <w:rFonts w:ascii="Arial" w:hAnsi="Arial" w:cs="Arial"/>
          <w:i/>
          <w:iCs/>
          <w:color w:val="000000"/>
        </w:rPr>
        <w:t>Research on Social Work Practice</w:t>
      </w:r>
      <w:r w:rsidRPr="00D240E0">
        <w:rPr>
          <w:rFonts w:ascii="Arial" w:hAnsi="Arial" w:cs="Arial"/>
          <w:color w:val="000000"/>
        </w:rPr>
        <w:t xml:space="preserve">, 21(5), pp.501–527. </w:t>
      </w:r>
      <w:r w:rsidR="003208A8">
        <w:rPr>
          <w:rFonts w:ascii="Arial" w:hAnsi="Arial" w:cs="Arial"/>
          <w:color w:val="000000"/>
        </w:rPr>
        <w:t xml:space="preserve">Available at: </w:t>
      </w:r>
      <w:r w:rsidR="00F86423" w:rsidRPr="00D240E0">
        <w:rPr>
          <w:rFonts w:ascii="Arial" w:hAnsi="Arial" w:cs="Arial"/>
          <w:color w:val="000000"/>
        </w:rPr>
        <w:t>https://doi.org/10.1177/1049731511400434</w:t>
      </w:r>
      <w:r w:rsidRPr="00D240E0">
        <w:rPr>
          <w:rFonts w:ascii="Arial" w:hAnsi="Arial" w:cs="Arial"/>
          <w:color w:val="000000"/>
        </w:rPr>
        <w:t>. (Accessed 15 May 2025)</w:t>
      </w:r>
    </w:p>
    <w:p w14:paraId="484E2480" w14:textId="50206153" w:rsidR="00843F9E" w:rsidRPr="00220802" w:rsidRDefault="006601EE" w:rsidP="00220802">
      <w:pPr>
        <w:pStyle w:val="NormalWeb"/>
        <w:numPr>
          <w:ilvl w:val="0"/>
          <w:numId w:val="1"/>
        </w:numPr>
        <w:spacing w:before="0" w:beforeAutospacing="0" w:after="240" w:afterAutospacing="0" w:line="480" w:lineRule="auto"/>
        <w:rPr>
          <w:rFonts w:ascii="Arial" w:hAnsi="Arial" w:cs="Arial"/>
          <w:color w:val="000000"/>
        </w:rPr>
      </w:pPr>
      <w:r w:rsidRPr="00D240E0">
        <w:rPr>
          <w:rFonts w:ascii="Arial" w:hAnsi="Arial" w:cs="Arial"/>
          <w:color w:val="000000"/>
        </w:rPr>
        <w:t>University of Cambridge. (2022).</w:t>
      </w:r>
      <w:r w:rsidRPr="00D240E0">
        <w:rPr>
          <w:rStyle w:val="apple-converted-space"/>
          <w:rFonts w:ascii="Arial" w:eastAsiaTheme="majorEastAsia" w:hAnsi="Arial" w:cs="Arial"/>
          <w:color w:val="000000"/>
        </w:rPr>
        <w:t> </w:t>
      </w:r>
      <w:r w:rsidRPr="00D240E0">
        <w:rPr>
          <w:rFonts w:ascii="Arial" w:hAnsi="Arial" w:cs="Arial"/>
          <w:i/>
          <w:iCs/>
          <w:color w:val="000000"/>
        </w:rPr>
        <w:t>UK policing: psychological damage among officers heightened by bad working conditions</w:t>
      </w:r>
      <w:r w:rsidRPr="00D240E0">
        <w:rPr>
          <w:rFonts w:ascii="Arial" w:hAnsi="Arial" w:cs="Arial"/>
          <w:color w:val="000000"/>
        </w:rPr>
        <w:t xml:space="preserve">. [online] Available at: </w:t>
      </w:r>
      <w:r w:rsidR="00B96EA0" w:rsidRPr="00B96EA0">
        <w:rPr>
          <w:rFonts w:ascii="Arial" w:hAnsi="Arial" w:cs="Arial"/>
          <w:color w:val="000000"/>
        </w:rPr>
        <w:t>https://www.cam.ac.uk/research/news/uk-policing-psychological-damage-among-officers-heightened-by-bad-working-conditions</w:t>
      </w:r>
      <w:r w:rsidRPr="00D240E0">
        <w:rPr>
          <w:rFonts w:ascii="Arial" w:hAnsi="Arial" w:cs="Arial"/>
          <w:color w:val="000000"/>
        </w:rPr>
        <w:t>.</w:t>
      </w:r>
      <w:r w:rsidR="00B96EA0">
        <w:rPr>
          <w:rFonts w:ascii="Arial" w:hAnsi="Arial" w:cs="Arial"/>
          <w:color w:val="000000"/>
        </w:rPr>
        <w:t xml:space="preserve"> </w:t>
      </w:r>
      <w:r w:rsidR="00B96EA0" w:rsidRPr="00B90A8A">
        <w:rPr>
          <w:rFonts w:ascii="Arial" w:hAnsi="Arial" w:cs="Arial"/>
          <w:color w:val="000000" w:themeColor="text1"/>
        </w:rPr>
        <w:t>(Accessed 24th of June 2025)</w:t>
      </w:r>
    </w:p>
    <w:sectPr w:rsidR="00843F9E" w:rsidRPr="00220802" w:rsidSect="00EA6CE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E362A8"/>
    <w:multiLevelType w:val="hybridMultilevel"/>
    <w:tmpl w:val="74FC86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3335583">
    <w:abstractNumId w:val="0"/>
  </w:num>
  <w:num w:numId="2" w16cid:durableId="109505666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04E"/>
    <w:rsid w:val="00003918"/>
    <w:rsid w:val="00005784"/>
    <w:rsid w:val="000275BC"/>
    <w:rsid w:val="00041F43"/>
    <w:rsid w:val="000A003B"/>
    <w:rsid w:val="000A2D09"/>
    <w:rsid w:val="000C19CA"/>
    <w:rsid w:val="000E0D92"/>
    <w:rsid w:val="000E761A"/>
    <w:rsid w:val="000F1C21"/>
    <w:rsid w:val="00112E0A"/>
    <w:rsid w:val="00126528"/>
    <w:rsid w:val="001352D7"/>
    <w:rsid w:val="0013734B"/>
    <w:rsid w:val="001971CE"/>
    <w:rsid w:val="001D254F"/>
    <w:rsid w:val="002032F5"/>
    <w:rsid w:val="0020757B"/>
    <w:rsid w:val="00220802"/>
    <w:rsid w:val="00230CA9"/>
    <w:rsid w:val="0023422D"/>
    <w:rsid w:val="00252548"/>
    <w:rsid w:val="0026607F"/>
    <w:rsid w:val="00275DDD"/>
    <w:rsid w:val="00281430"/>
    <w:rsid w:val="002B76F7"/>
    <w:rsid w:val="002C45B5"/>
    <w:rsid w:val="002F4977"/>
    <w:rsid w:val="00307DA9"/>
    <w:rsid w:val="0032070D"/>
    <w:rsid w:val="003208A8"/>
    <w:rsid w:val="00330D2D"/>
    <w:rsid w:val="003351D6"/>
    <w:rsid w:val="00367115"/>
    <w:rsid w:val="003703B3"/>
    <w:rsid w:val="00375727"/>
    <w:rsid w:val="003C0EAF"/>
    <w:rsid w:val="003C1AC3"/>
    <w:rsid w:val="003C79ED"/>
    <w:rsid w:val="003F444A"/>
    <w:rsid w:val="00431172"/>
    <w:rsid w:val="0043646D"/>
    <w:rsid w:val="00456940"/>
    <w:rsid w:val="00467ED1"/>
    <w:rsid w:val="00467F3E"/>
    <w:rsid w:val="00470F1E"/>
    <w:rsid w:val="004754E1"/>
    <w:rsid w:val="00491E22"/>
    <w:rsid w:val="00492ED2"/>
    <w:rsid w:val="004961B8"/>
    <w:rsid w:val="00496A57"/>
    <w:rsid w:val="00497FE4"/>
    <w:rsid w:val="004A38F7"/>
    <w:rsid w:val="004B731E"/>
    <w:rsid w:val="004C57E9"/>
    <w:rsid w:val="004D778E"/>
    <w:rsid w:val="004E5D92"/>
    <w:rsid w:val="004F16E1"/>
    <w:rsid w:val="005220EA"/>
    <w:rsid w:val="0052645A"/>
    <w:rsid w:val="00533482"/>
    <w:rsid w:val="00566065"/>
    <w:rsid w:val="00581EEC"/>
    <w:rsid w:val="005A01A1"/>
    <w:rsid w:val="005E09FE"/>
    <w:rsid w:val="005E5099"/>
    <w:rsid w:val="006000A5"/>
    <w:rsid w:val="00626F7D"/>
    <w:rsid w:val="006568C1"/>
    <w:rsid w:val="006601EE"/>
    <w:rsid w:val="00661B3E"/>
    <w:rsid w:val="006664A6"/>
    <w:rsid w:val="00675E07"/>
    <w:rsid w:val="00683DCE"/>
    <w:rsid w:val="00686EEE"/>
    <w:rsid w:val="006B3C4E"/>
    <w:rsid w:val="006E0300"/>
    <w:rsid w:val="006F4C41"/>
    <w:rsid w:val="006F70E1"/>
    <w:rsid w:val="00701FF0"/>
    <w:rsid w:val="00710570"/>
    <w:rsid w:val="0072265A"/>
    <w:rsid w:val="00750823"/>
    <w:rsid w:val="00751D01"/>
    <w:rsid w:val="00752F0C"/>
    <w:rsid w:val="0079469E"/>
    <w:rsid w:val="007C3EB3"/>
    <w:rsid w:val="007D5DE3"/>
    <w:rsid w:val="007F2C7E"/>
    <w:rsid w:val="008034E6"/>
    <w:rsid w:val="00804492"/>
    <w:rsid w:val="00811EC5"/>
    <w:rsid w:val="008270D2"/>
    <w:rsid w:val="00831184"/>
    <w:rsid w:val="00833968"/>
    <w:rsid w:val="00843F9E"/>
    <w:rsid w:val="008461C7"/>
    <w:rsid w:val="00865F84"/>
    <w:rsid w:val="0086704E"/>
    <w:rsid w:val="00891CB1"/>
    <w:rsid w:val="0089785A"/>
    <w:rsid w:val="008B04A0"/>
    <w:rsid w:val="008B3571"/>
    <w:rsid w:val="008F478F"/>
    <w:rsid w:val="00915651"/>
    <w:rsid w:val="0093393A"/>
    <w:rsid w:val="00940ABE"/>
    <w:rsid w:val="0094649C"/>
    <w:rsid w:val="009A0D4C"/>
    <w:rsid w:val="009A2A83"/>
    <w:rsid w:val="009A386B"/>
    <w:rsid w:val="009A4923"/>
    <w:rsid w:val="009A50E3"/>
    <w:rsid w:val="009C112D"/>
    <w:rsid w:val="009D2FAC"/>
    <w:rsid w:val="009D30A2"/>
    <w:rsid w:val="009E05F5"/>
    <w:rsid w:val="00A06D1C"/>
    <w:rsid w:val="00A122BD"/>
    <w:rsid w:val="00A37FEB"/>
    <w:rsid w:val="00A5615F"/>
    <w:rsid w:val="00A74DF0"/>
    <w:rsid w:val="00A81274"/>
    <w:rsid w:val="00A93077"/>
    <w:rsid w:val="00AA7435"/>
    <w:rsid w:val="00AB4E9A"/>
    <w:rsid w:val="00AE22FD"/>
    <w:rsid w:val="00B27494"/>
    <w:rsid w:val="00B30C19"/>
    <w:rsid w:val="00B31839"/>
    <w:rsid w:val="00B34E2B"/>
    <w:rsid w:val="00B514EF"/>
    <w:rsid w:val="00B60AE6"/>
    <w:rsid w:val="00B66DF0"/>
    <w:rsid w:val="00B90A8A"/>
    <w:rsid w:val="00B93AC8"/>
    <w:rsid w:val="00B96EA0"/>
    <w:rsid w:val="00BA2D3E"/>
    <w:rsid w:val="00BB68C2"/>
    <w:rsid w:val="00BE005A"/>
    <w:rsid w:val="00C36879"/>
    <w:rsid w:val="00C5441F"/>
    <w:rsid w:val="00C57282"/>
    <w:rsid w:val="00C746ED"/>
    <w:rsid w:val="00C848EB"/>
    <w:rsid w:val="00C876A4"/>
    <w:rsid w:val="00CA642B"/>
    <w:rsid w:val="00CB64A9"/>
    <w:rsid w:val="00CC563C"/>
    <w:rsid w:val="00CD5D2F"/>
    <w:rsid w:val="00D0038C"/>
    <w:rsid w:val="00D03C82"/>
    <w:rsid w:val="00D15DDE"/>
    <w:rsid w:val="00D240E0"/>
    <w:rsid w:val="00D2428F"/>
    <w:rsid w:val="00D508B3"/>
    <w:rsid w:val="00D6054A"/>
    <w:rsid w:val="00D74523"/>
    <w:rsid w:val="00D865A3"/>
    <w:rsid w:val="00DA1404"/>
    <w:rsid w:val="00DB06F5"/>
    <w:rsid w:val="00DB09E6"/>
    <w:rsid w:val="00DC67B5"/>
    <w:rsid w:val="00DD239D"/>
    <w:rsid w:val="00DE57BF"/>
    <w:rsid w:val="00E33A40"/>
    <w:rsid w:val="00E37710"/>
    <w:rsid w:val="00E440D7"/>
    <w:rsid w:val="00E50FBA"/>
    <w:rsid w:val="00E60C75"/>
    <w:rsid w:val="00E72E88"/>
    <w:rsid w:val="00E77836"/>
    <w:rsid w:val="00E85F21"/>
    <w:rsid w:val="00E91791"/>
    <w:rsid w:val="00EA6CE0"/>
    <w:rsid w:val="00EB73CD"/>
    <w:rsid w:val="00EF491F"/>
    <w:rsid w:val="00F159AF"/>
    <w:rsid w:val="00F222B3"/>
    <w:rsid w:val="00F476F8"/>
    <w:rsid w:val="00F51055"/>
    <w:rsid w:val="00F560A6"/>
    <w:rsid w:val="00F60FBA"/>
    <w:rsid w:val="00F76A9E"/>
    <w:rsid w:val="00F86423"/>
    <w:rsid w:val="00F9317A"/>
    <w:rsid w:val="00FB3007"/>
    <w:rsid w:val="00FD452E"/>
    <w:rsid w:val="00FE78E8"/>
    <w:rsid w:val="00FF3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82E14"/>
  <w15:chartTrackingRefBased/>
  <w15:docId w15:val="{AD3CA25E-CF6A-6F42-B044-42AFB7386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184"/>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670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0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0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0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0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0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0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0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0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0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0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0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0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0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0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0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0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04E"/>
    <w:rPr>
      <w:rFonts w:eastAsiaTheme="majorEastAsia" w:cstheme="majorBidi"/>
      <w:color w:val="272727" w:themeColor="text1" w:themeTint="D8"/>
    </w:rPr>
  </w:style>
  <w:style w:type="paragraph" w:styleId="Title">
    <w:name w:val="Title"/>
    <w:basedOn w:val="Normal"/>
    <w:next w:val="Normal"/>
    <w:link w:val="TitleChar"/>
    <w:uiPriority w:val="10"/>
    <w:qFormat/>
    <w:rsid w:val="008670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0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04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0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04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704E"/>
    <w:rPr>
      <w:i/>
      <w:iCs/>
      <w:color w:val="404040" w:themeColor="text1" w:themeTint="BF"/>
    </w:rPr>
  </w:style>
  <w:style w:type="paragraph" w:styleId="ListParagraph">
    <w:name w:val="List Paragraph"/>
    <w:basedOn w:val="Normal"/>
    <w:uiPriority w:val="34"/>
    <w:qFormat/>
    <w:rsid w:val="0086704E"/>
    <w:pPr>
      <w:ind w:left="720"/>
      <w:contextualSpacing/>
    </w:pPr>
  </w:style>
  <w:style w:type="character" w:styleId="IntenseEmphasis">
    <w:name w:val="Intense Emphasis"/>
    <w:basedOn w:val="DefaultParagraphFont"/>
    <w:uiPriority w:val="21"/>
    <w:qFormat/>
    <w:rsid w:val="0086704E"/>
    <w:rPr>
      <w:i/>
      <w:iCs/>
      <w:color w:val="0F4761" w:themeColor="accent1" w:themeShade="BF"/>
    </w:rPr>
  </w:style>
  <w:style w:type="paragraph" w:styleId="IntenseQuote">
    <w:name w:val="Intense Quote"/>
    <w:basedOn w:val="Normal"/>
    <w:next w:val="Normal"/>
    <w:link w:val="IntenseQuoteChar"/>
    <w:uiPriority w:val="30"/>
    <w:qFormat/>
    <w:rsid w:val="008670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04E"/>
    <w:rPr>
      <w:i/>
      <w:iCs/>
      <w:color w:val="0F4761" w:themeColor="accent1" w:themeShade="BF"/>
    </w:rPr>
  </w:style>
  <w:style w:type="character" w:styleId="IntenseReference">
    <w:name w:val="Intense Reference"/>
    <w:basedOn w:val="DefaultParagraphFont"/>
    <w:uiPriority w:val="32"/>
    <w:qFormat/>
    <w:rsid w:val="0086704E"/>
    <w:rPr>
      <w:b/>
      <w:bCs/>
      <w:smallCaps/>
      <w:color w:val="0F4761" w:themeColor="accent1" w:themeShade="BF"/>
      <w:spacing w:val="5"/>
    </w:rPr>
  </w:style>
  <w:style w:type="paragraph" w:styleId="NormalWeb">
    <w:name w:val="Normal (Web)"/>
    <w:basedOn w:val="Normal"/>
    <w:uiPriority w:val="99"/>
    <w:unhideWhenUsed/>
    <w:rsid w:val="00843F9E"/>
    <w:pPr>
      <w:spacing w:before="100" w:beforeAutospacing="1" w:after="100" w:afterAutospacing="1"/>
    </w:pPr>
    <w:rPr>
      <w:sz w:val="24"/>
      <w:szCs w:val="24"/>
    </w:rPr>
  </w:style>
  <w:style w:type="character" w:customStyle="1" w:styleId="apple-converted-space">
    <w:name w:val="apple-converted-space"/>
    <w:basedOn w:val="DefaultParagraphFont"/>
    <w:rsid w:val="00843F9E"/>
  </w:style>
  <w:style w:type="character" w:styleId="Hyperlink">
    <w:name w:val="Hyperlink"/>
    <w:basedOn w:val="DefaultParagraphFont"/>
    <w:uiPriority w:val="99"/>
    <w:unhideWhenUsed/>
    <w:rsid w:val="009D30A2"/>
    <w:rPr>
      <w:color w:val="467886" w:themeColor="hyperlink"/>
      <w:u w:val="single"/>
    </w:rPr>
  </w:style>
  <w:style w:type="character" w:styleId="UnresolvedMention">
    <w:name w:val="Unresolved Mention"/>
    <w:basedOn w:val="DefaultParagraphFont"/>
    <w:uiPriority w:val="99"/>
    <w:semiHidden/>
    <w:unhideWhenUsed/>
    <w:rsid w:val="009D30A2"/>
    <w:rPr>
      <w:color w:val="605E5C"/>
      <w:shd w:val="clear" w:color="auto" w:fill="E1DFDD"/>
    </w:rPr>
  </w:style>
  <w:style w:type="character" w:styleId="Strong">
    <w:name w:val="Strong"/>
    <w:basedOn w:val="DefaultParagraphFont"/>
    <w:uiPriority w:val="22"/>
    <w:qFormat/>
    <w:rsid w:val="00D508B3"/>
    <w:rPr>
      <w:b/>
      <w:bCs/>
    </w:rPr>
  </w:style>
  <w:style w:type="character" w:styleId="FollowedHyperlink">
    <w:name w:val="FollowedHyperlink"/>
    <w:basedOn w:val="DefaultParagraphFont"/>
    <w:uiPriority w:val="99"/>
    <w:semiHidden/>
    <w:unhideWhenUsed/>
    <w:rsid w:val="00470F1E"/>
    <w:rPr>
      <w:color w:val="96607D" w:themeColor="followedHyperlink"/>
      <w:u w:val="single"/>
    </w:rPr>
  </w:style>
  <w:style w:type="character" w:customStyle="1" w:styleId="extn-css-0">
    <w:name w:val="extn-css-0"/>
    <w:basedOn w:val="DefaultParagraphFont"/>
    <w:rsid w:val="000A2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17076">
      <w:bodyDiv w:val="1"/>
      <w:marLeft w:val="0"/>
      <w:marRight w:val="0"/>
      <w:marTop w:val="0"/>
      <w:marBottom w:val="0"/>
      <w:divBdr>
        <w:top w:val="none" w:sz="0" w:space="0" w:color="auto"/>
        <w:left w:val="none" w:sz="0" w:space="0" w:color="auto"/>
        <w:bottom w:val="none" w:sz="0" w:space="0" w:color="auto"/>
        <w:right w:val="none" w:sz="0" w:space="0" w:color="auto"/>
      </w:divBdr>
      <w:divsChild>
        <w:div w:id="1512639956">
          <w:marLeft w:val="0"/>
          <w:marRight w:val="0"/>
          <w:marTop w:val="0"/>
          <w:marBottom w:val="0"/>
          <w:divBdr>
            <w:top w:val="none" w:sz="0" w:space="0" w:color="auto"/>
            <w:left w:val="none" w:sz="0" w:space="0" w:color="auto"/>
            <w:bottom w:val="none" w:sz="0" w:space="0" w:color="auto"/>
            <w:right w:val="none" w:sz="0" w:space="0" w:color="auto"/>
          </w:divBdr>
        </w:div>
      </w:divsChild>
    </w:div>
    <w:div w:id="133062167">
      <w:bodyDiv w:val="1"/>
      <w:marLeft w:val="0"/>
      <w:marRight w:val="0"/>
      <w:marTop w:val="0"/>
      <w:marBottom w:val="0"/>
      <w:divBdr>
        <w:top w:val="none" w:sz="0" w:space="0" w:color="auto"/>
        <w:left w:val="none" w:sz="0" w:space="0" w:color="auto"/>
        <w:bottom w:val="none" w:sz="0" w:space="0" w:color="auto"/>
        <w:right w:val="none" w:sz="0" w:space="0" w:color="auto"/>
      </w:divBdr>
      <w:divsChild>
        <w:div w:id="1638216834">
          <w:marLeft w:val="0"/>
          <w:marRight w:val="0"/>
          <w:marTop w:val="0"/>
          <w:marBottom w:val="0"/>
          <w:divBdr>
            <w:top w:val="none" w:sz="0" w:space="0" w:color="auto"/>
            <w:left w:val="none" w:sz="0" w:space="0" w:color="auto"/>
            <w:bottom w:val="none" w:sz="0" w:space="0" w:color="auto"/>
            <w:right w:val="none" w:sz="0" w:space="0" w:color="auto"/>
          </w:divBdr>
        </w:div>
      </w:divsChild>
    </w:div>
    <w:div w:id="158424458">
      <w:bodyDiv w:val="1"/>
      <w:marLeft w:val="0"/>
      <w:marRight w:val="0"/>
      <w:marTop w:val="0"/>
      <w:marBottom w:val="0"/>
      <w:divBdr>
        <w:top w:val="none" w:sz="0" w:space="0" w:color="auto"/>
        <w:left w:val="none" w:sz="0" w:space="0" w:color="auto"/>
        <w:bottom w:val="none" w:sz="0" w:space="0" w:color="auto"/>
        <w:right w:val="none" w:sz="0" w:space="0" w:color="auto"/>
      </w:divBdr>
    </w:div>
    <w:div w:id="282855237">
      <w:bodyDiv w:val="1"/>
      <w:marLeft w:val="0"/>
      <w:marRight w:val="0"/>
      <w:marTop w:val="0"/>
      <w:marBottom w:val="0"/>
      <w:divBdr>
        <w:top w:val="none" w:sz="0" w:space="0" w:color="auto"/>
        <w:left w:val="none" w:sz="0" w:space="0" w:color="auto"/>
        <w:bottom w:val="none" w:sz="0" w:space="0" w:color="auto"/>
        <w:right w:val="none" w:sz="0" w:space="0" w:color="auto"/>
      </w:divBdr>
      <w:divsChild>
        <w:div w:id="2086298955">
          <w:marLeft w:val="0"/>
          <w:marRight w:val="0"/>
          <w:marTop w:val="0"/>
          <w:marBottom w:val="0"/>
          <w:divBdr>
            <w:top w:val="none" w:sz="0" w:space="0" w:color="auto"/>
            <w:left w:val="none" w:sz="0" w:space="0" w:color="auto"/>
            <w:bottom w:val="none" w:sz="0" w:space="0" w:color="auto"/>
            <w:right w:val="none" w:sz="0" w:space="0" w:color="auto"/>
          </w:divBdr>
        </w:div>
      </w:divsChild>
    </w:div>
    <w:div w:id="326595139">
      <w:bodyDiv w:val="1"/>
      <w:marLeft w:val="0"/>
      <w:marRight w:val="0"/>
      <w:marTop w:val="0"/>
      <w:marBottom w:val="0"/>
      <w:divBdr>
        <w:top w:val="none" w:sz="0" w:space="0" w:color="auto"/>
        <w:left w:val="none" w:sz="0" w:space="0" w:color="auto"/>
        <w:bottom w:val="none" w:sz="0" w:space="0" w:color="auto"/>
        <w:right w:val="none" w:sz="0" w:space="0" w:color="auto"/>
      </w:divBdr>
      <w:divsChild>
        <w:div w:id="2144229009">
          <w:marLeft w:val="0"/>
          <w:marRight w:val="0"/>
          <w:marTop w:val="0"/>
          <w:marBottom w:val="0"/>
          <w:divBdr>
            <w:top w:val="none" w:sz="0" w:space="0" w:color="auto"/>
            <w:left w:val="none" w:sz="0" w:space="0" w:color="auto"/>
            <w:bottom w:val="none" w:sz="0" w:space="0" w:color="auto"/>
            <w:right w:val="none" w:sz="0" w:space="0" w:color="auto"/>
          </w:divBdr>
        </w:div>
      </w:divsChild>
    </w:div>
    <w:div w:id="335350733">
      <w:bodyDiv w:val="1"/>
      <w:marLeft w:val="0"/>
      <w:marRight w:val="0"/>
      <w:marTop w:val="0"/>
      <w:marBottom w:val="0"/>
      <w:divBdr>
        <w:top w:val="none" w:sz="0" w:space="0" w:color="auto"/>
        <w:left w:val="none" w:sz="0" w:space="0" w:color="auto"/>
        <w:bottom w:val="none" w:sz="0" w:space="0" w:color="auto"/>
        <w:right w:val="none" w:sz="0" w:space="0" w:color="auto"/>
      </w:divBdr>
      <w:divsChild>
        <w:div w:id="1487890643">
          <w:marLeft w:val="0"/>
          <w:marRight w:val="0"/>
          <w:marTop w:val="0"/>
          <w:marBottom w:val="0"/>
          <w:divBdr>
            <w:top w:val="none" w:sz="0" w:space="0" w:color="auto"/>
            <w:left w:val="none" w:sz="0" w:space="0" w:color="auto"/>
            <w:bottom w:val="none" w:sz="0" w:space="0" w:color="auto"/>
            <w:right w:val="none" w:sz="0" w:space="0" w:color="auto"/>
          </w:divBdr>
        </w:div>
      </w:divsChild>
    </w:div>
    <w:div w:id="411316680">
      <w:bodyDiv w:val="1"/>
      <w:marLeft w:val="0"/>
      <w:marRight w:val="0"/>
      <w:marTop w:val="0"/>
      <w:marBottom w:val="0"/>
      <w:divBdr>
        <w:top w:val="none" w:sz="0" w:space="0" w:color="auto"/>
        <w:left w:val="none" w:sz="0" w:space="0" w:color="auto"/>
        <w:bottom w:val="none" w:sz="0" w:space="0" w:color="auto"/>
        <w:right w:val="none" w:sz="0" w:space="0" w:color="auto"/>
      </w:divBdr>
    </w:div>
    <w:div w:id="684599406">
      <w:bodyDiv w:val="1"/>
      <w:marLeft w:val="0"/>
      <w:marRight w:val="0"/>
      <w:marTop w:val="0"/>
      <w:marBottom w:val="0"/>
      <w:divBdr>
        <w:top w:val="none" w:sz="0" w:space="0" w:color="auto"/>
        <w:left w:val="none" w:sz="0" w:space="0" w:color="auto"/>
        <w:bottom w:val="none" w:sz="0" w:space="0" w:color="auto"/>
        <w:right w:val="none" w:sz="0" w:space="0" w:color="auto"/>
      </w:divBdr>
      <w:divsChild>
        <w:div w:id="358043751">
          <w:marLeft w:val="0"/>
          <w:marRight w:val="0"/>
          <w:marTop w:val="0"/>
          <w:marBottom w:val="0"/>
          <w:divBdr>
            <w:top w:val="none" w:sz="0" w:space="0" w:color="auto"/>
            <w:left w:val="none" w:sz="0" w:space="0" w:color="auto"/>
            <w:bottom w:val="none" w:sz="0" w:space="0" w:color="auto"/>
            <w:right w:val="none" w:sz="0" w:space="0" w:color="auto"/>
          </w:divBdr>
        </w:div>
      </w:divsChild>
    </w:div>
    <w:div w:id="789012986">
      <w:bodyDiv w:val="1"/>
      <w:marLeft w:val="0"/>
      <w:marRight w:val="0"/>
      <w:marTop w:val="0"/>
      <w:marBottom w:val="0"/>
      <w:divBdr>
        <w:top w:val="none" w:sz="0" w:space="0" w:color="auto"/>
        <w:left w:val="none" w:sz="0" w:space="0" w:color="auto"/>
        <w:bottom w:val="none" w:sz="0" w:space="0" w:color="auto"/>
        <w:right w:val="none" w:sz="0" w:space="0" w:color="auto"/>
      </w:divBdr>
      <w:divsChild>
        <w:div w:id="1423598960">
          <w:marLeft w:val="0"/>
          <w:marRight w:val="0"/>
          <w:marTop w:val="0"/>
          <w:marBottom w:val="0"/>
          <w:divBdr>
            <w:top w:val="none" w:sz="0" w:space="0" w:color="auto"/>
            <w:left w:val="none" w:sz="0" w:space="0" w:color="auto"/>
            <w:bottom w:val="none" w:sz="0" w:space="0" w:color="auto"/>
            <w:right w:val="none" w:sz="0" w:space="0" w:color="auto"/>
          </w:divBdr>
        </w:div>
      </w:divsChild>
    </w:div>
    <w:div w:id="999432538">
      <w:bodyDiv w:val="1"/>
      <w:marLeft w:val="0"/>
      <w:marRight w:val="0"/>
      <w:marTop w:val="0"/>
      <w:marBottom w:val="0"/>
      <w:divBdr>
        <w:top w:val="none" w:sz="0" w:space="0" w:color="auto"/>
        <w:left w:val="none" w:sz="0" w:space="0" w:color="auto"/>
        <w:bottom w:val="none" w:sz="0" w:space="0" w:color="auto"/>
        <w:right w:val="none" w:sz="0" w:space="0" w:color="auto"/>
      </w:divBdr>
      <w:divsChild>
        <w:div w:id="1616404878">
          <w:marLeft w:val="0"/>
          <w:marRight w:val="0"/>
          <w:marTop w:val="0"/>
          <w:marBottom w:val="0"/>
          <w:divBdr>
            <w:top w:val="none" w:sz="0" w:space="0" w:color="auto"/>
            <w:left w:val="none" w:sz="0" w:space="0" w:color="auto"/>
            <w:bottom w:val="none" w:sz="0" w:space="0" w:color="auto"/>
            <w:right w:val="none" w:sz="0" w:space="0" w:color="auto"/>
          </w:divBdr>
        </w:div>
      </w:divsChild>
    </w:div>
    <w:div w:id="1020156126">
      <w:bodyDiv w:val="1"/>
      <w:marLeft w:val="0"/>
      <w:marRight w:val="0"/>
      <w:marTop w:val="0"/>
      <w:marBottom w:val="0"/>
      <w:divBdr>
        <w:top w:val="none" w:sz="0" w:space="0" w:color="auto"/>
        <w:left w:val="none" w:sz="0" w:space="0" w:color="auto"/>
        <w:bottom w:val="none" w:sz="0" w:space="0" w:color="auto"/>
        <w:right w:val="none" w:sz="0" w:space="0" w:color="auto"/>
      </w:divBdr>
      <w:divsChild>
        <w:div w:id="2050451598">
          <w:marLeft w:val="0"/>
          <w:marRight w:val="0"/>
          <w:marTop w:val="0"/>
          <w:marBottom w:val="0"/>
          <w:divBdr>
            <w:top w:val="none" w:sz="0" w:space="0" w:color="auto"/>
            <w:left w:val="none" w:sz="0" w:space="0" w:color="auto"/>
            <w:bottom w:val="none" w:sz="0" w:space="0" w:color="auto"/>
            <w:right w:val="none" w:sz="0" w:space="0" w:color="auto"/>
          </w:divBdr>
        </w:div>
      </w:divsChild>
    </w:div>
    <w:div w:id="1043406904">
      <w:bodyDiv w:val="1"/>
      <w:marLeft w:val="0"/>
      <w:marRight w:val="0"/>
      <w:marTop w:val="0"/>
      <w:marBottom w:val="0"/>
      <w:divBdr>
        <w:top w:val="none" w:sz="0" w:space="0" w:color="auto"/>
        <w:left w:val="none" w:sz="0" w:space="0" w:color="auto"/>
        <w:bottom w:val="none" w:sz="0" w:space="0" w:color="auto"/>
        <w:right w:val="none" w:sz="0" w:space="0" w:color="auto"/>
      </w:divBdr>
      <w:divsChild>
        <w:div w:id="106043292">
          <w:marLeft w:val="0"/>
          <w:marRight w:val="0"/>
          <w:marTop w:val="0"/>
          <w:marBottom w:val="0"/>
          <w:divBdr>
            <w:top w:val="none" w:sz="0" w:space="0" w:color="auto"/>
            <w:left w:val="none" w:sz="0" w:space="0" w:color="auto"/>
            <w:bottom w:val="none" w:sz="0" w:space="0" w:color="auto"/>
            <w:right w:val="none" w:sz="0" w:space="0" w:color="auto"/>
          </w:divBdr>
        </w:div>
      </w:divsChild>
    </w:div>
    <w:div w:id="1139760337">
      <w:bodyDiv w:val="1"/>
      <w:marLeft w:val="0"/>
      <w:marRight w:val="0"/>
      <w:marTop w:val="0"/>
      <w:marBottom w:val="0"/>
      <w:divBdr>
        <w:top w:val="none" w:sz="0" w:space="0" w:color="auto"/>
        <w:left w:val="none" w:sz="0" w:space="0" w:color="auto"/>
        <w:bottom w:val="none" w:sz="0" w:space="0" w:color="auto"/>
        <w:right w:val="none" w:sz="0" w:space="0" w:color="auto"/>
      </w:divBdr>
      <w:divsChild>
        <w:div w:id="1165827286">
          <w:marLeft w:val="0"/>
          <w:marRight w:val="0"/>
          <w:marTop w:val="0"/>
          <w:marBottom w:val="0"/>
          <w:divBdr>
            <w:top w:val="none" w:sz="0" w:space="0" w:color="auto"/>
            <w:left w:val="none" w:sz="0" w:space="0" w:color="auto"/>
            <w:bottom w:val="none" w:sz="0" w:space="0" w:color="auto"/>
            <w:right w:val="none" w:sz="0" w:space="0" w:color="auto"/>
          </w:divBdr>
        </w:div>
      </w:divsChild>
    </w:div>
    <w:div w:id="1144740222">
      <w:bodyDiv w:val="1"/>
      <w:marLeft w:val="0"/>
      <w:marRight w:val="0"/>
      <w:marTop w:val="0"/>
      <w:marBottom w:val="0"/>
      <w:divBdr>
        <w:top w:val="none" w:sz="0" w:space="0" w:color="auto"/>
        <w:left w:val="none" w:sz="0" w:space="0" w:color="auto"/>
        <w:bottom w:val="none" w:sz="0" w:space="0" w:color="auto"/>
        <w:right w:val="none" w:sz="0" w:space="0" w:color="auto"/>
      </w:divBdr>
      <w:divsChild>
        <w:div w:id="505024258">
          <w:marLeft w:val="0"/>
          <w:marRight w:val="0"/>
          <w:marTop w:val="0"/>
          <w:marBottom w:val="0"/>
          <w:divBdr>
            <w:top w:val="none" w:sz="0" w:space="0" w:color="auto"/>
            <w:left w:val="none" w:sz="0" w:space="0" w:color="auto"/>
            <w:bottom w:val="none" w:sz="0" w:space="0" w:color="auto"/>
            <w:right w:val="none" w:sz="0" w:space="0" w:color="auto"/>
          </w:divBdr>
        </w:div>
      </w:divsChild>
    </w:div>
    <w:div w:id="1362782418">
      <w:bodyDiv w:val="1"/>
      <w:marLeft w:val="0"/>
      <w:marRight w:val="0"/>
      <w:marTop w:val="0"/>
      <w:marBottom w:val="0"/>
      <w:divBdr>
        <w:top w:val="none" w:sz="0" w:space="0" w:color="auto"/>
        <w:left w:val="none" w:sz="0" w:space="0" w:color="auto"/>
        <w:bottom w:val="none" w:sz="0" w:space="0" w:color="auto"/>
        <w:right w:val="none" w:sz="0" w:space="0" w:color="auto"/>
      </w:divBdr>
    </w:div>
    <w:div w:id="1549535621">
      <w:bodyDiv w:val="1"/>
      <w:marLeft w:val="0"/>
      <w:marRight w:val="0"/>
      <w:marTop w:val="0"/>
      <w:marBottom w:val="0"/>
      <w:divBdr>
        <w:top w:val="none" w:sz="0" w:space="0" w:color="auto"/>
        <w:left w:val="none" w:sz="0" w:space="0" w:color="auto"/>
        <w:bottom w:val="none" w:sz="0" w:space="0" w:color="auto"/>
        <w:right w:val="none" w:sz="0" w:space="0" w:color="auto"/>
      </w:divBdr>
      <w:divsChild>
        <w:div w:id="1305550686">
          <w:marLeft w:val="0"/>
          <w:marRight w:val="0"/>
          <w:marTop w:val="0"/>
          <w:marBottom w:val="0"/>
          <w:divBdr>
            <w:top w:val="none" w:sz="0" w:space="0" w:color="auto"/>
            <w:left w:val="none" w:sz="0" w:space="0" w:color="auto"/>
            <w:bottom w:val="none" w:sz="0" w:space="0" w:color="auto"/>
            <w:right w:val="none" w:sz="0" w:space="0" w:color="auto"/>
          </w:divBdr>
        </w:div>
      </w:divsChild>
    </w:div>
    <w:div w:id="1767536927">
      <w:bodyDiv w:val="1"/>
      <w:marLeft w:val="0"/>
      <w:marRight w:val="0"/>
      <w:marTop w:val="0"/>
      <w:marBottom w:val="0"/>
      <w:divBdr>
        <w:top w:val="none" w:sz="0" w:space="0" w:color="auto"/>
        <w:left w:val="none" w:sz="0" w:space="0" w:color="auto"/>
        <w:bottom w:val="none" w:sz="0" w:space="0" w:color="auto"/>
        <w:right w:val="none" w:sz="0" w:space="0" w:color="auto"/>
      </w:divBdr>
      <w:divsChild>
        <w:div w:id="1845704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1152</TotalTime>
  <Pages>23</Pages>
  <Words>5870</Words>
  <Characters>33464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Moszczynska K (FCES)</dc:creator>
  <cp:keywords/>
  <dc:description/>
  <cp:lastModifiedBy>Moszczynska,Karolina swp8496</cp:lastModifiedBy>
  <cp:revision>110</cp:revision>
  <dcterms:created xsi:type="dcterms:W3CDTF">2025-06-29T13:24:00Z</dcterms:created>
  <dcterms:modified xsi:type="dcterms:W3CDTF">2025-06-30T21:54:00Z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2025-06-29T13:23:48Z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04e1a442-6300-4f02-b74f-43a086777dbb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