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colors6.xml" ContentType="application/vnd.ms-office.chartcolorstyle+xml"/>
  <Override PartName="/word/charts/colors7.xml" ContentType="application/vnd.ms-office.chartcolorstyle+xml"/>
  <Override PartName="/word/charts/colors8.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charts/style6.xml" ContentType="application/vnd.ms-office.chartstyle+xml"/>
  <Override PartName="/word/charts/style7.xml" ContentType="application/vnd.ms-office.chartstyle+xml"/>
  <Override PartName="/word/charts/style8.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theme/themeOverride1.xml" ContentType="application/vnd.openxmlformats-officedocument.themeOverride+xml"/>
  <Override PartName="/word/theme/themeOverride2.xml" ContentType="application/vnd.openxmlformats-officedocument.themeOverride+xml"/>
  <Override PartName="/word/theme/themeOverride3.xml" ContentType="application/vnd.openxmlformats-officedocument.themeOverride+xml"/>
  <Override PartName="/word/theme/themeOverride4.xml" ContentType="application/vnd.openxmlformats-officedocument.themeOverride+xml"/>
  <Override PartName="/word/theme/themeOverride5.xml" ContentType="application/vnd.openxmlformats-officedocument.themeOverride+xml"/>
  <Override PartName="/word/theme/themeOverride6.xml" ContentType="application/vnd.openxmlformats-officedocument.themeOverrid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8"/>
          <w:szCs w:val="28"/>
          <w:lang w:val="en-US" w:eastAsia="zh-CN"/>
        </w:rPr>
      </w:pPr>
      <w:r>
        <w:rPr>
          <w:rFonts w:hint="eastAsia" w:ascii="Times New Roman" w:hAnsi="Times New Roman" w:cs="Times New Roman"/>
          <w:sz w:val="28"/>
          <w:szCs w:val="28"/>
          <w:lang w:val="en-US" w:eastAsia="zh-CN"/>
        </w:rPr>
        <w:t>Chapter 4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8"/>
          <w:szCs w:val="28"/>
          <w:lang w:val="en-US" w:eastAsia="zh-CN"/>
        </w:rPr>
        <w:t>4.1 Introduction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0" w:name="OLE_LINK1"/>
      <w:r>
        <w:rPr>
          <w:rFonts w:hint="eastAsia" w:ascii="Times New Roman" w:hAnsi="Times New Roman" w:cs="Times New Roman"/>
          <w:sz w:val="24"/>
          <w:szCs w:val="24"/>
          <w:lang w:val="en-US" w:eastAsia="zh-CN"/>
        </w:rPr>
        <w:t>This chapter will present and analyse the data collected. One hundred and fifty-seven respondents were recruited to the study, which investigated the general public</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views on the promotion agriculture product on O2O platform.</w:t>
      </w:r>
    </w:p>
    <w:bookmarkEnd w:id="0"/>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4.2 Data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data was analysed using the</w:t>
      </w:r>
      <w:r>
        <w:rPr>
          <w:rFonts w:hint="eastAsia" w:ascii="Times New Roman" w:hAnsi="Times New Roman" w:cs="Times New Roman"/>
          <w:color w:val="C00000"/>
          <w:sz w:val="24"/>
          <w:szCs w:val="24"/>
          <w:lang w:val="en-US" w:eastAsia="zh-CN"/>
        </w:rPr>
        <w:t xml:space="preserve"> </w:t>
      </w:r>
      <w:r>
        <w:rPr>
          <w:rFonts w:hint="eastAsia" w:ascii="Times New Roman" w:hAnsi="Times New Roman" w:cs="Times New Roman"/>
          <w:color w:val="000000" w:themeColor="text1"/>
          <w:sz w:val="24"/>
          <w:szCs w:val="24"/>
          <w:lang w:val="en-US" w:eastAsia="zh-CN"/>
          <w14:textFill>
            <w14:solidFill>
              <w14:schemeClr w14:val="tx1"/>
            </w14:solidFill>
          </w14:textFill>
        </w:rPr>
        <w:t>IBM</w:t>
      </w:r>
      <w:r>
        <w:rPr>
          <w:rFonts w:hint="eastAsia" w:ascii="Times New Roman" w:hAnsi="Times New Roman" w:cs="Times New Roman"/>
          <w:sz w:val="24"/>
          <w:szCs w:val="24"/>
          <w:lang w:val="en-US" w:eastAsia="zh-CN"/>
        </w:rPr>
        <w:t xml:space="preserve"> SPSS statistics </w:t>
      </w:r>
      <w:r>
        <w:rPr>
          <w:rFonts w:hint="eastAsia" w:ascii="Times New Roman" w:hAnsi="Times New Roman" w:cs="Times New Roman"/>
          <w:color w:val="000000" w:themeColor="text1"/>
          <w:sz w:val="24"/>
          <w:szCs w:val="24"/>
          <w:lang w:val="en-US" w:eastAsia="zh-CN"/>
          <w14:textFill>
            <w14:solidFill>
              <w14:schemeClr w14:val="tx1"/>
            </w14:solidFill>
          </w14:textFill>
        </w:rPr>
        <w:t>26.0</w:t>
      </w:r>
      <w:r>
        <w:rPr>
          <w:rFonts w:hint="eastAsia" w:ascii="Times New Roman" w:hAnsi="Times New Roman" w:cs="Times New Roman"/>
          <w:color w:val="C00000"/>
          <w:sz w:val="24"/>
          <w:szCs w:val="24"/>
          <w:lang w:val="en-US" w:eastAsia="zh-CN"/>
        </w:rPr>
        <w:t xml:space="preserve"> </w:t>
      </w:r>
      <w:r>
        <w:rPr>
          <w:rFonts w:hint="eastAsia" w:ascii="Times New Roman" w:hAnsi="Times New Roman" w:cs="Times New Roman"/>
          <w:sz w:val="24"/>
          <w:szCs w:val="24"/>
          <w:lang w:val="en-US" w:eastAsia="zh-CN"/>
        </w:rPr>
        <w:t>software package. Descriptive statistics were provided; this was done via cross-tabulations. Futher analyse were then complete using Chi-Square tests of association, and Mann-Whitney U tests examining for differences between the two independent variable i.e. gender and age against participants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responses. The original SPSS analyses can be seen in appendix 4. Likert scale responses were used in the questionnaire, therefore it was necessary to code responses. Males were given a code of 1, females a code of 2. 40 and under 40s were given a code of 1, over 40s a code of 2. Similarly, Likert scale answers were coded by strongly disagree=1, disagree=2, neither agree or disagree=3, agree=4 and strongly agree=5. Similarly, not very satisfied=1, unsatisfied=2, general=3, satisfied=4, very satisfied=5; a very low level=1, low level=2, general=3, high level=4, very high level=5.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4.3 Method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Participants were categorised by gender and age to investigate any significant differences in respondents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views. Participants were categorised into ages 40 and under 40 and over 40 years.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4.4 Demographics and descriptive Statistics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   This study recruited 157 respondents. Among them 75 are men and 82 are women, 77 people over 40 and 80 people over 40, 22.9% of participants have a bachelor’s degree in education. Participants come from different employment backgrounds, 13.3% come from self-employed, 32.0% come from clerk, 14.7% come from civil servant/Public Institution/Government, 13.3% come from ordinary workers, 26.7% come from others.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4.5 Chi-Square Analysis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4.5.1 Chi-Square Analysis for Gender Association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Two chi-square analyses were performed to test whether the results showed a statistical association between m</w:t>
      </w:r>
      <w:r>
        <w:rPr>
          <w:rFonts w:hint="eastAsia" w:ascii="Times New Roman" w:hAnsi="Times New Roman" w:cs="Times New Roman"/>
          <w:sz w:val="24"/>
          <w:szCs w:val="24"/>
          <w:lang w:val="en-US" w:eastAsia="zh-CN"/>
        </w:rPr>
        <w:t>ales</w:t>
      </w:r>
      <w:r>
        <w:rPr>
          <w:rFonts w:hint="default" w:ascii="Times New Roman" w:hAnsi="Times New Roman" w:cs="Times New Roman"/>
          <w:sz w:val="24"/>
          <w:szCs w:val="24"/>
          <w:lang w:val="en-US" w:eastAsia="zh-CN"/>
        </w:rPr>
        <w:t xml:space="preserve"> and </w:t>
      </w:r>
      <w:r>
        <w:rPr>
          <w:rFonts w:hint="eastAsia" w:ascii="Times New Roman" w:hAnsi="Times New Roman" w:cs="Times New Roman"/>
          <w:sz w:val="24"/>
          <w:szCs w:val="24"/>
          <w:lang w:val="en-US" w:eastAsia="zh-CN"/>
        </w:rPr>
        <w:t>females</w:t>
      </w:r>
      <w:r>
        <w:rPr>
          <w:rFonts w:hint="default" w:ascii="Times New Roman" w:hAnsi="Times New Roman" w:cs="Times New Roman"/>
          <w:sz w:val="24"/>
          <w:szCs w:val="24"/>
          <w:lang w:val="en-US" w:eastAsia="zh-CN"/>
        </w:rPr>
        <w:t xml:space="preserve">.Due to the nature of the chi-square analysis, this is done only for questions that involve nominal data (i.e., questions that are not answered using the Likert scale).Therefore, the chi-square analysis was performed on questions 7 and 15.For easy reference, please refer to Appendix </w:t>
      </w:r>
      <w:r>
        <w:rPr>
          <w:rFonts w:hint="eastAsia" w:ascii="Times New Roman" w:hAnsi="Times New Roman" w:cs="Times New Roman"/>
          <w:sz w:val="24"/>
          <w:szCs w:val="24"/>
          <w:lang w:val="en-US" w:eastAsia="zh-CN"/>
        </w:rPr>
        <w:t>6.2.1</w:t>
      </w:r>
      <w:r>
        <w:rPr>
          <w:rFonts w:hint="default" w:ascii="Times New Roman" w:hAnsi="Times New Roman" w:cs="Times New Roman"/>
          <w:sz w:val="24"/>
          <w:szCs w:val="24"/>
          <w:lang w:val="en-US" w:eastAsia="zh-CN"/>
        </w:rPr>
        <w:t xml:space="preserve"> for a list of questions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The results can be seen below in figures 4.1 and figure 4.2 show non-significant associations between age and responses to questions 7 and 15.</w:t>
      </w: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4805680" cy="2667000"/>
            <wp:effectExtent l="6350" t="6350" r="13970" b="44450"/>
            <wp:docPr id="20" name="图表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4"/>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4.1 Showing a</w:t>
      </w:r>
      <w:r>
        <w:rPr>
          <w:rFonts w:hint="eastAsia" w:ascii="Times New Roman" w:hAnsi="Times New Roman" w:cs="Times New Roman"/>
          <w:i/>
          <w:iCs/>
          <w:sz w:val="24"/>
          <w:szCs w:val="24"/>
          <w:lang w:val="en-US" w:eastAsia="zh-CN"/>
        </w:rPr>
        <w:t xml:space="preserve"> non-significant association between gender and response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your preferred way of shopping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p=0.624) in question 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drawing>
          <wp:inline distT="0" distB="0" distL="114300" distR="114300">
            <wp:extent cx="5269230" cy="2941955"/>
            <wp:effectExtent l="6350" t="6350" r="7620" b="36195"/>
            <wp:docPr id="27" name="图表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2</w:t>
      </w:r>
      <w:r>
        <w:rPr>
          <w:rFonts w:hint="default" w:ascii="Times New Roman" w:hAnsi="Times New Roman" w:cs="Times New Roman"/>
          <w:i/>
          <w:iCs/>
          <w:sz w:val="24"/>
          <w:szCs w:val="24"/>
          <w:lang w:val="en-US" w:eastAsia="zh-CN"/>
        </w:rPr>
        <w:t xml:space="preserve"> Showing a</w:t>
      </w:r>
      <w:r>
        <w:rPr>
          <w:rFonts w:hint="eastAsia" w:ascii="Times New Roman" w:hAnsi="Times New Roman" w:cs="Times New Roman"/>
          <w:i/>
          <w:iCs/>
          <w:sz w:val="24"/>
          <w:szCs w:val="24"/>
          <w:lang w:val="en-US" w:eastAsia="zh-CN"/>
        </w:rPr>
        <w:t xml:space="preserve"> non-significant association between gender and response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the biggest advantage of O2O platforms compared with other e-commerce platform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p=0.815) in question 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Table 4.1 below shows the remaining non-significant associations between gender and responses to question number 7,15 ( see appendix 6.2.2 for figures)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Table 4.1 : showing non-significant associations between gender and questions 7, 15</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52"/>
        <w:gridCol w:w="4300"/>
        <w:gridCol w:w="22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Question number </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Question</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Significant (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7</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What is your preferred way of shopping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0.624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15</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What is the biggest advantage of O2O platforms compared with other e-commerce platforms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0.815</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4.5.2 Chi-Square Analysis for Age Association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A Further t</w:t>
      </w:r>
      <w:r>
        <w:rPr>
          <w:rFonts w:hint="default" w:ascii="Times New Roman" w:hAnsi="Times New Roman" w:cs="Times New Roman"/>
          <w:sz w:val="24"/>
          <w:szCs w:val="24"/>
          <w:lang w:val="en-US" w:eastAsia="zh-CN"/>
        </w:rPr>
        <w:t xml:space="preserve">wo chi-square analyses were performed to test whether the results showed a statistical association between </w:t>
      </w:r>
      <w:r>
        <w:rPr>
          <w:rFonts w:hint="eastAsia" w:ascii="Times New Roman" w:hAnsi="Times New Roman" w:cs="Times New Roman"/>
          <w:sz w:val="24"/>
          <w:szCs w:val="24"/>
          <w:lang w:val="en-US" w:eastAsia="zh-CN"/>
        </w:rPr>
        <w:t>40</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and under 40s.</w:t>
      </w:r>
      <w:r>
        <w:rPr>
          <w:rFonts w:hint="default" w:ascii="Times New Roman" w:hAnsi="Times New Roman" w:cs="Times New Roman"/>
          <w:sz w:val="24"/>
          <w:szCs w:val="24"/>
          <w:lang w:val="en-US" w:eastAsia="zh-CN"/>
        </w:rPr>
        <w:t xml:space="preserve">and </w:t>
      </w:r>
      <w:r>
        <w:rPr>
          <w:rFonts w:hint="eastAsia" w:ascii="Times New Roman" w:hAnsi="Times New Roman" w:cs="Times New Roman"/>
          <w:sz w:val="24"/>
          <w:szCs w:val="24"/>
          <w:lang w:val="en-US" w:eastAsia="zh-CN"/>
        </w:rPr>
        <w:t xml:space="preserve">over 40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D</w:t>
      </w:r>
      <w:r>
        <w:rPr>
          <w:rFonts w:hint="default" w:ascii="Times New Roman" w:hAnsi="Times New Roman" w:cs="Times New Roman"/>
          <w:sz w:val="24"/>
          <w:szCs w:val="24"/>
          <w:lang w:val="en-US" w:eastAsia="zh-CN"/>
        </w:rPr>
        <w:t xml:space="preserve">ue to the nature of the chi-square analysis, this is done only for questions that involve nominal data (i.e., questions that are not answered using the Likert scale).Therefore, the chi-square analysis was performed on questions 7 and 15.For easy reference, please refer to Appendix </w:t>
      </w:r>
      <w:r>
        <w:rPr>
          <w:rFonts w:hint="eastAsia" w:ascii="Times New Roman" w:hAnsi="Times New Roman" w:cs="Times New Roman"/>
          <w:sz w:val="24"/>
          <w:szCs w:val="24"/>
          <w:lang w:val="en-US" w:eastAsia="zh-CN"/>
        </w:rPr>
        <w:t>6.2.2.</w:t>
      </w:r>
      <w:r>
        <w:rPr>
          <w:rFonts w:hint="default" w:ascii="Times New Roman" w:hAnsi="Times New Roman" w:cs="Times New Roman"/>
          <w:sz w:val="24"/>
          <w:szCs w:val="24"/>
          <w:lang w:val="en-US" w:eastAsia="zh-CN"/>
        </w:rPr>
        <w:t xml:space="preserve"> for a list of questions</w:t>
      </w:r>
      <w:r>
        <w:rPr>
          <w:rFonts w:hint="eastAsia" w:ascii="Times New Roman" w:hAnsi="Times New Roman" w:cs="Times New Roman"/>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val="0"/>
          <w:iCs w:val="0"/>
          <w:sz w:val="24"/>
          <w:szCs w:val="24"/>
          <w:lang w:val="en-US" w:eastAsia="zh-CN"/>
        </w:rPr>
      </w:pPr>
      <w:r>
        <w:rPr>
          <w:rFonts w:hint="eastAsia" w:ascii="Times New Roman" w:hAnsi="Times New Roman" w:cs="Times New Roman"/>
          <w:sz w:val="24"/>
          <w:szCs w:val="24"/>
          <w:lang w:val="en-US" w:eastAsia="zh-CN"/>
        </w:rPr>
        <w:t>The results can be seen below in figure 4.3</w:t>
      </w:r>
      <w:r>
        <w:rPr>
          <w:rFonts w:hint="eastAsia" w:ascii="Times New Roman" w:hAnsi="Times New Roman" w:cs="Times New Roman"/>
          <w:i w:val="0"/>
          <w:iCs w:val="0"/>
          <w:sz w:val="24"/>
          <w:szCs w:val="24"/>
          <w:lang w:val="en-US" w:eastAsia="zh-CN"/>
        </w:rPr>
        <w:t xml:space="preserve"> </w:t>
      </w:r>
      <w:r>
        <w:rPr>
          <w:rFonts w:hint="default" w:ascii="Times New Roman" w:hAnsi="Times New Roman" w:cs="Times New Roman"/>
          <w:i w:val="0"/>
          <w:iCs w:val="0"/>
          <w:sz w:val="24"/>
          <w:szCs w:val="24"/>
          <w:lang w:val="en-US" w:eastAsia="zh-CN"/>
        </w:rPr>
        <w:t xml:space="preserve">Show </w:t>
      </w:r>
      <w:r>
        <w:rPr>
          <w:rFonts w:hint="eastAsia" w:ascii="Times New Roman" w:hAnsi="Times New Roman" w:cs="Times New Roman"/>
          <w:i w:val="0"/>
          <w:iCs w:val="0"/>
          <w:sz w:val="24"/>
          <w:szCs w:val="24"/>
          <w:lang w:val="en-US" w:eastAsia="zh-CN"/>
        </w:rPr>
        <w:t xml:space="preserve">non-significant association between age and response to question 7, in figure 4.4 </w:t>
      </w:r>
      <w:r>
        <w:rPr>
          <w:rFonts w:hint="default" w:ascii="Times New Roman" w:hAnsi="Times New Roman" w:cs="Times New Roman"/>
          <w:i w:val="0"/>
          <w:iCs w:val="0"/>
          <w:sz w:val="24"/>
          <w:szCs w:val="24"/>
          <w:lang w:val="en-US" w:eastAsia="zh-CN"/>
        </w:rPr>
        <w:t xml:space="preserve">Show </w:t>
      </w:r>
      <w:r>
        <w:rPr>
          <w:rFonts w:hint="eastAsia" w:ascii="Times New Roman" w:hAnsi="Times New Roman" w:cs="Times New Roman"/>
          <w:i w:val="0"/>
          <w:iCs w:val="0"/>
          <w:sz w:val="24"/>
          <w:szCs w:val="24"/>
          <w:lang w:val="en-US" w:eastAsia="zh-CN"/>
        </w:rPr>
        <w:t>significant association between age and response to question 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5269865" cy="2896870"/>
            <wp:effectExtent l="6350" t="6350" r="6985" b="43180"/>
            <wp:docPr id="23" name="图表 2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3</w:t>
      </w:r>
      <w:r>
        <w:rPr>
          <w:rFonts w:hint="default" w:ascii="Times New Roman" w:hAnsi="Times New Roman" w:cs="Times New Roman"/>
          <w:i/>
          <w:iCs/>
          <w:sz w:val="24"/>
          <w:szCs w:val="24"/>
          <w:lang w:val="en-US" w:eastAsia="zh-CN"/>
        </w:rPr>
        <w:t xml:space="preserve"> Showing a</w:t>
      </w:r>
      <w:r>
        <w:rPr>
          <w:rFonts w:hint="eastAsia" w:ascii="Times New Roman" w:hAnsi="Times New Roman" w:cs="Times New Roman"/>
          <w:i/>
          <w:iCs/>
          <w:sz w:val="24"/>
          <w:szCs w:val="24"/>
          <w:lang w:val="en-US" w:eastAsia="zh-CN"/>
        </w:rPr>
        <w:t xml:space="preserve"> non-significant association between age and response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your preferred way of shopping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p=0.323) in question 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5271135" cy="3279140"/>
            <wp:effectExtent l="6350" t="6350" r="18415" b="41910"/>
            <wp:docPr id="24" name="图表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4</w:t>
      </w:r>
      <w:r>
        <w:rPr>
          <w:rFonts w:hint="default" w:ascii="Times New Roman" w:hAnsi="Times New Roman" w:cs="Times New Roman"/>
          <w:i/>
          <w:iCs/>
          <w:sz w:val="24"/>
          <w:szCs w:val="24"/>
          <w:lang w:val="en-US" w:eastAsia="zh-CN"/>
        </w:rPr>
        <w:t xml:space="preserve"> Showing a</w:t>
      </w:r>
      <w:r>
        <w:rPr>
          <w:rFonts w:hint="eastAsia" w:ascii="Times New Roman" w:hAnsi="Times New Roman" w:cs="Times New Roman"/>
          <w:i/>
          <w:iCs/>
          <w:sz w:val="24"/>
          <w:szCs w:val="24"/>
          <w:lang w:val="en-US" w:eastAsia="zh-CN"/>
        </w:rPr>
        <w:t xml:space="preserve"> significant association between gender and response to, </w:t>
      </w: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What is the biggest advantage of O2O platforms compared with other e-commerce platform ?</w:t>
      </w:r>
      <w:r>
        <w:rPr>
          <w:rFonts w:hint="default" w:ascii="Times New Roman" w:hAnsi="Times New Roman" w:cs="Times New Roman"/>
          <w:i/>
          <w:iCs/>
          <w:sz w:val="24"/>
          <w:szCs w:val="24"/>
          <w:lang w:val="en-US" w:eastAsia="zh-CN"/>
        </w:rPr>
        <w:t>”</w:t>
      </w:r>
      <w:r>
        <w:rPr>
          <w:rFonts w:hint="eastAsia" w:ascii="Times New Roman" w:hAnsi="Times New Roman" w:cs="Times New Roman"/>
          <w:i w:val="0"/>
          <w:iCs w:val="0"/>
          <w:sz w:val="24"/>
          <w:szCs w:val="24"/>
          <w:lang w:val="en-US" w:eastAsia="zh-CN"/>
        </w:rPr>
        <w:t xml:space="preserve"> ( p=0.012) in question 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Table 4.2 : showing non-significant associations between age and questions 7 and showing significant associations between age and questions 15</w:t>
      </w: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952"/>
        <w:gridCol w:w="4300"/>
        <w:gridCol w:w="227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 xml:space="preserve">Question number </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Question</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Significant (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7</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What is your preferred way of shopping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0.323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95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15</w:t>
            </w:r>
          </w:p>
        </w:tc>
        <w:tc>
          <w:tcPr>
            <w:tcW w:w="43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What is the biggest advantage of O2O platforms compared with other e-commerce platforms ?</w:t>
            </w:r>
          </w:p>
        </w:tc>
        <w:tc>
          <w:tcPr>
            <w:tcW w:w="227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b/>
                <w:bCs/>
                <w:sz w:val="24"/>
                <w:szCs w:val="24"/>
                <w:vertAlign w:val="baseline"/>
                <w:lang w:val="en-US" w:eastAsia="zh-CN"/>
              </w:rPr>
            </w:pPr>
            <w:r>
              <w:rPr>
                <w:rFonts w:hint="eastAsia" w:ascii="Times New Roman" w:hAnsi="Times New Roman" w:cs="Times New Roman"/>
                <w:b/>
                <w:bCs/>
                <w:sz w:val="24"/>
                <w:szCs w:val="24"/>
                <w:vertAlign w:val="baseline"/>
                <w:lang w:val="en-US" w:eastAsia="zh-CN"/>
              </w:rPr>
              <w:t>0.012</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 Mann-Whitney U Tests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4.6.1 Mann-Whitney U Tests for Gender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2</w:t>
      </w:r>
      <w:r>
        <w:rPr>
          <w:rFonts w:hint="eastAsia" w:ascii="Times New Roman" w:hAnsi="Times New Roman" w:cs="Times New Roman"/>
          <w:i w:val="0"/>
          <w:iCs w:val="0"/>
          <w:sz w:val="24"/>
          <w:szCs w:val="24"/>
          <w:lang w:val="en-US" w:eastAsia="zh-CN"/>
        </w:rPr>
        <w:t xml:space="preserve">2 </w:t>
      </w:r>
      <w:r>
        <w:rPr>
          <w:rFonts w:hint="default" w:ascii="Times New Roman" w:hAnsi="Times New Roman" w:cs="Times New Roman"/>
          <w:i w:val="0"/>
          <w:iCs w:val="0"/>
          <w:sz w:val="24"/>
          <w:szCs w:val="24"/>
          <w:lang w:val="en-US" w:eastAsia="zh-CN"/>
        </w:rPr>
        <w:t>Mann-Whitney U tests were performed to check whether there was a significant difference in response between m</w:t>
      </w:r>
      <w:r>
        <w:rPr>
          <w:rFonts w:hint="eastAsia" w:ascii="Times New Roman" w:hAnsi="Times New Roman" w:cs="Times New Roman"/>
          <w:i w:val="0"/>
          <w:iCs w:val="0"/>
          <w:sz w:val="24"/>
          <w:szCs w:val="24"/>
          <w:lang w:val="en-US" w:eastAsia="zh-CN"/>
        </w:rPr>
        <w:t>ale</w:t>
      </w:r>
      <w:r>
        <w:rPr>
          <w:rFonts w:hint="default" w:ascii="Times New Roman" w:hAnsi="Times New Roman" w:cs="Times New Roman"/>
          <w:i w:val="0"/>
          <w:iCs w:val="0"/>
          <w:sz w:val="24"/>
          <w:szCs w:val="24"/>
          <w:lang w:val="en-US" w:eastAsia="zh-CN"/>
        </w:rPr>
        <w:t xml:space="preserve"> and </w:t>
      </w:r>
      <w:r>
        <w:rPr>
          <w:rFonts w:hint="eastAsia" w:ascii="Times New Roman" w:hAnsi="Times New Roman" w:cs="Times New Roman"/>
          <w:i w:val="0"/>
          <w:iCs w:val="0"/>
          <w:sz w:val="24"/>
          <w:szCs w:val="24"/>
          <w:lang w:val="en-US" w:eastAsia="zh-CN"/>
        </w:rPr>
        <w:t>female</w:t>
      </w:r>
      <w:r>
        <w:rPr>
          <w:rFonts w:hint="default" w:ascii="Times New Roman" w:hAnsi="Times New Roman" w:cs="Times New Roman"/>
          <w:i w:val="0"/>
          <w:iCs w:val="0"/>
          <w:sz w:val="24"/>
          <w:szCs w:val="24"/>
          <w:lang w:val="en-US" w:eastAsia="zh-CN"/>
        </w:rPr>
        <w:t>. Due to the nature of the Mann-Whitney U test, this is done on all questions answered by the Likert scale. This includes questions 8, 9, 10, 11, 12, 13, 14, 16</w:t>
      </w:r>
      <w:r>
        <w:rPr>
          <w:rFonts w:hint="eastAsia" w:ascii="Times New Roman" w:hAnsi="Times New Roman" w:cs="Times New Roman"/>
          <w:i w:val="0"/>
          <w:iCs w:val="0"/>
          <w:sz w:val="24"/>
          <w:szCs w:val="24"/>
          <w:lang w:val="en-US" w:eastAsia="zh-CN"/>
        </w:rPr>
        <w:t>. ( see appendix 6.2.3 for figures).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 xml:space="preserve">Result can be seen </w:t>
      </w:r>
      <w:r>
        <w:rPr>
          <w:rFonts w:hint="eastAsia" w:ascii="Times New Roman" w:hAnsi="Times New Roman" w:cs="Times New Roman"/>
          <w:sz w:val="24"/>
          <w:szCs w:val="24"/>
          <w:lang w:val="en-US" w:eastAsia="zh-CN"/>
        </w:rPr>
        <w:t xml:space="preserve">below in table 4.3, table 4.3 shows the remaining non-significant differences between males and females in their responses </w:t>
      </w:r>
      <w:r>
        <w:rPr>
          <w:rFonts w:hint="default" w:ascii="Times New Roman" w:hAnsi="Times New Roman" w:cs="Times New Roman"/>
          <w:i w:val="0"/>
          <w:iCs w:val="0"/>
          <w:sz w:val="24"/>
          <w:szCs w:val="24"/>
          <w:lang w:val="en-US" w:eastAsia="zh-CN"/>
        </w:rPr>
        <w:t>8, 9, 10, 11, 12, 13, 14, 16</w:t>
      </w:r>
      <w:r>
        <w:rPr>
          <w:rFonts w:hint="eastAsia" w:ascii="Times New Roman" w:hAnsi="Times New Roman" w:cs="Times New Roman"/>
          <w:i w:val="0"/>
          <w:iCs w:val="0"/>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tbl>
      <w:tblPr>
        <w:tblStyle w:val="4"/>
        <w:tblW w:w="883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53"/>
        <w:gridCol w:w="4141"/>
        <w:gridCol w:w="1267"/>
        <w:gridCol w:w="1075"/>
        <w:gridCol w:w="120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Question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Number</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Statement</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Male (Mean Rank)</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Female (Mean Rank)</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Significant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8</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How much impact do you think the credibility and security of the Internet platforms have on consumers' attitudes toward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77.11</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80.73</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0.555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9</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sz w:val="24"/>
                <w:szCs w:val="24"/>
                <w:vertAlign w:val="baseline"/>
                <w:lang w:val="en-US" w:eastAsia="zh-CN"/>
              </w:rPr>
              <w:t>To what extent do you think the service quality of the Internet platform has influenced consumers' attitude towards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77.81</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80.09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10</w:t>
            </w:r>
          </w:p>
        </w:tc>
        <w:tc>
          <w:tcPr>
            <w:tcW w:w="414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How much do you think the quality of product of the Internet platform has influenced consumers' attitudes toward purchasing agricultural products?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78.59</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79.38</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0.894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11</w:t>
            </w:r>
          </w:p>
        </w:tc>
        <w:tc>
          <w:tcPr>
            <w:tcW w:w="4141" w:type="dxa"/>
          </w:tcPr>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vertAlign w:val="baseline"/>
                <w:lang w:val="en-US" w:eastAsia="zh-CN"/>
              </w:rPr>
            </w:pPr>
            <w:bookmarkStart w:id="1" w:name="OLE_LINK4"/>
            <w:r>
              <w:rPr>
                <w:rFonts w:hint="default" w:ascii="Times New Roman" w:hAnsi="Times New Roman" w:cs="Times New Roman"/>
                <w:i w:val="0"/>
                <w:iCs w:val="0"/>
                <w:sz w:val="24"/>
                <w:szCs w:val="24"/>
                <w:vertAlign w:val="baseline"/>
                <w:lang w:val="en-US" w:eastAsia="zh-CN"/>
              </w:rPr>
              <w:t>Evaluate the satisfaction of the e-commerce web page design</w:t>
            </w:r>
            <w:bookmarkEnd w:id="1"/>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It is easy to find the goods you want on the Internet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( 3) The product information displayed on the webpage is consistent with the offline physical stores</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w:t>
            </w:r>
            <w:r>
              <w:rPr>
                <w:rFonts w:hint="default" w:ascii="Times New Roman" w:hAnsi="Times New Roman" w:cs="Times New Roman"/>
                <w:i w:val="0"/>
                <w:iCs w:val="0"/>
                <w:sz w:val="24"/>
                <w:szCs w:val="24"/>
                <w:vertAlign w:val="baseline"/>
                <w:lang w:val="en-US" w:eastAsia="zh-CN"/>
              </w:rPr>
              <w:t>The web shopping order payment process is clear and easy to understand,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easy to operate.</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81.98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83.44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80.27</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78.68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74.94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77.84</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0.398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0.219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Q 12</w:t>
            </w:r>
          </w:p>
        </w:tc>
        <w:tc>
          <w:tcPr>
            <w:tcW w:w="4141" w:type="dxa"/>
          </w:tcPr>
          <w:p>
            <w:pPr>
              <w:keepNext w:val="0"/>
              <w:keepLines w:val="0"/>
              <w:pageBreakBefore w:val="0"/>
              <w:widowControl w:val="0"/>
              <w:numPr>
                <w:ilvl w:val="0"/>
                <w:numId w:val="2"/>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bookmarkStart w:id="2" w:name="OLE_LINK6"/>
            <w:r>
              <w:rPr>
                <w:rFonts w:hint="default" w:ascii="Times New Roman" w:hAnsi="Times New Roman" w:cs="Times New Roman"/>
                <w:i w:val="0"/>
                <w:iCs w:val="0"/>
                <w:sz w:val="24"/>
                <w:szCs w:val="24"/>
                <w:vertAlign w:val="baseline"/>
                <w:lang w:val="en-US" w:eastAsia="zh-CN"/>
              </w:rPr>
              <w:t xml:space="preserve">Order production can be delivered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within the specified time</w:t>
            </w:r>
          </w:p>
          <w:bookmarkEnd w:id="2"/>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( 2) delivery speed is fast</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( 3) </w:t>
            </w: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( 4) </w:t>
            </w: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82.59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81.63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74.60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81.15</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75.72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76.60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83.81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0.297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0.449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0.175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13</w:t>
            </w:r>
          </w:p>
        </w:tc>
        <w:tc>
          <w:tcPr>
            <w:tcW w:w="4141" w:type="dxa"/>
          </w:tcPr>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bookmarkStart w:id="3" w:name="OLE_LINK7"/>
            <w:r>
              <w:rPr>
                <w:rFonts w:hint="default" w:ascii="Times New Roman" w:hAnsi="Times New Roman" w:cs="Times New Roman"/>
                <w:i w:val="0"/>
                <w:iCs w:val="0"/>
                <w:sz w:val="24"/>
                <w:szCs w:val="24"/>
                <w:vertAlign w:val="baseline"/>
                <w:lang w:val="en-US" w:eastAsia="zh-CN"/>
              </w:rPr>
              <w:t>E-commerce has a good</w:t>
            </w:r>
            <w:r>
              <w:rPr>
                <w:rFonts w:hint="eastAsia" w:ascii="Times New Roman" w:hAnsi="Times New Roman" w:cs="Times New Roman"/>
                <w:i w:val="0"/>
                <w:iCs w:val="0"/>
                <w:sz w:val="24"/>
                <w:szCs w:val="24"/>
                <w:vertAlign w:val="baseline"/>
                <w:lang w:val="en-US" w:eastAsia="zh-CN"/>
              </w:rPr>
              <w:t xml:space="preserve"> </w:t>
            </w:r>
            <w:r>
              <w:rPr>
                <w:rFonts w:hint="default" w:ascii="Times New Roman" w:hAnsi="Times New Roman" w:cs="Times New Roman"/>
                <w:i w:val="0"/>
                <w:iCs w:val="0"/>
                <w:sz w:val="24"/>
                <w:szCs w:val="24"/>
                <w:vertAlign w:val="baseline"/>
                <w:lang w:val="en-US" w:eastAsia="zh-CN"/>
              </w:rPr>
              <w:t>return and exchange mechanism</w:t>
            </w:r>
          </w:p>
          <w:bookmarkEnd w:id="3"/>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 xml:space="preserve">E-commerce attaches great </w:t>
            </w:r>
          </w:p>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importance to the complaints of consumers, and the reasonable requirements of consumers will be met</w:t>
            </w:r>
          </w:p>
          <w:p>
            <w:pPr>
              <w:keepNext w:val="0"/>
              <w:keepLines w:val="0"/>
              <w:pageBreakBefore w:val="0"/>
              <w:widowControl w:val="0"/>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bookmarkStart w:id="4" w:name="OLE_LINK8"/>
            <w:r>
              <w:rPr>
                <w:rFonts w:hint="default" w:ascii="Times New Roman" w:hAnsi="Times New Roman" w:cs="Times New Roman"/>
                <w:i w:val="0"/>
                <w:iCs w:val="0"/>
                <w:sz w:val="24"/>
                <w:szCs w:val="24"/>
                <w:vertAlign w:val="baseline"/>
                <w:lang w:val="en-US" w:eastAsia="zh-CN"/>
              </w:rPr>
              <w:t>The e-commerce online customer service can reply in time</w:t>
            </w:r>
            <w:r>
              <w:rPr>
                <w:rFonts w:hint="eastAsia" w:ascii="Times New Roman" w:hAnsi="Times New Roman" w:cs="Times New Roman"/>
                <w:i w:val="0"/>
                <w:iCs w:val="0"/>
                <w:sz w:val="24"/>
                <w:szCs w:val="24"/>
                <w:vertAlign w:val="baseline"/>
                <w:lang w:val="en-US" w:eastAsia="zh-CN"/>
              </w:rPr>
              <w:t>,</w:t>
            </w:r>
            <w:r>
              <w:rPr>
                <w:rFonts w:hint="default" w:ascii="Times New Roman" w:hAnsi="Times New Roman" w:cs="Times New Roman"/>
                <w:i w:val="0"/>
                <w:iCs w:val="0"/>
                <w:sz w:val="24"/>
                <w:szCs w:val="24"/>
                <w:vertAlign w:val="baseline"/>
                <w:lang w:val="en-US" w:eastAsia="zh-CN"/>
              </w:rPr>
              <w:t>professional quality</w:t>
            </w:r>
            <w:r>
              <w:rPr>
                <w:rFonts w:hint="eastAsia" w:ascii="Times New Roman" w:hAnsi="Times New Roman" w:cs="Times New Roman"/>
                <w:i w:val="0"/>
                <w:iCs w:val="0"/>
                <w:sz w:val="24"/>
                <w:szCs w:val="24"/>
                <w:vertAlign w:val="baseline"/>
                <w:lang w:val="en-US" w:eastAsia="zh-CN"/>
              </w:rPr>
              <w:t xml:space="preserve"> is high</w:t>
            </w:r>
            <w:bookmarkEnd w:id="4"/>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78.77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82.00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80.33</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79.21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77.79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0.948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0.396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0.710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14</w:t>
            </w:r>
          </w:p>
        </w:tc>
        <w:tc>
          <w:tcPr>
            <w:tcW w:w="4141" w:type="dxa"/>
          </w:tcPr>
          <w:p>
            <w:pPr>
              <w:keepNext w:val="0"/>
              <w:keepLines w:val="0"/>
              <w:pageBreakBefore w:val="0"/>
              <w:widowControl w:val="0"/>
              <w:numPr>
                <w:ilvl w:val="0"/>
                <w:numId w:val="5"/>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Efficient and convenient payment methods affect shopping on O2O platforms</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Fast the delivery speed affect shopping on O2O platform</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Discount affect shopping on O2O platforms</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Good quality of product affect shopping on O2O platforms</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bookmarkStart w:id="5" w:name="OLE_LINK3"/>
            <w:r>
              <w:rPr>
                <w:rFonts w:hint="default" w:ascii="Times New Roman" w:hAnsi="Times New Roman" w:cs="Times New Roman"/>
                <w:i w:val="0"/>
                <w:iCs w:val="0"/>
                <w:sz w:val="24"/>
                <w:szCs w:val="24"/>
                <w:vertAlign w:val="baseline"/>
                <w:lang w:val="en-US" w:eastAsia="zh-CN"/>
              </w:rPr>
              <w:t>After-sales service is reassuring and affects shopping on O2O platforms</w:t>
            </w:r>
            <w:bookmarkEnd w:id="5"/>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80.36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81.70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80.89</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79.32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77.36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76.53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78.35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77.27</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0.922</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0.699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0.598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53"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16</w:t>
            </w:r>
          </w:p>
        </w:tc>
        <w:tc>
          <w:tcPr>
            <w:tcW w:w="4141" w:type="dxa"/>
          </w:tcPr>
          <w:p>
            <w:pPr>
              <w:keepNext w:val="0"/>
              <w:keepLines w:val="0"/>
              <w:pageBreakBefore w:val="0"/>
              <w:widowControl w:val="0"/>
              <w:numPr>
                <w:ilvl w:val="0"/>
                <w:numId w:val="6"/>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The freshness of produce affects online buying</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 xml:space="preserve">Produce (e.g., fruits and vegetables) </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damaged during transportation can be purchased online</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vertAlign w:val="baseline"/>
                <w:lang w:val="en-US" w:eastAsia="zh-CN"/>
              </w:rPr>
            </w:pPr>
            <w:r>
              <w:rPr>
                <w:rFonts w:hint="default" w:ascii="Times New Roman" w:hAnsi="Times New Roman" w:cs="Times New Roman"/>
                <w:i w:val="0"/>
                <w:iCs w:val="0"/>
                <w:sz w:val="24"/>
                <w:szCs w:val="24"/>
                <w:vertAlign w:val="baseline"/>
                <w:lang w:val="en-US" w:eastAsia="zh-CN"/>
              </w:rPr>
              <w:t>Cold chain conditions for agricultural products affect online purchases</w:t>
            </w:r>
          </w:p>
        </w:tc>
        <w:tc>
          <w:tcPr>
            <w:tcW w:w="126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78.97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76.28</w:t>
            </w:r>
          </w:p>
        </w:tc>
        <w:tc>
          <w:tcPr>
            <w:tcW w:w="107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78.40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79.03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81.49</w:t>
            </w:r>
          </w:p>
        </w:tc>
        <w:tc>
          <w:tcPr>
            <w:tcW w:w="1200"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0.854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0.993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0.446</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4.6.2 Mann-Whitney U Tests for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Twenty-two Mann-Whitney U tests were conducted, examining whether the differences in responses were statistically significant between under 40s and over 40s. Again, due to the nature of Mann-Whitney U Tests, this was done for all questions which had Likert scale responses. It includes Q 8, 9, 10, 11, 12, 13, 14, 16.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Results can be found below in Figure 4.5, 4.6 4.7,4.8,4.9,4.10,4.11 and 4.12 and Table 4.4. The figures show significant differences between 40 and under 40s and over 40s in their responses to questions Q11-1,Q11-3,Q12-1,Q13-1,Q13-3,Q14-1,Q14-3,Q14-4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 xml:space="preserve">Table 4.4 shows the remaining non-significant differences between 40 and under 40s and over 40s in their responses to question number </w:t>
      </w:r>
      <w:bookmarkStart w:id="6" w:name="OLE_LINK2"/>
      <w:r>
        <w:rPr>
          <w:rFonts w:hint="eastAsia" w:ascii="Times New Roman" w:hAnsi="Times New Roman" w:cs="Times New Roman"/>
          <w:i w:val="0"/>
          <w:iCs w:val="0"/>
          <w:sz w:val="24"/>
          <w:szCs w:val="24"/>
          <w:lang w:val="en-US" w:eastAsia="zh-CN"/>
        </w:rPr>
        <w:t>8, 9, 10, 11-2, 11-4, 12-2, 12-3, 12-4, 13-2, 14-2, 14-5, 16-1, 16-2, 16-3</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drawing>
          <wp:inline distT="0" distB="0" distL="114300" distR="114300">
            <wp:extent cx="6231890" cy="3846195"/>
            <wp:effectExtent l="4445" t="4445" r="12065" b="10160"/>
            <wp:docPr id="10" name="图表 9"/>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bookmarkStart w:id="7" w:name="OLE_LINK5"/>
      <w:r>
        <w:rPr>
          <w:rFonts w:hint="eastAsia" w:ascii="Times New Roman" w:hAnsi="Times New Roman" w:cs="Times New Roman"/>
          <w:i/>
          <w:iCs/>
          <w:sz w:val="24"/>
          <w:szCs w:val="24"/>
          <w:lang w:val="en-US" w:eastAsia="zh-CN"/>
        </w:rPr>
        <w:t>Figure 4.5 showing significant differences between age and agreement to the statements,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i/>
          <w:iCs/>
          <w:sz w:val="24"/>
          <w:szCs w:val="24"/>
          <w:vertAlign w:val="baseline"/>
          <w:lang w:val="en-US" w:eastAsia="zh-CN"/>
        </w:rPr>
        <w:t>Evaluate the satisfaction of the e-commerce web page design”</w:t>
      </w:r>
      <w:r>
        <w:rPr>
          <w:rFonts w:hint="eastAsia" w:ascii="Times New Roman" w:hAnsi="Times New Roman" w:cs="Times New Roman"/>
          <w:i/>
          <w:iCs/>
          <w:sz w:val="24"/>
          <w:szCs w:val="24"/>
          <w:vertAlign w:val="baseline"/>
          <w:lang w:val="en-US" w:eastAsia="zh-CN"/>
        </w:rPr>
        <w:t xml:space="preserve"> ( p=0.020) and </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w:t>
      </w:r>
      <w:r>
        <w:rPr>
          <w:rFonts w:hint="default" w:ascii="Times New Roman" w:hAnsi="Times New Roman" w:cs="Times New Roman"/>
          <w:i/>
          <w:iCs/>
          <w:sz w:val="24"/>
          <w:szCs w:val="24"/>
          <w:vertAlign w:val="baseline"/>
          <w:lang w:val="en-US" w:eastAsia="zh-CN"/>
        </w:rPr>
        <w:t>Evaluate the satisfaction of</w:t>
      </w:r>
      <w:r>
        <w:rPr>
          <w:rFonts w:hint="eastAsia" w:ascii="Times New Roman" w:hAnsi="Times New Roman" w:cs="Times New Roman"/>
          <w:i/>
          <w:iCs/>
          <w:sz w:val="24"/>
          <w:szCs w:val="24"/>
          <w:vertAlign w:val="baseline"/>
          <w:lang w:val="en-US" w:eastAsia="zh-CN"/>
        </w:rPr>
        <w:t xml:space="preserve"> </w:t>
      </w:r>
      <w:r>
        <w:rPr>
          <w:rFonts w:hint="default" w:ascii="Times New Roman" w:hAnsi="Times New Roman" w:eastAsia="MingLiU" w:cs="Times New Roman"/>
          <w:i/>
          <w:iCs/>
          <w:color w:val="010205"/>
          <w:sz w:val="24"/>
          <w:szCs w:val="24"/>
        </w:rPr>
        <w:t>the consistency of the product information displayed on the website and the physical store</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 p=0.014), in question 11</w:t>
      </w:r>
    </w:p>
    <w:bookmarkEnd w:id="7"/>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drawing>
          <wp:inline distT="0" distB="0" distL="114300" distR="114300">
            <wp:extent cx="6271260" cy="3133090"/>
            <wp:effectExtent l="6350" t="6350" r="8890" b="35560"/>
            <wp:docPr id="11" name="图表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r>
        <w:rPr>
          <w:rFonts w:hint="eastAsia" w:ascii="Times New Roman" w:hAnsi="Times New Roman" w:cs="Times New Roman"/>
          <w:i/>
          <w:iCs/>
          <w:sz w:val="24"/>
          <w:szCs w:val="24"/>
          <w:lang w:val="en-US" w:eastAsia="zh-CN"/>
        </w:rPr>
        <w:t>Figure 4.6 showing significant differences between age and agreement to the statements,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iCs/>
          <w:sz w:val="24"/>
          <w:szCs w:val="24"/>
          <w:lang w:val="en-US" w:eastAsia="zh-CN"/>
        </w:rPr>
        <w:t>“</w:t>
      </w:r>
      <w:r>
        <w:rPr>
          <w:rFonts w:hint="eastAsia" w:ascii="Times New Roman" w:hAnsi="Times New Roman" w:cs="Times New Roman"/>
          <w:i/>
          <w:iCs/>
          <w:sz w:val="24"/>
          <w:szCs w:val="24"/>
          <w:lang w:val="en-US" w:eastAsia="zh-CN"/>
        </w:rPr>
        <w:t xml:space="preserve"> </w:t>
      </w:r>
      <w:r>
        <w:rPr>
          <w:rFonts w:hint="default" w:ascii="Times New Roman" w:hAnsi="Times New Roman" w:cs="Times New Roman"/>
          <w:i w:val="0"/>
          <w:iCs w:val="0"/>
          <w:sz w:val="24"/>
          <w:szCs w:val="24"/>
          <w:vertAlign w:val="baseline"/>
          <w:lang w:val="en-US" w:eastAsia="zh-CN"/>
        </w:rPr>
        <w:t>Order production can be delivered within the specified time</w:t>
      </w:r>
      <w:r>
        <w:rPr>
          <w:rFonts w:hint="default" w:ascii="Times New Roman" w:hAnsi="Times New Roman" w:cs="Times New Roman"/>
          <w:i/>
          <w:iCs/>
          <w:sz w:val="24"/>
          <w:szCs w:val="24"/>
          <w:vertAlign w:val="baseline"/>
          <w:lang w:val="en-US" w:eastAsia="zh-CN"/>
        </w:rPr>
        <w:t>”</w:t>
      </w:r>
      <w:r>
        <w:rPr>
          <w:rFonts w:hint="eastAsia" w:ascii="Times New Roman" w:hAnsi="Times New Roman" w:cs="Times New Roman"/>
          <w:i/>
          <w:iCs/>
          <w:sz w:val="24"/>
          <w:szCs w:val="24"/>
          <w:vertAlign w:val="baseline"/>
          <w:lang w:val="en-US" w:eastAsia="zh-CN"/>
        </w:rPr>
        <w:t xml:space="preserve"> ( p=0.024) and </w:t>
      </w:r>
    </w:p>
    <w:p>
      <w:pPr>
        <w:keepNext w:val="0"/>
        <w:keepLines w:val="0"/>
        <w:pageBreakBefore w:val="0"/>
        <w:widowControl w:val="0"/>
        <w:kinsoku/>
        <w:wordWrap/>
        <w:overflowPunct/>
        <w:topLinePunct w:val="0"/>
        <w:autoSpaceDE/>
        <w:autoSpaceDN/>
        <w:bidi w:val="0"/>
        <w:adjustRightInd/>
        <w:snapToGrid/>
        <w:spacing w:line="360" w:lineRule="auto"/>
        <w:textAlignment w:val="auto"/>
      </w:pPr>
      <w:r>
        <w:drawing>
          <wp:inline distT="0" distB="0" distL="114300" distR="114300">
            <wp:extent cx="6270625" cy="3143885"/>
            <wp:effectExtent l="6350" t="6350" r="9525" b="37465"/>
            <wp:docPr id="13" name="图表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keepNext w:val="0"/>
        <w:keepLines w:val="0"/>
        <w:pageBreakBefore w:val="0"/>
        <w:widowControl w:val="0"/>
        <w:kinsoku/>
        <w:wordWrap/>
        <w:overflowPunct/>
        <w:topLinePunct w:val="0"/>
        <w:autoSpaceDE/>
        <w:autoSpaceDN/>
        <w:bidi w:val="0"/>
        <w:adjustRightInd/>
        <w:snapToGrid/>
        <w:spacing w:line="360" w:lineRule="auto"/>
        <w:textAlignment w:val="auto"/>
      </w:pP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i/>
          <w:iCs/>
          <w:sz w:val="24"/>
          <w:szCs w:val="24"/>
          <w:lang w:val="en-US" w:eastAsia="zh-CN"/>
        </w:rPr>
        <w:t>Figure 4.7showing significant differences between age and agreement to the statements,</w:t>
      </w:r>
      <w:bookmarkStart w:id="8" w:name="OLE_LINK9"/>
      <w:r>
        <w:rPr>
          <w:rFonts w:hint="eastAsia" w:ascii="Times New Roman" w:hAnsi="Times New Roman" w:cs="Times New Roman"/>
          <w:i/>
          <w:iCs/>
          <w:sz w:val="24"/>
          <w:szCs w:val="24"/>
          <w:lang w:val="en-US" w:eastAsia="zh-CN"/>
        </w:rPr>
        <w:t>“h</w:t>
      </w:r>
      <w:r>
        <w:rPr>
          <w:rFonts w:hint="eastAsia" w:ascii="Times New Roman" w:hAnsi="Times New Roman" w:cs="Times New Roman"/>
          <w:sz w:val="24"/>
          <w:szCs w:val="24"/>
          <w:vertAlign w:val="baseline"/>
          <w:lang w:val="en-US" w:eastAsia="zh-CN"/>
        </w:rPr>
        <w:t xml:space="preserve">ow satisfied do you consider return </w:t>
      </w:r>
      <w:r>
        <w:rPr>
          <w:rFonts w:hint="default" w:ascii="Times New Roman" w:hAnsi="Times New Roman" w:cs="Times New Roman"/>
          <w:sz w:val="24"/>
          <w:szCs w:val="24"/>
          <w:vertAlign w:val="baseline"/>
          <w:lang w:val="en-US" w:eastAsia="zh-CN"/>
        </w:rPr>
        <w:t>and exchange mechanism</w:t>
      </w:r>
      <w:r>
        <w:rPr>
          <w:rFonts w:hint="eastAsia" w:ascii="Times New Roman" w:hAnsi="Times New Roman" w:cs="Times New Roman"/>
          <w:sz w:val="24"/>
          <w:szCs w:val="24"/>
          <w:vertAlign w:val="baseline"/>
          <w:lang w:val="en-US" w:eastAsia="zh-CN"/>
        </w:rPr>
        <w:t>?</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bookmarkEnd w:id="8"/>
      <w:r>
        <w:rPr>
          <w:rFonts w:hint="eastAsia" w:ascii="Times New Roman" w:hAnsi="Times New Roman" w:cs="Times New Roman"/>
          <w:sz w:val="24"/>
          <w:szCs w:val="24"/>
          <w:vertAlign w:val="baseline"/>
          <w:lang w:val="en-US" w:eastAsia="zh-CN"/>
        </w:rPr>
        <w:t xml:space="preserve"> </w:t>
      </w:r>
      <w:r>
        <w:rPr>
          <w:rFonts w:hint="eastAsia" w:ascii="Times New Roman" w:hAnsi="Times New Roman" w:cs="Times New Roman"/>
          <w:i/>
          <w:iCs/>
          <w:sz w:val="24"/>
          <w:szCs w:val="24"/>
          <w:vertAlign w:val="baseline"/>
          <w:lang w:val="en-US" w:eastAsia="zh-CN"/>
        </w:rPr>
        <w:t xml:space="preserve">( p=0.011) and </w:t>
      </w:r>
      <w:r>
        <w:rPr>
          <w:rFonts w:hint="eastAsia" w:ascii="Times New Roman" w:hAnsi="Times New Roman" w:cs="Times New Roman"/>
          <w:i/>
          <w:iCs/>
          <w:sz w:val="24"/>
          <w:szCs w:val="24"/>
          <w:lang w:val="en-US" w:eastAsia="zh-CN"/>
        </w:rPr>
        <w:t>“h</w:t>
      </w:r>
      <w:r>
        <w:rPr>
          <w:rFonts w:hint="eastAsia" w:ascii="Times New Roman" w:hAnsi="Times New Roman" w:cs="Times New Roman"/>
          <w:sz w:val="24"/>
          <w:szCs w:val="24"/>
          <w:vertAlign w:val="baseline"/>
          <w:lang w:val="en-US" w:eastAsia="zh-CN"/>
        </w:rPr>
        <w:t>ow satisfied do you consider reply of online customer service in time?</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(p=0.011) in question 13</w:t>
      </w:r>
    </w:p>
    <w:p>
      <w:pPr>
        <w:numPr>
          <w:ilvl w:val="0"/>
          <w:numId w:val="0"/>
        </w:numPr>
        <w:rPr>
          <w:rFonts w:hint="eastAsia" w:ascii="Times New Roman" w:hAnsi="Times New Roman" w:cs="Times New Roman"/>
          <w:sz w:val="24"/>
          <w:szCs w:val="24"/>
          <w:vertAlign w:val="baseline"/>
          <w:lang w:val="en-US" w:eastAsia="zh-CN"/>
        </w:rPr>
      </w:pPr>
    </w:p>
    <w:p>
      <w:pPr>
        <w:numPr>
          <w:ilvl w:val="0"/>
          <w:numId w:val="0"/>
        </w:numPr>
        <w:rPr>
          <w:rFonts w:hint="eastAsia" w:ascii="Times New Roman" w:hAnsi="Times New Roman" w:cs="Times New Roman"/>
          <w:sz w:val="24"/>
          <w:szCs w:val="24"/>
          <w:vertAlign w:val="baseline"/>
          <w:lang w:val="en-US" w:eastAsia="zh-CN"/>
        </w:rPr>
      </w:pPr>
      <w:r>
        <w:drawing>
          <wp:inline distT="0" distB="0" distL="114300" distR="114300">
            <wp:extent cx="6841490" cy="3057525"/>
            <wp:effectExtent l="4445" t="4445" r="12065" b="11430"/>
            <wp:docPr id="26" name="图表 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i/>
          <w:iCs/>
          <w:sz w:val="24"/>
          <w:szCs w:val="24"/>
          <w:lang w:val="en-US" w:eastAsia="zh-CN"/>
        </w:rPr>
        <w:t>Figure 4.</w:t>
      </w:r>
      <w:r>
        <w:rPr>
          <w:rFonts w:hint="eastAsia" w:ascii="Times New Roman" w:hAnsi="Times New Roman" w:cs="Times New Roman"/>
          <w:i/>
          <w:iCs/>
          <w:sz w:val="24"/>
          <w:szCs w:val="24"/>
          <w:lang w:val="en-US" w:eastAsia="zh-CN"/>
        </w:rPr>
        <w:t>8</w:t>
      </w:r>
      <w:r>
        <w:rPr>
          <w:rFonts w:hint="default" w:ascii="Times New Roman" w:hAnsi="Times New Roman" w:cs="Times New Roman"/>
          <w:i/>
          <w:iCs/>
          <w:sz w:val="24"/>
          <w:szCs w:val="24"/>
          <w:lang w:val="en-US" w:eastAsia="zh-CN"/>
        </w:rPr>
        <w:t>showing significant differences between age and agreement to the statements,</w:t>
      </w:r>
      <w:bookmarkStart w:id="9" w:name="OLE_LINK10"/>
      <w:r>
        <w:rPr>
          <w:rFonts w:hint="default" w:ascii="Times New Roman" w:hAnsi="Times New Roman" w:cs="Times New Roman"/>
          <w:i/>
          <w:iCs/>
          <w:sz w:val="24"/>
          <w:szCs w:val="24"/>
          <w:lang w:val="en-US" w:eastAsia="zh-CN"/>
        </w:rPr>
        <w:t>“</w:t>
      </w:r>
      <w:bookmarkStart w:id="10" w:name="OLE_LINK11"/>
      <w:r>
        <w:rPr>
          <w:rFonts w:hint="eastAsia" w:ascii="Times New Roman" w:hAnsi="Times New Roman" w:cs="Times New Roman"/>
          <w:sz w:val="24"/>
          <w:szCs w:val="24"/>
          <w:vertAlign w:val="baseline"/>
          <w:lang w:val="en-US" w:eastAsia="zh-CN"/>
        </w:rPr>
        <w:t>To what extent do you shop on O2O platforms because t</w:t>
      </w:r>
      <w:r>
        <w:rPr>
          <w:rFonts w:hint="default" w:ascii="Times New Roman" w:hAnsi="Times New Roman" w:cs="Times New Roman"/>
          <w:sz w:val="24"/>
          <w:szCs w:val="24"/>
          <w:vertAlign w:val="baseline"/>
          <w:lang w:val="en-US" w:eastAsia="zh-CN"/>
        </w:rPr>
        <w:t>he payment method is efficient and convenient</w:t>
      </w:r>
      <w:bookmarkEnd w:id="10"/>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bookmarkEnd w:id="9"/>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i/>
          <w:iCs/>
          <w:sz w:val="24"/>
          <w:szCs w:val="24"/>
          <w:vertAlign w:val="baseline"/>
          <w:lang w:val="en-US" w:eastAsia="zh-CN"/>
        </w:rPr>
        <w:t>( p=0.0</w:t>
      </w:r>
      <w:r>
        <w:rPr>
          <w:rFonts w:hint="eastAsia" w:ascii="Times New Roman" w:hAnsi="Times New Roman" w:cs="Times New Roman"/>
          <w:i/>
          <w:iCs/>
          <w:sz w:val="24"/>
          <w:szCs w:val="24"/>
          <w:vertAlign w:val="baseline"/>
          <w:lang w:val="en-US" w:eastAsia="zh-CN"/>
        </w:rPr>
        <w:t>44</w:t>
      </w:r>
      <w:r>
        <w:rPr>
          <w:rFonts w:hint="default" w:ascii="Times New Roman" w:hAnsi="Times New Roman" w:cs="Times New Roman"/>
          <w:i/>
          <w:iCs/>
          <w:sz w:val="24"/>
          <w:szCs w:val="24"/>
          <w:vertAlign w:val="baseline"/>
          <w:lang w:val="en-US" w:eastAsia="zh-CN"/>
        </w:rPr>
        <w:t xml:space="preserve">) and “To what extent do you shop on O2O platforms because </w:t>
      </w:r>
      <w:r>
        <w:rPr>
          <w:rFonts w:hint="eastAsia" w:ascii="Times New Roman" w:hAnsi="Times New Roman" w:cs="Times New Roman"/>
          <w:i/>
          <w:iCs/>
          <w:sz w:val="24"/>
          <w:szCs w:val="24"/>
          <w:vertAlign w:val="baseline"/>
          <w:lang w:val="en-US" w:eastAsia="zh-CN"/>
        </w:rPr>
        <w:t>of discount</w:t>
      </w:r>
      <w:r>
        <w:rPr>
          <w:rFonts w:hint="default" w:ascii="Times New Roman" w:hAnsi="Times New Roman" w:cs="Times New Roman"/>
          <w:i/>
          <w:iCs/>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(p=0.0</w:t>
      </w:r>
      <w:r>
        <w:rPr>
          <w:rFonts w:hint="eastAsia" w:ascii="Times New Roman" w:hAnsi="Times New Roman" w:cs="Times New Roman"/>
          <w:sz w:val="24"/>
          <w:szCs w:val="24"/>
          <w:vertAlign w:val="baseline"/>
          <w:lang w:val="en-US" w:eastAsia="zh-CN"/>
        </w:rPr>
        <w:t>03</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w:t>
      </w:r>
      <w:r>
        <w:rPr>
          <w:rFonts w:hint="eastAsia" w:ascii="Times New Roman" w:hAnsi="Times New Roman" w:cs="Times New Roman"/>
          <w:sz w:val="24"/>
          <w:szCs w:val="24"/>
          <w:vertAlign w:val="baseline"/>
          <w:lang w:val="en-US" w:eastAsia="zh-CN"/>
        </w:rPr>
        <w:t>To what extent do you shop on O2O platforms because t</w:t>
      </w:r>
      <w:r>
        <w:rPr>
          <w:rFonts w:hint="default" w:ascii="Times New Roman" w:hAnsi="Times New Roman" w:cs="Times New Roman"/>
          <w:sz w:val="24"/>
          <w:szCs w:val="24"/>
          <w:vertAlign w:val="baseline"/>
          <w:lang w:val="en-US" w:eastAsia="zh-CN"/>
        </w:rPr>
        <w:t>he product quality is good”</w:t>
      </w:r>
      <w:r>
        <w:rPr>
          <w:rFonts w:hint="eastAsia" w:ascii="Times New Roman" w:hAnsi="Times New Roman" w:cs="Times New Roman"/>
          <w:sz w:val="24"/>
          <w:szCs w:val="24"/>
          <w:vertAlign w:val="baseline"/>
          <w:lang w:val="en-US" w:eastAsia="zh-CN"/>
        </w:rPr>
        <w:t xml:space="preserve"> </w:t>
      </w:r>
      <w:r>
        <w:rPr>
          <w:rFonts w:hint="default" w:ascii="Times New Roman" w:hAnsi="Times New Roman" w:cs="Times New Roman"/>
          <w:sz w:val="24"/>
          <w:szCs w:val="24"/>
          <w:vertAlign w:val="baseline"/>
          <w:lang w:val="en-US" w:eastAsia="zh-CN"/>
        </w:rPr>
        <w:t>in question 1</w:t>
      </w:r>
      <w:r>
        <w:rPr>
          <w:rFonts w:hint="eastAsia" w:ascii="Times New Roman" w:hAnsi="Times New Roman" w:cs="Times New Roman"/>
          <w:sz w:val="24"/>
          <w:szCs w:val="24"/>
          <w:vertAlign w:val="baseline"/>
          <w:lang w:val="en-US" w:eastAsia="zh-CN"/>
        </w:rPr>
        <w:t>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lang w:val="en-US" w:eastAsia="zh-CN"/>
        </w:rPr>
      </w:pPr>
      <w:r>
        <w:rPr>
          <w:rFonts w:hint="eastAsia" w:ascii="Times New Roman" w:hAnsi="Times New Roman" w:cs="Times New Roman"/>
          <w:i/>
          <w:iCs/>
          <w:sz w:val="24"/>
          <w:szCs w:val="24"/>
          <w:u w:val="single"/>
          <w:lang w:val="en-US" w:eastAsia="zh-CN"/>
        </w:rPr>
        <w:t>Table 4.4</w:t>
      </w:r>
      <w:r>
        <w:rPr>
          <w:rFonts w:hint="eastAsia" w:ascii="Times New Roman" w:hAnsi="Times New Roman" w:cs="Times New Roman"/>
          <w:i/>
          <w:iCs/>
          <w:sz w:val="24"/>
          <w:szCs w:val="24"/>
          <w:lang w:val="en-US" w:eastAsia="zh-CN"/>
        </w:rPr>
        <w:t xml:space="preserve"> showing non-significant differences between age and statements in question 8, 9, 10, 11-2, 11-4, 12-2, 12-3, 12-4, 13-2, 14-2, 14-5, 16-1, 16-2, 16-3.</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lang w:val="en-US" w:eastAsia="zh-CN"/>
        </w:rPr>
      </w:pPr>
    </w:p>
    <w:tbl>
      <w:tblPr>
        <w:tblStyle w:val="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1111"/>
        <w:gridCol w:w="3858"/>
        <w:gridCol w:w="1117"/>
        <w:gridCol w:w="942"/>
        <w:gridCol w:w="149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bookmarkStart w:id="11" w:name="OLE_LINK12"/>
            <w:r>
              <w:rPr>
                <w:rFonts w:hint="eastAsia" w:ascii="Times New Roman" w:hAnsi="Times New Roman" w:cs="Times New Roman"/>
                <w:i w:val="0"/>
                <w:iCs w:val="0"/>
                <w:sz w:val="24"/>
                <w:szCs w:val="24"/>
                <w:vertAlign w:val="baseline"/>
                <w:lang w:val="en-US" w:eastAsia="zh-CN"/>
              </w:rPr>
              <w:t>Question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Number</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Statement</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 and Under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40(Mean,Rank)</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Over 40 ( Mean Rank)</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Significance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(p-value)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How much impact do you think the credibility and security of the Internet platforms have on consumers' attitudes toward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74.53</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83.3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0.152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9</w:t>
            </w:r>
          </w:p>
        </w:tc>
        <w:tc>
          <w:tcPr>
            <w:tcW w:w="3858"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To what extent do you think the service quality of the Internet platform has influenced consumers' attitude towards purchasing agricultural products?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84.42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10</w:t>
            </w:r>
          </w:p>
        </w:tc>
        <w:tc>
          <w:tcPr>
            <w:tcW w:w="3858" w:type="dxa"/>
          </w:tcPr>
          <w:p>
            <w:pPr>
              <w:numPr>
                <w:ilvl w:val="0"/>
                <w:numId w:val="0"/>
              </w:numPr>
              <w:ind w:leftChars="0"/>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 much do you think the quality of product of the Internet platform has influenced consumers' attitudes toward purchasing agricultural products?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76.07</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81.82</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11</w:t>
            </w:r>
          </w:p>
        </w:tc>
        <w:tc>
          <w:tcPr>
            <w:tcW w:w="3858" w:type="dxa"/>
          </w:tcPr>
          <w:p>
            <w:pPr>
              <w:numPr>
                <w:ilvl w:val="0"/>
                <w:numId w:val="2"/>
              </w:numPr>
              <w:ind w:left="0" w:leftChars="0" w:firstLine="0" w:firstLineChars="0"/>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It is easy to find the goods you want on the Internet</w:t>
            </w:r>
          </w:p>
          <w:p>
            <w:pPr>
              <w:numPr>
                <w:ilvl w:val="0"/>
                <w:numId w:val="0"/>
              </w:numPr>
              <w:ind w:leftChars="0"/>
              <w:rPr>
                <w:rFonts w:hint="default" w:ascii="Times New Roman" w:hAnsi="Times New Roman" w:cs="Times New Roman"/>
                <w:i/>
                <w:iCs/>
                <w:sz w:val="24"/>
                <w:szCs w:val="24"/>
                <w:vertAlign w:val="baseline"/>
                <w:lang w:val="en-US" w:eastAsia="zh-CN"/>
              </w:rPr>
            </w:pPr>
            <w:r>
              <w:rPr>
                <w:rFonts w:hint="eastAsia" w:ascii="Times New Roman" w:hAnsi="Times New Roman" w:cs="Times New Roman"/>
                <w:sz w:val="24"/>
                <w:szCs w:val="24"/>
                <w:vertAlign w:val="baseline"/>
                <w:lang w:val="en-US" w:eastAsia="zh-CN"/>
              </w:rPr>
              <w:t>(4)The web shopping order payment process is clear and easy to understand,easy to operate.</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81.15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76.93</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0.520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783" w:hRule="atLeast"/>
        </w:trPr>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12</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 delivery speed is fast</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(3) </w:t>
            </w:r>
            <w:r>
              <w:rPr>
                <w:rFonts w:hint="default" w:ascii="Times New Roman" w:hAnsi="Times New Roman" w:cs="Times New Roman"/>
                <w:sz w:val="24"/>
                <w:szCs w:val="24"/>
                <w:vertAlign w:val="baseline"/>
                <w:lang w:val="en-US" w:eastAsia="zh-CN"/>
              </w:rPr>
              <w:t xml:space="preserve">The packing is complete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without breakage</w:t>
            </w:r>
          </w:p>
          <w:p>
            <w:pPr>
              <w:numPr>
                <w:ilvl w:val="0"/>
                <w:numId w:val="0"/>
              </w:numPr>
              <w:ind w:leftChars="0"/>
              <w:rPr>
                <w:rFonts w:hint="default"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(4) </w:t>
            </w:r>
            <w:r>
              <w:rPr>
                <w:rFonts w:hint="default" w:ascii="Times New Roman" w:hAnsi="Times New Roman" w:cs="Times New Roman"/>
                <w:sz w:val="24"/>
                <w:szCs w:val="24"/>
                <w:vertAlign w:val="baseline"/>
                <w:lang w:val="en-US" w:eastAsia="zh-CN"/>
              </w:rPr>
              <w:t xml:space="preserve">Product distribution can be </w:t>
            </w:r>
          </w:p>
          <w:p>
            <w:pPr>
              <w:numPr>
                <w:ilvl w:val="0"/>
                <w:numId w:val="0"/>
              </w:numPr>
              <w:ind w:leftChars="0"/>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checked in time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81.44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82.37</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82.98</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76.65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75.76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75.17</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0.471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0.330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0.235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13</w:t>
            </w:r>
          </w:p>
        </w:tc>
        <w:tc>
          <w:tcPr>
            <w:tcW w:w="3858" w:type="dxa"/>
          </w:tcPr>
          <w:p>
            <w:pPr>
              <w:numPr>
                <w:ilvl w:val="0"/>
                <w:numId w:val="7"/>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E-commerce takes consumer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complaints seriously,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 xml:space="preserve">Reasonable demands from </w:t>
            </w:r>
          </w:p>
          <w:p>
            <w:pPr>
              <w:numPr>
                <w:ilvl w:val="0"/>
                <w:numId w:val="0"/>
              </w:numPr>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consumers will be met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iCs/>
                <w:sz w:val="24"/>
                <w:szCs w:val="24"/>
                <w:vertAlign w:val="baseline"/>
                <w:lang w:val="en-US" w:eastAsia="zh-CN"/>
              </w:rPr>
            </w:pP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85.74</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72.51</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0.051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14</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(2)Fast the delivery speed affect shopping on O2O platform</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 xml:space="preserve">(5) </w:t>
            </w:r>
            <w:r>
              <w:rPr>
                <w:rFonts w:hint="default" w:ascii="Times New Roman" w:hAnsi="Times New Roman" w:cs="Times New Roman"/>
                <w:i w:val="0"/>
                <w:iCs w:val="0"/>
                <w:sz w:val="24"/>
                <w:szCs w:val="24"/>
                <w:vertAlign w:val="baseline"/>
                <w:lang w:val="en-US" w:eastAsia="zh-CN"/>
              </w:rPr>
              <w:t>After-sales service is reassuring and affects shopping on O2O platforms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85.05</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73.18</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111"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16</w:t>
            </w:r>
          </w:p>
        </w:tc>
        <w:tc>
          <w:tcPr>
            <w:tcW w:w="3858"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(1)</w:t>
            </w:r>
            <w:r>
              <w:rPr>
                <w:rFonts w:hint="default" w:ascii="Times New Roman" w:hAnsi="Times New Roman" w:cs="Times New Roman"/>
                <w:i w:val="0"/>
                <w:iCs w:val="0"/>
                <w:sz w:val="24"/>
                <w:szCs w:val="24"/>
                <w:vertAlign w:val="baseline"/>
                <w:lang w:val="en-US" w:eastAsia="zh-CN"/>
              </w:rPr>
              <w:t>The freshness of produce affects online buying</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(2)</w:t>
            </w:r>
            <w:r>
              <w:rPr>
                <w:rFonts w:hint="default" w:ascii="Times New Roman" w:hAnsi="Times New Roman" w:cs="Times New Roman"/>
                <w:i w:val="0"/>
                <w:iCs w:val="0"/>
                <w:sz w:val="24"/>
                <w:szCs w:val="24"/>
                <w:vertAlign w:val="baseline"/>
                <w:lang w:val="en-US" w:eastAsia="zh-CN"/>
              </w:rPr>
              <w:t>Produce (e.g., fruits and vegetables)</w:t>
            </w:r>
            <w:r>
              <w:rPr>
                <w:rFonts w:hint="eastAsia" w:ascii="Times New Roman" w:hAnsi="Times New Roman" w:cs="Times New Roman"/>
                <w:i w:val="0"/>
                <w:iCs w:val="0"/>
                <w:sz w:val="24"/>
                <w:szCs w:val="24"/>
                <w:vertAlign w:val="baseline"/>
                <w:lang w:val="en-US" w:eastAsia="zh-CN"/>
              </w:rPr>
              <w:t xml:space="preserve"> </w:t>
            </w:r>
            <w:r>
              <w:rPr>
                <w:rFonts w:hint="default" w:ascii="Times New Roman" w:hAnsi="Times New Roman" w:cs="Times New Roman"/>
                <w:i w:val="0"/>
                <w:iCs w:val="0"/>
                <w:sz w:val="24"/>
                <w:szCs w:val="24"/>
                <w:vertAlign w:val="baseline"/>
                <w:lang w:val="en-US" w:eastAsia="zh-CN"/>
              </w:rPr>
              <w:t>damaged during transportation can be purchased online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val="0"/>
                <w:iCs w:val="0"/>
                <w:sz w:val="24"/>
                <w:szCs w:val="24"/>
                <w:vertAlign w:val="baseline"/>
                <w:lang w:val="en-US" w:eastAsia="zh-CN"/>
              </w:rPr>
              <w:t>(3)</w:t>
            </w:r>
            <w:r>
              <w:rPr>
                <w:rFonts w:hint="default" w:ascii="Times New Roman" w:hAnsi="Times New Roman" w:cs="Times New Roman"/>
                <w:i w:val="0"/>
                <w:iCs w:val="0"/>
                <w:sz w:val="24"/>
                <w:szCs w:val="24"/>
                <w:vertAlign w:val="baseline"/>
                <w:lang w:val="en-US" w:eastAsia="zh-CN"/>
              </w:rPr>
              <w:t>Cold chain conditions for agricultural products affect online purchases</w:t>
            </w:r>
          </w:p>
        </w:tc>
        <w:tc>
          <w:tcPr>
            <w:tcW w:w="1117"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84.88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79.04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85.39</w:t>
            </w:r>
          </w:p>
        </w:tc>
        <w:tc>
          <w:tcPr>
            <w:tcW w:w="942"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73.34</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78.96</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72.95</w:t>
            </w:r>
          </w:p>
        </w:tc>
        <w:tc>
          <w:tcPr>
            <w:tcW w:w="1494"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0.089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0.991</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iCs/>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iCs/>
                <w:sz w:val="24"/>
                <w:szCs w:val="24"/>
                <w:vertAlign w:val="baseline"/>
                <w:lang w:val="en-US" w:eastAsia="zh-CN"/>
              </w:rPr>
            </w:pPr>
            <w:r>
              <w:rPr>
                <w:rFonts w:hint="eastAsia" w:ascii="Times New Roman" w:hAnsi="Times New Roman" w:cs="Times New Roman"/>
                <w:i/>
                <w:iCs/>
                <w:sz w:val="24"/>
                <w:szCs w:val="24"/>
                <w:vertAlign w:val="baseline"/>
                <w:lang w:val="en-US" w:eastAsia="zh-CN"/>
              </w:rPr>
              <w:t>0.071</w:t>
            </w:r>
          </w:p>
        </w:tc>
      </w:tr>
      <w:bookmarkEnd w:id="11"/>
    </w:tbl>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eastAsia" w:ascii="Times New Roman" w:hAnsi="Times New Roman" w:cs="Times New Roman"/>
          <w:sz w:val="24"/>
          <w:szCs w:val="24"/>
          <w:vertAlign w:val="baseline"/>
          <w:lang w:val="en-US" w:eastAsia="zh-CN"/>
        </w:rPr>
      </w:pPr>
      <w:r>
        <w:rPr>
          <w:rFonts w:hint="eastAsia" w:ascii="Times New Roman" w:hAnsi="Times New Roman" w:cs="Times New Roman"/>
          <w:sz w:val="24"/>
          <w:szCs w:val="24"/>
          <w:vertAlign w:val="baseline"/>
          <w:lang w:val="en-US" w:eastAsia="zh-CN"/>
        </w:rPr>
        <w:t>4.7 Discussion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r>
        <w:rPr>
          <w:rFonts w:hint="default" w:ascii="Times New Roman" w:hAnsi="Times New Roman" w:cs="Times New Roman"/>
          <w:sz w:val="24"/>
          <w:szCs w:val="24"/>
          <w:vertAlign w:val="baseline"/>
          <w:lang w:val="en-US" w:eastAsia="zh-CN"/>
        </w:rPr>
        <w:t>This study aims to investigate the public's views on the promotion of agricultural products on O2O platforms</w:t>
      </w:r>
      <w:r>
        <w:rPr>
          <w:rFonts w:hint="eastAsia" w:ascii="Times New Roman" w:hAnsi="Times New Roman" w:cs="Times New Roman"/>
          <w:sz w:val="24"/>
          <w:szCs w:val="24"/>
          <w:vertAlign w:val="baseline"/>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vertAlign w:val="baseline"/>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For all the questions from Q7 to Q16, there is no significant difference between the genders and answers, indicating that men and women hold the same attitudes and views on the promotion and marketing of agricultural products on O2O platforms.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However, from Q7 to Q16, it has been shown that there is a significant difference between age and respondents</w:t>
      </w:r>
      <w:r>
        <w:rPr>
          <w:rFonts w:hint="eastAsia" w:ascii="Times New Roman" w:hAnsi="Times New Roman" w:cs="Times New Roman"/>
          <w:i w:val="0"/>
          <w:iCs w:val="0"/>
          <w:sz w:val="24"/>
          <w:szCs w:val="24"/>
          <w:lang w:val="en-US" w:eastAsia="zh-CN"/>
        </w:rPr>
        <w:t xml:space="preserve"> (Q11-1,Q11-3,Q12-1,Q13-1,Q13-3,Q14-1,Q14-2,Q14-3,Q15).</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 xml:space="preserve"> From the public responses to Q11-1 , Q11-3 and Q12-1, it can be seen that people below 40 and 40 are more satisfied with the design of the web page , the consistency between the product information displayed on the web page and the physical store and the delivery of orders within the specified time. It can be seen from this that in order to better promote agricultural products on the O2O platform, the web design and delivery of logistics on time needs to make greater improvements to meet the needs of consumers of all ages.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Q13-1 and Q13-3,people below 40 or 40 are more satisfied with the after-sales service of agricultural products from the return and exchange mechanism and the high quality and timely reply from customer service, which also indicates that the after-sales service also needs to be improved to enhance consumer satisfaction.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Q14-1,Q14-2 and Q13-3. Compared with people over 40, people under 40 buy agricultural products on O2O platforms to a greater extent because of the efficient and convenient payment methods, fast delivery and discounts available.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From the public responses to Q15, People over 45 years old think that the biggest advantage of O2O platforms compared with other e-commerce is dual-channel shopping.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4.8 Conclusion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In conclusion, this study are consistent with previous research, think the reputation and security of the Internet platform, service quality, and provide the quality of the product influence the public to buy agricultural products online</w:t>
      </w:r>
      <w:r>
        <w:rPr>
          <w:rFonts w:hint="eastAsia" w:ascii="Times New Roman" w:hAnsi="Times New Roman" w:cs="Times New Roman"/>
          <w:i w:val="0"/>
          <w:iCs w:val="0"/>
          <w:sz w:val="24"/>
          <w:szCs w:val="24"/>
          <w:lang w:val="en-US" w:eastAsia="zh-CN"/>
        </w:rPr>
        <w:t>.</w:t>
      </w:r>
      <w:r>
        <w:rPr>
          <w:rFonts w:hint="default" w:ascii="Times New Roman" w:hAnsi="Times New Roman" w:cs="Times New Roman"/>
          <w:i w:val="0"/>
          <w:iCs w:val="0"/>
          <w:sz w:val="24"/>
          <w:szCs w:val="24"/>
          <w:lang w:val="en-US" w:eastAsia="zh-CN"/>
        </w:rPr>
        <w:t xml:space="preserve"> For people </w:t>
      </w:r>
      <w:r>
        <w:rPr>
          <w:rFonts w:hint="eastAsia" w:ascii="Times New Roman" w:hAnsi="Times New Roman" w:cs="Times New Roman"/>
          <w:i w:val="0"/>
          <w:iCs w:val="0"/>
          <w:sz w:val="24"/>
          <w:szCs w:val="24"/>
          <w:lang w:val="en-US" w:eastAsia="zh-CN"/>
        </w:rPr>
        <w:t xml:space="preserve">40 and </w:t>
      </w:r>
      <w:r>
        <w:rPr>
          <w:rFonts w:hint="default" w:ascii="Times New Roman" w:hAnsi="Times New Roman" w:cs="Times New Roman"/>
          <w:i w:val="0"/>
          <w:iCs w:val="0"/>
          <w:sz w:val="24"/>
          <w:szCs w:val="24"/>
          <w:lang w:val="en-US" w:eastAsia="zh-CN"/>
        </w:rPr>
        <w:t>under 40</w:t>
      </w:r>
      <w:r>
        <w:rPr>
          <w:rFonts w:hint="eastAsia" w:ascii="Times New Roman" w:hAnsi="Times New Roman" w:cs="Times New Roman"/>
          <w:i w:val="0"/>
          <w:iCs w:val="0"/>
          <w:sz w:val="24"/>
          <w:szCs w:val="24"/>
          <w:lang w:val="en-US" w:eastAsia="zh-CN"/>
        </w:rPr>
        <w:t>s</w:t>
      </w:r>
      <w:r>
        <w:rPr>
          <w:rFonts w:hint="default" w:ascii="Times New Roman" w:hAnsi="Times New Roman" w:cs="Times New Roman"/>
          <w:i w:val="0"/>
          <w:iCs w:val="0"/>
          <w:sz w:val="24"/>
          <w:szCs w:val="24"/>
          <w:lang w:val="en-US" w:eastAsia="zh-CN"/>
        </w:rPr>
        <w:t xml:space="preserve"> , the proportion of purchasing agricultural products on O2O platforms is higher, this may be for age is relatively small, computer proficiency higher, no matter what age paragraph the person,The freshness and cold-chain conditions of </w:t>
      </w:r>
      <w:r>
        <w:rPr>
          <w:rFonts w:hint="eastAsia" w:ascii="Times New Roman" w:hAnsi="Times New Roman" w:cs="Times New Roman"/>
          <w:i w:val="0"/>
          <w:iCs w:val="0"/>
          <w:sz w:val="24"/>
          <w:szCs w:val="24"/>
          <w:lang w:val="en-US" w:eastAsia="zh-CN"/>
        </w:rPr>
        <w:t xml:space="preserve">agriculture </w:t>
      </w:r>
      <w:r>
        <w:rPr>
          <w:rFonts w:hint="default" w:ascii="Times New Roman" w:hAnsi="Times New Roman" w:cs="Times New Roman"/>
          <w:i w:val="0"/>
          <w:iCs w:val="0"/>
          <w:sz w:val="24"/>
          <w:szCs w:val="24"/>
          <w:lang w:val="en-US" w:eastAsia="zh-CN"/>
        </w:rPr>
        <w:t>produc</w:t>
      </w:r>
      <w:r>
        <w:rPr>
          <w:rFonts w:hint="eastAsia" w:ascii="Times New Roman" w:hAnsi="Times New Roman" w:cs="Times New Roman"/>
          <w:i w:val="0"/>
          <w:iCs w:val="0"/>
          <w:sz w:val="24"/>
          <w:szCs w:val="24"/>
          <w:lang w:val="en-US" w:eastAsia="zh-CN"/>
        </w:rPr>
        <w:t>t</w:t>
      </w:r>
      <w:r>
        <w:rPr>
          <w:rFonts w:hint="default" w:ascii="Times New Roman" w:hAnsi="Times New Roman" w:cs="Times New Roman"/>
          <w:i w:val="0"/>
          <w:iCs w:val="0"/>
          <w:sz w:val="24"/>
          <w:szCs w:val="24"/>
          <w:lang w:val="en-US" w:eastAsia="zh-CN"/>
        </w:rPr>
        <w:t xml:space="preserve"> are the main factors influencing their online purchases.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eastAsia" w:ascii="Times New Roman" w:hAnsi="Times New Roman" w:cs="Times New Roman"/>
          <w:i w:val="0"/>
          <w:iCs w:val="0"/>
          <w:sz w:val="24"/>
          <w:szCs w:val="24"/>
          <w:lang w:val="en-US" w:eastAsia="zh-CN"/>
        </w:rPr>
        <w:t>This chapter has successfully analysed the data and explored the general public</w:t>
      </w:r>
      <w:r>
        <w:rPr>
          <w:rFonts w:hint="default" w:ascii="Times New Roman" w:hAnsi="Times New Roman" w:cs="Times New Roman"/>
          <w:i w:val="0"/>
          <w:iCs w:val="0"/>
          <w:sz w:val="24"/>
          <w:szCs w:val="24"/>
          <w:lang w:val="en-US" w:eastAsia="zh-CN"/>
        </w:rPr>
        <w:t>’</w:t>
      </w:r>
      <w:r>
        <w:rPr>
          <w:rFonts w:hint="eastAsia" w:ascii="Times New Roman" w:hAnsi="Times New Roman" w:cs="Times New Roman"/>
          <w:i w:val="0"/>
          <w:iCs w:val="0"/>
          <w:sz w:val="24"/>
          <w:szCs w:val="24"/>
          <w:lang w:val="en-US" w:eastAsia="zh-CN"/>
        </w:rPr>
        <w:t>s view on the combination of agriculture produce O2O, the last chapter will complete the final objectives of understanding implications and some advice will be given.</w:t>
      </w:r>
      <w:bookmarkStart w:id="12" w:name="_GoBack"/>
      <w:bookmarkEnd w:id="12"/>
    </w:p>
    <w:sectPr>
      <w:pgSz w:w="11906" w:h="16838"/>
      <w:pgMar w:top="1440" w:right="1266" w:bottom="1440" w:left="76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微软雅黑">
    <w:panose1 w:val="020B0503020204020204"/>
    <w:charset w:val="86"/>
    <w:family w:val="swiss"/>
    <w:pitch w:val="variable"/>
    <w:sig w:usb0="80000287" w:usb1="2ACF3C50" w:usb2="00000016" w:usb3="00000000" w:csb0="0004001F" w:csb1="00000000"/>
  </w:font>
  <w:font w:name="MingLiU">
    <w:altName w:val="PMingLiU-ExtB"/>
    <w:panose1 w:val="02010609000101010101"/>
    <w:charset w:val="88"/>
    <w:family w:val="modern"/>
    <w:pitch w:val="default"/>
    <w:sig w:usb0="00000000" w:usb1="00000000" w:usb2="00000000" w:usb3="00000000" w:csb0="00100000" w:csb1="00000000"/>
  </w:font>
  <w:font w:name="PMingLiU-ExtB">
    <w:panose1 w:val="02020500000000000000"/>
    <w:charset w:val="88"/>
    <w:family w:val="auto"/>
    <w:pitch w:val="default"/>
    <w:sig w:usb0="8000002F" w:usb1="02000008" w:usb2="00000000" w:usb3="00000000" w:csb0="00100001" w:csb1="00000000"/>
  </w:font>
  <w:font w:name="Arial">
    <w:panose1 w:val="020B0604020202020204"/>
    <w:charset w:val="00"/>
    <w:family w:val="auto"/>
    <w:pitch w:val="default"/>
    <w:sig w:usb0="E0002EFF" w:usb1="C000785B" w:usb2="00000009" w:usb3="00000000" w:csb0="400001FF" w:csb1="FFFF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448D125"/>
    <w:multiLevelType w:val="singleLevel"/>
    <w:tmpl w:val="8448D125"/>
    <w:lvl w:ilvl="0" w:tentative="0">
      <w:start w:val="2"/>
      <w:numFmt w:val="decimal"/>
      <w:suff w:val="space"/>
      <w:lvlText w:val="(%1)"/>
      <w:lvlJc w:val="left"/>
    </w:lvl>
  </w:abstractNum>
  <w:abstractNum w:abstractNumId="1">
    <w:nsid w:val="8BF063B5"/>
    <w:multiLevelType w:val="singleLevel"/>
    <w:tmpl w:val="8BF063B5"/>
    <w:lvl w:ilvl="0" w:tentative="0">
      <w:start w:val="1"/>
      <w:numFmt w:val="decimal"/>
      <w:suff w:val="space"/>
      <w:lvlText w:val="(%1)"/>
      <w:lvlJc w:val="left"/>
    </w:lvl>
  </w:abstractNum>
  <w:abstractNum w:abstractNumId="2">
    <w:nsid w:val="C022F060"/>
    <w:multiLevelType w:val="singleLevel"/>
    <w:tmpl w:val="C022F060"/>
    <w:lvl w:ilvl="0" w:tentative="0">
      <w:start w:val="1"/>
      <w:numFmt w:val="decimal"/>
      <w:suff w:val="space"/>
      <w:lvlText w:val="(%1)"/>
      <w:lvlJc w:val="left"/>
    </w:lvl>
  </w:abstractNum>
  <w:abstractNum w:abstractNumId="3">
    <w:nsid w:val="D2F280F7"/>
    <w:multiLevelType w:val="singleLevel"/>
    <w:tmpl w:val="D2F280F7"/>
    <w:lvl w:ilvl="0" w:tentative="0">
      <w:start w:val="1"/>
      <w:numFmt w:val="decimal"/>
      <w:suff w:val="space"/>
      <w:lvlText w:val="(%1)"/>
      <w:lvlJc w:val="left"/>
    </w:lvl>
  </w:abstractNum>
  <w:abstractNum w:abstractNumId="4">
    <w:nsid w:val="ED1133A8"/>
    <w:multiLevelType w:val="singleLevel"/>
    <w:tmpl w:val="ED1133A8"/>
    <w:lvl w:ilvl="0" w:tentative="0">
      <w:start w:val="1"/>
      <w:numFmt w:val="decimal"/>
      <w:suff w:val="space"/>
      <w:lvlText w:val="(%1)"/>
      <w:lvlJc w:val="left"/>
    </w:lvl>
  </w:abstractNum>
  <w:abstractNum w:abstractNumId="5">
    <w:nsid w:val="23301A19"/>
    <w:multiLevelType w:val="singleLevel"/>
    <w:tmpl w:val="23301A19"/>
    <w:lvl w:ilvl="0" w:tentative="0">
      <w:start w:val="1"/>
      <w:numFmt w:val="decimal"/>
      <w:suff w:val="space"/>
      <w:lvlText w:val="(%1)"/>
      <w:lvlJc w:val="left"/>
    </w:lvl>
  </w:abstractNum>
  <w:abstractNum w:abstractNumId="6">
    <w:nsid w:val="4CACDB61"/>
    <w:multiLevelType w:val="singleLevel"/>
    <w:tmpl w:val="4CACDB61"/>
    <w:lvl w:ilvl="0" w:tentative="0">
      <w:start w:val="6"/>
      <w:numFmt w:val="upperLetter"/>
      <w:suff w:val="nothing"/>
      <w:lvlText w:val="%1-"/>
      <w:lvlJc w:val="left"/>
    </w:lvl>
  </w:abstractNum>
  <w:num w:numId="1">
    <w:abstractNumId w:val="5"/>
  </w:num>
  <w:num w:numId="2">
    <w:abstractNumId w:val="1"/>
  </w:num>
  <w:num w:numId="3">
    <w:abstractNumId w:val="3"/>
  </w:num>
  <w:num w:numId="4">
    <w:abstractNumId w:val="6"/>
  </w:num>
  <w:num w:numId="5">
    <w:abstractNumId w:val="4"/>
  </w:num>
  <w:num w:numId="6">
    <w:abstractNumId w:val="2"/>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NotDisplayPageBoundaries w:val="1"/>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16D5144"/>
    <w:rsid w:val="000164AC"/>
    <w:rsid w:val="00252D2B"/>
    <w:rsid w:val="00513E58"/>
    <w:rsid w:val="006142EA"/>
    <w:rsid w:val="00637B31"/>
    <w:rsid w:val="008C7E27"/>
    <w:rsid w:val="009A4541"/>
    <w:rsid w:val="00BA03EF"/>
    <w:rsid w:val="00CF4BFA"/>
    <w:rsid w:val="00D0419C"/>
    <w:rsid w:val="00DA6BAA"/>
    <w:rsid w:val="00E95846"/>
    <w:rsid w:val="00F926D5"/>
    <w:rsid w:val="01206026"/>
    <w:rsid w:val="01207C07"/>
    <w:rsid w:val="01337BE8"/>
    <w:rsid w:val="01362A72"/>
    <w:rsid w:val="013F29F3"/>
    <w:rsid w:val="014D1886"/>
    <w:rsid w:val="019F3CCA"/>
    <w:rsid w:val="01AD4578"/>
    <w:rsid w:val="02072251"/>
    <w:rsid w:val="021C01E7"/>
    <w:rsid w:val="024B11D5"/>
    <w:rsid w:val="02507BB2"/>
    <w:rsid w:val="02883EF8"/>
    <w:rsid w:val="02B96B80"/>
    <w:rsid w:val="02CD20EB"/>
    <w:rsid w:val="03084ED2"/>
    <w:rsid w:val="030F4489"/>
    <w:rsid w:val="03126956"/>
    <w:rsid w:val="03185C8F"/>
    <w:rsid w:val="034864DA"/>
    <w:rsid w:val="034C0DF9"/>
    <w:rsid w:val="036B5550"/>
    <w:rsid w:val="0372641A"/>
    <w:rsid w:val="03792455"/>
    <w:rsid w:val="03851AC2"/>
    <w:rsid w:val="03864B15"/>
    <w:rsid w:val="03884694"/>
    <w:rsid w:val="039E44C8"/>
    <w:rsid w:val="03A361C9"/>
    <w:rsid w:val="03D077A2"/>
    <w:rsid w:val="03DA2D32"/>
    <w:rsid w:val="03DB1C07"/>
    <w:rsid w:val="0407161C"/>
    <w:rsid w:val="040B2A3E"/>
    <w:rsid w:val="040B2D3E"/>
    <w:rsid w:val="044F1358"/>
    <w:rsid w:val="045E0665"/>
    <w:rsid w:val="046315BE"/>
    <w:rsid w:val="046D7EBF"/>
    <w:rsid w:val="047E195D"/>
    <w:rsid w:val="049416D7"/>
    <w:rsid w:val="04C03EEF"/>
    <w:rsid w:val="04CD056E"/>
    <w:rsid w:val="0500281F"/>
    <w:rsid w:val="050E7FC5"/>
    <w:rsid w:val="05175E76"/>
    <w:rsid w:val="053D0971"/>
    <w:rsid w:val="053D74FD"/>
    <w:rsid w:val="053F0184"/>
    <w:rsid w:val="055F2444"/>
    <w:rsid w:val="057575D0"/>
    <w:rsid w:val="057C4331"/>
    <w:rsid w:val="058D6C47"/>
    <w:rsid w:val="059E7854"/>
    <w:rsid w:val="05CC40EF"/>
    <w:rsid w:val="05F12C78"/>
    <w:rsid w:val="06141E38"/>
    <w:rsid w:val="061649A9"/>
    <w:rsid w:val="06233BA5"/>
    <w:rsid w:val="062E3686"/>
    <w:rsid w:val="066835EC"/>
    <w:rsid w:val="06794B3B"/>
    <w:rsid w:val="068D470E"/>
    <w:rsid w:val="06AC5A54"/>
    <w:rsid w:val="06AE5EAF"/>
    <w:rsid w:val="06E775F6"/>
    <w:rsid w:val="06FC482D"/>
    <w:rsid w:val="07171DA1"/>
    <w:rsid w:val="07192BC6"/>
    <w:rsid w:val="071F7BF6"/>
    <w:rsid w:val="072E2754"/>
    <w:rsid w:val="0735405C"/>
    <w:rsid w:val="0739454C"/>
    <w:rsid w:val="0744475E"/>
    <w:rsid w:val="07642E20"/>
    <w:rsid w:val="07664568"/>
    <w:rsid w:val="07735A92"/>
    <w:rsid w:val="077D7B61"/>
    <w:rsid w:val="07891A59"/>
    <w:rsid w:val="07991967"/>
    <w:rsid w:val="07BD038C"/>
    <w:rsid w:val="07ED616F"/>
    <w:rsid w:val="07F85147"/>
    <w:rsid w:val="08045562"/>
    <w:rsid w:val="080E1D0E"/>
    <w:rsid w:val="084D56D6"/>
    <w:rsid w:val="08511201"/>
    <w:rsid w:val="0853534E"/>
    <w:rsid w:val="087C1A65"/>
    <w:rsid w:val="08840AD1"/>
    <w:rsid w:val="08967614"/>
    <w:rsid w:val="089B2F0B"/>
    <w:rsid w:val="089F0AB9"/>
    <w:rsid w:val="08D76656"/>
    <w:rsid w:val="08DC75CD"/>
    <w:rsid w:val="08E864F8"/>
    <w:rsid w:val="09064D58"/>
    <w:rsid w:val="091170A2"/>
    <w:rsid w:val="09386248"/>
    <w:rsid w:val="09425A69"/>
    <w:rsid w:val="09631289"/>
    <w:rsid w:val="097D798C"/>
    <w:rsid w:val="09815580"/>
    <w:rsid w:val="098257E4"/>
    <w:rsid w:val="09A37012"/>
    <w:rsid w:val="0A0F305E"/>
    <w:rsid w:val="0A3B2E40"/>
    <w:rsid w:val="0A821381"/>
    <w:rsid w:val="0AA528B5"/>
    <w:rsid w:val="0AE97A74"/>
    <w:rsid w:val="0AEE6203"/>
    <w:rsid w:val="0AFD6B94"/>
    <w:rsid w:val="0B186A85"/>
    <w:rsid w:val="0B334104"/>
    <w:rsid w:val="0B815FC5"/>
    <w:rsid w:val="0B886281"/>
    <w:rsid w:val="0B8F6DDD"/>
    <w:rsid w:val="0B9A7293"/>
    <w:rsid w:val="0B9B44A0"/>
    <w:rsid w:val="0BAA32EB"/>
    <w:rsid w:val="0BBF4BFC"/>
    <w:rsid w:val="0BF07728"/>
    <w:rsid w:val="0C042306"/>
    <w:rsid w:val="0C0D29ED"/>
    <w:rsid w:val="0C1E1B1E"/>
    <w:rsid w:val="0C337F6C"/>
    <w:rsid w:val="0C356532"/>
    <w:rsid w:val="0C431B9F"/>
    <w:rsid w:val="0C516C58"/>
    <w:rsid w:val="0C575089"/>
    <w:rsid w:val="0CA26875"/>
    <w:rsid w:val="0CE43850"/>
    <w:rsid w:val="0CE453BE"/>
    <w:rsid w:val="0D0719E3"/>
    <w:rsid w:val="0D142898"/>
    <w:rsid w:val="0D510061"/>
    <w:rsid w:val="0D577A4C"/>
    <w:rsid w:val="0D5947CC"/>
    <w:rsid w:val="0D743C31"/>
    <w:rsid w:val="0D7A460F"/>
    <w:rsid w:val="0D8E6BAD"/>
    <w:rsid w:val="0D9B1B96"/>
    <w:rsid w:val="0DBE2733"/>
    <w:rsid w:val="0DCA2090"/>
    <w:rsid w:val="0DD07419"/>
    <w:rsid w:val="0DE12338"/>
    <w:rsid w:val="0DF06A81"/>
    <w:rsid w:val="0DF305B1"/>
    <w:rsid w:val="0E2979B3"/>
    <w:rsid w:val="0E3B0DE4"/>
    <w:rsid w:val="0E910F2E"/>
    <w:rsid w:val="0E9E1DF7"/>
    <w:rsid w:val="0EB57712"/>
    <w:rsid w:val="0EE357D2"/>
    <w:rsid w:val="0EE57E32"/>
    <w:rsid w:val="0F172F95"/>
    <w:rsid w:val="0F301E3A"/>
    <w:rsid w:val="0F3068C6"/>
    <w:rsid w:val="0F8F0BA8"/>
    <w:rsid w:val="0FA519E4"/>
    <w:rsid w:val="0FD81AC2"/>
    <w:rsid w:val="0FF649F4"/>
    <w:rsid w:val="100D437E"/>
    <w:rsid w:val="101B32BD"/>
    <w:rsid w:val="102E7D24"/>
    <w:rsid w:val="10341A2C"/>
    <w:rsid w:val="1034302A"/>
    <w:rsid w:val="10375337"/>
    <w:rsid w:val="1045410A"/>
    <w:rsid w:val="10583DF5"/>
    <w:rsid w:val="10911BDB"/>
    <w:rsid w:val="10AB41A9"/>
    <w:rsid w:val="10C37B67"/>
    <w:rsid w:val="10E93736"/>
    <w:rsid w:val="10F152D7"/>
    <w:rsid w:val="11035AE7"/>
    <w:rsid w:val="112A6A65"/>
    <w:rsid w:val="113E4662"/>
    <w:rsid w:val="114C45A5"/>
    <w:rsid w:val="115E3DAA"/>
    <w:rsid w:val="115F07B1"/>
    <w:rsid w:val="116269BB"/>
    <w:rsid w:val="117B5AC6"/>
    <w:rsid w:val="118B7B10"/>
    <w:rsid w:val="11AF4573"/>
    <w:rsid w:val="11B96640"/>
    <w:rsid w:val="11BF0040"/>
    <w:rsid w:val="11C43239"/>
    <w:rsid w:val="11E95E3C"/>
    <w:rsid w:val="12004E23"/>
    <w:rsid w:val="120535E3"/>
    <w:rsid w:val="12102B9D"/>
    <w:rsid w:val="122368AE"/>
    <w:rsid w:val="125C7CAD"/>
    <w:rsid w:val="125E252D"/>
    <w:rsid w:val="12611194"/>
    <w:rsid w:val="12A038B9"/>
    <w:rsid w:val="12C33C38"/>
    <w:rsid w:val="12D575E8"/>
    <w:rsid w:val="12DD7A4F"/>
    <w:rsid w:val="12F358EA"/>
    <w:rsid w:val="13066977"/>
    <w:rsid w:val="13151F97"/>
    <w:rsid w:val="13177E2E"/>
    <w:rsid w:val="13305BBF"/>
    <w:rsid w:val="137D04F5"/>
    <w:rsid w:val="139A483F"/>
    <w:rsid w:val="141C78CF"/>
    <w:rsid w:val="14550A51"/>
    <w:rsid w:val="145C0676"/>
    <w:rsid w:val="145E530D"/>
    <w:rsid w:val="147D3D23"/>
    <w:rsid w:val="14AC11C2"/>
    <w:rsid w:val="14CD5493"/>
    <w:rsid w:val="14D26856"/>
    <w:rsid w:val="15362D6F"/>
    <w:rsid w:val="15473B3C"/>
    <w:rsid w:val="154B40AE"/>
    <w:rsid w:val="154F13EC"/>
    <w:rsid w:val="155C2286"/>
    <w:rsid w:val="157E25CB"/>
    <w:rsid w:val="15806AFF"/>
    <w:rsid w:val="159842B6"/>
    <w:rsid w:val="15A84F8C"/>
    <w:rsid w:val="15BB4AD7"/>
    <w:rsid w:val="15BD3C76"/>
    <w:rsid w:val="15C643AF"/>
    <w:rsid w:val="15EE036D"/>
    <w:rsid w:val="15F52A74"/>
    <w:rsid w:val="15FD20AB"/>
    <w:rsid w:val="16154807"/>
    <w:rsid w:val="161602B1"/>
    <w:rsid w:val="165555BC"/>
    <w:rsid w:val="165D32D6"/>
    <w:rsid w:val="166043C5"/>
    <w:rsid w:val="16661BF9"/>
    <w:rsid w:val="167A3A5C"/>
    <w:rsid w:val="168330C9"/>
    <w:rsid w:val="16AC11D5"/>
    <w:rsid w:val="16B373E5"/>
    <w:rsid w:val="16BF2484"/>
    <w:rsid w:val="16C313CA"/>
    <w:rsid w:val="16C74CBB"/>
    <w:rsid w:val="16D966EF"/>
    <w:rsid w:val="16EB06DC"/>
    <w:rsid w:val="1716351D"/>
    <w:rsid w:val="1719403D"/>
    <w:rsid w:val="175A02D0"/>
    <w:rsid w:val="17813BAC"/>
    <w:rsid w:val="17F15C8C"/>
    <w:rsid w:val="18003EE8"/>
    <w:rsid w:val="183A2C46"/>
    <w:rsid w:val="18883F88"/>
    <w:rsid w:val="18885C4E"/>
    <w:rsid w:val="18886F5C"/>
    <w:rsid w:val="18CB1C3D"/>
    <w:rsid w:val="18EA301C"/>
    <w:rsid w:val="18F16C42"/>
    <w:rsid w:val="18F9563B"/>
    <w:rsid w:val="192611E0"/>
    <w:rsid w:val="193B504D"/>
    <w:rsid w:val="194A0388"/>
    <w:rsid w:val="194F2415"/>
    <w:rsid w:val="197A5404"/>
    <w:rsid w:val="199A0882"/>
    <w:rsid w:val="19C72C09"/>
    <w:rsid w:val="19E25FFB"/>
    <w:rsid w:val="19E94B0B"/>
    <w:rsid w:val="1A0629A5"/>
    <w:rsid w:val="1A1F3C56"/>
    <w:rsid w:val="1A366798"/>
    <w:rsid w:val="1A537243"/>
    <w:rsid w:val="1A663B31"/>
    <w:rsid w:val="1A757797"/>
    <w:rsid w:val="1AA74F9F"/>
    <w:rsid w:val="1AF2569D"/>
    <w:rsid w:val="1B050610"/>
    <w:rsid w:val="1B21583E"/>
    <w:rsid w:val="1B2E55EF"/>
    <w:rsid w:val="1B4C435A"/>
    <w:rsid w:val="1B5E4C48"/>
    <w:rsid w:val="1B696DC0"/>
    <w:rsid w:val="1B8B6B92"/>
    <w:rsid w:val="1B937D98"/>
    <w:rsid w:val="1BAC739D"/>
    <w:rsid w:val="1BDC74FC"/>
    <w:rsid w:val="1C0C111F"/>
    <w:rsid w:val="1C10074D"/>
    <w:rsid w:val="1C503FC8"/>
    <w:rsid w:val="1C675D10"/>
    <w:rsid w:val="1C830577"/>
    <w:rsid w:val="1C832259"/>
    <w:rsid w:val="1CAE562D"/>
    <w:rsid w:val="1CDF04F2"/>
    <w:rsid w:val="1CEC6797"/>
    <w:rsid w:val="1CFD6B3D"/>
    <w:rsid w:val="1D0C722C"/>
    <w:rsid w:val="1D233FA3"/>
    <w:rsid w:val="1D315152"/>
    <w:rsid w:val="1D3B18C8"/>
    <w:rsid w:val="1D61735C"/>
    <w:rsid w:val="1D6977EB"/>
    <w:rsid w:val="1D705F87"/>
    <w:rsid w:val="1D7A782F"/>
    <w:rsid w:val="1D804B10"/>
    <w:rsid w:val="1D9005E7"/>
    <w:rsid w:val="1DB87908"/>
    <w:rsid w:val="1DBD4B8D"/>
    <w:rsid w:val="1DE41626"/>
    <w:rsid w:val="1DF87527"/>
    <w:rsid w:val="1E416F85"/>
    <w:rsid w:val="1E4A4AC9"/>
    <w:rsid w:val="1E5D75A6"/>
    <w:rsid w:val="1E7D405A"/>
    <w:rsid w:val="1E837F83"/>
    <w:rsid w:val="1E870A59"/>
    <w:rsid w:val="1E873829"/>
    <w:rsid w:val="1EA83363"/>
    <w:rsid w:val="1EBB2054"/>
    <w:rsid w:val="1EBF2BF3"/>
    <w:rsid w:val="1EC05048"/>
    <w:rsid w:val="1F003A25"/>
    <w:rsid w:val="1F130E91"/>
    <w:rsid w:val="1F196F0D"/>
    <w:rsid w:val="1F245885"/>
    <w:rsid w:val="1F44408D"/>
    <w:rsid w:val="1F59274B"/>
    <w:rsid w:val="1F605678"/>
    <w:rsid w:val="1F672255"/>
    <w:rsid w:val="1F6B7117"/>
    <w:rsid w:val="1FA53D11"/>
    <w:rsid w:val="1FAC0B32"/>
    <w:rsid w:val="1FB32801"/>
    <w:rsid w:val="1FC2390C"/>
    <w:rsid w:val="1FCF2D70"/>
    <w:rsid w:val="1FD41EEB"/>
    <w:rsid w:val="1FEE2472"/>
    <w:rsid w:val="1FF3664B"/>
    <w:rsid w:val="1FF36FA9"/>
    <w:rsid w:val="200C61F6"/>
    <w:rsid w:val="200E24FC"/>
    <w:rsid w:val="20556443"/>
    <w:rsid w:val="20791CCD"/>
    <w:rsid w:val="207E7CE2"/>
    <w:rsid w:val="2085444F"/>
    <w:rsid w:val="20A23753"/>
    <w:rsid w:val="20A33E23"/>
    <w:rsid w:val="20AA7DF8"/>
    <w:rsid w:val="20D16537"/>
    <w:rsid w:val="20D21024"/>
    <w:rsid w:val="20D51F57"/>
    <w:rsid w:val="2109338D"/>
    <w:rsid w:val="213C36AE"/>
    <w:rsid w:val="213D1D20"/>
    <w:rsid w:val="215C58F4"/>
    <w:rsid w:val="2160144A"/>
    <w:rsid w:val="216154B8"/>
    <w:rsid w:val="216A558D"/>
    <w:rsid w:val="21940951"/>
    <w:rsid w:val="219C408C"/>
    <w:rsid w:val="21B501DB"/>
    <w:rsid w:val="21DF0C34"/>
    <w:rsid w:val="21F111A5"/>
    <w:rsid w:val="21F12CAD"/>
    <w:rsid w:val="21F67623"/>
    <w:rsid w:val="220810D8"/>
    <w:rsid w:val="22207AF6"/>
    <w:rsid w:val="22223952"/>
    <w:rsid w:val="22261DBB"/>
    <w:rsid w:val="224F788A"/>
    <w:rsid w:val="225A1F8B"/>
    <w:rsid w:val="22623680"/>
    <w:rsid w:val="226E1048"/>
    <w:rsid w:val="22773058"/>
    <w:rsid w:val="22D74545"/>
    <w:rsid w:val="22E228FE"/>
    <w:rsid w:val="22E648A9"/>
    <w:rsid w:val="232B5887"/>
    <w:rsid w:val="2333158E"/>
    <w:rsid w:val="233B4191"/>
    <w:rsid w:val="233C2AFE"/>
    <w:rsid w:val="233E5F78"/>
    <w:rsid w:val="23601BFF"/>
    <w:rsid w:val="237F4779"/>
    <w:rsid w:val="23815E94"/>
    <w:rsid w:val="23816A09"/>
    <w:rsid w:val="238C24CF"/>
    <w:rsid w:val="23AF5078"/>
    <w:rsid w:val="23C5174C"/>
    <w:rsid w:val="23D45307"/>
    <w:rsid w:val="23F03864"/>
    <w:rsid w:val="246577E1"/>
    <w:rsid w:val="2484251E"/>
    <w:rsid w:val="248E6CCE"/>
    <w:rsid w:val="24D47152"/>
    <w:rsid w:val="24D90BF4"/>
    <w:rsid w:val="24E17D23"/>
    <w:rsid w:val="24F221FC"/>
    <w:rsid w:val="24FD0414"/>
    <w:rsid w:val="2503003A"/>
    <w:rsid w:val="251303A2"/>
    <w:rsid w:val="256700E4"/>
    <w:rsid w:val="256F44C5"/>
    <w:rsid w:val="25AC521E"/>
    <w:rsid w:val="25B644DA"/>
    <w:rsid w:val="25CB6E90"/>
    <w:rsid w:val="25CC5D64"/>
    <w:rsid w:val="25E21C98"/>
    <w:rsid w:val="25E26DC7"/>
    <w:rsid w:val="25E63748"/>
    <w:rsid w:val="26292AF8"/>
    <w:rsid w:val="262E55DA"/>
    <w:rsid w:val="265956CA"/>
    <w:rsid w:val="265E7486"/>
    <w:rsid w:val="26683756"/>
    <w:rsid w:val="26813908"/>
    <w:rsid w:val="26B067C5"/>
    <w:rsid w:val="26FD2826"/>
    <w:rsid w:val="27497D69"/>
    <w:rsid w:val="275B3726"/>
    <w:rsid w:val="27660EFE"/>
    <w:rsid w:val="276B3868"/>
    <w:rsid w:val="27724507"/>
    <w:rsid w:val="27770D42"/>
    <w:rsid w:val="2799324B"/>
    <w:rsid w:val="27EA1C9F"/>
    <w:rsid w:val="28030F98"/>
    <w:rsid w:val="282712A0"/>
    <w:rsid w:val="282C0C90"/>
    <w:rsid w:val="28420F82"/>
    <w:rsid w:val="28530EBD"/>
    <w:rsid w:val="287C5A93"/>
    <w:rsid w:val="28883832"/>
    <w:rsid w:val="2890369F"/>
    <w:rsid w:val="28A071A4"/>
    <w:rsid w:val="28B646E9"/>
    <w:rsid w:val="28C14A5D"/>
    <w:rsid w:val="28EE2953"/>
    <w:rsid w:val="29012D80"/>
    <w:rsid w:val="290277AF"/>
    <w:rsid w:val="291C0267"/>
    <w:rsid w:val="291C76F3"/>
    <w:rsid w:val="29367D68"/>
    <w:rsid w:val="29507990"/>
    <w:rsid w:val="297D0A0A"/>
    <w:rsid w:val="299441AD"/>
    <w:rsid w:val="29A76440"/>
    <w:rsid w:val="2A06091D"/>
    <w:rsid w:val="2A475EFB"/>
    <w:rsid w:val="2A4B1196"/>
    <w:rsid w:val="2A670A45"/>
    <w:rsid w:val="2A751066"/>
    <w:rsid w:val="2A9B0BF9"/>
    <w:rsid w:val="2AA4606E"/>
    <w:rsid w:val="2AB83A6D"/>
    <w:rsid w:val="2AD3142A"/>
    <w:rsid w:val="2B1E1956"/>
    <w:rsid w:val="2B3C7269"/>
    <w:rsid w:val="2B8E0F05"/>
    <w:rsid w:val="2BBC0870"/>
    <w:rsid w:val="2BEE063B"/>
    <w:rsid w:val="2C053C67"/>
    <w:rsid w:val="2C0C23AB"/>
    <w:rsid w:val="2C5A7F7A"/>
    <w:rsid w:val="2C7E34C5"/>
    <w:rsid w:val="2CC37536"/>
    <w:rsid w:val="2CCF272D"/>
    <w:rsid w:val="2CD0261B"/>
    <w:rsid w:val="2CD8131B"/>
    <w:rsid w:val="2D13072E"/>
    <w:rsid w:val="2D3E2619"/>
    <w:rsid w:val="2D4C019D"/>
    <w:rsid w:val="2D4C18B4"/>
    <w:rsid w:val="2D5F5090"/>
    <w:rsid w:val="2D647A48"/>
    <w:rsid w:val="2D9273DF"/>
    <w:rsid w:val="2DBB75A1"/>
    <w:rsid w:val="2DC000A3"/>
    <w:rsid w:val="2DDF4A0A"/>
    <w:rsid w:val="2DEB3AF9"/>
    <w:rsid w:val="2E134AA4"/>
    <w:rsid w:val="2E3B6BD0"/>
    <w:rsid w:val="2E45061C"/>
    <w:rsid w:val="2E91749E"/>
    <w:rsid w:val="2EC00A33"/>
    <w:rsid w:val="2ED56623"/>
    <w:rsid w:val="2EE0461E"/>
    <w:rsid w:val="2F1E670F"/>
    <w:rsid w:val="2F396873"/>
    <w:rsid w:val="2F5139C5"/>
    <w:rsid w:val="2F514B99"/>
    <w:rsid w:val="2F5506EC"/>
    <w:rsid w:val="2F611270"/>
    <w:rsid w:val="2F630D75"/>
    <w:rsid w:val="2F8F016E"/>
    <w:rsid w:val="2F8F12BD"/>
    <w:rsid w:val="2F8F45E1"/>
    <w:rsid w:val="2F9F62BF"/>
    <w:rsid w:val="2FCF52E8"/>
    <w:rsid w:val="2FD33547"/>
    <w:rsid w:val="2FD47687"/>
    <w:rsid w:val="2FEB45AD"/>
    <w:rsid w:val="2FEC35C4"/>
    <w:rsid w:val="30121E32"/>
    <w:rsid w:val="30257470"/>
    <w:rsid w:val="303B66DA"/>
    <w:rsid w:val="307851A3"/>
    <w:rsid w:val="30B57910"/>
    <w:rsid w:val="30BD2BB9"/>
    <w:rsid w:val="30E3655F"/>
    <w:rsid w:val="316D5144"/>
    <w:rsid w:val="31782CFF"/>
    <w:rsid w:val="31CF6EC1"/>
    <w:rsid w:val="31DA2D61"/>
    <w:rsid w:val="32034021"/>
    <w:rsid w:val="3223646D"/>
    <w:rsid w:val="32454953"/>
    <w:rsid w:val="32517DD4"/>
    <w:rsid w:val="325D1DE7"/>
    <w:rsid w:val="3260158C"/>
    <w:rsid w:val="3260364D"/>
    <w:rsid w:val="32B73FE8"/>
    <w:rsid w:val="32BB5F92"/>
    <w:rsid w:val="32C24382"/>
    <w:rsid w:val="32C97A49"/>
    <w:rsid w:val="32CC05DC"/>
    <w:rsid w:val="33095FE8"/>
    <w:rsid w:val="330A01A4"/>
    <w:rsid w:val="330A6CC7"/>
    <w:rsid w:val="330F0FA4"/>
    <w:rsid w:val="334845FC"/>
    <w:rsid w:val="334A4452"/>
    <w:rsid w:val="33623B90"/>
    <w:rsid w:val="3379758C"/>
    <w:rsid w:val="33861EA7"/>
    <w:rsid w:val="33965B25"/>
    <w:rsid w:val="33A806F6"/>
    <w:rsid w:val="33AB5656"/>
    <w:rsid w:val="33B14E60"/>
    <w:rsid w:val="33F1666B"/>
    <w:rsid w:val="340D122E"/>
    <w:rsid w:val="340D3839"/>
    <w:rsid w:val="34104F9A"/>
    <w:rsid w:val="34244A92"/>
    <w:rsid w:val="342E21F1"/>
    <w:rsid w:val="3450375E"/>
    <w:rsid w:val="3459421A"/>
    <w:rsid w:val="345B4719"/>
    <w:rsid w:val="347D3A98"/>
    <w:rsid w:val="349237B6"/>
    <w:rsid w:val="34C23BE8"/>
    <w:rsid w:val="350A1894"/>
    <w:rsid w:val="3526198D"/>
    <w:rsid w:val="352A5060"/>
    <w:rsid w:val="354B7551"/>
    <w:rsid w:val="3572027B"/>
    <w:rsid w:val="35744FCE"/>
    <w:rsid w:val="359827A8"/>
    <w:rsid w:val="35C01D67"/>
    <w:rsid w:val="35DA724A"/>
    <w:rsid w:val="35F660FE"/>
    <w:rsid w:val="360A0D54"/>
    <w:rsid w:val="3659478F"/>
    <w:rsid w:val="36842725"/>
    <w:rsid w:val="36AC2C48"/>
    <w:rsid w:val="36AC3640"/>
    <w:rsid w:val="36B2079D"/>
    <w:rsid w:val="36BC5624"/>
    <w:rsid w:val="36CA69E7"/>
    <w:rsid w:val="36D83072"/>
    <w:rsid w:val="36DF415A"/>
    <w:rsid w:val="36FB44B2"/>
    <w:rsid w:val="37197459"/>
    <w:rsid w:val="37220BA9"/>
    <w:rsid w:val="373261C2"/>
    <w:rsid w:val="373A0B45"/>
    <w:rsid w:val="3745043A"/>
    <w:rsid w:val="37547C3D"/>
    <w:rsid w:val="37600811"/>
    <w:rsid w:val="37771194"/>
    <w:rsid w:val="377E62A9"/>
    <w:rsid w:val="3790129E"/>
    <w:rsid w:val="379015A1"/>
    <w:rsid w:val="37A92A79"/>
    <w:rsid w:val="37AF520A"/>
    <w:rsid w:val="37D45412"/>
    <w:rsid w:val="37ED3082"/>
    <w:rsid w:val="37FB6FC8"/>
    <w:rsid w:val="383119CA"/>
    <w:rsid w:val="383B4374"/>
    <w:rsid w:val="384B6C6B"/>
    <w:rsid w:val="3856609E"/>
    <w:rsid w:val="385838D8"/>
    <w:rsid w:val="38617A60"/>
    <w:rsid w:val="38683D11"/>
    <w:rsid w:val="388043F2"/>
    <w:rsid w:val="38975817"/>
    <w:rsid w:val="38D30CCB"/>
    <w:rsid w:val="391D3447"/>
    <w:rsid w:val="3937050A"/>
    <w:rsid w:val="394A1A39"/>
    <w:rsid w:val="394C12E9"/>
    <w:rsid w:val="394E6057"/>
    <w:rsid w:val="3974729B"/>
    <w:rsid w:val="39832F3D"/>
    <w:rsid w:val="39844288"/>
    <w:rsid w:val="39941132"/>
    <w:rsid w:val="39B25F66"/>
    <w:rsid w:val="39B705AE"/>
    <w:rsid w:val="39B94AED"/>
    <w:rsid w:val="39DA1D66"/>
    <w:rsid w:val="39F269AF"/>
    <w:rsid w:val="39F947DF"/>
    <w:rsid w:val="39FC1F52"/>
    <w:rsid w:val="3A0212F7"/>
    <w:rsid w:val="3A1611FE"/>
    <w:rsid w:val="3A285909"/>
    <w:rsid w:val="3A2C7E83"/>
    <w:rsid w:val="3A366231"/>
    <w:rsid w:val="3A3F5939"/>
    <w:rsid w:val="3AFA1027"/>
    <w:rsid w:val="3B112CA3"/>
    <w:rsid w:val="3B3F13BA"/>
    <w:rsid w:val="3B616601"/>
    <w:rsid w:val="3B7334CC"/>
    <w:rsid w:val="3BC95865"/>
    <w:rsid w:val="3BD1096D"/>
    <w:rsid w:val="3BD8667B"/>
    <w:rsid w:val="3BE03CCC"/>
    <w:rsid w:val="3C1207A5"/>
    <w:rsid w:val="3C421CB3"/>
    <w:rsid w:val="3C7567B4"/>
    <w:rsid w:val="3CC3657B"/>
    <w:rsid w:val="3CCD62C6"/>
    <w:rsid w:val="3CE731A3"/>
    <w:rsid w:val="3D0B2468"/>
    <w:rsid w:val="3D1F1AA0"/>
    <w:rsid w:val="3D79035F"/>
    <w:rsid w:val="3D7C7EF9"/>
    <w:rsid w:val="3D7E17B7"/>
    <w:rsid w:val="3DB77C84"/>
    <w:rsid w:val="3DBB0BE8"/>
    <w:rsid w:val="3DBB0F20"/>
    <w:rsid w:val="3DC965CE"/>
    <w:rsid w:val="3DF40ECE"/>
    <w:rsid w:val="3E2734AB"/>
    <w:rsid w:val="3E321C9A"/>
    <w:rsid w:val="3E6967E7"/>
    <w:rsid w:val="3E7F7A07"/>
    <w:rsid w:val="3EBB0AA1"/>
    <w:rsid w:val="3ECB32EA"/>
    <w:rsid w:val="3EFC227A"/>
    <w:rsid w:val="3F0E3667"/>
    <w:rsid w:val="3F1A4E31"/>
    <w:rsid w:val="3F2F37BE"/>
    <w:rsid w:val="3F3B68CE"/>
    <w:rsid w:val="3F3F4E98"/>
    <w:rsid w:val="3F4F64EE"/>
    <w:rsid w:val="3F574385"/>
    <w:rsid w:val="3F7B47AA"/>
    <w:rsid w:val="3FA15027"/>
    <w:rsid w:val="3FA44F9F"/>
    <w:rsid w:val="3FB81749"/>
    <w:rsid w:val="3FBC1C9A"/>
    <w:rsid w:val="3FC575FB"/>
    <w:rsid w:val="3FF960BC"/>
    <w:rsid w:val="403235AE"/>
    <w:rsid w:val="40403A97"/>
    <w:rsid w:val="405B20BD"/>
    <w:rsid w:val="40AA2400"/>
    <w:rsid w:val="40E51B12"/>
    <w:rsid w:val="40E54062"/>
    <w:rsid w:val="41054A9E"/>
    <w:rsid w:val="412B7B66"/>
    <w:rsid w:val="412E34E3"/>
    <w:rsid w:val="41836524"/>
    <w:rsid w:val="41875CFC"/>
    <w:rsid w:val="41BB51F3"/>
    <w:rsid w:val="41C01BD6"/>
    <w:rsid w:val="41C26EA5"/>
    <w:rsid w:val="41CF18EF"/>
    <w:rsid w:val="41D81033"/>
    <w:rsid w:val="41EB109F"/>
    <w:rsid w:val="41F01027"/>
    <w:rsid w:val="41FD4E91"/>
    <w:rsid w:val="42643C2A"/>
    <w:rsid w:val="426B7437"/>
    <w:rsid w:val="42724868"/>
    <w:rsid w:val="427F717F"/>
    <w:rsid w:val="42F47B3D"/>
    <w:rsid w:val="42F8707C"/>
    <w:rsid w:val="42FF22AA"/>
    <w:rsid w:val="430A35AC"/>
    <w:rsid w:val="430B2C66"/>
    <w:rsid w:val="431328CC"/>
    <w:rsid w:val="4323215B"/>
    <w:rsid w:val="433B36EE"/>
    <w:rsid w:val="43413E67"/>
    <w:rsid w:val="43512F59"/>
    <w:rsid w:val="43733AD7"/>
    <w:rsid w:val="43771601"/>
    <w:rsid w:val="43AA3BED"/>
    <w:rsid w:val="43BA4D4F"/>
    <w:rsid w:val="43C21D71"/>
    <w:rsid w:val="43C64303"/>
    <w:rsid w:val="43D04C2F"/>
    <w:rsid w:val="43EC2D60"/>
    <w:rsid w:val="440B1409"/>
    <w:rsid w:val="445604B2"/>
    <w:rsid w:val="445A1A92"/>
    <w:rsid w:val="449206E8"/>
    <w:rsid w:val="44B55FBD"/>
    <w:rsid w:val="44C75A61"/>
    <w:rsid w:val="44CB18AD"/>
    <w:rsid w:val="44E725FA"/>
    <w:rsid w:val="44EA05CE"/>
    <w:rsid w:val="44FA0CE5"/>
    <w:rsid w:val="456469D2"/>
    <w:rsid w:val="456E43B8"/>
    <w:rsid w:val="45911D26"/>
    <w:rsid w:val="45994AE2"/>
    <w:rsid w:val="45A62FAA"/>
    <w:rsid w:val="45AC59E7"/>
    <w:rsid w:val="45C518B5"/>
    <w:rsid w:val="45C93A75"/>
    <w:rsid w:val="45E13BDB"/>
    <w:rsid w:val="45E33901"/>
    <w:rsid w:val="45E5469A"/>
    <w:rsid w:val="45EE2E21"/>
    <w:rsid w:val="45F605BF"/>
    <w:rsid w:val="46074339"/>
    <w:rsid w:val="460F044E"/>
    <w:rsid w:val="46372862"/>
    <w:rsid w:val="46553FA4"/>
    <w:rsid w:val="465D7757"/>
    <w:rsid w:val="46826B18"/>
    <w:rsid w:val="4698446A"/>
    <w:rsid w:val="469B1C38"/>
    <w:rsid w:val="46AC40E4"/>
    <w:rsid w:val="46E53E90"/>
    <w:rsid w:val="46E5612F"/>
    <w:rsid w:val="47016E72"/>
    <w:rsid w:val="47197634"/>
    <w:rsid w:val="471A32F1"/>
    <w:rsid w:val="471A575F"/>
    <w:rsid w:val="471D16F5"/>
    <w:rsid w:val="47535C69"/>
    <w:rsid w:val="47574081"/>
    <w:rsid w:val="477135E9"/>
    <w:rsid w:val="47846EE8"/>
    <w:rsid w:val="47C67EAF"/>
    <w:rsid w:val="47CD4810"/>
    <w:rsid w:val="47DF66CA"/>
    <w:rsid w:val="47F57939"/>
    <w:rsid w:val="47F730D8"/>
    <w:rsid w:val="48147E09"/>
    <w:rsid w:val="482B2715"/>
    <w:rsid w:val="48571933"/>
    <w:rsid w:val="48833614"/>
    <w:rsid w:val="488842C3"/>
    <w:rsid w:val="48934EED"/>
    <w:rsid w:val="48946D15"/>
    <w:rsid w:val="48D432D4"/>
    <w:rsid w:val="48FF4FC6"/>
    <w:rsid w:val="491F20C0"/>
    <w:rsid w:val="49242EB1"/>
    <w:rsid w:val="49451870"/>
    <w:rsid w:val="496725B4"/>
    <w:rsid w:val="49BA1BC2"/>
    <w:rsid w:val="49D26E4D"/>
    <w:rsid w:val="49D965D9"/>
    <w:rsid w:val="49DF7408"/>
    <w:rsid w:val="4A347E5F"/>
    <w:rsid w:val="4A3C5EA3"/>
    <w:rsid w:val="4A5D7B65"/>
    <w:rsid w:val="4A8D18BE"/>
    <w:rsid w:val="4AAD0A69"/>
    <w:rsid w:val="4ABC221E"/>
    <w:rsid w:val="4ABD7C65"/>
    <w:rsid w:val="4AC969A3"/>
    <w:rsid w:val="4AD44753"/>
    <w:rsid w:val="4AD9171C"/>
    <w:rsid w:val="4AD97629"/>
    <w:rsid w:val="4B0C0625"/>
    <w:rsid w:val="4B723543"/>
    <w:rsid w:val="4B954D78"/>
    <w:rsid w:val="4B9D2F3B"/>
    <w:rsid w:val="4BA949D3"/>
    <w:rsid w:val="4BF01A23"/>
    <w:rsid w:val="4C271554"/>
    <w:rsid w:val="4C513B2E"/>
    <w:rsid w:val="4C921C08"/>
    <w:rsid w:val="4C9E18D6"/>
    <w:rsid w:val="4CC52254"/>
    <w:rsid w:val="4CD40FA3"/>
    <w:rsid w:val="4CDB7256"/>
    <w:rsid w:val="4CE85BBB"/>
    <w:rsid w:val="4CE85DE2"/>
    <w:rsid w:val="4CFB48AF"/>
    <w:rsid w:val="4D01265A"/>
    <w:rsid w:val="4D1D08A7"/>
    <w:rsid w:val="4D226A74"/>
    <w:rsid w:val="4D3F439D"/>
    <w:rsid w:val="4D4C3E85"/>
    <w:rsid w:val="4D567360"/>
    <w:rsid w:val="4D727BC8"/>
    <w:rsid w:val="4D884413"/>
    <w:rsid w:val="4D8A453E"/>
    <w:rsid w:val="4DD36636"/>
    <w:rsid w:val="4DE80552"/>
    <w:rsid w:val="4DF2028A"/>
    <w:rsid w:val="4DF413D7"/>
    <w:rsid w:val="4E0C759F"/>
    <w:rsid w:val="4E335898"/>
    <w:rsid w:val="4E336C9D"/>
    <w:rsid w:val="4E3933A3"/>
    <w:rsid w:val="4E5A7CB3"/>
    <w:rsid w:val="4E640310"/>
    <w:rsid w:val="4E6A09B1"/>
    <w:rsid w:val="4E6D4E8F"/>
    <w:rsid w:val="4E7309B4"/>
    <w:rsid w:val="4E8424CF"/>
    <w:rsid w:val="4EAC6BBA"/>
    <w:rsid w:val="4EE55F7F"/>
    <w:rsid w:val="4F2146BA"/>
    <w:rsid w:val="4F235BE9"/>
    <w:rsid w:val="4F241062"/>
    <w:rsid w:val="4F2D1425"/>
    <w:rsid w:val="4F533865"/>
    <w:rsid w:val="4F557152"/>
    <w:rsid w:val="4F654E6E"/>
    <w:rsid w:val="4F6C4ABD"/>
    <w:rsid w:val="4F8A44CF"/>
    <w:rsid w:val="4F927E4E"/>
    <w:rsid w:val="4FA57762"/>
    <w:rsid w:val="4FB36D96"/>
    <w:rsid w:val="4FB5341B"/>
    <w:rsid w:val="4FD4357E"/>
    <w:rsid w:val="4FEA102F"/>
    <w:rsid w:val="50086074"/>
    <w:rsid w:val="50091017"/>
    <w:rsid w:val="502167CE"/>
    <w:rsid w:val="502325C2"/>
    <w:rsid w:val="50A13470"/>
    <w:rsid w:val="50A46E2F"/>
    <w:rsid w:val="50AD13D0"/>
    <w:rsid w:val="50C81609"/>
    <w:rsid w:val="5107097E"/>
    <w:rsid w:val="510F05F2"/>
    <w:rsid w:val="511117E9"/>
    <w:rsid w:val="51287BC4"/>
    <w:rsid w:val="51336606"/>
    <w:rsid w:val="513D732F"/>
    <w:rsid w:val="51580C3F"/>
    <w:rsid w:val="515E25B0"/>
    <w:rsid w:val="51685294"/>
    <w:rsid w:val="51D97A39"/>
    <w:rsid w:val="51E56BA0"/>
    <w:rsid w:val="51ED7335"/>
    <w:rsid w:val="52166DEA"/>
    <w:rsid w:val="521A17D8"/>
    <w:rsid w:val="522C17C5"/>
    <w:rsid w:val="522C34D7"/>
    <w:rsid w:val="5237775D"/>
    <w:rsid w:val="5254061E"/>
    <w:rsid w:val="52754ED1"/>
    <w:rsid w:val="527C5BA5"/>
    <w:rsid w:val="528C34E0"/>
    <w:rsid w:val="529A1DF5"/>
    <w:rsid w:val="52B13136"/>
    <w:rsid w:val="52B545FD"/>
    <w:rsid w:val="52CC700D"/>
    <w:rsid w:val="52D07204"/>
    <w:rsid w:val="533442D5"/>
    <w:rsid w:val="535D6EC6"/>
    <w:rsid w:val="53E160C7"/>
    <w:rsid w:val="53E469B8"/>
    <w:rsid w:val="544B0860"/>
    <w:rsid w:val="546E4649"/>
    <w:rsid w:val="5476548E"/>
    <w:rsid w:val="549239C2"/>
    <w:rsid w:val="54A447BC"/>
    <w:rsid w:val="54CE2459"/>
    <w:rsid w:val="54D8607E"/>
    <w:rsid w:val="54DA1B3B"/>
    <w:rsid w:val="54DD5298"/>
    <w:rsid w:val="55155ACB"/>
    <w:rsid w:val="55157CE6"/>
    <w:rsid w:val="55363B08"/>
    <w:rsid w:val="553B34D9"/>
    <w:rsid w:val="55533378"/>
    <w:rsid w:val="557C5D57"/>
    <w:rsid w:val="558B5B6F"/>
    <w:rsid w:val="559D0871"/>
    <w:rsid w:val="559F1A23"/>
    <w:rsid w:val="55DC74E8"/>
    <w:rsid w:val="5616793F"/>
    <w:rsid w:val="56344713"/>
    <w:rsid w:val="56351E2C"/>
    <w:rsid w:val="566D7F09"/>
    <w:rsid w:val="567F6F9E"/>
    <w:rsid w:val="56973B5E"/>
    <w:rsid w:val="56A51C6E"/>
    <w:rsid w:val="56C94FB2"/>
    <w:rsid w:val="56D55515"/>
    <w:rsid w:val="56E23DA7"/>
    <w:rsid w:val="56EF63DE"/>
    <w:rsid w:val="571B213E"/>
    <w:rsid w:val="571C1263"/>
    <w:rsid w:val="571C7CE4"/>
    <w:rsid w:val="571D24FF"/>
    <w:rsid w:val="5722499A"/>
    <w:rsid w:val="573D40C6"/>
    <w:rsid w:val="574073AC"/>
    <w:rsid w:val="57530074"/>
    <w:rsid w:val="575562C8"/>
    <w:rsid w:val="576265D5"/>
    <w:rsid w:val="57947152"/>
    <w:rsid w:val="57950359"/>
    <w:rsid w:val="57B60CBF"/>
    <w:rsid w:val="57B63967"/>
    <w:rsid w:val="57C602F4"/>
    <w:rsid w:val="57DD3BE8"/>
    <w:rsid w:val="57EC10BF"/>
    <w:rsid w:val="580979C7"/>
    <w:rsid w:val="580E6176"/>
    <w:rsid w:val="58176CD9"/>
    <w:rsid w:val="58323D66"/>
    <w:rsid w:val="586B7DEA"/>
    <w:rsid w:val="58917C89"/>
    <w:rsid w:val="59305E24"/>
    <w:rsid w:val="59457A69"/>
    <w:rsid w:val="59677803"/>
    <w:rsid w:val="59755D74"/>
    <w:rsid w:val="59794B89"/>
    <w:rsid w:val="59B77E57"/>
    <w:rsid w:val="59B96446"/>
    <w:rsid w:val="59D01073"/>
    <w:rsid w:val="59D975FB"/>
    <w:rsid w:val="59DF65D6"/>
    <w:rsid w:val="5A301710"/>
    <w:rsid w:val="5A375859"/>
    <w:rsid w:val="5A4F29E4"/>
    <w:rsid w:val="5A590D8B"/>
    <w:rsid w:val="5A7E2942"/>
    <w:rsid w:val="5A7F202C"/>
    <w:rsid w:val="5A926887"/>
    <w:rsid w:val="5AA16A7B"/>
    <w:rsid w:val="5AD22095"/>
    <w:rsid w:val="5B190096"/>
    <w:rsid w:val="5B4000AF"/>
    <w:rsid w:val="5B430C59"/>
    <w:rsid w:val="5B447BC4"/>
    <w:rsid w:val="5B527882"/>
    <w:rsid w:val="5B5D3D00"/>
    <w:rsid w:val="5B621FD8"/>
    <w:rsid w:val="5B776A19"/>
    <w:rsid w:val="5B806C78"/>
    <w:rsid w:val="5BCE6D6C"/>
    <w:rsid w:val="5BE21D09"/>
    <w:rsid w:val="5BF20052"/>
    <w:rsid w:val="5BF81A20"/>
    <w:rsid w:val="5C4403E5"/>
    <w:rsid w:val="5C4E6469"/>
    <w:rsid w:val="5C5A043B"/>
    <w:rsid w:val="5C6A60A4"/>
    <w:rsid w:val="5C6F06BC"/>
    <w:rsid w:val="5C84783A"/>
    <w:rsid w:val="5C86381B"/>
    <w:rsid w:val="5C99729E"/>
    <w:rsid w:val="5CBE1956"/>
    <w:rsid w:val="5CDB07F5"/>
    <w:rsid w:val="5CE2796B"/>
    <w:rsid w:val="5D0F1293"/>
    <w:rsid w:val="5D1E4595"/>
    <w:rsid w:val="5D29011B"/>
    <w:rsid w:val="5D422706"/>
    <w:rsid w:val="5D66163E"/>
    <w:rsid w:val="5D6A3CBE"/>
    <w:rsid w:val="5D9761B3"/>
    <w:rsid w:val="5DCA544B"/>
    <w:rsid w:val="5DD56F33"/>
    <w:rsid w:val="5DE915EF"/>
    <w:rsid w:val="5DFA0215"/>
    <w:rsid w:val="5E18077C"/>
    <w:rsid w:val="5E661C60"/>
    <w:rsid w:val="5E797B5A"/>
    <w:rsid w:val="5E7D7894"/>
    <w:rsid w:val="5EB62BC1"/>
    <w:rsid w:val="5F152407"/>
    <w:rsid w:val="5F2D5B1E"/>
    <w:rsid w:val="5F470BEF"/>
    <w:rsid w:val="5F6108D3"/>
    <w:rsid w:val="5F700F6D"/>
    <w:rsid w:val="5F860C85"/>
    <w:rsid w:val="5F9B3E01"/>
    <w:rsid w:val="5F9F1C8A"/>
    <w:rsid w:val="5FC6236A"/>
    <w:rsid w:val="5FD35D68"/>
    <w:rsid w:val="5FE23726"/>
    <w:rsid w:val="5FE406A0"/>
    <w:rsid w:val="5FEE0BA7"/>
    <w:rsid w:val="5FEE4881"/>
    <w:rsid w:val="5FF4161D"/>
    <w:rsid w:val="600E43A0"/>
    <w:rsid w:val="60230EF7"/>
    <w:rsid w:val="605E2C1C"/>
    <w:rsid w:val="606D7E5F"/>
    <w:rsid w:val="608937A6"/>
    <w:rsid w:val="60921710"/>
    <w:rsid w:val="609532BE"/>
    <w:rsid w:val="60B244F8"/>
    <w:rsid w:val="60CE66A4"/>
    <w:rsid w:val="60E1768F"/>
    <w:rsid w:val="610C39A3"/>
    <w:rsid w:val="611F0130"/>
    <w:rsid w:val="612329DC"/>
    <w:rsid w:val="612C05A0"/>
    <w:rsid w:val="61406F36"/>
    <w:rsid w:val="615323AA"/>
    <w:rsid w:val="61656775"/>
    <w:rsid w:val="619420C5"/>
    <w:rsid w:val="61EB6A9B"/>
    <w:rsid w:val="620F1FDD"/>
    <w:rsid w:val="623052D1"/>
    <w:rsid w:val="62344F24"/>
    <w:rsid w:val="624E4216"/>
    <w:rsid w:val="62D33232"/>
    <w:rsid w:val="62D54F3A"/>
    <w:rsid w:val="62D63D3E"/>
    <w:rsid w:val="62DC621E"/>
    <w:rsid w:val="632C1DFE"/>
    <w:rsid w:val="633C0C99"/>
    <w:rsid w:val="634540C7"/>
    <w:rsid w:val="63454616"/>
    <w:rsid w:val="63497C3B"/>
    <w:rsid w:val="63775DFC"/>
    <w:rsid w:val="639B2579"/>
    <w:rsid w:val="63D25F14"/>
    <w:rsid w:val="63E0757D"/>
    <w:rsid w:val="63F84A36"/>
    <w:rsid w:val="641B7BDA"/>
    <w:rsid w:val="64492337"/>
    <w:rsid w:val="64776D00"/>
    <w:rsid w:val="64A03235"/>
    <w:rsid w:val="64B01DAD"/>
    <w:rsid w:val="64C82CD3"/>
    <w:rsid w:val="64EB3B2E"/>
    <w:rsid w:val="652E7DFC"/>
    <w:rsid w:val="653A7B7A"/>
    <w:rsid w:val="655508E2"/>
    <w:rsid w:val="657A4EBC"/>
    <w:rsid w:val="659D63B9"/>
    <w:rsid w:val="65A57B32"/>
    <w:rsid w:val="65A82ACE"/>
    <w:rsid w:val="65B17458"/>
    <w:rsid w:val="65D839EC"/>
    <w:rsid w:val="65DD5559"/>
    <w:rsid w:val="65FA4A18"/>
    <w:rsid w:val="660A3DA3"/>
    <w:rsid w:val="66313896"/>
    <w:rsid w:val="66363A41"/>
    <w:rsid w:val="668C03CD"/>
    <w:rsid w:val="66920CFF"/>
    <w:rsid w:val="669E3631"/>
    <w:rsid w:val="66A75678"/>
    <w:rsid w:val="66AD4FF0"/>
    <w:rsid w:val="66B00E55"/>
    <w:rsid w:val="66B81F82"/>
    <w:rsid w:val="66C15EC6"/>
    <w:rsid w:val="66D2469F"/>
    <w:rsid w:val="66D56246"/>
    <w:rsid w:val="66EC1919"/>
    <w:rsid w:val="66F2009C"/>
    <w:rsid w:val="670B35FC"/>
    <w:rsid w:val="67416129"/>
    <w:rsid w:val="67466E1B"/>
    <w:rsid w:val="676C4142"/>
    <w:rsid w:val="678608F4"/>
    <w:rsid w:val="678B37CE"/>
    <w:rsid w:val="67B2126F"/>
    <w:rsid w:val="67B842EB"/>
    <w:rsid w:val="67E04688"/>
    <w:rsid w:val="68070E91"/>
    <w:rsid w:val="68093F0E"/>
    <w:rsid w:val="682702AA"/>
    <w:rsid w:val="682A3900"/>
    <w:rsid w:val="683C2CE5"/>
    <w:rsid w:val="685046D9"/>
    <w:rsid w:val="68A52C18"/>
    <w:rsid w:val="68AC4F1B"/>
    <w:rsid w:val="68B21009"/>
    <w:rsid w:val="690F22FD"/>
    <w:rsid w:val="692A7015"/>
    <w:rsid w:val="692B2750"/>
    <w:rsid w:val="692C12BE"/>
    <w:rsid w:val="693E6671"/>
    <w:rsid w:val="6975394E"/>
    <w:rsid w:val="69816F70"/>
    <w:rsid w:val="69840B6B"/>
    <w:rsid w:val="698E6BAA"/>
    <w:rsid w:val="699434E3"/>
    <w:rsid w:val="69BA7A4A"/>
    <w:rsid w:val="69E71770"/>
    <w:rsid w:val="69EC79FF"/>
    <w:rsid w:val="6A323570"/>
    <w:rsid w:val="6A3D1077"/>
    <w:rsid w:val="6A5730FC"/>
    <w:rsid w:val="6A6F34A8"/>
    <w:rsid w:val="6A865236"/>
    <w:rsid w:val="6A8F13A2"/>
    <w:rsid w:val="6A9D7F1A"/>
    <w:rsid w:val="6AD14BEC"/>
    <w:rsid w:val="6B26173A"/>
    <w:rsid w:val="6B415872"/>
    <w:rsid w:val="6B5257B6"/>
    <w:rsid w:val="6B576C38"/>
    <w:rsid w:val="6B655DD8"/>
    <w:rsid w:val="6B704F8D"/>
    <w:rsid w:val="6BB229F9"/>
    <w:rsid w:val="6BB76833"/>
    <w:rsid w:val="6BB96BF5"/>
    <w:rsid w:val="6BC01BA4"/>
    <w:rsid w:val="6C0450C1"/>
    <w:rsid w:val="6C2478AA"/>
    <w:rsid w:val="6C9334C0"/>
    <w:rsid w:val="6C9376AC"/>
    <w:rsid w:val="6C996CC8"/>
    <w:rsid w:val="6CA31A0E"/>
    <w:rsid w:val="6CB27CBD"/>
    <w:rsid w:val="6CC85139"/>
    <w:rsid w:val="6CCF08C9"/>
    <w:rsid w:val="6CF851C8"/>
    <w:rsid w:val="6D05122E"/>
    <w:rsid w:val="6D197779"/>
    <w:rsid w:val="6D2710FC"/>
    <w:rsid w:val="6D2A5B74"/>
    <w:rsid w:val="6D2D7647"/>
    <w:rsid w:val="6D605340"/>
    <w:rsid w:val="6D6264D5"/>
    <w:rsid w:val="6D92323C"/>
    <w:rsid w:val="6DBD15EF"/>
    <w:rsid w:val="6DF866DC"/>
    <w:rsid w:val="6E357A3F"/>
    <w:rsid w:val="6E65584D"/>
    <w:rsid w:val="6E761E66"/>
    <w:rsid w:val="6E7B7594"/>
    <w:rsid w:val="6E9742F4"/>
    <w:rsid w:val="6EA32530"/>
    <w:rsid w:val="6EAA4793"/>
    <w:rsid w:val="6EAF5713"/>
    <w:rsid w:val="6ECF4B3D"/>
    <w:rsid w:val="6EDC588F"/>
    <w:rsid w:val="6EEA68BF"/>
    <w:rsid w:val="6F033157"/>
    <w:rsid w:val="6F047526"/>
    <w:rsid w:val="6F270F84"/>
    <w:rsid w:val="6F792113"/>
    <w:rsid w:val="6F981A0A"/>
    <w:rsid w:val="6FB86C79"/>
    <w:rsid w:val="6FC578F0"/>
    <w:rsid w:val="6FCC51BF"/>
    <w:rsid w:val="70205208"/>
    <w:rsid w:val="7049469B"/>
    <w:rsid w:val="70671F87"/>
    <w:rsid w:val="706B493E"/>
    <w:rsid w:val="708D3453"/>
    <w:rsid w:val="708F62D9"/>
    <w:rsid w:val="70A203ED"/>
    <w:rsid w:val="70CD1944"/>
    <w:rsid w:val="70CF743E"/>
    <w:rsid w:val="70ED763D"/>
    <w:rsid w:val="710039B9"/>
    <w:rsid w:val="714A65AB"/>
    <w:rsid w:val="7156740B"/>
    <w:rsid w:val="715E02AE"/>
    <w:rsid w:val="716E36D4"/>
    <w:rsid w:val="71A225CC"/>
    <w:rsid w:val="71C85C14"/>
    <w:rsid w:val="72083271"/>
    <w:rsid w:val="72184CEA"/>
    <w:rsid w:val="72252A78"/>
    <w:rsid w:val="72264088"/>
    <w:rsid w:val="722A718D"/>
    <w:rsid w:val="729B5F71"/>
    <w:rsid w:val="72A870B9"/>
    <w:rsid w:val="72BD0169"/>
    <w:rsid w:val="72BE6090"/>
    <w:rsid w:val="72C253C9"/>
    <w:rsid w:val="72DA05E4"/>
    <w:rsid w:val="72E41045"/>
    <w:rsid w:val="72F711A9"/>
    <w:rsid w:val="73135845"/>
    <w:rsid w:val="735A4D24"/>
    <w:rsid w:val="736A7404"/>
    <w:rsid w:val="7372296C"/>
    <w:rsid w:val="739E1B85"/>
    <w:rsid w:val="73A0183F"/>
    <w:rsid w:val="73AB5928"/>
    <w:rsid w:val="73C3621E"/>
    <w:rsid w:val="73C52774"/>
    <w:rsid w:val="73CF2DDF"/>
    <w:rsid w:val="73E10AA2"/>
    <w:rsid w:val="73E6317A"/>
    <w:rsid w:val="73ED751A"/>
    <w:rsid w:val="73FD0EE3"/>
    <w:rsid w:val="74090E4D"/>
    <w:rsid w:val="741160AD"/>
    <w:rsid w:val="74201DEA"/>
    <w:rsid w:val="744333B6"/>
    <w:rsid w:val="744646BD"/>
    <w:rsid w:val="745A4A96"/>
    <w:rsid w:val="74804330"/>
    <w:rsid w:val="74A25EE9"/>
    <w:rsid w:val="74A96A1C"/>
    <w:rsid w:val="74F72114"/>
    <w:rsid w:val="74FB6A3C"/>
    <w:rsid w:val="74FC39DC"/>
    <w:rsid w:val="75281335"/>
    <w:rsid w:val="752A527F"/>
    <w:rsid w:val="753C339F"/>
    <w:rsid w:val="75495DA5"/>
    <w:rsid w:val="754E7FE9"/>
    <w:rsid w:val="75511D00"/>
    <w:rsid w:val="75AD39D3"/>
    <w:rsid w:val="75C51E89"/>
    <w:rsid w:val="75CB0177"/>
    <w:rsid w:val="75EB5C05"/>
    <w:rsid w:val="762F145B"/>
    <w:rsid w:val="76367062"/>
    <w:rsid w:val="76426627"/>
    <w:rsid w:val="765A2FEB"/>
    <w:rsid w:val="76641466"/>
    <w:rsid w:val="76867595"/>
    <w:rsid w:val="768B01BE"/>
    <w:rsid w:val="768B5C47"/>
    <w:rsid w:val="76A671C0"/>
    <w:rsid w:val="76C06FED"/>
    <w:rsid w:val="76C47D00"/>
    <w:rsid w:val="76D02278"/>
    <w:rsid w:val="76DB266F"/>
    <w:rsid w:val="76DD7B48"/>
    <w:rsid w:val="76EC029D"/>
    <w:rsid w:val="76ED2C58"/>
    <w:rsid w:val="77192623"/>
    <w:rsid w:val="772702D4"/>
    <w:rsid w:val="77294C4B"/>
    <w:rsid w:val="77343EFA"/>
    <w:rsid w:val="777723A1"/>
    <w:rsid w:val="77820027"/>
    <w:rsid w:val="77BE7761"/>
    <w:rsid w:val="77CE4CD5"/>
    <w:rsid w:val="77E3660E"/>
    <w:rsid w:val="77F167E7"/>
    <w:rsid w:val="781A2322"/>
    <w:rsid w:val="78252ABE"/>
    <w:rsid w:val="784251E6"/>
    <w:rsid w:val="785B0E94"/>
    <w:rsid w:val="785D3381"/>
    <w:rsid w:val="78735CDD"/>
    <w:rsid w:val="788513F4"/>
    <w:rsid w:val="78AD4071"/>
    <w:rsid w:val="78BC126F"/>
    <w:rsid w:val="79231C64"/>
    <w:rsid w:val="79270F7B"/>
    <w:rsid w:val="79724F24"/>
    <w:rsid w:val="797D513E"/>
    <w:rsid w:val="798A1DA5"/>
    <w:rsid w:val="799045BA"/>
    <w:rsid w:val="799258F1"/>
    <w:rsid w:val="7994606D"/>
    <w:rsid w:val="79986E79"/>
    <w:rsid w:val="79A62D96"/>
    <w:rsid w:val="79C835CC"/>
    <w:rsid w:val="79CE5695"/>
    <w:rsid w:val="79D839AC"/>
    <w:rsid w:val="79E97C7C"/>
    <w:rsid w:val="79FC6532"/>
    <w:rsid w:val="7A023FAF"/>
    <w:rsid w:val="7A177B8D"/>
    <w:rsid w:val="7A3B10B9"/>
    <w:rsid w:val="7A3B5E4D"/>
    <w:rsid w:val="7A3D44E2"/>
    <w:rsid w:val="7A493883"/>
    <w:rsid w:val="7A7802AA"/>
    <w:rsid w:val="7A9B49A9"/>
    <w:rsid w:val="7AAB5343"/>
    <w:rsid w:val="7ACB18D9"/>
    <w:rsid w:val="7AF134E4"/>
    <w:rsid w:val="7AF27730"/>
    <w:rsid w:val="7B247B14"/>
    <w:rsid w:val="7B5203E8"/>
    <w:rsid w:val="7B6F5AF1"/>
    <w:rsid w:val="7B7B4AE6"/>
    <w:rsid w:val="7B7B6151"/>
    <w:rsid w:val="7B886590"/>
    <w:rsid w:val="7BA275A0"/>
    <w:rsid w:val="7BAA0832"/>
    <w:rsid w:val="7BAF179D"/>
    <w:rsid w:val="7BB10E6D"/>
    <w:rsid w:val="7BFE7C5D"/>
    <w:rsid w:val="7C265477"/>
    <w:rsid w:val="7C3C2D95"/>
    <w:rsid w:val="7C424F90"/>
    <w:rsid w:val="7C4C37F8"/>
    <w:rsid w:val="7C4D39FF"/>
    <w:rsid w:val="7C8E2331"/>
    <w:rsid w:val="7C9006FD"/>
    <w:rsid w:val="7C9C5F0F"/>
    <w:rsid w:val="7CA625A5"/>
    <w:rsid w:val="7CD675E3"/>
    <w:rsid w:val="7CE74F51"/>
    <w:rsid w:val="7D014749"/>
    <w:rsid w:val="7D02366F"/>
    <w:rsid w:val="7D2A2A08"/>
    <w:rsid w:val="7D3F6B95"/>
    <w:rsid w:val="7D4F270C"/>
    <w:rsid w:val="7D550F3F"/>
    <w:rsid w:val="7D69022C"/>
    <w:rsid w:val="7D7526D0"/>
    <w:rsid w:val="7D822173"/>
    <w:rsid w:val="7DC46A79"/>
    <w:rsid w:val="7DED1AB6"/>
    <w:rsid w:val="7DED4388"/>
    <w:rsid w:val="7DEF7588"/>
    <w:rsid w:val="7DF5678E"/>
    <w:rsid w:val="7DF61EB2"/>
    <w:rsid w:val="7E0277B2"/>
    <w:rsid w:val="7E08599F"/>
    <w:rsid w:val="7E09170B"/>
    <w:rsid w:val="7E22456D"/>
    <w:rsid w:val="7E4A20B3"/>
    <w:rsid w:val="7E61296A"/>
    <w:rsid w:val="7E904D8C"/>
    <w:rsid w:val="7E9F508D"/>
    <w:rsid w:val="7EA57A2A"/>
    <w:rsid w:val="7EA82401"/>
    <w:rsid w:val="7EAE71B2"/>
    <w:rsid w:val="7EB92334"/>
    <w:rsid w:val="7EBF2D67"/>
    <w:rsid w:val="7EDC39A5"/>
    <w:rsid w:val="7EEB55DE"/>
    <w:rsid w:val="7F105723"/>
    <w:rsid w:val="7F3C53C9"/>
    <w:rsid w:val="7F5326BC"/>
    <w:rsid w:val="7F5404A2"/>
    <w:rsid w:val="7F5A40C8"/>
    <w:rsid w:val="7F5E7BFB"/>
    <w:rsid w:val="7F743BFE"/>
    <w:rsid w:val="7F761137"/>
    <w:rsid w:val="7F762A8D"/>
    <w:rsid w:val="7F7E2610"/>
    <w:rsid w:val="7F990C65"/>
    <w:rsid w:val="7F9D029D"/>
    <w:rsid w:val="7FA66557"/>
    <w:rsid w:val="7FA96946"/>
    <w:rsid w:val="7FAB15F3"/>
    <w:rsid w:val="7FBB2CE9"/>
    <w:rsid w:val="7FC445CC"/>
    <w:rsid w:val="7FCE5312"/>
    <w:rsid w:val="7FD978BB"/>
    <w:rsid w:val="7FFD58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qFormat/>
    <w:uiPriority w:val="0"/>
  </w:style>
  <w:style w:type="table" w:default="1" w:styleId="3">
    <w:name w:val="Normal Table"/>
    <w:semiHidden/>
    <w:qFormat/>
    <w:uiPriority w:val="0"/>
    <w:tblPr>
      <w:tblCellMar>
        <w:top w:w="0" w:type="dxa"/>
        <w:left w:w="108" w:type="dxa"/>
        <w:bottom w:w="0" w:type="dxa"/>
        <w:right w:w="108" w:type="dxa"/>
      </w:tblCellMar>
    </w:tblPr>
  </w:style>
  <w:style w:type="paragraph" w:styleId="2">
    <w:name w:val="Normal (Web)"/>
    <w:basedOn w:val="1"/>
    <w:qFormat/>
    <w:uiPriority w:val="0"/>
    <w:rPr>
      <w:sz w:val="24"/>
    </w:rPr>
  </w:style>
  <w:style w:type="table" w:styleId="4">
    <w:name w:val="Table Grid"/>
    <w:basedOn w:val="3"/>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chart" Target="charts/chart6.xml"/><Relationship Id="rId8" Type="http://schemas.openxmlformats.org/officeDocument/2006/relationships/chart" Target="charts/chart5.xml"/><Relationship Id="rId7" Type="http://schemas.openxmlformats.org/officeDocument/2006/relationships/chart" Target="charts/chart4.xml"/><Relationship Id="rId6" Type="http://schemas.openxmlformats.org/officeDocument/2006/relationships/chart" Target="charts/chart3.xml"/><Relationship Id="rId5" Type="http://schemas.openxmlformats.org/officeDocument/2006/relationships/chart" Target="charts/chart2.xml"/><Relationship Id="rId4" Type="http://schemas.openxmlformats.org/officeDocument/2006/relationships/chart" Target="charts/chart1.xml"/><Relationship Id="rId3" Type="http://schemas.openxmlformats.org/officeDocument/2006/relationships/theme" Target="theme/theme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numbering" Target="numbering.xml"/><Relationship Id="rId12" Type="http://schemas.openxmlformats.org/officeDocument/2006/relationships/customXml" Target="../customXml/item1.xml"/><Relationship Id="rId11" Type="http://schemas.openxmlformats.org/officeDocument/2006/relationships/chart" Target="charts/chart8.xml"/><Relationship Id="rId10" Type="http://schemas.openxmlformats.org/officeDocument/2006/relationships/chart" Target="charts/chart7.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4" Type="http://schemas.microsoft.com/office/2011/relationships/chartColorStyle" Target="colors3.xml"/><Relationship Id="rId3" Type="http://schemas.microsoft.com/office/2011/relationships/chartStyle" Target="style3.xml"/><Relationship Id="rId2" Type="http://schemas.openxmlformats.org/officeDocument/2006/relationships/themeOverride" Target="../theme/themeOverride2.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4" Type="http://schemas.microsoft.com/office/2011/relationships/chartColorStyle" Target="colors4.xml"/><Relationship Id="rId3" Type="http://schemas.microsoft.com/office/2011/relationships/chartStyle" Target="style4.xml"/><Relationship Id="rId2" Type="http://schemas.openxmlformats.org/officeDocument/2006/relationships/themeOverride" Target="../theme/themeOverride3.xml"/><Relationship Id="rId1" Type="http://schemas.openxmlformats.org/officeDocument/2006/relationships/oleObject" Target="&#24037;&#20316;&#31807;1" TargetMode="External"/></Relationships>
</file>

<file path=word/charts/_rels/chart3.xml.rels><?xml version="1.0" encoding="UTF-8" standalone="yes"?>
<Relationships xmlns="http://schemas.openxmlformats.org/package/2006/relationships"><Relationship Id="rId4" Type="http://schemas.microsoft.com/office/2011/relationships/chartColorStyle" Target="colors7.xml"/><Relationship Id="rId3" Type="http://schemas.microsoft.com/office/2011/relationships/chartStyle" Target="style7.xml"/><Relationship Id="rId2" Type="http://schemas.openxmlformats.org/officeDocument/2006/relationships/themeOverride" Target="../theme/themeOverride5.xml"/><Relationship Id="rId1" Type="http://schemas.openxmlformats.org/officeDocument/2006/relationships/oleObject" Target="&#24037;&#20316;&#31807;1" TargetMode="External"/></Relationships>
</file>

<file path=word/charts/_rels/chart4.xml.rels><?xml version="1.0" encoding="UTF-8" standalone="yes"?>
<Relationships xmlns="http://schemas.openxmlformats.org/package/2006/relationships"><Relationship Id="rId4" Type="http://schemas.microsoft.com/office/2011/relationships/chartColorStyle" Target="colors8.xml"/><Relationship Id="rId3" Type="http://schemas.microsoft.com/office/2011/relationships/chartStyle" Target="style8.xml"/><Relationship Id="rId2" Type="http://schemas.openxmlformats.org/officeDocument/2006/relationships/themeOverride" Target="../theme/themeOverride6.xml"/><Relationship Id="rId1" Type="http://schemas.openxmlformats.org/officeDocument/2006/relationships/oleObject" Target="&#24037;&#20316;&#31807;1" TargetMode="External"/></Relationships>
</file>

<file path=word/charts/_rels/chart5.xml.rels><?xml version="1.0" encoding="UTF-8" standalone="yes"?>
<Relationships xmlns="http://schemas.openxmlformats.org/package/2006/relationships"><Relationship Id="rId3" Type="http://schemas.microsoft.com/office/2011/relationships/chartColorStyle" Target="colors6.xml"/><Relationship Id="rId2" Type="http://schemas.microsoft.com/office/2011/relationships/chartStyle" Target="style6.xml"/><Relationship Id="rId1" Type="http://schemas.openxmlformats.org/officeDocument/2006/relationships/oleObject" Target="&#24037;&#20316;&#31807;1" TargetMode="External"/></Relationships>
</file>

<file path=word/charts/_rels/chart6.xml.rels><?xml version="1.0" encoding="UTF-8" standalone="yes"?>
<Relationships xmlns="http://schemas.openxmlformats.org/package/2006/relationships"><Relationship Id="rId4" Type="http://schemas.microsoft.com/office/2011/relationships/chartColorStyle" Target="colors5.xml"/><Relationship Id="rId3" Type="http://schemas.microsoft.com/office/2011/relationships/chartStyle" Target="style5.xml"/><Relationship Id="rId2" Type="http://schemas.openxmlformats.org/officeDocument/2006/relationships/themeOverride" Target="../theme/themeOverride4.xml"/><Relationship Id="rId1" Type="http://schemas.openxmlformats.org/officeDocument/2006/relationships/oleObject" Target="&#24037;&#20316;&#31807;1" TargetMode="External"/></Relationships>
</file>

<file path=word/charts/_rels/chart7.xml.rels><?xml version="1.0" encoding="UTF-8" standalone="yes"?>
<Relationships xmlns="http://schemas.openxmlformats.org/package/2006/relationships"><Relationship Id="rId4" Type="http://schemas.microsoft.com/office/2011/relationships/chartColorStyle" Target="colors1.xml"/><Relationship Id="rId3" Type="http://schemas.microsoft.com/office/2011/relationships/chartStyle" Target="style1.xml"/><Relationship Id="rId2" Type="http://schemas.openxmlformats.org/officeDocument/2006/relationships/themeOverride" Target="../theme/themeOverride1.xml"/><Relationship Id="rId1" Type="http://schemas.openxmlformats.org/officeDocument/2006/relationships/oleObject" Target="&#24037;&#20316;&#31807;1" TargetMode="External"/></Relationships>
</file>

<file path=word/charts/_rels/chart8.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oleObject" Target="&#24037;&#20316;&#31807;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Q7 way of shopping</a:t>
            </a:r>
            <a:endParaRPr lang="en-US" altLang="zh-CN"/>
          </a:p>
        </c:rich>
      </c:tx>
      <c:layout>
        <c:manualLayout>
          <c:xMode val="edge"/>
          <c:yMode val="edge"/>
          <c:x val="0.286646112285647"/>
          <c:y val="0.040978835978836"/>
        </c:manualLayout>
      </c:layout>
      <c:overlay val="0"/>
      <c:spPr>
        <a:noFill/>
        <a:ln>
          <a:noFill/>
        </a:ln>
        <a:effectLst/>
      </c:spPr>
    </c:title>
    <c:autoTitleDeleted val="0"/>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[工作簿1]Sheet1!$F$4</c:f>
              <c:strCache>
                <c:ptCount val="1"/>
                <c:pt idx="0">
                  <c:v>Male</c:v>
                </c:pt>
              </c:strCache>
            </c:strRef>
          </c:tx>
          <c:spPr>
            <a:solidFill>
              <a:srgbClr val="949494"/>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[工作簿1]Sheet1!$F$5:$F$7</c:f>
              <c:numCache>
                <c:formatCode>0.00%</c:formatCode>
                <c:ptCount val="3"/>
                <c:pt idx="0">
                  <c:v>0.24</c:v>
                </c:pt>
                <c:pt idx="1" c:formatCode="General">
                  <c:v>0.11</c:v>
                </c:pt>
                <c:pt idx="2" c:formatCode="General">
                  <c:v>0.59</c:v>
                </c:pt>
              </c:numCache>
            </c:numRef>
          </c:val>
        </c:ser>
        <c:ser>
          <c:idx val="1"/>
          <c:order val="1"/>
          <c:tx>
            <c:strRef>
              <c:f>[工作簿1]Sheet1!$G$4</c:f>
              <c:strCache>
                <c:ptCount val="1"/>
                <c:pt idx="0">
                  <c:v>Female</c:v>
                </c:pt>
              </c:strCache>
            </c:strRef>
          </c:tx>
          <c:spPr>
            <a:solidFill>
              <a:srgbClr val="B79E66"/>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[工作簿1]Sheet1!$G$5:$G$7</c:f>
              <c:numCache>
                <c:formatCode>General</c:formatCode>
                <c:ptCount val="3"/>
                <c:pt idx="0">
                  <c:v>0.23</c:v>
                </c:pt>
                <c:pt idx="1">
                  <c:v>0.12</c:v>
                </c:pt>
                <c:pt idx="2">
                  <c:v>0.65</c:v>
                </c:pt>
              </c:numCache>
            </c:numRef>
          </c:val>
        </c:ser>
        <c:dLbls>
          <c:showLegendKey val="0"/>
          <c:showVal val="0"/>
          <c:showCatName val="0"/>
          <c:showSerName val="0"/>
          <c:showPercent val="0"/>
          <c:showBubbleSize val="0"/>
        </c:dLbls>
        <c:gapWidth val="288"/>
        <c:overlap val="-30"/>
        <c:axId val="573959578"/>
        <c:axId val="111408812"/>
      </c:barChart>
      <c:catAx>
        <c:axId val="573959578"/>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111408812"/>
        <c:crosses val="autoZero"/>
        <c:auto val="1"/>
        <c:lblAlgn val="ctr"/>
        <c:lblOffset val="100"/>
        <c:noMultiLvlLbl val="0"/>
      </c:catAx>
      <c:valAx>
        <c:axId val="111408812"/>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percentage</a:t>
                </a:r>
                <a:endParaRPr lang="en-US" altLang="zh-CN"/>
              </a:p>
            </c:rich>
          </c:tx>
          <c:layout>
            <c:manualLayout>
              <c:xMode val="edge"/>
              <c:yMode val="edge"/>
              <c:x val="0.00391185291433042"/>
              <c:y val="0.465336216941785"/>
            </c:manualLayout>
          </c:layout>
          <c:overlay val="0"/>
          <c:spPr>
            <a:noFill/>
            <a:ln>
              <a:noFill/>
            </a:ln>
            <a:effectLst/>
          </c:spPr>
        </c:title>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73959578"/>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Q15.What is the advantage of o2o platforms compared with other e-commerce ?</a:t>
            </a:r>
            <a:endParaRPr lang="en-US" altLang="zh-CN"/>
          </a:p>
        </c:rich>
      </c:tx>
      <c:layout/>
      <c:overlay val="0"/>
      <c:spPr>
        <a:noFill/>
        <a:ln>
          <a:noFill/>
        </a:ln>
        <a:effectLst/>
      </c:spPr>
    </c:title>
    <c:autoTitleDeleted val="0"/>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[工作簿1]Sheet1!$F$17</c:f>
              <c:strCache>
                <c:ptCount val="1"/>
                <c:pt idx="0">
                  <c:v>Male</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[工作簿1]Sheet1!$E$18:$E$19</c:f>
              <c:strCache>
                <c:ptCount val="2"/>
                <c:pt idx="0">
                  <c:v>Online and offline shopping</c:v>
                </c:pt>
                <c:pt idx="1">
                  <c:v>Reduce stores in expensive retail areas</c:v>
                </c:pt>
              </c:strCache>
            </c:strRef>
          </c:cat>
          <c:val>
            <c:numRef>
              <c:f>[工作簿1]Sheet1!$F$18:$F$19</c:f>
              <c:numCache>
                <c:formatCode>0.00%</c:formatCode>
                <c:ptCount val="2"/>
                <c:pt idx="0">
                  <c:v>0.64</c:v>
                </c:pt>
                <c:pt idx="1">
                  <c:v>0.36</c:v>
                </c:pt>
              </c:numCache>
            </c:numRef>
          </c:val>
        </c:ser>
        <c:ser>
          <c:idx val="1"/>
          <c:order val="1"/>
          <c:tx>
            <c:strRef>
              <c:f>[工作簿1]Sheet1!$G$17</c:f>
              <c:strCache>
                <c:ptCount val="1"/>
                <c:pt idx="0">
                  <c:v>Female</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[工作簿1]Sheet1!$E$18:$E$19</c:f>
              <c:strCache>
                <c:ptCount val="2"/>
                <c:pt idx="0">
                  <c:v>Online and offline shopping</c:v>
                </c:pt>
                <c:pt idx="1">
                  <c:v>Reduce stores in expensive retail areas</c:v>
                </c:pt>
              </c:strCache>
            </c:strRef>
          </c:cat>
          <c:val>
            <c:numRef>
              <c:f>[工作簿1]Sheet1!$G$18:$G$19</c:f>
              <c:numCache>
                <c:formatCode>0.00%</c:formatCode>
                <c:ptCount val="2"/>
                <c:pt idx="0">
                  <c:v>0.622</c:v>
                </c:pt>
                <c:pt idx="1">
                  <c:v>0.378</c:v>
                </c:pt>
              </c:numCache>
            </c:numRef>
          </c:val>
        </c:ser>
        <c:dLbls>
          <c:showLegendKey val="0"/>
          <c:showVal val="0"/>
          <c:showCatName val="0"/>
          <c:showSerName val="0"/>
          <c:showPercent val="0"/>
          <c:showBubbleSize val="0"/>
        </c:dLbls>
        <c:gapWidth val="288"/>
        <c:overlap val="-30"/>
        <c:axId val="221983350"/>
        <c:axId val="517876798"/>
      </c:barChart>
      <c:catAx>
        <c:axId val="221983350"/>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17876798"/>
        <c:crosses val="autoZero"/>
        <c:auto val="1"/>
        <c:lblAlgn val="ctr"/>
        <c:lblOffset val="100"/>
        <c:noMultiLvlLbl val="0"/>
      </c:catAx>
      <c:valAx>
        <c:axId val="517876798"/>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221983350"/>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[工作簿1]Sheet1!$F$4</c:f>
              <c:strCache>
                <c:ptCount val="1"/>
                <c:pt idx="0">
                  <c:v>40 and under 40</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[工作簿1]Sheet1!$F$5:$F$7</c:f>
              <c:numCache>
                <c:formatCode>0.00%</c:formatCode>
                <c:ptCount val="3"/>
                <c:pt idx="0">
                  <c:v>0.273</c:v>
                </c:pt>
                <c:pt idx="1">
                  <c:v>0.169</c:v>
                </c:pt>
                <c:pt idx="2">
                  <c:v>0.558</c:v>
                </c:pt>
              </c:numCache>
            </c:numRef>
          </c:val>
        </c:ser>
        <c:ser>
          <c:idx val="1"/>
          <c:order val="1"/>
          <c:tx>
            <c:strRef>
              <c:f>[工作簿1]Sheet1!$G$4</c:f>
              <c:strCache>
                <c:ptCount val="1"/>
                <c:pt idx="0">
                  <c:v>40 above</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[工作簿1]Sheet1!$E$5:$E$7</c:f>
              <c:strCache>
                <c:ptCount val="3"/>
                <c:pt idx="0">
                  <c:v>online</c:v>
                </c:pt>
                <c:pt idx="1">
                  <c:v>offline</c:v>
                </c:pt>
                <c:pt idx="2">
                  <c:v>online and offline</c:v>
                </c:pt>
              </c:strCache>
            </c:strRef>
          </c:cat>
          <c:val>
            <c:numRef>
              <c:f>[工作簿1]Sheet1!$G$5:$G$7</c:f>
              <c:numCache>
                <c:formatCode>0%</c:formatCode>
                <c:ptCount val="3"/>
                <c:pt idx="0">
                  <c:v>0.2</c:v>
                </c:pt>
                <c:pt idx="1" c:formatCode="0.00%">
                  <c:v>0.125</c:v>
                </c:pt>
                <c:pt idx="2" c:formatCode="0.00%">
                  <c:v>0.675</c:v>
                </c:pt>
              </c:numCache>
            </c:numRef>
          </c:val>
        </c:ser>
        <c:dLbls>
          <c:showLegendKey val="0"/>
          <c:showVal val="0"/>
          <c:showCatName val="0"/>
          <c:showSerName val="0"/>
          <c:showPercent val="0"/>
          <c:showBubbleSize val="0"/>
        </c:dLbls>
        <c:gapWidth val="288"/>
        <c:overlap val="-30"/>
        <c:axId val="439102763"/>
        <c:axId val="50871430"/>
      </c:barChart>
      <c:catAx>
        <c:axId val="439102763"/>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0871430"/>
        <c:crosses val="autoZero"/>
        <c:auto val="1"/>
        <c:lblAlgn val="ctr"/>
        <c:lblOffset val="100"/>
        <c:noMultiLvlLbl val="0"/>
      </c:catAx>
      <c:valAx>
        <c:axId val="50871430"/>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439102763"/>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[工作簿1]Sheet1!$F$12</c:f>
              <c:strCache>
                <c:ptCount val="1"/>
                <c:pt idx="0">
                  <c:v>40 and under 40</c:v>
                </c:pt>
              </c:strCache>
            </c:strRef>
          </c:tx>
          <c:spPr>
            <a:solidFill>
              <a:srgbClr val="949494"/>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[工作簿1]Sheet1!$E$13:$E$14</c:f>
              <c:strCache>
                <c:ptCount val="2"/>
                <c:pt idx="0">
                  <c:v>Online and offline shopping</c:v>
                </c:pt>
                <c:pt idx="1">
                  <c:v>Reduce stores in expensive retail areas</c:v>
                </c:pt>
              </c:strCache>
            </c:strRef>
          </c:cat>
          <c:val>
            <c:numRef>
              <c:f>[工作簿1]Sheet1!$F$13:$F$14</c:f>
              <c:numCache>
                <c:formatCode>0.00%</c:formatCode>
                <c:ptCount val="2"/>
                <c:pt idx="0">
                  <c:v>0.64</c:v>
                </c:pt>
                <c:pt idx="1">
                  <c:v>0.62</c:v>
                </c:pt>
              </c:numCache>
            </c:numRef>
          </c:val>
        </c:ser>
        <c:ser>
          <c:idx val="1"/>
          <c:order val="1"/>
          <c:tx>
            <c:strRef>
              <c:f>[工作簿1]Sheet1!$G$12</c:f>
              <c:strCache>
                <c:ptCount val="1"/>
                <c:pt idx="0">
                  <c:v>40 above</c:v>
                </c:pt>
              </c:strCache>
            </c:strRef>
          </c:tx>
          <c:spPr>
            <a:solidFill>
              <a:srgbClr val="B79E66"/>
            </a:solidFill>
            <a:ln w="38100" cmpd="thickThin">
              <a:noFill/>
              <a:prstDash val="solid"/>
            </a:ln>
            <a:effectLst/>
          </c:spPr>
          <c:invertIfNegative val="0"/>
          <c:dLbls>
            <c:numFmt formatCode="0.00%" sourceLinked="0"/>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[工作簿1]Sheet1!$E$13:$E$14</c:f>
              <c:strCache>
                <c:ptCount val="2"/>
                <c:pt idx="0">
                  <c:v>Online and offline shopping</c:v>
                </c:pt>
                <c:pt idx="1">
                  <c:v>Reduce stores in expensive retail areas</c:v>
                </c:pt>
              </c:strCache>
            </c:strRef>
          </c:cat>
          <c:val>
            <c:numRef>
              <c:f>[工作簿1]Sheet1!$G$13:$G$14</c:f>
              <c:numCache>
                <c:formatCode>General</c:formatCode>
                <c:ptCount val="2"/>
                <c:pt idx="0">
                  <c:v>0.36</c:v>
                </c:pt>
                <c:pt idx="1">
                  <c:v>0.38</c:v>
                </c:pt>
              </c:numCache>
            </c:numRef>
          </c:val>
        </c:ser>
        <c:dLbls>
          <c:showLegendKey val="0"/>
          <c:showVal val="0"/>
          <c:showCatName val="0"/>
          <c:showSerName val="0"/>
          <c:showPercent val="0"/>
          <c:showBubbleSize val="0"/>
        </c:dLbls>
        <c:gapWidth val="288"/>
        <c:overlap val="-30"/>
        <c:axId val="691564473"/>
        <c:axId val="556439011"/>
      </c:barChart>
      <c:catAx>
        <c:axId val="691564473"/>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56439011"/>
        <c:crosses val="autoZero"/>
        <c:auto val="1"/>
        <c:lblAlgn val="ctr"/>
        <c:lblOffset val="100"/>
        <c:noMultiLvlLbl val="0"/>
      </c:catAx>
      <c:valAx>
        <c:axId val="556439011"/>
        <c:scaling>
          <c:orientation val="minMax"/>
        </c:scaling>
        <c:delete val="0"/>
        <c:axPos val="l"/>
        <c:minorGridlines>
          <c:spPr>
            <a:ln w="3175" cap="flat" cmpd="sng" algn="ctr">
              <a:solidFill>
                <a:schemeClr val="bg1">
                  <a:lumMod val="85000"/>
                </a:schemeClr>
              </a:solidFill>
              <a:prstDash val="sysDot"/>
              <a:round/>
            </a:ln>
            <a:effectLst/>
          </c:spPr>
        </c:minorGridlines>
        <c:numFmt formatCode="0.00%"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691564473"/>
        <c:crosses val="autoZero"/>
        <c:crossBetween val="between"/>
      </c:valAx>
      <c:spPr>
        <a:noFill/>
        <a:ln w="12700" cmpd="sng">
          <a:noFill/>
          <a:prstDash val="dash"/>
        </a:ln>
        <a:effectLst/>
      </c:spPr>
    </c:plotArea>
    <c:legend>
      <c:legendPos val="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[工作簿1]Sheet1!$D$4</c:f>
              <c:strCache>
                <c:ptCount val="1"/>
                <c:pt idx="0">
                  <c:v>40 and under 40</c:v>
                </c:pt>
              </c:strCache>
            </c:strRef>
          </c:tx>
          <c:spPr>
            <a:solidFill>
              <a:schemeClr val="bg1">
                <a:lumMod val="50000"/>
              </a:schemeClr>
            </a:solidFill>
            <a:ln w="9525" cap="flat" cmpd="sng" algn="ctr">
              <a:solidFill>
                <a:schemeClr val="lt1">
                  <a:alpha val="50000"/>
                </a:schemeClr>
              </a:solidFill>
              <a:roun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1" i="0" u="none" strike="noStrike" kern="1200" cap="none" spc="0" normalizeH="0" baseline="0">
                    <a:solidFill>
                      <a:schemeClr val="tx1"/>
                    </a:solidFill>
                    <a:uFill>
                      <a:solidFill>
                        <a:schemeClr val="tx1"/>
                      </a:solidFill>
                    </a:u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[工作簿1]Sheet1!$E$3:$F$3</c:f>
              <c:strCache>
                <c:ptCount val="2"/>
                <c:pt idx="0">
                  <c:v>Website page design </c:v>
                </c:pt>
                <c:pt idx="1">
                  <c:v>The product information is consistent with  physical stores</c:v>
                </c:pt>
              </c:strCache>
            </c:strRef>
          </c:cat>
          <c:val>
            <c:numRef>
              <c:f>[工作簿1]Sheet1!$E$4:$F$4</c:f>
              <c:numCache>
                <c:formatCode>General</c:formatCode>
                <c:ptCount val="2"/>
                <c:pt idx="0">
                  <c:v>86.98</c:v>
                </c:pt>
                <c:pt idx="1">
                  <c:v>87.66</c:v>
                </c:pt>
              </c:numCache>
            </c:numRef>
          </c:val>
        </c:ser>
        <c:ser>
          <c:idx val="1"/>
          <c:order val="1"/>
          <c:tx>
            <c:strRef>
              <c:f>[工作簿1]Sheet1!$D$5</c:f>
              <c:strCache>
                <c:ptCount val="1"/>
                <c:pt idx="0">
                  <c:v>over 40</c:v>
                </c:pt>
              </c:strCache>
            </c:strRef>
          </c:tx>
          <c:spPr>
            <a:gradFill>
              <a:gsLst>
                <a:gs pos="0">
                  <a:srgbClr val="EDDB99"/>
                </a:gs>
                <a:gs pos="100000">
                  <a:srgbClr val="F3BBC8"/>
                </a:gs>
              </a:gsLst>
              <a:lin scaled="1"/>
            </a:gradFill>
            <a:ln w="9525" cap="flat" cmpd="sng" algn="ctr">
              <a:solidFill>
                <a:schemeClr val="lt1">
                  <a:alpha val="50000"/>
                </a:schemeClr>
              </a:solidFill>
              <a:round/>
            </a:ln>
            <a:effectLst/>
          </c:spPr>
          <c:invertIfNegative val="0"/>
          <c:dPt>
            <c:idx val="0"/>
            <c:invertIfNegative val="0"/>
            <c:bubble3D val="0"/>
            <c:spPr>
              <a:solidFill>
                <a:schemeClr val="accent4">
                  <a:lumMod val="75000"/>
                </a:schemeClr>
              </a:solidFill>
              <a:ln w="9525" cap="flat" cmpd="sng" algn="ctr">
                <a:solidFill>
                  <a:schemeClr val="lt1">
                    <a:alpha val="50000"/>
                  </a:schemeClr>
                </a:solidFill>
                <a:round/>
              </a:ln>
              <a:effectLst/>
            </c:spPr>
          </c:dPt>
          <c:dPt>
            <c:idx val="1"/>
            <c:invertIfNegative val="0"/>
            <c:bubble3D val="0"/>
            <c:spPr>
              <a:solidFill>
                <a:schemeClr val="accent4">
                  <a:lumMod val="75000"/>
                </a:schemeClr>
              </a:solidFill>
              <a:ln w="9525" cap="flat" cmpd="sng" algn="ctr">
                <a:solidFill>
                  <a:schemeClr val="lt1">
                    <a:alpha val="50000"/>
                  </a:schemeClr>
                </a:solidFill>
                <a:round/>
              </a:ln>
              <a:effectLst/>
            </c:spPr>
          </c:dPt>
          <c:dLbls>
            <c:spPr>
              <a:solidFill>
                <a:schemeClr val="accent4">
                  <a:lumMod val="75000"/>
                </a:schemeClr>
              </a:solidFill>
              <a:ln>
                <a:noFill/>
              </a:ln>
              <a:effectLst/>
            </c:spPr>
            <c:txPr>
              <a:bodyPr rot="0" spcFirstLastPara="0" vertOverflow="ellipsis" vert="horz" wrap="square" lIns="38100" tIns="19050" rIns="38100" bIns="19050" anchor="ctr" anchorCtr="1"/>
              <a:lstStyle/>
              <a:p>
                <a:pPr>
                  <a:defRPr lang="zh-CN" sz="900" b="1" i="0" u="none" strike="noStrike" kern="1200" cap="none" spc="0" normalizeH="0" baseline="0">
                    <a:solidFill>
                      <a:schemeClr val="tx1"/>
                    </a:solidFill>
                    <a:uFill>
                      <a:solidFill>
                        <a:schemeClr val="tx1"/>
                      </a:solidFill>
                    </a:uFill>
                    <a:latin typeface="+mn-lt"/>
                    <a:ea typeface="+mn-ea"/>
                    <a:cs typeface="+mn-cs"/>
                  </a:defRPr>
                </a:pPr>
              </a:p>
            </c:txPr>
            <c:dLblPos val="in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a:solidFill>
                        <a:schemeClr val="dk1">
                          <a:lumMod val="50000"/>
                          <a:lumOff val="50000"/>
                        </a:schemeClr>
                      </a:solidFill>
                    </a:ln>
                    <a:effectLst/>
                  </c:spPr>
                </c15:leaderLines>
              </c:ext>
            </c:extLst>
          </c:dLbls>
          <c:cat>
            <c:strRef>
              <c:f>[工作簿1]Sheet1!$E$3:$F$3</c:f>
              <c:strCache>
                <c:ptCount val="2"/>
                <c:pt idx="0">
                  <c:v>Website page design </c:v>
                </c:pt>
                <c:pt idx="1">
                  <c:v>The product information is consistent with  physical stores</c:v>
                </c:pt>
              </c:strCache>
            </c:strRef>
          </c:cat>
          <c:val>
            <c:numRef>
              <c:f>[工作簿1]Sheet1!$E$5:$F$5</c:f>
              <c:numCache>
                <c:formatCode>General</c:formatCode>
                <c:ptCount val="2"/>
                <c:pt idx="0">
                  <c:v>71.32</c:v>
                </c:pt>
                <c:pt idx="1">
                  <c:v>70.67</c:v>
                </c:pt>
              </c:numCache>
            </c:numRef>
          </c:val>
        </c:ser>
        <c:dLbls>
          <c:showLegendKey val="0"/>
          <c:showVal val="1"/>
          <c:showCatName val="0"/>
          <c:showSerName val="0"/>
          <c:showPercent val="0"/>
          <c:showBubbleSize val="0"/>
        </c:dLbls>
        <c:gapWidth val="65"/>
        <c:overlap val="0"/>
        <c:axId val="141305290"/>
        <c:axId val="610161236"/>
      </c:barChart>
      <c:catAx>
        <c:axId val="141305290"/>
        <c:scaling>
          <c:orientation val="minMax"/>
        </c:scaling>
        <c:delete val="0"/>
        <c:axPos val="b"/>
        <c:numFmt formatCode="General" sourceLinked="0"/>
        <c:majorTickMark val="none"/>
        <c:minorTickMark val="none"/>
        <c:tickLblPos val="nextTo"/>
        <c:spPr>
          <a:noFill/>
          <a:ln w="19050" cap="flat" cmpd="sng" algn="ctr">
            <a:solidFill>
              <a:schemeClr val="dk1">
                <a:lumMod val="75000"/>
                <a:lumOff val="25000"/>
              </a:schemeClr>
            </a:solidFill>
            <a:round/>
          </a:ln>
          <a:effectLst/>
        </c:spPr>
        <c:txPr>
          <a:bodyPr rot="-6000000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crossAx val="610161236"/>
        <c:crosses val="autoZero"/>
        <c:auto val="1"/>
        <c:lblAlgn val="ctr"/>
        <c:lblOffset val="100"/>
        <c:noMultiLvlLbl val="0"/>
      </c:catAx>
      <c:valAx>
        <c:axId val="610161236"/>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0" vertOverflow="ellipsis" vert="horz" wrap="square" anchor="ctr" anchorCtr="1"/>
              <a:lstStyle/>
              <a:p>
                <a:pPr defTabSz="914400">
                  <a:defRPr lang="zh-CN" sz="900" b="1" i="0" u="none" strike="noStrike" kern="1200" cap="none" spc="0" normalizeH="0" baseline="0">
                    <a:solidFill>
                      <a:schemeClr val="tx1"/>
                    </a:solidFill>
                    <a:uFill>
                      <a:solidFill>
                        <a:schemeClr val="tx1"/>
                      </a:solidFill>
                    </a:uFill>
                    <a:latin typeface="+mn-lt"/>
                    <a:ea typeface="+mn-ea"/>
                    <a:cs typeface="+mn-cs"/>
                  </a:defRPr>
                </a:pPr>
                <a:r>
                  <a:rPr u="none" strike="noStrike" cap="none" normalizeH="0">
                    <a:solidFill>
                      <a:schemeClr val="tx1"/>
                    </a:solidFill>
                    <a:uFill>
                      <a:solidFill>
                        <a:schemeClr val="tx1"/>
                      </a:solidFill>
                    </a:uFill>
                  </a:rPr>
                  <a:t>Mean Rankings of Responses</a:t>
                </a:r>
                <a:endParaRPr u="none" strike="noStrike" cap="none" normalizeH="0">
                  <a:solidFill>
                    <a:schemeClr val="tx1"/>
                  </a:solidFill>
                  <a:uFill>
                    <a:solidFill>
                      <a:schemeClr val="tx1"/>
                    </a:solidFill>
                  </a:uFill>
                </a:endParaRP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crossAx val="141305290"/>
        <c:crosses val="autoZero"/>
        <c:crossBetween val="between"/>
      </c:valAx>
      <c:spPr>
        <a:noFill/>
        <a:ln>
          <a:noFill/>
        </a:ln>
        <a:effectLst/>
      </c:spPr>
    </c:plotArea>
    <c:legend>
      <c:legendPos val="b"/>
      <c:legendEntry>
        <c:idx val="0"/>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Entry>
      <c:legendEntry>
        <c:idx val="1"/>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Entry>
      <c:layout/>
      <c:overlay val="0"/>
      <c:spPr>
        <a:solidFill>
          <a:schemeClr val="lt1">
            <a:lumMod val="95000"/>
            <a:alpha val="39000"/>
          </a:schemeClr>
        </a:solidFill>
        <a:ln>
          <a:noFill/>
        </a:ln>
        <a:effectLst/>
      </c:spPr>
      <c:txPr>
        <a:bodyPr rot="0" spcFirstLastPara="0" vertOverflow="ellipsis" vert="horz" wrap="square" anchor="ctr" anchorCtr="1"/>
        <a:lstStyle/>
        <a:p>
          <a:pPr>
            <a:defRPr lang="zh-CN" sz="900" b="0" i="0" u="none" strike="noStrike" kern="1200" cap="none" spc="0" normalizeH="0" baseline="0">
              <a:solidFill>
                <a:schemeClr val="tx1"/>
              </a:solidFill>
              <a:uFill>
                <a:solidFill>
                  <a:schemeClr val="tx1"/>
                </a:solidFill>
              </a:uFill>
              <a:latin typeface="+mn-lt"/>
              <a:ea typeface="+mn-ea"/>
              <a:cs typeface="+mn-cs"/>
            </a:defRPr>
          </a:pPr>
        </a:p>
      </c:txPr>
    </c:legend>
    <c:plotVisOnly val="1"/>
    <c:dispBlanksAs val="gap"/>
    <c:showDLblsOverMax val="0"/>
  </c:chart>
  <c:spPr>
    <a:solidFill>
      <a:schemeClr val="bg1"/>
    </a:solidFill>
    <a:ln w="9525" cap="flat" cmpd="sng" algn="ctr">
      <a:solidFill>
        <a:schemeClr val="dk1">
          <a:lumMod val="25000"/>
          <a:lumOff val="75000"/>
        </a:schemeClr>
      </a:solidFill>
      <a:round/>
    </a:ln>
    <a:effectLst/>
  </c:spPr>
  <c:txPr>
    <a:bodyPr/>
    <a:lstStyle/>
    <a:p>
      <a:pPr>
        <a:defRPr lang="zh-CN" u="none" strike="noStrike" kern="1200" cap="none" spc="0" normalizeH="0">
          <a:solidFill>
            <a:schemeClr val="tx1"/>
          </a:solidFill>
          <a:uFill>
            <a:solidFill>
              <a:schemeClr val="tx1"/>
            </a:solidFill>
          </a:uFill>
        </a:defRPr>
      </a:pPr>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0" vertOverflow="ellipsis" vert="horz" wrap="square" anchor="ctr" anchorCtr="1" forceAA="0"/>
          <a:lstStyle/>
          <a:p>
            <a:pPr defTabSz="914400">
              <a:defRPr lang="zh-CN" sz="1400" b="0" i="0" u="none" strike="noStrike" kern="1200" spc="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O</a:t>
            </a:r>
            <a:r>
              <a:t>rder can be delivered within specified time</a:t>
            </a:r>
          </a:p>
        </c:rich>
      </c:tx>
      <c:layout>
        <c:manualLayout>
          <c:xMode val="edge"/>
          <c:yMode val="edge"/>
          <c:x val="0.225473589053489"/>
          <c:y val="0.871647609547992"/>
        </c:manualLayout>
      </c:layout>
      <c:overlay val="0"/>
      <c:spPr>
        <a:noFill/>
        <a:ln>
          <a:noFill/>
        </a:ln>
        <a:effectLst/>
      </c:spPr>
    </c:title>
    <c:autoTitleDeleted val="0"/>
    <c:plotArea>
      <c:layout>
        <c:manualLayout>
          <c:layoutTarget val="inner"/>
          <c:xMode val="edge"/>
          <c:yMode val="edge"/>
          <c:x val="0.0883929502555011"/>
          <c:y val="0.249670619235837"/>
          <c:w val="0.84079674627177"/>
          <c:h val="0.496215115582704"/>
        </c:manualLayout>
      </c:layout>
      <c:barChart>
        <c:barDir val="col"/>
        <c:grouping val="clustered"/>
        <c:varyColors val="0"/>
        <c:ser>
          <c:idx val="0"/>
          <c:order val="0"/>
          <c:tx>
            <c:strRef>
              <c:f>[工作簿1]Sheet1!$E$3</c:f>
              <c:strCache>
                <c:ptCount val="1"/>
                <c:pt idx="0">
                  <c:v>Order can be delivered within specified time</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[工作簿1]Sheet1!$D$4:$D$5</c:f>
              <c:strCache>
                <c:ptCount val="2"/>
                <c:pt idx="0">
                  <c:v>40 and under 40</c:v>
                </c:pt>
                <c:pt idx="1">
                  <c:v>over 40</c:v>
                </c:pt>
              </c:strCache>
            </c:strRef>
          </c:cat>
          <c:val>
            <c:numRef>
              <c:f>[工作簿1]Sheet1!$E$4:$E$5</c:f>
              <c:numCache>
                <c:formatCode>General</c:formatCode>
                <c:ptCount val="2"/>
                <c:pt idx="0">
                  <c:v>86.55</c:v>
                </c:pt>
                <c:pt idx="1">
                  <c:v>71.74</c:v>
                </c:pt>
              </c:numCache>
            </c:numRef>
          </c:val>
        </c:ser>
        <c:dLbls>
          <c:showLegendKey val="0"/>
          <c:showVal val="0"/>
          <c:showCatName val="0"/>
          <c:showSerName val="0"/>
          <c:showPercent val="0"/>
          <c:showBubbleSize val="0"/>
        </c:dLbls>
        <c:gapWidth val="288"/>
        <c:overlap val="-30"/>
        <c:axId val="504018916"/>
        <c:axId val="204636121"/>
      </c:barChart>
      <c:catAx>
        <c:axId val="504018916"/>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204636121"/>
        <c:crosses val="autoZero"/>
        <c:auto val="1"/>
        <c:lblAlgn val="ctr"/>
        <c:lblOffset val="100"/>
        <c:noMultiLvlLbl val="0"/>
      </c:catAx>
      <c:valAx>
        <c:axId val="204636121"/>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Mean Rankings of Responses</a:t>
                </a:r>
                <a:endParaRPr lang="en-US" altLang="zh-CN"/>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504018916"/>
        <c:crosses val="autoZero"/>
        <c:crossBetween val="between"/>
      </c:valAx>
      <c:spPr>
        <a:noFill/>
        <a:ln w="12700" cmpd="sng">
          <a:noFill/>
          <a:prstDash val="dash"/>
        </a:ln>
        <a:effectLst/>
      </c:spPr>
    </c:plotArea>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manualLayout>
          <c:layoutTarget val="inner"/>
          <c:xMode val="edge"/>
          <c:yMode val="edge"/>
          <c:x val="0.0884365781710914"/>
          <c:y val="0.249623574962358"/>
          <c:w val="0.880589970501475"/>
          <c:h val="0.628930952893095"/>
        </c:manualLayout>
      </c:layout>
      <c:barChart>
        <c:barDir val="col"/>
        <c:grouping val="clustered"/>
        <c:varyColors val="0"/>
        <c:ser>
          <c:idx val="0"/>
          <c:order val="0"/>
          <c:tx>
            <c:strRef>
              <c:f>[工作簿1]Sheet1!$D$4</c:f>
              <c:strCache>
                <c:ptCount val="1"/>
                <c:pt idx="0">
                  <c:v>40 and under 40</c:v>
                </c:pt>
              </c:strCache>
            </c:strRef>
          </c:tx>
          <c:spPr>
            <a:solidFill>
              <a:srgbClr val="949494"/>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[工作簿1]Sheet1!$E$3:$F$3</c:f>
              <c:strCache>
                <c:ptCount val="2"/>
                <c:pt idx="0">
                  <c:v> a good return and exchange mechanism</c:v>
                </c:pt>
                <c:pt idx="1">
                  <c:v>online customer service can reply in time</c:v>
                </c:pt>
              </c:strCache>
            </c:strRef>
          </c:cat>
          <c:val>
            <c:numRef>
              <c:f>[工作簿1]Sheet1!$E$4:$F$4</c:f>
              <c:numCache>
                <c:formatCode>General</c:formatCode>
                <c:ptCount val="2"/>
                <c:pt idx="0">
                  <c:v>87.66</c:v>
                </c:pt>
                <c:pt idx="1">
                  <c:v>87.84</c:v>
                </c:pt>
              </c:numCache>
            </c:numRef>
          </c:val>
        </c:ser>
        <c:ser>
          <c:idx val="1"/>
          <c:order val="1"/>
          <c:tx>
            <c:strRef>
              <c:f>[工作簿1]Sheet1!$D$5</c:f>
              <c:strCache>
                <c:ptCount val="1"/>
                <c:pt idx="0">
                  <c:v>over 40</c:v>
                </c:pt>
              </c:strCache>
            </c:strRef>
          </c:tx>
          <c:spPr>
            <a:solidFill>
              <a:srgbClr val="B79E66"/>
            </a:solidFill>
            <a:ln w="38100" cmpd="thickThin">
              <a:noFill/>
              <a:prstDash val="solid"/>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[工作簿1]Sheet1!$E$3:$F$3</c:f>
              <c:strCache>
                <c:ptCount val="2"/>
                <c:pt idx="0">
                  <c:v> a good return and exchange mechanism</c:v>
                </c:pt>
                <c:pt idx="1">
                  <c:v>online customer service can reply in time</c:v>
                </c:pt>
              </c:strCache>
            </c:strRef>
          </c:cat>
          <c:val>
            <c:numRef>
              <c:f>[工作簿1]Sheet1!$E$5:$F$5</c:f>
              <c:numCache>
                <c:formatCode>General</c:formatCode>
                <c:ptCount val="2"/>
                <c:pt idx="0">
                  <c:v>70.66</c:v>
                </c:pt>
                <c:pt idx="1">
                  <c:v>70.49</c:v>
                </c:pt>
              </c:numCache>
            </c:numRef>
          </c:val>
        </c:ser>
        <c:dLbls>
          <c:showLegendKey val="0"/>
          <c:showVal val="0"/>
          <c:showCatName val="0"/>
          <c:showSerName val="0"/>
          <c:showPercent val="0"/>
          <c:showBubbleSize val="0"/>
        </c:dLbls>
        <c:gapWidth val="288"/>
        <c:overlap val="-30"/>
        <c:axId val="74916024"/>
        <c:axId val="688097243"/>
      </c:barChart>
      <c:catAx>
        <c:axId val="74916024"/>
        <c:scaling>
          <c:orientation val="minMax"/>
        </c:scaling>
        <c:delete val="0"/>
        <c:axPos val="b"/>
        <c:numFmt formatCode="General" sourceLinked="0"/>
        <c:majorTickMark val="none"/>
        <c:minorTickMark val="none"/>
        <c:tickLblPos val="nextTo"/>
        <c:spPr>
          <a:noFill/>
          <a:ln w="19050" cap="flat" cmpd="sng" algn="ctr">
            <a:noFill/>
            <a:round/>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688097243"/>
        <c:crosses val="autoZero"/>
        <c:auto val="1"/>
        <c:lblAlgn val="ctr"/>
        <c:lblOffset val="100"/>
        <c:noMultiLvlLbl val="0"/>
      </c:catAx>
      <c:valAx>
        <c:axId val="688097243"/>
        <c:scaling>
          <c:orientation val="minMax"/>
        </c:scaling>
        <c:delete val="0"/>
        <c:axPos val="l"/>
        <c:minorGridlines>
          <c:spPr>
            <a:ln w="3175" cap="flat" cmpd="sng" algn="ctr">
              <a:solidFill>
                <a:schemeClr val="bg1">
                  <a:lumMod val="85000"/>
                </a:schemeClr>
              </a:solidFill>
              <a:prstDash val="sysDot"/>
              <a:round/>
            </a:ln>
            <a:effectLst/>
          </c:spPr>
        </c:minorGridlines>
        <c:title>
          <c:tx>
            <c:rich>
              <a:bodyPr rot="-5400000" spcFirstLastPara="0" vertOverflow="ellipsis" vert="horz" wrap="square" anchor="ctr" anchorCtr="1"/>
              <a:lstStyle/>
              <a:p>
                <a:pPr defTabSz="914400">
                  <a:defRPr lang="zh-CN" sz="10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r>
                  <a:rPr lang="en-US" altLang="zh-CN"/>
                  <a:t>Mean Ranking of Responses </a:t>
                </a:r>
                <a:endParaRPr lang="en-US" altLang="zh-CN"/>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crossAx val="74916024"/>
        <c:crosses val="autoZero"/>
        <c:crossBetween val="between"/>
      </c:valAx>
      <c:spPr>
        <a:noFill/>
        <a:ln w="12700" cmpd="sng">
          <a:noFill/>
          <a:prstDash val="dash"/>
        </a:ln>
        <a:effectLst/>
      </c:spPr>
    </c:plotArea>
    <c:legend>
      <c:legendPos val="t"/>
      <c:layout>
        <c:manualLayout>
          <c:xMode val="edge"/>
          <c:yMode val="edge"/>
          <c:x val="0.397908800464711"/>
          <c:y val="0.927012936860398"/>
        </c:manualLayout>
      </c:layout>
      <c:overlay val="0"/>
      <c:spPr>
        <a:noFill/>
        <a:ln>
          <a:noFill/>
        </a:ln>
        <a:effectLst/>
      </c:spPr>
      <c:txPr>
        <a:bodyPr rot="0" spcFirstLastPara="0" vertOverflow="ellipsis" vert="horz" wrap="square" anchor="ctr" anchorCtr="1" forceAA="0"/>
        <a:lstStyle/>
        <a:p>
          <a:pPr>
            <a:defRPr lang="zh-CN" sz="900" b="0" i="0" u="none" strike="noStrike" kern="1200" baseline="0">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legend>
    <c:plotVisOnly val="1"/>
    <c:dispBlanksAs val="gap"/>
    <c:showDLblsOverMax val="0"/>
  </c:chart>
  <c:spPr>
    <a:pattFill prst="trellis">
      <a:fgClr>
        <a:schemeClr val="bg1"/>
      </a:fgClr>
      <a:bgClr>
        <a:schemeClr val="bg1">
          <a:lumMod val="95000"/>
        </a:schemeClr>
      </a:bgClr>
    </a:pattFill>
    <a:ln w="12700" cap="flat" cmpd="sng" algn="ctr">
      <a:solidFill>
        <a:schemeClr val="bg1">
          <a:lumMod val="85000"/>
        </a:schemeClr>
      </a:solidFill>
      <a:prstDash val="solid"/>
      <a:round/>
    </a:ln>
    <a:effectLst>
      <a:outerShdw blurRad="63500" dist="37357" dir="2700000" sx="0" sy="0" rotWithShape="0">
        <a:scrgbClr r="0" g="0" b="0"/>
      </a:outerShdw>
    </a:effectLst>
  </c:spPr>
  <c:txPr>
    <a:bodyPr/>
    <a:lstStyle/>
    <a:p>
      <a:pPr>
        <a:defRPr lang="zh-CN">
          <a:solidFill>
            <a:srgbClr val="5D6D75"/>
          </a:solidFill>
          <a:latin typeface="微软雅黑" panose="020B0503020204020204" pitchFamily="34" charset="-122"/>
          <a:ea typeface="微软雅黑" panose="020B0503020204020204" pitchFamily="34" charset="-122"/>
          <a:cs typeface="微软雅黑" panose="020B0503020204020204" pitchFamily="34" charset="-122"/>
          <a:sym typeface="微软雅黑" panose="020B0503020204020204" pitchFamily="34" charset="-122"/>
        </a:defRPr>
      </a:pPr>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[工作簿1]Sheet1!$A$4</c:f>
              <c:strCache>
                <c:ptCount val="1"/>
                <c:pt idx="0">
                  <c:v>40 and under 40</c:v>
                </c:pt>
              </c:strCache>
            </c:strRef>
          </c:tx>
          <c:spPr>
            <a:solidFill>
              <a:schemeClr val="bg2">
                <a:lumMod val="50000"/>
              </a:schemeClr>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[工作簿1]Sheet1!$B$3:$D$3</c:f>
              <c:strCache>
                <c:ptCount val="3"/>
                <c:pt idx="0">
                  <c:v>payment is efficient and convenient</c:v>
                </c:pt>
                <c:pt idx="1">
                  <c:v>Can be discounted</c:v>
                </c:pt>
                <c:pt idx="2">
                  <c:v>The product quality is good</c:v>
                </c:pt>
              </c:strCache>
            </c:strRef>
          </c:cat>
          <c:val>
            <c:numRef>
              <c:f>[工作簿1]Sheet1!$B$4:$D$4</c:f>
              <c:numCache>
                <c:formatCode>General</c:formatCode>
                <c:ptCount val="3"/>
                <c:pt idx="0">
                  <c:v>85.96</c:v>
                </c:pt>
                <c:pt idx="1">
                  <c:v>89.45</c:v>
                </c:pt>
                <c:pt idx="2">
                  <c:v>87.81</c:v>
                </c:pt>
              </c:numCache>
            </c:numRef>
          </c:val>
        </c:ser>
        <c:ser>
          <c:idx val="1"/>
          <c:order val="1"/>
          <c:tx>
            <c:strRef>
              <c:f>[工作簿1]Sheet1!$A$5</c:f>
              <c:strCache>
                <c:ptCount val="1"/>
                <c:pt idx="0">
                  <c:v>over 40</c:v>
                </c:pt>
              </c:strCache>
            </c:strRef>
          </c:tx>
          <c:spPr>
            <a:solidFill>
              <a:schemeClr val="accent4">
                <a:lumMod val="75000"/>
              </a:schemeClr>
            </a:solidFill>
            <a:ln>
              <a:noFill/>
            </a:ln>
            <a:effectLst/>
          </c:spPr>
          <c:invertIfNegative val="0"/>
          <c:dLbls>
            <c:spPr>
              <a:noFill/>
              <a:ln>
                <a:noFill/>
              </a:ln>
              <a:effectLst/>
            </c:spPr>
            <c:txPr>
              <a:bodyPr rot="0" spcFirstLastPara="0" vertOverflow="ellipsis" vert="horz" wrap="square" lIns="38100" tIns="19050" rIns="38100" bIns="19050" anchor="ctr" anchorCtr="1"/>
              <a:lstStyle/>
              <a:p>
                <a:pPr>
                  <a:defRPr lang="zh-CN" sz="900" b="0" i="0" u="none" strike="noStrike" kern="1200" baseline="0">
                    <a:solidFill>
                      <a:schemeClr val="tx1">
                        <a:lumMod val="75000"/>
                        <a:lumOff val="25000"/>
                      </a:schemeClr>
                    </a:solidFill>
                    <a:latin typeface="+mn-lt"/>
                    <a:ea typeface="+mn-ea"/>
                    <a:cs typeface="+mn-cs"/>
                  </a:defRPr>
                </a:pPr>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[工作簿1]Sheet1!$B$3:$D$3</c:f>
              <c:strCache>
                <c:ptCount val="3"/>
                <c:pt idx="0">
                  <c:v>payment is efficient and convenient</c:v>
                </c:pt>
                <c:pt idx="1">
                  <c:v>Can be discounted</c:v>
                </c:pt>
                <c:pt idx="2">
                  <c:v>The product quality is good</c:v>
                </c:pt>
              </c:strCache>
            </c:strRef>
          </c:cat>
          <c:val>
            <c:numRef>
              <c:f>[工作簿1]Sheet1!$B$5:$D$5</c:f>
              <c:numCache>
                <c:formatCode>General</c:formatCode>
                <c:ptCount val="3"/>
                <c:pt idx="0">
                  <c:v>72.3</c:v>
                </c:pt>
                <c:pt idx="1">
                  <c:v>68.94</c:v>
                </c:pt>
                <c:pt idx="2">
                  <c:v>70.53</c:v>
                </c:pt>
              </c:numCache>
            </c:numRef>
          </c:val>
        </c:ser>
        <c:dLbls>
          <c:showLegendKey val="0"/>
          <c:showVal val="1"/>
          <c:showCatName val="0"/>
          <c:showSerName val="0"/>
          <c:showPercent val="0"/>
          <c:showBubbleSize val="0"/>
        </c:dLbls>
        <c:gapWidth val="219"/>
        <c:overlap val="-27"/>
        <c:axId val="421484364"/>
        <c:axId val="406901474"/>
      </c:barChart>
      <c:catAx>
        <c:axId val="4214843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1200" b="0" i="0" u="none" strike="noStrike" kern="1200" cap="none" spc="0" normalizeH="0" baseline="0">
                <a:solidFill>
                  <a:schemeClr val="tx1">
                    <a:lumMod val="65000"/>
                    <a:lumOff val="35000"/>
                  </a:schemeClr>
                </a:solidFill>
                <a:uFill>
                  <a:solidFill>
                    <a:schemeClr val="tx1">
                      <a:lumMod val="65000"/>
                      <a:lumOff val="35000"/>
                    </a:schemeClr>
                  </a:solidFill>
                </a:uFill>
                <a:latin typeface="Times New Roman" panose="02020603050405020304" charset="0"/>
                <a:ea typeface="Times New Roman" panose="02020603050405020304" charset="0"/>
                <a:cs typeface="Times New Roman" panose="02020603050405020304" charset="0"/>
                <a:sym typeface="Times New Roman" panose="02020603050405020304" charset="0"/>
              </a:defRPr>
            </a:pPr>
          </a:p>
        </c:txPr>
        <c:crossAx val="406901474"/>
        <c:crosses val="autoZero"/>
        <c:auto val="1"/>
        <c:lblAlgn val="ctr"/>
        <c:lblOffset val="100"/>
        <c:noMultiLvlLbl val="0"/>
      </c:catAx>
      <c:valAx>
        <c:axId val="40690147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0" vertOverflow="ellipsis" vert="horz" wrap="square" anchor="ctr" anchorCtr="1"/>
              <a:lstStyle/>
              <a:p>
                <a:pPr defTabSz="914400">
                  <a:defRPr lang="zh-CN" sz="1000" b="0" i="0" u="none" strike="noStrike" kern="1200" baseline="0">
                    <a:solidFill>
                      <a:schemeClr val="tx1">
                        <a:lumMod val="65000"/>
                        <a:lumOff val="35000"/>
                      </a:schemeClr>
                    </a:solidFill>
                    <a:latin typeface="+mn-lt"/>
                    <a:ea typeface="+mn-ea"/>
                    <a:cs typeface="+mn-cs"/>
                  </a:defRPr>
                </a:pPr>
                <a:r>
                  <a:rPr lang="en-US" altLang="zh-CN" sz="1600">
                    <a:latin typeface="Times New Roman" panose="02020603050405020304" charset="0"/>
                    <a:cs typeface="Times New Roman" panose="02020603050405020304" charset="0"/>
                  </a:rPr>
                  <a:t>Mean Rankings of Responds</a:t>
                </a:r>
                <a:endParaRPr lang="en-US" altLang="zh-CN" sz="1600">
                  <a:latin typeface="Times New Roman" panose="02020603050405020304" charset="0"/>
                  <a:cs typeface="Times New Roman" panose="02020603050405020304" charset="0"/>
                </a:endParaRPr>
              </a:p>
            </c:rich>
          </c:tx>
          <c:layout/>
          <c:overlay val="0"/>
          <c:spPr>
            <a:noFill/>
            <a:ln>
              <a:noFill/>
            </a:ln>
            <a:effectLst/>
          </c:spPr>
        </c:title>
        <c:numFmt formatCode="General"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421484364"/>
        <c:crosses val="autoZero"/>
        <c:crossBetween val="between"/>
      </c:valAx>
      <c:spPr>
        <a:noFill/>
        <a:ln>
          <a:noFill/>
        </a:ln>
        <a:effectLst/>
      </c:spPr>
    </c:plotArea>
    <c:legend>
      <c:legendPos val="b"/>
      <c:layout/>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20</TotalTime>
  <ScaleCrop>false</ScaleCrop>
  <LinksUpToDate>false</LinksUpToDate>
  <CharactersWithSpaces>0</CharactersWithSpaces>
  <Application>WPS Office_11.1.0.10463_F1E327BC-269C-435d-A152-05C5408002CA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2021-04-21T08:00:00Z</dcterms:created>
  <dc:creator>Surmiya</dc:creator>
  <cp:lastModifiedBy>Surmiya</cp:lastModifiedBy>
  <dcterms:modified xsi:type="dcterms:W3CDTF">2021-05-05T09:57:27Z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2052-11.1.0.10463</vt:lpwstr>
  </property>
  <property fmtid="{D5CDD505-2E9C-101B-9397-08002B2CF9AE}" pid="3" name="ICV">
    <vt:lpwstr>FC1B54E4D0674D138E3454A4FD9D7B45</vt:lpwstr>
  </property>
</Properties>
</file>