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1876888279"/>
        <w:docPartObj>
          <w:docPartGallery w:val="Cover Pages"/>
          <w:docPartUnique/>
        </w:docPartObj>
      </w:sdtPr>
      <w:sdtEndPr>
        <w:rPr>
          <w:color w:val="auto"/>
        </w:rPr>
      </w:sdtEndPr>
      <w:sdtContent>
        <w:p w14:paraId="4853B326" w14:textId="78D0F1C7" w:rsidR="00AF263D" w:rsidRPr="001F518B" w:rsidRDefault="00AF263D" w:rsidP="001F518B">
          <w:pPr>
            <w:pStyle w:val="NoSpacing"/>
            <w:spacing w:before="1540" w:after="240"/>
            <w:ind w:left="720" w:firstLine="720"/>
            <w:jc w:val="center"/>
            <w:rPr>
              <w:color w:val="156082" w:themeColor="accent1"/>
              <w:sz w:val="16"/>
              <w:szCs w:val="16"/>
            </w:rPr>
          </w:pPr>
          <w:r>
            <w:rPr>
              <w:noProof/>
              <w:color w:val="156082" w:themeColor="accent1"/>
            </w:rPr>
            <w:drawing>
              <wp:inline distT="0" distB="0" distL="0" distR="0" wp14:anchorId="562B947A" wp14:editId="6C91E49C">
                <wp:extent cx="2974975" cy="1164590"/>
                <wp:effectExtent l="0" t="0" r="0" b="0"/>
                <wp:docPr id="849195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4975" cy="1164590"/>
                        </a:xfrm>
                        <a:prstGeom prst="rect">
                          <a:avLst/>
                        </a:prstGeom>
                        <a:noFill/>
                      </pic:spPr>
                    </pic:pic>
                  </a:graphicData>
                </a:graphic>
              </wp:inline>
            </w:drawing>
          </w:r>
          <w:r w:rsidR="001F518B">
            <w:rPr>
              <w:color w:val="156082" w:themeColor="accent1"/>
            </w:rPr>
            <w:t xml:space="preserve"> </w:t>
          </w:r>
          <w:r w:rsidR="001F518B" w:rsidRPr="001F518B">
            <w:rPr>
              <w:color w:val="156082" w:themeColor="accent1"/>
              <w:sz w:val="16"/>
              <w:szCs w:val="16"/>
            </w:rPr>
            <w:t>Study In UK, (2025).</w:t>
          </w:r>
        </w:p>
        <w:p w14:paraId="6020240D" w14:textId="6863662D" w:rsidR="009219FD" w:rsidRDefault="009219FD">
          <w:pPr>
            <w:pStyle w:val="NoSpacing"/>
            <w:spacing w:before="1540" w:after="240"/>
            <w:jc w:val="center"/>
            <w:rPr>
              <w:color w:val="156082" w:themeColor="accent1"/>
            </w:rPr>
          </w:pPr>
          <w:r>
            <w:rPr>
              <w:noProof/>
              <w:color w:val="156082" w:themeColor="accent1"/>
            </w:rPr>
            <w:drawing>
              <wp:inline distT="0" distB="0" distL="0" distR="0" wp14:anchorId="56D9385E" wp14:editId="4BC63D28">
                <wp:extent cx="730901" cy="387232"/>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805" cy="393009"/>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44"/>
              <w:szCs w:val="44"/>
            </w:rPr>
            <w:alias w:val="Title"/>
            <w:tag w:val=""/>
            <w:id w:val="1735040861"/>
            <w:placeholder>
              <w:docPart w:val="619E38BD1F094C95BEF2E3F894A88C62"/>
            </w:placeholder>
            <w:dataBinding w:prefixMappings="xmlns:ns0='http://purl.org/dc/elements/1.1/' xmlns:ns1='http://schemas.openxmlformats.org/package/2006/metadata/core-properties' " w:xpath="/ns1:coreProperties[1]/ns0:title[1]" w:storeItemID="{6C3C8BC8-F283-45AE-878A-BAB7291924A1}"/>
            <w:text/>
          </w:sdtPr>
          <w:sdtContent>
            <w:p w14:paraId="4C13EA27" w14:textId="56D2485E" w:rsidR="009219FD" w:rsidRPr="00AF263D" w:rsidRDefault="00B108D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44"/>
                  <w:szCs w:val="44"/>
                </w:rPr>
              </w:pPr>
              <w:r w:rsidRPr="00AF263D">
                <w:rPr>
                  <w:rFonts w:asciiTheme="majorHAnsi" w:eastAsiaTheme="majorEastAsia" w:hAnsiTheme="majorHAnsi" w:cstheme="majorBidi"/>
                  <w:caps/>
                  <w:color w:val="156082" w:themeColor="accent1"/>
                  <w:sz w:val="44"/>
                  <w:szCs w:val="44"/>
                </w:rPr>
                <w:t>responsible sourcing initiatives</w:t>
              </w:r>
              <w:r w:rsidR="007C2398" w:rsidRPr="00AF263D">
                <w:rPr>
                  <w:rFonts w:asciiTheme="majorHAnsi" w:eastAsiaTheme="majorEastAsia" w:hAnsiTheme="majorHAnsi" w:cstheme="majorBidi"/>
                  <w:caps/>
                  <w:color w:val="156082" w:themeColor="accent1"/>
                  <w:sz w:val="44"/>
                  <w:szCs w:val="44"/>
                </w:rPr>
                <w:t xml:space="preserve"> </w:t>
              </w:r>
              <w:r w:rsidRPr="00AF263D">
                <w:rPr>
                  <w:rFonts w:asciiTheme="majorHAnsi" w:eastAsiaTheme="majorEastAsia" w:hAnsiTheme="majorHAnsi" w:cstheme="majorBidi"/>
                  <w:caps/>
                  <w:color w:val="156082" w:themeColor="accent1"/>
                  <w:sz w:val="44"/>
                  <w:szCs w:val="44"/>
                </w:rPr>
                <w:t xml:space="preserve">sustainability and business ethics of the democratic republic of CONGO’S </w:t>
              </w:r>
              <w:r w:rsidR="00673679">
                <w:rPr>
                  <w:rFonts w:asciiTheme="majorHAnsi" w:eastAsiaTheme="majorEastAsia" w:hAnsiTheme="majorHAnsi" w:cstheme="majorBidi"/>
                  <w:caps/>
                  <w:color w:val="156082" w:themeColor="accent1"/>
                  <w:sz w:val="44"/>
                  <w:szCs w:val="44"/>
                </w:rPr>
                <w:t>Co</w:t>
              </w:r>
              <w:r w:rsidR="001F779D">
                <w:rPr>
                  <w:rFonts w:asciiTheme="majorHAnsi" w:eastAsiaTheme="majorEastAsia" w:hAnsiTheme="majorHAnsi" w:cstheme="majorBidi"/>
                  <w:caps/>
                  <w:color w:val="156082" w:themeColor="accent1"/>
                  <w:sz w:val="44"/>
                  <w:szCs w:val="44"/>
                </w:rPr>
                <w:t>balt</w:t>
              </w:r>
              <w:r w:rsidRPr="00AF263D">
                <w:rPr>
                  <w:rFonts w:asciiTheme="majorHAnsi" w:eastAsiaTheme="majorEastAsia" w:hAnsiTheme="majorHAnsi" w:cstheme="majorBidi"/>
                  <w:caps/>
                  <w:color w:val="156082" w:themeColor="accent1"/>
                  <w:sz w:val="44"/>
                  <w:szCs w:val="44"/>
                </w:rPr>
                <w:t xml:space="preserve"> SUPPLY Chain management</w:t>
              </w:r>
            </w:p>
          </w:sdtContent>
        </w:sdt>
        <w:p w14:paraId="3CDF1FF1" w14:textId="62D461B0" w:rsidR="009219FD" w:rsidRDefault="00000000" w:rsidP="005F0619">
          <w:pPr>
            <w:pStyle w:val="NoSpacing"/>
            <w:jc w:val="center"/>
            <w:rPr>
              <w:color w:val="156082" w:themeColor="accent1"/>
            </w:rPr>
          </w:pPr>
          <w:sdt>
            <w:sdtPr>
              <w:rPr>
                <w:rFonts w:eastAsiaTheme="minorHAnsi"/>
                <w:color w:val="156082" w:themeColor="accent1"/>
                <w:kern w:val="2"/>
                <w:sz w:val="24"/>
                <w:szCs w:val="24"/>
                <w:lang w:eastAsia="en-US"/>
                <w14:ligatures w14:val="standardContextual"/>
              </w:rPr>
              <w:alias w:val="Subtitle"/>
              <w:tag w:val=""/>
              <w:id w:val="328029620"/>
              <w:placeholder>
                <w:docPart w:val="F763D58848F84DC1BF247534C90ABB59"/>
              </w:placeholder>
              <w:dataBinding w:prefixMappings="xmlns:ns0='http://purl.org/dc/elements/1.1/' xmlns:ns1='http://schemas.openxmlformats.org/package/2006/metadata/core-properties' " w:xpath="/ns1:coreProperties[1]/ns0:subject[1]" w:storeItemID="{6C3C8BC8-F283-45AE-878A-BAB7291924A1}"/>
              <w:text/>
            </w:sdtPr>
            <w:sdtContent>
              <w:r w:rsidR="00123576" w:rsidRPr="00123576">
                <w:rPr>
                  <w:rFonts w:eastAsiaTheme="minorHAnsi"/>
                  <w:color w:val="156082" w:themeColor="accent1"/>
                  <w:kern w:val="2"/>
                  <w:sz w:val="24"/>
                  <w:szCs w:val="24"/>
                  <w:lang w:eastAsia="en-US"/>
                  <w14:ligatures w14:val="standardContextual"/>
                </w:rPr>
                <w:t xml:space="preserve">Research Principles and Philosophy </w:t>
              </w:r>
              <w:r w:rsidR="005F0619" w:rsidRPr="00123576">
                <w:rPr>
                  <w:rFonts w:eastAsiaTheme="minorHAnsi"/>
                  <w:color w:val="156082" w:themeColor="accent1"/>
                  <w:kern w:val="2"/>
                  <w:sz w:val="24"/>
                  <w:szCs w:val="24"/>
                  <w:lang w:eastAsia="en-US"/>
                  <w14:ligatures w14:val="standardContextual"/>
                </w:rPr>
                <w:t>D</w:t>
              </w:r>
              <w:r w:rsidR="005F0619">
                <w:rPr>
                  <w:rFonts w:eastAsiaTheme="minorHAnsi"/>
                  <w:color w:val="156082" w:themeColor="accent1"/>
                  <w:kern w:val="2"/>
                  <w:sz w:val="24"/>
                  <w:szCs w:val="24"/>
                  <w:lang w:eastAsia="en-US"/>
                  <w14:ligatures w14:val="standardContextual"/>
                </w:rPr>
                <w:t>octor</w:t>
              </w:r>
              <w:r w:rsidR="007B177A">
                <w:rPr>
                  <w:rFonts w:eastAsiaTheme="minorHAnsi"/>
                  <w:color w:val="156082" w:themeColor="accent1"/>
                  <w:kern w:val="2"/>
                  <w:sz w:val="24"/>
                  <w:szCs w:val="24"/>
                  <w:lang w:eastAsia="en-US"/>
                  <w14:ligatures w14:val="standardContextual"/>
                </w:rPr>
                <w:t xml:space="preserve"> of Business Administration: LCDB 7007</w:t>
              </w:r>
            </w:sdtContent>
          </w:sdt>
          <w:r w:rsidR="009219FD">
            <w:rPr>
              <w:noProof/>
              <w:color w:val="156082" w:themeColor="accent1"/>
            </w:rPr>
            <mc:AlternateContent>
              <mc:Choice Requires="wps">
                <w:drawing>
                  <wp:anchor distT="0" distB="0" distL="114300" distR="114300" simplePos="0" relativeHeight="251659264" behindDoc="0" locked="0" layoutInCell="1" allowOverlap="1" wp14:anchorId="49AE0E57" wp14:editId="35690A1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21T00:00:00Z">
                                    <w:dateFormat w:val="dd MMMM yyyy"/>
                                    <w:lid w:val="en-GB"/>
                                    <w:storeMappedDataAs w:val="dateTime"/>
                                    <w:calendar w:val="gregorian"/>
                                  </w:date>
                                </w:sdtPr>
                                <w:sdtContent>
                                  <w:p w14:paraId="37B1D75C" w14:textId="42A24D09" w:rsidR="009219FD" w:rsidRDefault="00E75B05">
                                    <w:pPr>
                                      <w:pStyle w:val="NoSpacing"/>
                                      <w:spacing w:after="40"/>
                                      <w:jc w:val="center"/>
                                      <w:rPr>
                                        <w:caps/>
                                        <w:color w:val="156082" w:themeColor="accent1"/>
                                        <w:sz w:val="28"/>
                                        <w:szCs w:val="28"/>
                                      </w:rPr>
                                    </w:pPr>
                                    <w:r>
                                      <w:rPr>
                                        <w:caps/>
                                        <w:color w:val="156082" w:themeColor="accent1"/>
                                        <w:sz w:val="28"/>
                                        <w:szCs w:val="28"/>
                                      </w:rPr>
                                      <w:t>21 November 2025</w:t>
                                    </w:r>
                                  </w:p>
                                </w:sdtContent>
                              </w:sdt>
                              <w:p w14:paraId="3C9FC78D" w14:textId="3D695AB5" w:rsidR="009219FD"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227F0">
                                      <w:rPr>
                                        <w:caps/>
                                        <w:color w:val="156082" w:themeColor="accent1"/>
                                      </w:rPr>
                                      <w:t>STudent: Sabrina Reid mba</w:t>
                                    </w:r>
                                  </w:sdtContent>
                                </w:sdt>
                              </w:p>
                              <w:p w14:paraId="58B751F9" w14:textId="3B7560C8" w:rsidR="009219FD"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E31EE">
                                      <w:rPr>
                                        <w:color w:val="156082" w:themeColor="accent1"/>
                                      </w:rPr>
                                      <w:t>L</w:t>
                                    </w:r>
                                    <w:r w:rsidR="00757982">
                                      <w:rPr>
                                        <w:color w:val="156082" w:themeColor="accent1"/>
                                      </w:rPr>
                                      <w:t>ecturer</w:t>
                                    </w:r>
                                    <w:r w:rsidR="00DE31EE">
                                      <w:rPr>
                                        <w:color w:val="156082" w:themeColor="accent1"/>
                                      </w:rPr>
                                      <w:t>: Dr John Harris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9AE0E57"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21T00:00:00Z">
                              <w:dateFormat w:val="dd MMMM yyyy"/>
                              <w:lid w:val="en-GB"/>
                              <w:storeMappedDataAs w:val="dateTime"/>
                              <w:calendar w:val="gregorian"/>
                            </w:date>
                          </w:sdtPr>
                          <w:sdtContent>
                            <w:p w14:paraId="37B1D75C" w14:textId="42A24D09" w:rsidR="009219FD" w:rsidRDefault="00E75B05">
                              <w:pPr>
                                <w:pStyle w:val="NoSpacing"/>
                                <w:spacing w:after="40"/>
                                <w:jc w:val="center"/>
                                <w:rPr>
                                  <w:caps/>
                                  <w:color w:val="156082" w:themeColor="accent1"/>
                                  <w:sz w:val="28"/>
                                  <w:szCs w:val="28"/>
                                </w:rPr>
                              </w:pPr>
                              <w:r>
                                <w:rPr>
                                  <w:caps/>
                                  <w:color w:val="156082" w:themeColor="accent1"/>
                                  <w:sz w:val="28"/>
                                  <w:szCs w:val="28"/>
                                </w:rPr>
                                <w:t>21 November 2025</w:t>
                              </w:r>
                            </w:p>
                          </w:sdtContent>
                        </w:sdt>
                        <w:p w14:paraId="3C9FC78D" w14:textId="3D695AB5" w:rsidR="009219FD"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227F0">
                                <w:rPr>
                                  <w:caps/>
                                  <w:color w:val="156082" w:themeColor="accent1"/>
                                </w:rPr>
                                <w:t>STudent: Sabrina Reid mba</w:t>
                              </w:r>
                            </w:sdtContent>
                          </w:sdt>
                        </w:p>
                        <w:p w14:paraId="58B751F9" w14:textId="3B7560C8" w:rsidR="009219FD"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E31EE">
                                <w:rPr>
                                  <w:color w:val="156082" w:themeColor="accent1"/>
                                </w:rPr>
                                <w:t>L</w:t>
                              </w:r>
                              <w:r w:rsidR="00757982">
                                <w:rPr>
                                  <w:color w:val="156082" w:themeColor="accent1"/>
                                </w:rPr>
                                <w:t>ecturer</w:t>
                              </w:r>
                              <w:r w:rsidR="00DE31EE">
                                <w:rPr>
                                  <w:color w:val="156082" w:themeColor="accent1"/>
                                </w:rPr>
                                <w:t>: Dr John Harris</w:t>
                              </w:r>
                            </w:sdtContent>
                          </w:sdt>
                        </w:p>
                      </w:txbxContent>
                    </v:textbox>
                    <w10:wrap anchorx="margin" anchory="page"/>
                  </v:shape>
                </w:pict>
              </mc:Fallback>
            </mc:AlternateContent>
          </w:r>
          <w:r w:rsidR="009219FD">
            <w:rPr>
              <w:noProof/>
              <w:color w:val="156082" w:themeColor="accent1"/>
            </w:rPr>
            <w:drawing>
              <wp:inline distT="0" distB="0" distL="0" distR="0" wp14:anchorId="19B47F61" wp14:editId="7E3B80B9">
                <wp:extent cx="464127" cy="292884"/>
                <wp:effectExtent l="0" t="0" r="0"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93390" cy="311350"/>
                        </a:xfrm>
                        <a:prstGeom prst="rect">
                          <a:avLst/>
                        </a:prstGeom>
                      </pic:spPr>
                    </pic:pic>
                  </a:graphicData>
                </a:graphic>
              </wp:inline>
            </w:drawing>
          </w:r>
        </w:p>
        <w:p w14:paraId="2436B8CE" w14:textId="0AE07CE3" w:rsidR="009219FD" w:rsidRDefault="009219FD">
          <w:r>
            <w:br w:type="page"/>
          </w:r>
        </w:p>
      </w:sdtContent>
    </w:sdt>
    <w:sdt>
      <w:sdtPr>
        <w:rPr>
          <w:rFonts w:asciiTheme="minorHAnsi" w:eastAsiaTheme="minorHAnsi" w:hAnsiTheme="minorHAnsi" w:cstheme="minorBidi"/>
          <w:color w:val="auto"/>
          <w:kern w:val="2"/>
          <w:sz w:val="22"/>
          <w:szCs w:val="22"/>
          <w:lang w:eastAsia="en-US"/>
          <w14:ligatures w14:val="standardContextual"/>
        </w:rPr>
        <w:id w:val="-1458869941"/>
        <w:docPartObj>
          <w:docPartGallery w:val="Table of Contents"/>
          <w:docPartUnique/>
        </w:docPartObj>
      </w:sdtPr>
      <w:sdtEndPr>
        <w:rPr>
          <w:b/>
          <w:bCs/>
        </w:rPr>
      </w:sdtEndPr>
      <w:sdtContent>
        <w:p w14:paraId="60A7B85A" w14:textId="50FEA829" w:rsidR="00380E7F" w:rsidRDefault="00380E7F">
          <w:pPr>
            <w:pStyle w:val="TOCHeading"/>
          </w:pPr>
          <w:r>
            <w:t>Table of Contents</w:t>
          </w:r>
        </w:p>
        <w:p w14:paraId="3D881BE0" w14:textId="691620C8" w:rsidR="00483D37" w:rsidRDefault="00380E7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833464" w:history="1">
            <w:r w:rsidR="00483D37" w:rsidRPr="0021342B">
              <w:rPr>
                <w:rStyle w:val="Hyperlink"/>
                <w:noProof/>
              </w:rPr>
              <w:t>Executive Summary</w:t>
            </w:r>
            <w:r w:rsidR="00483D37">
              <w:rPr>
                <w:noProof/>
                <w:webHidden/>
              </w:rPr>
              <w:tab/>
            </w:r>
            <w:r w:rsidR="00483D37">
              <w:rPr>
                <w:noProof/>
                <w:webHidden/>
              </w:rPr>
              <w:fldChar w:fldCharType="begin"/>
            </w:r>
            <w:r w:rsidR="00483D37">
              <w:rPr>
                <w:noProof/>
                <w:webHidden/>
              </w:rPr>
              <w:instrText xml:space="preserve"> PAGEREF _Toc215833464 \h </w:instrText>
            </w:r>
            <w:r w:rsidR="00483D37">
              <w:rPr>
                <w:noProof/>
                <w:webHidden/>
              </w:rPr>
            </w:r>
            <w:r w:rsidR="00483D37">
              <w:rPr>
                <w:noProof/>
                <w:webHidden/>
              </w:rPr>
              <w:fldChar w:fldCharType="separate"/>
            </w:r>
            <w:r w:rsidR="00483D37">
              <w:rPr>
                <w:noProof/>
                <w:webHidden/>
              </w:rPr>
              <w:t>3</w:t>
            </w:r>
            <w:r w:rsidR="00483D37">
              <w:rPr>
                <w:noProof/>
                <w:webHidden/>
              </w:rPr>
              <w:fldChar w:fldCharType="end"/>
            </w:r>
          </w:hyperlink>
        </w:p>
        <w:p w14:paraId="29A23C63" w14:textId="0F3AA865" w:rsidR="00483D37" w:rsidRDefault="00483D37">
          <w:pPr>
            <w:pStyle w:val="TOC1"/>
            <w:tabs>
              <w:tab w:val="left" w:pos="440"/>
              <w:tab w:val="right" w:leader="dot" w:pos="9016"/>
            </w:tabs>
            <w:rPr>
              <w:rFonts w:eastAsiaTheme="minorEastAsia"/>
              <w:noProof/>
              <w:sz w:val="24"/>
              <w:szCs w:val="24"/>
              <w:lang w:eastAsia="en-GB"/>
            </w:rPr>
          </w:pPr>
          <w:hyperlink w:anchor="_Toc215833465" w:history="1">
            <w:r w:rsidRPr="0021342B">
              <w:rPr>
                <w:rStyle w:val="Hyperlink"/>
                <w:noProof/>
              </w:rPr>
              <w:t>1.</w:t>
            </w:r>
            <w:r>
              <w:rPr>
                <w:rFonts w:eastAsiaTheme="minorEastAsia"/>
                <w:noProof/>
                <w:sz w:val="24"/>
                <w:szCs w:val="24"/>
                <w:lang w:eastAsia="en-GB"/>
              </w:rPr>
              <w:tab/>
            </w:r>
            <w:r w:rsidRPr="0021342B">
              <w:rPr>
                <w:rStyle w:val="Hyperlink"/>
                <w:noProof/>
              </w:rPr>
              <w:t>Introduction</w:t>
            </w:r>
            <w:r>
              <w:rPr>
                <w:noProof/>
                <w:webHidden/>
              </w:rPr>
              <w:tab/>
            </w:r>
            <w:r>
              <w:rPr>
                <w:noProof/>
                <w:webHidden/>
              </w:rPr>
              <w:fldChar w:fldCharType="begin"/>
            </w:r>
            <w:r>
              <w:rPr>
                <w:noProof/>
                <w:webHidden/>
              </w:rPr>
              <w:instrText xml:space="preserve"> PAGEREF _Toc215833465 \h </w:instrText>
            </w:r>
            <w:r>
              <w:rPr>
                <w:noProof/>
                <w:webHidden/>
              </w:rPr>
            </w:r>
            <w:r>
              <w:rPr>
                <w:noProof/>
                <w:webHidden/>
              </w:rPr>
              <w:fldChar w:fldCharType="separate"/>
            </w:r>
            <w:r>
              <w:rPr>
                <w:noProof/>
                <w:webHidden/>
              </w:rPr>
              <w:t>4</w:t>
            </w:r>
            <w:r>
              <w:rPr>
                <w:noProof/>
                <w:webHidden/>
              </w:rPr>
              <w:fldChar w:fldCharType="end"/>
            </w:r>
          </w:hyperlink>
        </w:p>
        <w:p w14:paraId="4FF37DE7" w14:textId="32461B11" w:rsidR="00483D37" w:rsidRDefault="00483D37">
          <w:pPr>
            <w:pStyle w:val="TOC1"/>
            <w:tabs>
              <w:tab w:val="left" w:pos="440"/>
              <w:tab w:val="right" w:leader="dot" w:pos="9016"/>
            </w:tabs>
            <w:rPr>
              <w:rFonts w:eastAsiaTheme="minorEastAsia"/>
              <w:noProof/>
              <w:sz w:val="24"/>
              <w:szCs w:val="24"/>
              <w:lang w:eastAsia="en-GB"/>
            </w:rPr>
          </w:pPr>
          <w:hyperlink w:anchor="_Toc215833466" w:history="1">
            <w:r w:rsidRPr="0021342B">
              <w:rPr>
                <w:rStyle w:val="Hyperlink"/>
                <w:noProof/>
              </w:rPr>
              <w:t>2.</w:t>
            </w:r>
            <w:r>
              <w:rPr>
                <w:rFonts w:eastAsiaTheme="minorEastAsia"/>
                <w:noProof/>
                <w:sz w:val="24"/>
                <w:szCs w:val="24"/>
                <w:lang w:eastAsia="en-GB"/>
              </w:rPr>
              <w:tab/>
            </w:r>
            <w:r w:rsidRPr="0021342B">
              <w:rPr>
                <w:rStyle w:val="Hyperlink"/>
                <w:noProof/>
              </w:rPr>
              <w:t>Literature Evaluation</w:t>
            </w:r>
            <w:r>
              <w:rPr>
                <w:noProof/>
                <w:webHidden/>
              </w:rPr>
              <w:tab/>
            </w:r>
            <w:r>
              <w:rPr>
                <w:noProof/>
                <w:webHidden/>
              </w:rPr>
              <w:fldChar w:fldCharType="begin"/>
            </w:r>
            <w:r>
              <w:rPr>
                <w:noProof/>
                <w:webHidden/>
              </w:rPr>
              <w:instrText xml:space="preserve"> PAGEREF _Toc215833466 \h </w:instrText>
            </w:r>
            <w:r>
              <w:rPr>
                <w:noProof/>
                <w:webHidden/>
              </w:rPr>
            </w:r>
            <w:r>
              <w:rPr>
                <w:noProof/>
                <w:webHidden/>
              </w:rPr>
              <w:fldChar w:fldCharType="separate"/>
            </w:r>
            <w:r>
              <w:rPr>
                <w:noProof/>
                <w:webHidden/>
              </w:rPr>
              <w:t>7</w:t>
            </w:r>
            <w:r>
              <w:rPr>
                <w:noProof/>
                <w:webHidden/>
              </w:rPr>
              <w:fldChar w:fldCharType="end"/>
            </w:r>
          </w:hyperlink>
        </w:p>
        <w:p w14:paraId="4B31DBE3" w14:textId="19C0A0BF" w:rsidR="00483D37" w:rsidRDefault="00483D37">
          <w:pPr>
            <w:pStyle w:val="TOC2"/>
            <w:tabs>
              <w:tab w:val="right" w:leader="dot" w:pos="9016"/>
            </w:tabs>
            <w:rPr>
              <w:rFonts w:eastAsiaTheme="minorEastAsia"/>
              <w:noProof/>
              <w:sz w:val="24"/>
              <w:szCs w:val="24"/>
              <w:lang w:eastAsia="en-GB"/>
            </w:rPr>
          </w:pPr>
          <w:hyperlink w:anchor="_Toc215833467" w:history="1">
            <w:r w:rsidRPr="0021342B">
              <w:rPr>
                <w:rStyle w:val="Hyperlink"/>
                <w:noProof/>
              </w:rPr>
              <w:t>Literature Evaluation: Initiatives for Responsible Sourcing within the DRC Cobalt Supply Chain (2020–2025)</w:t>
            </w:r>
            <w:r>
              <w:rPr>
                <w:noProof/>
                <w:webHidden/>
              </w:rPr>
              <w:tab/>
            </w:r>
            <w:r>
              <w:rPr>
                <w:noProof/>
                <w:webHidden/>
              </w:rPr>
              <w:fldChar w:fldCharType="begin"/>
            </w:r>
            <w:r>
              <w:rPr>
                <w:noProof/>
                <w:webHidden/>
              </w:rPr>
              <w:instrText xml:space="preserve"> PAGEREF _Toc215833467 \h </w:instrText>
            </w:r>
            <w:r>
              <w:rPr>
                <w:noProof/>
                <w:webHidden/>
              </w:rPr>
            </w:r>
            <w:r>
              <w:rPr>
                <w:noProof/>
                <w:webHidden/>
              </w:rPr>
              <w:fldChar w:fldCharType="separate"/>
            </w:r>
            <w:r>
              <w:rPr>
                <w:noProof/>
                <w:webHidden/>
              </w:rPr>
              <w:t>7</w:t>
            </w:r>
            <w:r>
              <w:rPr>
                <w:noProof/>
                <w:webHidden/>
              </w:rPr>
              <w:fldChar w:fldCharType="end"/>
            </w:r>
          </w:hyperlink>
        </w:p>
        <w:p w14:paraId="52CD6C8E" w14:textId="6CCDF685" w:rsidR="00483D37" w:rsidRDefault="00483D37">
          <w:pPr>
            <w:pStyle w:val="TOC3"/>
            <w:tabs>
              <w:tab w:val="right" w:leader="dot" w:pos="9016"/>
            </w:tabs>
            <w:rPr>
              <w:rFonts w:eastAsiaTheme="minorEastAsia"/>
              <w:noProof/>
              <w:sz w:val="24"/>
              <w:szCs w:val="24"/>
              <w:lang w:eastAsia="en-GB"/>
            </w:rPr>
          </w:pPr>
          <w:hyperlink w:anchor="_Toc215833468" w:history="1">
            <w:r w:rsidRPr="0021342B">
              <w:rPr>
                <w:rStyle w:val="Hyperlink"/>
                <w:noProof/>
              </w:rPr>
              <w:t>2.1 Industry-driven initiatives</w:t>
            </w:r>
            <w:r>
              <w:rPr>
                <w:noProof/>
                <w:webHidden/>
              </w:rPr>
              <w:tab/>
            </w:r>
            <w:r>
              <w:rPr>
                <w:noProof/>
                <w:webHidden/>
              </w:rPr>
              <w:fldChar w:fldCharType="begin"/>
            </w:r>
            <w:r>
              <w:rPr>
                <w:noProof/>
                <w:webHidden/>
              </w:rPr>
              <w:instrText xml:space="preserve"> PAGEREF _Toc215833468 \h </w:instrText>
            </w:r>
            <w:r>
              <w:rPr>
                <w:noProof/>
                <w:webHidden/>
              </w:rPr>
            </w:r>
            <w:r>
              <w:rPr>
                <w:noProof/>
                <w:webHidden/>
              </w:rPr>
              <w:fldChar w:fldCharType="separate"/>
            </w:r>
            <w:r>
              <w:rPr>
                <w:noProof/>
                <w:webHidden/>
              </w:rPr>
              <w:t>7</w:t>
            </w:r>
            <w:r>
              <w:rPr>
                <w:noProof/>
                <w:webHidden/>
              </w:rPr>
              <w:fldChar w:fldCharType="end"/>
            </w:r>
          </w:hyperlink>
        </w:p>
        <w:p w14:paraId="2DCA5C4D" w14:textId="5D2FF98C" w:rsidR="00483D37" w:rsidRDefault="00483D37">
          <w:pPr>
            <w:pStyle w:val="TOC3"/>
            <w:tabs>
              <w:tab w:val="right" w:leader="dot" w:pos="9016"/>
            </w:tabs>
            <w:rPr>
              <w:rFonts w:eastAsiaTheme="minorEastAsia"/>
              <w:noProof/>
              <w:sz w:val="24"/>
              <w:szCs w:val="24"/>
              <w:lang w:eastAsia="en-GB"/>
            </w:rPr>
          </w:pPr>
          <w:hyperlink w:anchor="_Toc215833469" w:history="1">
            <w:r w:rsidRPr="0021342B">
              <w:rPr>
                <w:rStyle w:val="Hyperlink"/>
                <w:noProof/>
              </w:rPr>
              <w:t>2.2 Multi-stakeholder and NGO initiatives</w:t>
            </w:r>
            <w:r>
              <w:rPr>
                <w:noProof/>
                <w:webHidden/>
              </w:rPr>
              <w:tab/>
            </w:r>
            <w:r>
              <w:rPr>
                <w:noProof/>
                <w:webHidden/>
              </w:rPr>
              <w:fldChar w:fldCharType="begin"/>
            </w:r>
            <w:r>
              <w:rPr>
                <w:noProof/>
                <w:webHidden/>
              </w:rPr>
              <w:instrText xml:space="preserve"> PAGEREF _Toc215833469 \h </w:instrText>
            </w:r>
            <w:r>
              <w:rPr>
                <w:noProof/>
                <w:webHidden/>
              </w:rPr>
            </w:r>
            <w:r>
              <w:rPr>
                <w:noProof/>
                <w:webHidden/>
              </w:rPr>
              <w:fldChar w:fldCharType="separate"/>
            </w:r>
            <w:r>
              <w:rPr>
                <w:noProof/>
                <w:webHidden/>
              </w:rPr>
              <w:t>8</w:t>
            </w:r>
            <w:r>
              <w:rPr>
                <w:noProof/>
                <w:webHidden/>
              </w:rPr>
              <w:fldChar w:fldCharType="end"/>
            </w:r>
          </w:hyperlink>
        </w:p>
        <w:p w14:paraId="4743D236" w14:textId="5C379DDB" w:rsidR="00483D37" w:rsidRDefault="00483D37">
          <w:pPr>
            <w:pStyle w:val="TOC1"/>
            <w:tabs>
              <w:tab w:val="left" w:pos="440"/>
              <w:tab w:val="right" w:leader="dot" w:pos="9016"/>
            </w:tabs>
            <w:rPr>
              <w:rFonts w:eastAsiaTheme="minorEastAsia"/>
              <w:noProof/>
              <w:sz w:val="24"/>
              <w:szCs w:val="24"/>
              <w:lang w:eastAsia="en-GB"/>
            </w:rPr>
          </w:pPr>
          <w:hyperlink w:anchor="_Toc215833470" w:history="1">
            <w:r w:rsidRPr="0021342B">
              <w:rPr>
                <w:rStyle w:val="Hyperlink"/>
                <w:noProof/>
              </w:rPr>
              <w:t>3.</w:t>
            </w:r>
            <w:r>
              <w:rPr>
                <w:rFonts w:eastAsiaTheme="minorEastAsia"/>
                <w:noProof/>
                <w:sz w:val="24"/>
                <w:szCs w:val="24"/>
                <w:lang w:eastAsia="en-GB"/>
              </w:rPr>
              <w:tab/>
            </w:r>
            <w:r w:rsidRPr="0021342B">
              <w:rPr>
                <w:rStyle w:val="Hyperlink"/>
                <w:noProof/>
              </w:rPr>
              <w:t>Business Ethics and Sustainability within the DRC Cobalt Supply Chain</w:t>
            </w:r>
            <w:r>
              <w:rPr>
                <w:noProof/>
                <w:webHidden/>
              </w:rPr>
              <w:tab/>
            </w:r>
            <w:r>
              <w:rPr>
                <w:noProof/>
                <w:webHidden/>
              </w:rPr>
              <w:fldChar w:fldCharType="begin"/>
            </w:r>
            <w:r>
              <w:rPr>
                <w:noProof/>
                <w:webHidden/>
              </w:rPr>
              <w:instrText xml:space="preserve"> PAGEREF _Toc215833470 \h </w:instrText>
            </w:r>
            <w:r>
              <w:rPr>
                <w:noProof/>
                <w:webHidden/>
              </w:rPr>
            </w:r>
            <w:r>
              <w:rPr>
                <w:noProof/>
                <w:webHidden/>
              </w:rPr>
              <w:fldChar w:fldCharType="separate"/>
            </w:r>
            <w:r>
              <w:rPr>
                <w:noProof/>
                <w:webHidden/>
              </w:rPr>
              <w:t>9</w:t>
            </w:r>
            <w:r>
              <w:rPr>
                <w:noProof/>
                <w:webHidden/>
              </w:rPr>
              <w:fldChar w:fldCharType="end"/>
            </w:r>
          </w:hyperlink>
        </w:p>
        <w:p w14:paraId="0FE42C19" w14:textId="5EF2B8D5" w:rsidR="00483D37" w:rsidRDefault="00483D37">
          <w:pPr>
            <w:pStyle w:val="TOC2"/>
            <w:tabs>
              <w:tab w:val="right" w:leader="dot" w:pos="9016"/>
            </w:tabs>
            <w:rPr>
              <w:rFonts w:eastAsiaTheme="minorEastAsia"/>
              <w:noProof/>
              <w:sz w:val="24"/>
              <w:szCs w:val="24"/>
              <w:lang w:eastAsia="en-GB"/>
            </w:rPr>
          </w:pPr>
          <w:hyperlink w:anchor="_Toc215833471" w:history="1">
            <w:r w:rsidRPr="0021342B">
              <w:rPr>
                <w:rStyle w:val="Hyperlink"/>
                <w:noProof/>
              </w:rPr>
              <w:t>3.1 Dimensions of Sustainability</w:t>
            </w:r>
            <w:r>
              <w:rPr>
                <w:noProof/>
                <w:webHidden/>
              </w:rPr>
              <w:tab/>
            </w:r>
            <w:r>
              <w:rPr>
                <w:noProof/>
                <w:webHidden/>
              </w:rPr>
              <w:fldChar w:fldCharType="begin"/>
            </w:r>
            <w:r>
              <w:rPr>
                <w:noProof/>
                <w:webHidden/>
              </w:rPr>
              <w:instrText xml:space="preserve"> PAGEREF _Toc215833471 \h </w:instrText>
            </w:r>
            <w:r>
              <w:rPr>
                <w:noProof/>
                <w:webHidden/>
              </w:rPr>
            </w:r>
            <w:r>
              <w:rPr>
                <w:noProof/>
                <w:webHidden/>
              </w:rPr>
              <w:fldChar w:fldCharType="separate"/>
            </w:r>
            <w:r>
              <w:rPr>
                <w:noProof/>
                <w:webHidden/>
              </w:rPr>
              <w:t>9</w:t>
            </w:r>
            <w:r>
              <w:rPr>
                <w:noProof/>
                <w:webHidden/>
              </w:rPr>
              <w:fldChar w:fldCharType="end"/>
            </w:r>
          </w:hyperlink>
        </w:p>
        <w:p w14:paraId="3F7C83B0" w14:textId="28F53D01" w:rsidR="00483D37" w:rsidRDefault="00483D37">
          <w:pPr>
            <w:pStyle w:val="TOC3"/>
            <w:tabs>
              <w:tab w:val="right" w:leader="dot" w:pos="9016"/>
            </w:tabs>
            <w:rPr>
              <w:rFonts w:eastAsiaTheme="minorEastAsia"/>
              <w:noProof/>
              <w:sz w:val="24"/>
              <w:szCs w:val="24"/>
              <w:lang w:eastAsia="en-GB"/>
            </w:rPr>
          </w:pPr>
          <w:hyperlink w:anchor="_Toc215833472" w:history="1">
            <w:r w:rsidRPr="0021342B">
              <w:rPr>
                <w:rStyle w:val="Hyperlink"/>
                <w:noProof/>
              </w:rPr>
              <w:t>Sustainable Environmental Development</w:t>
            </w:r>
            <w:r>
              <w:rPr>
                <w:noProof/>
                <w:webHidden/>
              </w:rPr>
              <w:tab/>
            </w:r>
            <w:r>
              <w:rPr>
                <w:noProof/>
                <w:webHidden/>
              </w:rPr>
              <w:fldChar w:fldCharType="begin"/>
            </w:r>
            <w:r>
              <w:rPr>
                <w:noProof/>
                <w:webHidden/>
              </w:rPr>
              <w:instrText xml:space="preserve"> PAGEREF _Toc215833472 \h </w:instrText>
            </w:r>
            <w:r>
              <w:rPr>
                <w:noProof/>
                <w:webHidden/>
              </w:rPr>
            </w:r>
            <w:r>
              <w:rPr>
                <w:noProof/>
                <w:webHidden/>
              </w:rPr>
              <w:fldChar w:fldCharType="separate"/>
            </w:r>
            <w:r>
              <w:rPr>
                <w:noProof/>
                <w:webHidden/>
              </w:rPr>
              <w:t>9</w:t>
            </w:r>
            <w:r>
              <w:rPr>
                <w:noProof/>
                <w:webHidden/>
              </w:rPr>
              <w:fldChar w:fldCharType="end"/>
            </w:r>
          </w:hyperlink>
        </w:p>
        <w:p w14:paraId="26D4D127" w14:textId="14DF7306" w:rsidR="00483D37" w:rsidRDefault="00483D37">
          <w:pPr>
            <w:pStyle w:val="TOC3"/>
            <w:tabs>
              <w:tab w:val="right" w:leader="dot" w:pos="9016"/>
            </w:tabs>
            <w:rPr>
              <w:rFonts w:eastAsiaTheme="minorEastAsia"/>
              <w:noProof/>
              <w:sz w:val="24"/>
              <w:szCs w:val="24"/>
              <w:lang w:eastAsia="en-GB"/>
            </w:rPr>
          </w:pPr>
          <w:hyperlink w:anchor="_Toc215833473" w:history="1">
            <w:r w:rsidRPr="0021342B">
              <w:rPr>
                <w:rStyle w:val="Hyperlink"/>
                <w:noProof/>
              </w:rPr>
              <w:t>Social Sustainability</w:t>
            </w:r>
            <w:r>
              <w:rPr>
                <w:noProof/>
                <w:webHidden/>
              </w:rPr>
              <w:tab/>
            </w:r>
            <w:r>
              <w:rPr>
                <w:noProof/>
                <w:webHidden/>
              </w:rPr>
              <w:fldChar w:fldCharType="begin"/>
            </w:r>
            <w:r>
              <w:rPr>
                <w:noProof/>
                <w:webHidden/>
              </w:rPr>
              <w:instrText xml:space="preserve"> PAGEREF _Toc215833473 \h </w:instrText>
            </w:r>
            <w:r>
              <w:rPr>
                <w:noProof/>
                <w:webHidden/>
              </w:rPr>
            </w:r>
            <w:r>
              <w:rPr>
                <w:noProof/>
                <w:webHidden/>
              </w:rPr>
              <w:fldChar w:fldCharType="separate"/>
            </w:r>
            <w:r>
              <w:rPr>
                <w:noProof/>
                <w:webHidden/>
              </w:rPr>
              <w:t>10</w:t>
            </w:r>
            <w:r>
              <w:rPr>
                <w:noProof/>
                <w:webHidden/>
              </w:rPr>
              <w:fldChar w:fldCharType="end"/>
            </w:r>
          </w:hyperlink>
        </w:p>
        <w:p w14:paraId="4D689351" w14:textId="1EF65E3F" w:rsidR="00483D37" w:rsidRDefault="00483D37">
          <w:pPr>
            <w:pStyle w:val="TOC3"/>
            <w:tabs>
              <w:tab w:val="right" w:leader="dot" w:pos="9016"/>
            </w:tabs>
            <w:rPr>
              <w:rFonts w:eastAsiaTheme="minorEastAsia"/>
              <w:noProof/>
              <w:sz w:val="24"/>
              <w:szCs w:val="24"/>
              <w:lang w:eastAsia="en-GB"/>
            </w:rPr>
          </w:pPr>
          <w:hyperlink w:anchor="_Toc215833474" w:history="1">
            <w:r w:rsidRPr="0021342B">
              <w:rPr>
                <w:rStyle w:val="Hyperlink"/>
                <w:noProof/>
              </w:rPr>
              <w:t>Economical Sustainability</w:t>
            </w:r>
            <w:r>
              <w:rPr>
                <w:noProof/>
                <w:webHidden/>
              </w:rPr>
              <w:tab/>
            </w:r>
            <w:r>
              <w:rPr>
                <w:noProof/>
                <w:webHidden/>
              </w:rPr>
              <w:fldChar w:fldCharType="begin"/>
            </w:r>
            <w:r>
              <w:rPr>
                <w:noProof/>
                <w:webHidden/>
              </w:rPr>
              <w:instrText xml:space="preserve"> PAGEREF _Toc215833474 \h </w:instrText>
            </w:r>
            <w:r>
              <w:rPr>
                <w:noProof/>
                <w:webHidden/>
              </w:rPr>
            </w:r>
            <w:r>
              <w:rPr>
                <w:noProof/>
                <w:webHidden/>
              </w:rPr>
              <w:fldChar w:fldCharType="separate"/>
            </w:r>
            <w:r>
              <w:rPr>
                <w:noProof/>
                <w:webHidden/>
              </w:rPr>
              <w:t>11</w:t>
            </w:r>
            <w:r>
              <w:rPr>
                <w:noProof/>
                <w:webHidden/>
              </w:rPr>
              <w:fldChar w:fldCharType="end"/>
            </w:r>
          </w:hyperlink>
        </w:p>
        <w:p w14:paraId="3FE87593" w14:textId="107901C7" w:rsidR="00483D37" w:rsidRDefault="00483D37">
          <w:pPr>
            <w:pStyle w:val="TOC2"/>
            <w:tabs>
              <w:tab w:val="right" w:leader="dot" w:pos="9016"/>
            </w:tabs>
            <w:rPr>
              <w:rFonts w:eastAsiaTheme="minorEastAsia"/>
              <w:noProof/>
              <w:sz w:val="24"/>
              <w:szCs w:val="24"/>
              <w:lang w:eastAsia="en-GB"/>
            </w:rPr>
          </w:pPr>
          <w:hyperlink w:anchor="_Toc215833475" w:history="1">
            <w:r w:rsidRPr="0021342B">
              <w:rPr>
                <w:rStyle w:val="Hyperlink"/>
                <w:noProof/>
              </w:rPr>
              <w:t>3.2 Corporate Ethics Dimensions</w:t>
            </w:r>
            <w:r>
              <w:rPr>
                <w:noProof/>
                <w:webHidden/>
              </w:rPr>
              <w:tab/>
            </w:r>
            <w:r>
              <w:rPr>
                <w:noProof/>
                <w:webHidden/>
              </w:rPr>
              <w:fldChar w:fldCharType="begin"/>
            </w:r>
            <w:r>
              <w:rPr>
                <w:noProof/>
                <w:webHidden/>
              </w:rPr>
              <w:instrText xml:space="preserve"> PAGEREF _Toc215833475 \h </w:instrText>
            </w:r>
            <w:r>
              <w:rPr>
                <w:noProof/>
                <w:webHidden/>
              </w:rPr>
            </w:r>
            <w:r>
              <w:rPr>
                <w:noProof/>
                <w:webHidden/>
              </w:rPr>
              <w:fldChar w:fldCharType="separate"/>
            </w:r>
            <w:r>
              <w:rPr>
                <w:noProof/>
                <w:webHidden/>
              </w:rPr>
              <w:t>11</w:t>
            </w:r>
            <w:r>
              <w:rPr>
                <w:noProof/>
                <w:webHidden/>
              </w:rPr>
              <w:fldChar w:fldCharType="end"/>
            </w:r>
          </w:hyperlink>
        </w:p>
        <w:p w14:paraId="53F35880" w14:textId="508349EC" w:rsidR="00483D37" w:rsidRDefault="00483D37">
          <w:pPr>
            <w:pStyle w:val="TOC3"/>
            <w:tabs>
              <w:tab w:val="right" w:leader="dot" w:pos="9016"/>
            </w:tabs>
            <w:rPr>
              <w:rFonts w:eastAsiaTheme="minorEastAsia"/>
              <w:noProof/>
              <w:sz w:val="24"/>
              <w:szCs w:val="24"/>
              <w:lang w:eastAsia="en-GB"/>
            </w:rPr>
          </w:pPr>
          <w:hyperlink w:anchor="_Toc215833476" w:history="1">
            <w:r w:rsidRPr="0021342B">
              <w:rPr>
                <w:rStyle w:val="Hyperlink"/>
                <w:noProof/>
              </w:rPr>
              <w:t>Responsibility for Corporations</w:t>
            </w:r>
            <w:r>
              <w:rPr>
                <w:noProof/>
                <w:webHidden/>
              </w:rPr>
              <w:tab/>
            </w:r>
            <w:r>
              <w:rPr>
                <w:noProof/>
                <w:webHidden/>
              </w:rPr>
              <w:fldChar w:fldCharType="begin"/>
            </w:r>
            <w:r>
              <w:rPr>
                <w:noProof/>
                <w:webHidden/>
              </w:rPr>
              <w:instrText xml:space="preserve"> PAGEREF _Toc215833476 \h </w:instrText>
            </w:r>
            <w:r>
              <w:rPr>
                <w:noProof/>
                <w:webHidden/>
              </w:rPr>
            </w:r>
            <w:r>
              <w:rPr>
                <w:noProof/>
                <w:webHidden/>
              </w:rPr>
              <w:fldChar w:fldCharType="separate"/>
            </w:r>
            <w:r>
              <w:rPr>
                <w:noProof/>
                <w:webHidden/>
              </w:rPr>
              <w:t>11</w:t>
            </w:r>
            <w:r>
              <w:rPr>
                <w:noProof/>
                <w:webHidden/>
              </w:rPr>
              <w:fldChar w:fldCharType="end"/>
            </w:r>
          </w:hyperlink>
        </w:p>
        <w:p w14:paraId="39970702" w14:textId="40B2CF17" w:rsidR="00483D37" w:rsidRDefault="00483D37">
          <w:pPr>
            <w:pStyle w:val="TOC3"/>
            <w:tabs>
              <w:tab w:val="right" w:leader="dot" w:pos="9016"/>
            </w:tabs>
            <w:rPr>
              <w:rFonts w:eastAsiaTheme="minorEastAsia"/>
              <w:noProof/>
              <w:sz w:val="24"/>
              <w:szCs w:val="24"/>
              <w:lang w:eastAsia="en-GB"/>
            </w:rPr>
          </w:pPr>
          <w:hyperlink w:anchor="_Toc215833477" w:history="1">
            <w:r w:rsidRPr="0021342B">
              <w:rPr>
                <w:rStyle w:val="Hyperlink"/>
                <w:noProof/>
              </w:rPr>
              <w:t>Dilemmas of Ethics</w:t>
            </w:r>
            <w:r>
              <w:rPr>
                <w:noProof/>
                <w:webHidden/>
              </w:rPr>
              <w:tab/>
            </w:r>
            <w:r>
              <w:rPr>
                <w:noProof/>
                <w:webHidden/>
              </w:rPr>
              <w:fldChar w:fldCharType="begin"/>
            </w:r>
            <w:r>
              <w:rPr>
                <w:noProof/>
                <w:webHidden/>
              </w:rPr>
              <w:instrText xml:space="preserve"> PAGEREF _Toc215833477 \h </w:instrText>
            </w:r>
            <w:r>
              <w:rPr>
                <w:noProof/>
                <w:webHidden/>
              </w:rPr>
            </w:r>
            <w:r>
              <w:rPr>
                <w:noProof/>
                <w:webHidden/>
              </w:rPr>
              <w:fldChar w:fldCharType="separate"/>
            </w:r>
            <w:r>
              <w:rPr>
                <w:noProof/>
                <w:webHidden/>
              </w:rPr>
              <w:t>11</w:t>
            </w:r>
            <w:r>
              <w:rPr>
                <w:noProof/>
                <w:webHidden/>
              </w:rPr>
              <w:fldChar w:fldCharType="end"/>
            </w:r>
          </w:hyperlink>
        </w:p>
        <w:p w14:paraId="71F4AFC4" w14:textId="19ED04F2" w:rsidR="00483D37" w:rsidRDefault="00483D37">
          <w:pPr>
            <w:pStyle w:val="TOC3"/>
            <w:tabs>
              <w:tab w:val="right" w:leader="dot" w:pos="9016"/>
            </w:tabs>
            <w:rPr>
              <w:rFonts w:eastAsiaTheme="minorEastAsia"/>
              <w:noProof/>
              <w:sz w:val="24"/>
              <w:szCs w:val="24"/>
              <w:lang w:eastAsia="en-GB"/>
            </w:rPr>
          </w:pPr>
          <w:hyperlink w:anchor="_Toc215833478" w:history="1">
            <w:r w:rsidRPr="0021342B">
              <w:rPr>
                <w:rStyle w:val="Hyperlink"/>
                <w:noProof/>
              </w:rPr>
              <w:t>Accountability and Transparency</w:t>
            </w:r>
            <w:r>
              <w:rPr>
                <w:noProof/>
                <w:webHidden/>
              </w:rPr>
              <w:tab/>
            </w:r>
            <w:r>
              <w:rPr>
                <w:noProof/>
                <w:webHidden/>
              </w:rPr>
              <w:fldChar w:fldCharType="begin"/>
            </w:r>
            <w:r>
              <w:rPr>
                <w:noProof/>
                <w:webHidden/>
              </w:rPr>
              <w:instrText xml:space="preserve"> PAGEREF _Toc215833478 \h </w:instrText>
            </w:r>
            <w:r>
              <w:rPr>
                <w:noProof/>
                <w:webHidden/>
              </w:rPr>
            </w:r>
            <w:r>
              <w:rPr>
                <w:noProof/>
                <w:webHidden/>
              </w:rPr>
              <w:fldChar w:fldCharType="separate"/>
            </w:r>
            <w:r>
              <w:rPr>
                <w:noProof/>
                <w:webHidden/>
              </w:rPr>
              <w:t>12</w:t>
            </w:r>
            <w:r>
              <w:rPr>
                <w:noProof/>
                <w:webHidden/>
              </w:rPr>
              <w:fldChar w:fldCharType="end"/>
            </w:r>
          </w:hyperlink>
        </w:p>
        <w:p w14:paraId="5307DC73" w14:textId="13C3EB31" w:rsidR="00483D37" w:rsidRDefault="00483D37">
          <w:pPr>
            <w:pStyle w:val="TOC3"/>
            <w:tabs>
              <w:tab w:val="right" w:leader="dot" w:pos="9016"/>
            </w:tabs>
            <w:rPr>
              <w:rFonts w:eastAsiaTheme="minorEastAsia"/>
              <w:noProof/>
              <w:sz w:val="24"/>
              <w:szCs w:val="24"/>
              <w:lang w:eastAsia="en-GB"/>
            </w:rPr>
          </w:pPr>
          <w:hyperlink w:anchor="_Toc215833479" w:history="1">
            <w:r w:rsidRPr="0021342B">
              <w:rPr>
                <w:rStyle w:val="Hyperlink"/>
                <w:noProof/>
              </w:rPr>
              <w:t>Inequality Globally</w:t>
            </w:r>
            <w:r>
              <w:rPr>
                <w:noProof/>
                <w:webHidden/>
              </w:rPr>
              <w:tab/>
            </w:r>
            <w:r>
              <w:rPr>
                <w:noProof/>
                <w:webHidden/>
              </w:rPr>
              <w:fldChar w:fldCharType="begin"/>
            </w:r>
            <w:r>
              <w:rPr>
                <w:noProof/>
                <w:webHidden/>
              </w:rPr>
              <w:instrText xml:space="preserve"> PAGEREF _Toc215833479 \h </w:instrText>
            </w:r>
            <w:r>
              <w:rPr>
                <w:noProof/>
                <w:webHidden/>
              </w:rPr>
            </w:r>
            <w:r>
              <w:rPr>
                <w:noProof/>
                <w:webHidden/>
              </w:rPr>
              <w:fldChar w:fldCharType="separate"/>
            </w:r>
            <w:r>
              <w:rPr>
                <w:noProof/>
                <w:webHidden/>
              </w:rPr>
              <w:t>12</w:t>
            </w:r>
            <w:r>
              <w:rPr>
                <w:noProof/>
                <w:webHidden/>
              </w:rPr>
              <w:fldChar w:fldCharType="end"/>
            </w:r>
          </w:hyperlink>
        </w:p>
        <w:p w14:paraId="6FA1177E" w14:textId="6C1CD764" w:rsidR="00483D37" w:rsidRDefault="00483D37">
          <w:pPr>
            <w:pStyle w:val="TOC2"/>
            <w:tabs>
              <w:tab w:val="right" w:leader="dot" w:pos="9016"/>
            </w:tabs>
            <w:rPr>
              <w:rFonts w:eastAsiaTheme="minorEastAsia"/>
              <w:noProof/>
              <w:sz w:val="24"/>
              <w:szCs w:val="24"/>
              <w:lang w:eastAsia="en-GB"/>
            </w:rPr>
          </w:pPr>
          <w:hyperlink w:anchor="_Toc215833480" w:history="1">
            <w:r w:rsidRPr="0021342B">
              <w:rPr>
                <w:rStyle w:val="Hyperlink"/>
                <w:noProof/>
              </w:rPr>
              <w:t>3.3 Critical Analysis</w:t>
            </w:r>
            <w:r>
              <w:rPr>
                <w:noProof/>
                <w:webHidden/>
              </w:rPr>
              <w:tab/>
            </w:r>
            <w:r>
              <w:rPr>
                <w:noProof/>
                <w:webHidden/>
              </w:rPr>
              <w:fldChar w:fldCharType="begin"/>
            </w:r>
            <w:r>
              <w:rPr>
                <w:noProof/>
                <w:webHidden/>
              </w:rPr>
              <w:instrText xml:space="preserve"> PAGEREF _Toc215833480 \h </w:instrText>
            </w:r>
            <w:r>
              <w:rPr>
                <w:noProof/>
                <w:webHidden/>
              </w:rPr>
            </w:r>
            <w:r>
              <w:rPr>
                <w:noProof/>
                <w:webHidden/>
              </w:rPr>
              <w:fldChar w:fldCharType="separate"/>
            </w:r>
            <w:r>
              <w:rPr>
                <w:noProof/>
                <w:webHidden/>
              </w:rPr>
              <w:t>12</w:t>
            </w:r>
            <w:r>
              <w:rPr>
                <w:noProof/>
                <w:webHidden/>
              </w:rPr>
              <w:fldChar w:fldCharType="end"/>
            </w:r>
          </w:hyperlink>
        </w:p>
        <w:p w14:paraId="120F364F" w14:textId="2E537959" w:rsidR="00483D37" w:rsidRDefault="00483D37">
          <w:pPr>
            <w:pStyle w:val="TOC1"/>
            <w:tabs>
              <w:tab w:val="left" w:pos="440"/>
              <w:tab w:val="right" w:leader="dot" w:pos="9016"/>
            </w:tabs>
            <w:rPr>
              <w:rFonts w:eastAsiaTheme="minorEastAsia"/>
              <w:noProof/>
              <w:sz w:val="24"/>
              <w:szCs w:val="24"/>
              <w:lang w:eastAsia="en-GB"/>
            </w:rPr>
          </w:pPr>
          <w:hyperlink w:anchor="_Toc215833481" w:history="1">
            <w:r w:rsidRPr="0021342B">
              <w:rPr>
                <w:rStyle w:val="Hyperlink"/>
                <w:noProof/>
              </w:rPr>
              <w:t>4.</w:t>
            </w:r>
            <w:r>
              <w:rPr>
                <w:rFonts w:eastAsiaTheme="minorEastAsia"/>
                <w:noProof/>
                <w:sz w:val="24"/>
                <w:szCs w:val="24"/>
                <w:lang w:eastAsia="en-GB"/>
              </w:rPr>
              <w:tab/>
            </w:r>
            <w:r w:rsidRPr="0021342B">
              <w:rPr>
                <w:rStyle w:val="Hyperlink"/>
                <w:noProof/>
              </w:rPr>
              <w:t>Issues with Epistemology within Cobalt Supply Chain Studies</w:t>
            </w:r>
            <w:r>
              <w:rPr>
                <w:noProof/>
                <w:webHidden/>
              </w:rPr>
              <w:tab/>
            </w:r>
            <w:r>
              <w:rPr>
                <w:noProof/>
                <w:webHidden/>
              </w:rPr>
              <w:fldChar w:fldCharType="begin"/>
            </w:r>
            <w:r>
              <w:rPr>
                <w:noProof/>
                <w:webHidden/>
              </w:rPr>
              <w:instrText xml:space="preserve"> PAGEREF _Toc215833481 \h </w:instrText>
            </w:r>
            <w:r>
              <w:rPr>
                <w:noProof/>
                <w:webHidden/>
              </w:rPr>
            </w:r>
            <w:r>
              <w:rPr>
                <w:noProof/>
                <w:webHidden/>
              </w:rPr>
              <w:fldChar w:fldCharType="separate"/>
            </w:r>
            <w:r>
              <w:rPr>
                <w:noProof/>
                <w:webHidden/>
              </w:rPr>
              <w:t>13</w:t>
            </w:r>
            <w:r>
              <w:rPr>
                <w:noProof/>
                <w:webHidden/>
              </w:rPr>
              <w:fldChar w:fldCharType="end"/>
            </w:r>
          </w:hyperlink>
        </w:p>
        <w:p w14:paraId="6CA34026" w14:textId="1DDDB76D" w:rsidR="00483D37" w:rsidRDefault="00483D37">
          <w:pPr>
            <w:pStyle w:val="TOC2"/>
            <w:tabs>
              <w:tab w:val="right" w:leader="dot" w:pos="9016"/>
            </w:tabs>
            <w:rPr>
              <w:rFonts w:eastAsiaTheme="minorEastAsia"/>
              <w:noProof/>
              <w:sz w:val="24"/>
              <w:szCs w:val="24"/>
              <w:lang w:eastAsia="en-GB"/>
            </w:rPr>
          </w:pPr>
          <w:hyperlink w:anchor="_Toc215833482" w:history="1">
            <w:r w:rsidRPr="0021342B">
              <w:rPr>
                <w:rStyle w:val="Hyperlink"/>
                <w:noProof/>
              </w:rPr>
              <w:t>4.1 Methodological Diversity and Knowledge Claims</w:t>
            </w:r>
            <w:r>
              <w:rPr>
                <w:noProof/>
                <w:webHidden/>
              </w:rPr>
              <w:tab/>
            </w:r>
            <w:r>
              <w:rPr>
                <w:noProof/>
                <w:webHidden/>
              </w:rPr>
              <w:fldChar w:fldCharType="begin"/>
            </w:r>
            <w:r>
              <w:rPr>
                <w:noProof/>
                <w:webHidden/>
              </w:rPr>
              <w:instrText xml:space="preserve"> PAGEREF _Toc215833482 \h </w:instrText>
            </w:r>
            <w:r>
              <w:rPr>
                <w:noProof/>
                <w:webHidden/>
              </w:rPr>
            </w:r>
            <w:r>
              <w:rPr>
                <w:noProof/>
                <w:webHidden/>
              </w:rPr>
              <w:fldChar w:fldCharType="separate"/>
            </w:r>
            <w:r>
              <w:rPr>
                <w:noProof/>
                <w:webHidden/>
              </w:rPr>
              <w:t>13</w:t>
            </w:r>
            <w:r>
              <w:rPr>
                <w:noProof/>
                <w:webHidden/>
              </w:rPr>
              <w:fldChar w:fldCharType="end"/>
            </w:r>
          </w:hyperlink>
        </w:p>
        <w:p w14:paraId="4DE0EEA2" w14:textId="71DF2A87" w:rsidR="00483D37" w:rsidRDefault="00483D37">
          <w:pPr>
            <w:pStyle w:val="TOC3"/>
            <w:tabs>
              <w:tab w:val="right" w:leader="dot" w:pos="9016"/>
            </w:tabs>
            <w:rPr>
              <w:rFonts w:eastAsiaTheme="minorEastAsia"/>
              <w:noProof/>
              <w:sz w:val="24"/>
              <w:szCs w:val="24"/>
              <w:lang w:eastAsia="en-GB"/>
            </w:rPr>
          </w:pPr>
          <w:hyperlink w:anchor="_Toc215833483" w:history="1">
            <w:r w:rsidRPr="0021342B">
              <w:rPr>
                <w:rStyle w:val="Hyperlink"/>
                <w:noProof/>
              </w:rPr>
              <w:t>4.2 Evidence Bias and Positionality</w:t>
            </w:r>
            <w:r>
              <w:rPr>
                <w:noProof/>
                <w:webHidden/>
              </w:rPr>
              <w:tab/>
            </w:r>
            <w:r>
              <w:rPr>
                <w:noProof/>
                <w:webHidden/>
              </w:rPr>
              <w:fldChar w:fldCharType="begin"/>
            </w:r>
            <w:r>
              <w:rPr>
                <w:noProof/>
                <w:webHidden/>
              </w:rPr>
              <w:instrText xml:space="preserve"> PAGEREF _Toc215833483 \h </w:instrText>
            </w:r>
            <w:r>
              <w:rPr>
                <w:noProof/>
                <w:webHidden/>
              </w:rPr>
            </w:r>
            <w:r>
              <w:rPr>
                <w:noProof/>
                <w:webHidden/>
              </w:rPr>
              <w:fldChar w:fldCharType="separate"/>
            </w:r>
            <w:r>
              <w:rPr>
                <w:noProof/>
                <w:webHidden/>
              </w:rPr>
              <w:t>14</w:t>
            </w:r>
            <w:r>
              <w:rPr>
                <w:noProof/>
                <w:webHidden/>
              </w:rPr>
              <w:fldChar w:fldCharType="end"/>
            </w:r>
          </w:hyperlink>
        </w:p>
        <w:p w14:paraId="492FAE5E" w14:textId="61563766" w:rsidR="00483D37" w:rsidRDefault="00483D37">
          <w:pPr>
            <w:pStyle w:val="TOC3"/>
            <w:tabs>
              <w:tab w:val="right" w:leader="dot" w:pos="9016"/>
            </w:tabs>
            <w:rPr>
              <w:rFonts w:eastAsiaTheme="minorEastAsia"/>
              <w:noProof/>
              <w:sz w:val="24"/>
              <w:szCs w:val="24"/>
              <w:lang w:eastAsia="en-GB"/>
            </w:rPr>
          </w:pPr>
          <w:hyperlink w:anchor="_Toc215833484" w:history="1">
            <w:r w:rsidRPr="0021342B">
              <w:rPr>
                <w:rStyle w:val="Hyperlink"/>
                <w:noProof/>
              </w:rPr>
              <w:t>4.3 Validity of Construction</w:t>
            </w:r>
            <w:r>
              <w:rPr>
                <w:noProof/>
                <w:webHidden/>
              </w:rPr>
              <w:tab/>
            </w:r>
            <w:r>
              <w:rPr>
                <w:noProof/>
                <w:webHidden/>
              </w:rPr>
              <w:fldChar w:fldCharType="begin"/>
            </w:r>
            <w:r>
              <w:rPr>
                <w:noProof/>
                <w:webHidden/>
              </w:rPr>
              <w:instrText xml:space="preserve"> PAGEREF _Toc215833484 \h </w:instrText>
            </w:r>
            <w:r>
              <w:rPr>
                <w:noProof/>
                <w:webHidden/>
              </w:rPr>
            </w:r>
            <w:r>
              <w:rPr>
                <w:noProof/>
                <w:webHidden/>
              </w:rPr>
              <w:fldChar w:fldCharType="separate"/>
            </w:r>
            <w:r>
              <w:rPr>
                <w:noProof/>
                <w:webHidden/>
              </w:rPr>
              <w:t>14</w:t>
            </w:r>
            <w:r>
              <w:rPr>
                <w:noProof/>
                <w:webHidden/>
              </w:rPr>
              <w:fldChar w:fldCharType="end"/>
            </w:r>
          </w:hyperlink>
        </w:p>
        <w:p w14:paraId="45412D1B" w14:textId="4012B118" w:rsidR="00483D37" w:rsidRDefault="00483D37">
          <w:pPr>
            <w:pStyle w:val="TOC1"/>
            <w:tabs>
              <w:tab w:val="left" w:pos="440"/>
              <w:tab w:val="right" w:leader="dot" w:pos="9016"/>
            </w:tabs>
            <w:rPr>
              <w:rFonts w:eastAsiaTheme="minorEastAsia"/>
              <w:noProof/>
              <w:sz w:val="24"/>
              <w:szCs w:val="24"/>
              <w:lang w:eastAsia="en-GB"/>
            </w:rPr>
          </w:pPr>
          <w:hyperlink w:anchor="_Toc215833485" w:history="1">
            <w:r w:rsidRPr="0021342B">
              <w:rPr>
                <w:rStyle w:val="Hyperlink"/>
                <w:noProof/>
              </w:rPr>
              <w:t>5.</w:t>
            </w:r>
            <w:r>
              <w:rPr>
                <w:rFonts w:eastAsiaTheme="minorEastAsia"/>
                <w:noProof/>
                <w:sz w:val="24"/>
                <w:szCs w:val="24"/>
                <w:lang w:eastAsia="en-GB"/>
              </w:rPr>
              <w:tab/>
            </w:r>
            <w:r w:rsidRPr="0021342B">
              <w:rPr>
                <w:rStyle w:val="Hyperlink"/>
                <w:noProof/>
              </w:rPr>
              <w:t>Ontological Concerns within Cobalt Supply Chain Research</w:t>
            </w:r>
            <w:r>
              <w:rPr>
                <w:noProof/>
                <w:webHidden/>
              </w:rPr>
              <w:tab/>
            </w:r>
            <w:r>
              <w:rPr>
                <w:noProof/>
                <w:webHidden/>
              </w:rPr>
              <w:fldChar w:fldCharType="begin"/>
            </w:r>
            <w:r>
              <w:rPr>
                <w:noProof/>
                <w:webHidden/>
              </w:rPr>
              <w:instrText xml:space="preserve"> PAGEREF _Toc215833485 \h </w:instrText>
            </w:r>
            <w:r>
              <w:rPr>
                <w:noProof/>
                <w:webHidden/>
              </w:rPr>
            </w:r>
            <w:r>
              <w:rPr>
                <w:noProof/>
                <w:webHidden/>
              </w:rPr>
              <w:fldChar w:fldCharType="separate"/>
            </w:r>
            <w:r>
              <w:rPr>
                <w:noProof/>
                <w:webHidden/>
              </w:rPr>
              <w:t>15</w:t>
            </w:r>
            <w:r>
              <w:rPr>
                <w:noProof/>
                <w:webHidden/>
              </w:rPr>
              <w:fldChar w:fldCharType="end"/>
            </w:r>
          </w:hyperlink>
        </w:p>
        <w:p w14:paraId="706C404B" w14:textId="09F4930D" w:rsidR="00483D37" w:rsidRDefault="00483D37">
          <w:pPr>
            <w:pStyle w:val="TOC2"/>
            <w:tabs>
              <w:tab w:val="right" w:leader="dot" w:pos="9016"/>
            </w:tabs>
            <w:rPr>
              <w:rFonts w:eastAsiaTheme="minorEastAsia"/>
              <w:noProof/>
              <w:sz w:val="24"/>
              <w:szCs w:val="24"/>
              <w:lang w:eastAsia="en-GB"/>
            </w:rPr>
          </w:pPr>
          <w:hyperlink w:anchor="_Toc215833486" w:history="1">
            <w:r w:rsidRPr="0021342B">
              <w:rPr>
                <w:rStyle w:val="Hyperlink"/>
                <w:noProof/>
              </w:rPr>
              <w:t>5.1 The Dualism of LSM vs. ASM</w:t>
            </w:r>
            <w:r>
              <w:rPr>
                <w:noProof/>
                <w:webHidden/>
              </w:rPr>
              <w:tab/>
            </w:r>
            <w:r>
              <w:rPr>
                <w:noProof/>
                <w:webHidden/>
              </w:rPr>
              <w:fldChar w:fldCharType="begin"/>
            </w:r>
            <w:r>
              <w:rPr>
                <w:noProof/>
                <w:webHidden/>
              </w:rPr>
              <w:instrText xml:space="preserve"> PAGEREF _Toc215833486 \h </w:instrText>
            </w:r>
            <w:r>
              <w:rPr>
                <w:noProof/>
                <w:webHidden/>
              </w:rPr>
            </w:r>
            <w:r>
              <w:rPr>
                <w:noProof/>
                <w:webHidden/>
              </w:rPr>
              <w:fldChar w:fldCharType="separate"/>
            </w:r>
            <w:r>
              <w:rPr>
                <w:noProof/>
                <w:webHidden/>
              </w:rPr>
              <w:t>15</w:t>
            </w:r>
            <w:r>
              <w:rPr>
                <w:noProof/>
                <w:webHidden/>
              </w:rPr>
              <w:fldChar w:fldCharType="end"/>
            </w:r>
          </w:hyperlink>
        </w:p>
        <w:p w14:paraId="03EB7523" w14:textId="2879E7A5" w:rsidR="00483D37" w:rsidRDefault="00483D37">
          <w:pPr>
            <w:pStyle w:val="TOC2"/>
            <w:tabs>
              <w:tab w:val="right" w:leader="dot" w:pos="9016"/>
            </w:tabs>
            <w:rPr>
              <w:rFonts w:eastAsiaTheme="minorEastAsia"/>
              <w:noProof/>
              <w:sz w:val="24"/>
              <w:szCs w:val="24"/>
              <w:lang w:eastAsia="en-GB"/>
            </w:rPr>
          </w:pPr>
          <w:hyperlink w:anchor="_Toc215833487" w:history="1">
            <w:r w:rsidRPr="0021342B">
              <w:rPr>
                <w:rStyle w:val="Hyperlink"/>
                <w:noProof/>
              </w:rPr>
              <w:t>5.2 The Socio-Technical System of the Supply Chain</w:t>
            </w:r>
            <w:r>
              <w:rPr>
                <w:noProof/>
                <w:webHidden/>
              </w:rPr>
              <w:tab/>
            </w:r>
            <w:r>
              <w:rPr>
                <w:noProof/>
                <w:webHidden/>
              </w:rPr>
              <w:fldChar w:fldCharType="begin"/>
            </w:r>
            <w:r>
              <w:rPr>
                <w:noProof/>
                <w:webHidden/>
              </w:rPr>
              <w:instrText xml:space="preserve"> PAGEREF _Toc215833487 \h </w:instrText>
            </w:r>
            <w:r>
              <w:rPr>
                <w:noProof/>
                <w:webHidden/>
              </w:rPr>
            </w:r>
            <w:r>
              <w:rPr>
                <w:noProof/>
                <w:webHidden/>
              </w:rPr>
              <w:fldChar w:fldCharType="separate"/>
            </w:r>
            <w:r>
              <w:rPr>
                <w:noProof/>
                <w:webHidden/>
              </w:rPr>
              <w:t>15</w:t>
            </w:r>
            <w:r>
              <w:rPr>
                <w:noProof/>
                <w:webHidden/>
              </w:rPr>
              <w:fldChar w:fldCharType="end"/>
            </w:r>
          </w:hyperlink>
        </w:p>
        <w:p w14:paraId="7AF964CD" w14:textId="27D11F46" w:rsidR="00483D37" w:rsidRDefault="00483D37">
          <w:pPr>
            <w:pStyle w:val="TOC3"/>
            <w:tabs>
              <w:tab w:val="right" w:leader="dot" w:pos="9016"/>
            </w:tabs>
            <w:rPr>
              <w:rFonts w:eastAsiaTheme="minorEastAsia"/>
              <w:noProof/>
              <w:sz w:val="24"/>
              <w:szCs w:val="24"/>
              <w:lang w:eastAsia="en-GB"/>
            </w:rPr>
          </w:pPr>
          <w:hyperlink w:anchor="_Toc215833488" w:history="1">
            <w:r w:rsidRPr="0021342B">
              <w:rPr>
                <w:rStyle w:val="Hyperlink"/>
                <w:noProof/>
              </w:rPr>
              <w:t>Responsibility and Agency</w:t>
            </w:r>
            <w:r>
              <w:rPr>
                <w:noProof/>
                <w:webHidden/>
              </w:rPr>
              <w:tab/>
            </w:r>
            <w:r>
              <w:rPr>
                <w:noProof/>
                <w:webHidden/>
              </w:rPr>
              <w:fldChar w:fldCharType="begin"/>
            </w:r>
            <w:r>
              <w:rPr>
                <w:noProof/>
                <w:webHidden/>
              </w:rPr>
              <w:instrText xml:space="preserve"> PAGEREF _Toc215833488 \h </w:instrText>
            </w:r>
            <w:r>
              <w:rPr>
                <w:noProof/>
                <w:webHidden/>
              </w:rPr>
            </w:r>
            <w:r>
              <w:rPr>
                <w:noProof/>
                <w:webHidden/>
              </w:rPr>
              <w:fldChar w:fldCharType="separate"/>
            </w:r>
            <w:r>
              <w:rPr>
                <w:noProof/>
                <w:webHidden/>
              </w:rPr>
              <w:t>16</w:t>
            </w:r>
            <w:r>
              <w:rPr>
                <w:noProof/>
                <w:webHidden/>
              </w:rPr>
              <w:fldChar w:fldCharType="end"/>
            </w:r>
          </w:hyperlink>
        </w:p>
        <w:p w14:paraId="4C9D094E" w14:textId="31763BE7" w:rsidR="00483D37" w:rsidRDefault="00483D37">
          <w:pPr>
            <w:pStyle w:val="TOC1"/>
            <w:tabs>
              <w:tab w:val="left" w:pos="440"/>
              <w:tab w:val="right" w:leader="dot" w:pos="9016"/>
            </w:tabs>
            <w:rPr>
              <w:rFonts w:eastAsiaTheme="minorEastAsia"/>
              <w:noProof/>
              <w:sz w:val="24"/>
              <w:szCs w:val="24"/>
              <w:lang w:eastAsia="en-GB"/>
            </w:rPr>
          </w:pPr>
          <w:hyperlink w:anchor="_Toc215833489" w:history="1">
            <w:r w:rsidRPr="0021342B">
              <w:rPr>
                <w:rStyle w:val="Hyperlink"/>
                <w:noProof/>
              </w:rPr>
              <w:t>6.</w:t>
            </w:r>
            <w:r>
              <w:rPr>
                <w:rFonts w:eastAsiaTheme="minorEastAsia"/>
                <w:noProof/>
                <w:sz w:val="24"/>
                <w:szCs w:val="24"/>
                <w:lang w:eastAsia="en-GB"/>
              </w:rPr>
              <w:tab/>
            </w:r>
            <w:r w:rsidRPr="0021342B">
              <w:rPr>
                <w:rStyle w:val="Hyperlink"/>
                <w:noProof/>
              </w:rPr>
              <w:t>Ethical Concerns within the Cobalt Supply Chain Study</w:t>
            </w:r>
            <w:r>
              <w:rPr>
                <w:noProof/>
                <w:webHidden/>
              </w:rPr>
              <w:tab/>
            </w:r>
            <w:r>
              <w:rPr>
                <w:noProof/>
                <w:webHidden/>
              </w:rPr>
              <w:fldChar w:fldCharType="begin"/>
            </w:r>
            <w:r>
              <w:rPr>
                <w:noProof/>
                <w:webHidden/>
              </w:rPr>
              <w:instrText xml:space="preserve"> PAGEREF _Toc215833489 \h </w:instrText>
            </w:r>
            <w:r>
              <w:rPr>
                <w:noProof/>
                <w:webHidden/>
              </w:rPr>
            </w:r>
            <w:r>
              <w:rPr>
                <w:noProof/>
                <w:webHidden/>
              </w:rPr>
              <w:fldChar w:fldCharType="separate"/>
            </w:r>
            <w:r>
              <w:rPr>
                <w:noProof/>
                <w:webHidden/>
              </w:rPr>
              <w:t>16</w:t>
            </w:r>
            <w:r>
              <w:rPr>
                <w:noProof/>
                <w:webHidden/>
              </w:rPr>
              <w:fldChar w:fldCharType="end"/>
            </w:r>
          </w:hyperlink>
        </w:p>
        <w:p w14:paraId="3F7AC07D" w14:textId="2B335520" w:rsidR="00483D37" w:rsidRDefault="00483D37">
          <w:pPr>
            <w:pStyle w:val="TOC2"/>
            <w:tabs>
              <w:tab w:val="right" w:leader="dot" w:pos="9016"/>
            </w:tabs>
            <w:rPr>
              <w:rFonts w:eastAsiaTheme="minorEastAsia"/>
              <w:noProof/>
              <w:sz w:val="24"/>
              <w:szCs w:val="24"/>
              <w:lang w:eastAsia="en-GB"/>
            </w:rPr>
          </w:pPr>
          <w:hyperlink w:anchor="_Toc215833490" w:history="1">
            <w:r w:rsidRPr="0021342B">
              <w:rPr>
                <w:rStyle w:val="Hyperlink"/>
                <w:noProof/>
              </w:rPr>
              <w:t>6.1 Rights of humanity</w:t>
            </w:r>
            <w:r>
              <w:rPr>
                <w:noProof/>
                <w:webHidden/>
              </w:rPr>
              <w:tab/>
            </w:r>
            <w:r>
              <w:rPr>
                <w:noProof/>
                <w:webHidden/>
              </w:rPr>
              <w:fldChar w:fldCharType="begin"/>
            </w:r>
            <w:r>
              <w:rPr>
                <w:noProof/>
                <w:webHidden/>
              </w:rPr>
              <w:instrText xml:space="preserve"> PAGEREF _Toc215833490 \h </w:instrText>
            </w:r>
            <w:r>
              <w:rPr>
                <w:noProof/>
                <w:webHidden/>
              </w:rPr>
            </w:r>
            <w:r>
              <w:rPr>
                <w:noProof/>
                <w:webHidden/>
              </w:rPr>
              <w:fldChar w:fldCharType="separate"/>
            </w:r>
            <w:r>
              <w:rPr>
                <w:noProof/>
                <w:webHidden/>
              </w:rPr>
              <w:t>16</w:t>
            </w:r>
            <w:r>
              <w:rPr>
                <w:noProof/>
                <w:webHidden/>
              </w:rPr>
              <w:fldChar w:fldCharType="end"/>
            </w:r>
          </w:hyperlink>
        </w:p>
        <w:p w14:paraId="63375C5E" w14:textId="47F818BA" w:rsidR="00483D37" w:rsidRDefault="00483D37">
          <w:pPr>
            <w:pStyle w:val="TOC2"/>
            <w:tabs>
              <w:tab w:val="right" w:leader="dot" w:pos="9016"/>
            </w:tabs>
            <w:rPr>
              <w:rFonts w:eastAsiaTheme="minorEastAsia"/>
              <w:noProof/>
              <w:sz w:val="24"/>
              <w:szCs w:val="24"/>
              <w:lang w:eastAsia="en-GB"/>
            </w:rPr>
          </w:pPr>
          <w:hyperlink w:anchor="_Toc215833491" w:history="1">
            <w:r w:rsidRPr="0021342B">
              <w:rPr>
                <w:rStyle w:val="Hyperlink"/>
                <w:noProof/>
              </w:rPr>
              <w:t>6.2 Living Standards and Equal Justice</w:t>
            </w:r>
            <w:r>
              <w:rPr>
                <w:noProof/>
                <w:webHidden/>
              </w:rPr>
              <w:tab/>
            </w:r>
            <w:r>
              <w:rPr>
                <w:noProof/>
                <w:webHidden/>
              </w:rPr>
              <w:fldChar w:fldCharType="begin"/>
            </w:r>
            <w:r>
              <w:rPr>
                <w:noProof/>
                <w:webHidden/>
              </w:rPr>
              <w:instrText xml:space="preserve"> PAGEREF _Toc215833491 \h </w:instrText>
            </w:r>
            <w:r>
              <w:rPr>
                <w:noProof/>
                <w:webHidden/>
              </w:rPr>
            </w:r>
            <w:r>
              <w:rPr>
                <w:noProof/>
                <w:webHidden/>
              </w:rPr>
              <w:fldChar w:fldCharType="separate"/>
            </w:r>
            <w:r>
              <w:rPr>
                <w:noProof/>
                <w:webHidden/>
              </w:rPr>
              <w:t>17</w:t>
            </w:r>
            <w:r>
              <w:rPr>
                <w:noProof/>
                <w:webHidden/>
              </w:rPr>
              <w:fldChar w:fldCharType="end"/>
            </w:r>
          </w:hyperlink>
        </w:p>
        <w:p w14:paraId="5DDF5DA2" w14:textId="166AEBA2" w:rsidR="00483D37" w:rsidRDefault="00483D37">
          <w:pPr>
            <w:pStyle w:val="TOC2"/>
            <w:tabs>
              <w:tab w:val="right" w:leader="dot" w:pos="9016"/>
            </w:tabs>
            <w:rPr>
              <w:rFonts w:eastAsiaTheme="minorEastAsia"/>
              <w:noProof/>
              <w:sz w:val="24"/>
              <w:szCs w:val="24"/>
              <w:lang w:eastAsia="en-GB"/>
            </w:rPr>
          </w:pPr>
          <w:hyperlink w:anchor="_Toc215833492" w:history="1">
            <w:r w:rsidRPr="0021342B">
              <w:rPr>
                <w:rStyle w:val="Hyperlink"/>
                <w:noProof/>
              </w:rPr>
              <w:t>6.3 Accountability and Transparency</w:t>
            </w:r>
            <w:r>
              <w:rPr>
                <w:noProof/>
                <w:webHidden/>
              </w:rPr>
              <w:tab/>
            </w:r>
            <w:r>
              <w:rPr>
                <w:noProof/>
                <w:webHidden/>
              </w:rPr>
              <w:fldChar w:fldCharType="begin"/>
            </w:r>
            <w:r>
              <w:rPr>
                <w:noProof/>
                <w:webHidden/>
              </w:rPr>
              <w:instrText xml:space="preserve"> PAGEREF _Toc215833492 \h </w:instrText>
            </w:r>
            <w:r>
              <w:rPr>
                <w:noProof/>
                <w:webHidden/>
              </w:rPr>
            </w:r>
            <w:r>
              <w:rPr>
                <w:noProof/>
                <w:webHidden/>
              </w:rPr>
              <w:fldChar w:fldCharType="separate"/>
            </w:r>
            <w:r>
              <w:rPr>
                <w:noProof/>
                <w:webHidden/>
              </w:rPr>
              <w:t>17</w:t>
            </w:r>
            <w:r>
              <w:rPr>
                <w:noProof/>
                <w:webHidden/>
              </w:rPr>
              <w:fldChar w:fldCharType="end"/>
            </w:r>
          </w:hyperlink>
        </w:p>
        <w:p w14:paraId="5D1807BC" w14:textId="52D0C04A" w:rsidR="00483D37" w:rsidRDefault="00483D37">
          <w:pPr>
            <w:pStyle w:val="TOC2"/>
            <w:tabs>
              <w:tab w:val="right" w:leader="dot" w:pos="9016"/>
            </w:tabs>
            <w:rPr>
              <w:rFonts w:eastAsiaTheme="minorEastAsia"/>
              <w:noProof/>
              <w:sz w:val="24"/>
              <w:szCs w:val="24"/>
              <w:lang w:eastAsia="en-GB"/>
            </w:rPr>
          </w:pPr>
          <w:hyperlink w:anchor="_Toc215833493" w:history="1">
            <w:r w:rsidRPr="0021342B">
              <w:rPr>
                <w:rStyle w:val="Hyperlink"/>
                <w:noProof/>
              </w:rPr>
              <w:t>6.4 Inequality Globally</w:t>
            </w:r>
            <w:r>
              <w:rPr>
                <w:noProof/>
                <w:webHidden/>
              </w:rPr>
              <w:tab/>
            </w:r>
            <w:r>
              <w:rPr>
                <w:noProof/>
                <w:webHidden/>
              </w:rPr>
              <w:fldChar w:fldCharType="begin"/>
            </w:r>
            <w:r>
              <w:rPr>
                <w:noProof/>
                <w:webHidden/>
              </w:rPr>
              <w:instrText xml:space="preserve"> PAGEREF _Toc215833493 \h </w:instrText>
            </w:r>
            <w:r>
              <w:rPr>
                <w:noProof/>
                <w:webHidden/>
              </w:rPr>
            </w:r>
            <w:r>
              <w:rPr>
                <w:noProof/>
                <w:webHidden/>
              </w:rPr>
              <w:fldChar w:fldCharType="separate"/>
            </w:r>
            <w:r>
              <w:rPr>
                <w:noProof/>
                <w:webHidden/>
              </w:rPr>
              <w:t>18</w:t>
            </w:r>
            <w:r>
              <w:rPr>
                <w:noProof/>
                <w:webHidden/>
              </w:rPr>
              <w:fldChar w:fldCharType="end"/>
            </w:r>
          </w:hyperlink>
        </w:p>
        <w:p w14:paraId="7DEDA91C" w14:textId="6763155F" w:rsidR="00483D37" w:rsidRDefault="00483D37">
          <w:pPr>
            <w:pStyle w:val="TOC2"/>
            <w:tabs>
              <w:tab w:val="right" w:leader="dot" w:pos="9016"/>
            </w:tabs>
            <w:rPr>
              <w:rFonts w:eastAsiaTheme="minorEastAsia"/>
              <w:noProof/>
              <w:sz w:val="24"/>
              <w:szCs w:val="24"/>
              <w:lang w:eastAsia="en-GB"/>
            </w:rPr>
          </w:pPr>
          <w:hyperlink w:anchor="_Toc215833494" w:history="1">
            <w:r w:rsidRPr="0021342B">
              <w:rPr>
                <w:rStyle w:val="Hyperlink"/>
                <w:noProof/>
              </w:rPr>
              <w:t>An Evaluation of Subsections 4 to 6</w:t>
            </w:r>
            <w:r>
              <w:rPr>
                <w:noProof/>
                <w:webHidden/>
              </w:rPr>
              <w:tab/>
            </w:r>
            <w:r>
              <w:rPr>
                <w:noProof/>
                <w:webHidden/>
              </w:rPr>
              <w:fldChar w:fldCharType="begin"/>
            </w:r>
            <w:r>
              <w:rPr>
                <w:noProof/>
                <w:webHidden/>
              </w:rPr>
              <w:instrText xml:space="preserve"> PAGEREF _Toc215833494 \h </w:instrText>
            </w:r>
            <w:r>
              <w:rPr>
                <w:noProof/>
                <w:webHidden/>
              </w:rPr>
            </w:r>
            <w:r>
              <w:rPr>
                <w:noProof/>
                <w:webHidden/>
              </w:rPr>
              <w:fldChar w:fldCharType="separate"/>
            </w:r>
            <w:r>
              <w:rPr>
                <w:noProof/>
                <w:webHidden/>
              </w:rPr>
              <w:t>18</w:t>
            </w:r>
            <w:r>
              <w:rPr>
                <w:noProof/>
                <w:webHidden/>
              </w:rPr>
              <w:fldChar w:fldCharType="end"/>
            </w:r>
          </w:hyperlink>
        </w:p>
        <w:p w14:paraId="217D9401" w14:textId="7C501203" w:rsidR="00483D37" w:rsidRDefault="00483D37">
          <w:pPr>
            <w:pStyle w:val="TOC1"/>
            <w:tabs>
              <w:tab w:val="left" w:pos="440"/>
              <w:tab w:val="right" w:leader="dot" w:pos="9016"/>
            </w:tabs>
            <w:rPr>
              <w:rFonts w:eastAsiaTheme="minorEastAsia"/>
              <w:noProof/>
              <w:sz w:val="24"/>
              <w:szCs w:val="24"/>
              <w:lang w:eastAsia="en-GB"/>
            </w:rPr>
          </w:pPr>
          <w:hyperlink w:anchor="_Toc215833495" w:history="1">
            <w:r w:rsidRPr="0021342B">
              <w:rPr>
                <w:rStyle w:val="Hyperlink"/>
                <w:noProof/>
              </w:rPr>
              <w:t>7.</w:t>
            </w:r>
            <w:r>
              <w:rPr>
                <w:rFonts w:eastAsiaTheme="minorEastAsia"/>
                <w:noProof/>
                <w:sz w:val="24"/>
                <w:szCs w:val="24"/>
                <w:lang w:eastAsia="en-GB"/>
              </w:rPr>
              <w:tab/>
            </w:r>
            <w:r w:rsidRPr="0021342B">
              <w:rPr>
                <w:rStyle w:val="Hyperlink"/>
                <w:noProof/>
              </w:rPr>
              <w:t>Critical Discussion of the Article “Cobalt Mining and the Corporate Outsourcing of Responsibility in the Democratic Republic of Congo” by Calvão, McDonald, and Bolay 2021</w:t>
            </w:r>
            <w:r>
              <w:rPr>
                <w:noProof/>
                <w:webHidden/>
              </w:rPr>
              <w:tab/>
            </w:r>
            <w:r>
              <w:rPr>
                <w:noProof/>
                <w:webHidden/>
              </w:rPr>
              <w:fldChar w:fldCharType="begin"/>
            </w:r>
            <w:r>
              <w:rPr>
                <w:noProof/>
                <w:webHidden/>
              </w:rPr>
              <w:instrText xml:space="preserve"> PAGEREF _Toc215833495 \h </w:instrText>
            </w:r>
            <w:r>
              <w:rPr>
                <w:noProof/>
                <w:webHidden/>
              </w:rPr>
            </w:r>
            <w:r>
              <w:rPr>
                <w:noProof/>
                <w:webHidden/>
              </w:rPr>
              <w:fldChar w:fldCharType="separate"/>
            </w:r>
            <w:r>
              <w:rPr>
                <w:noProof/>
                <w:webHidden/>
              </w:rPr>
              <w:t>19</w:t>
            </w:r>
            <w:r>
              <w:rPr>
                <w:noProof/>
                <w:webHidden/>
              </w:rPr>
              <w:fldChar w:fldCharType="end"/>
            </w:r>
          </w:hyperlink>
        </w:p>
        <w:p w14:paraId="69A3B584" w14:textId="14463738" w:rsidR="00483D37" w:rsidRDefault="00483D37">
          <w:pPr>
            <w:pStyle w:val="TOC2"/>
            <w:tabs>
              <w:tab w:val="right" w:leader="dot" w:pos="9016"/>
            </w:tabs>
            <w:rPr>
              <w:rFonts w:eastAsiaTheme="minorEastAsia"/>
              <w:noProof/>
              <w:sz w:val="24"/>
              <w:szCs w:val="24"/>
              <w:lang w:eastAsia="en-GB"/>
            </w:rPr>
          </w:pPr>
          <w:hyperlink w:anchor="_Toc215833496" w:history="1">
            <w:r w:rsidRPr="0021342B">
              <w:rPr>
                <w:rStyle w:val="Hyperlink"/>
                <w:noProof/>
              </w:rPr>
              <w:t>7.1 Philosophy of Research</w:t>
            </w:r>
            <w:r>
              <w:rPr>
                <w:noProof/>
                <w:webHidden/>
              </w:rPr>
              <w:tab/>
            </w:r>
            <w:r>
              <w:rPr>
                <w:noProof/>
                <w:webHidden/>
              </w:rPr>
              <w:fldChar w:fldCharType="begin"/>
            </w:r>
            <w:r>
              <w:rPr>
                <w:noProof/>
                <w:webHidden/>
              </w:rPr>
              <w:instrText xml:space="preserve"> PAGEREF _Toc215833496 \h </w:instrText>
            </w:r>
            <w:r>
              <w:rPr>
                <w:noProof/>
                <w:webHidden/>
              </w:rPr>
            </w:r>
            <w:r>
              <w:rPr>
                <w:noProof/>
                <w:webHidden/>
              </w:rPr>
              <w:fldChar w:fldCharType="separate"/>
            </w:r>
            <w:r>
              <w:rPr>
                <w:noProof/>
                <w:webHidden/>
              </w:rPr>
              <w:t>20</w:t>
            </w:r>
            <w:r>
              <w:rPr>
                <w:noProof/>
                <w:webHidden/>
              </w:rPr>
              <w:fldChar w:fldCharType="end"/>
            </w:r>
          </w:hyperlink>
        </w:p>
        <w:p w14:paraId="487769E9" w14:textId="6101112C" w:rsidR="00483D37" w:rsidRDefault="00483D37">
          <w:pPr>
            <w:pStyle w:val="TOC3"/>
            <w:tabs>
              <w:tab w:val="right" w:leader="dot" w:pos="9016"/>
            </w:tabs>
            <w:rPr>
              <w:rFonts w:eastAsiaTheme="minorEastAsia"/>
              <w:noProof/>
              <w:sz w:val="24"/>
              <w:szCs w:val="24"/>
              <w:lang w:eastAsia="en-GB"/>
            </w:rPr>
          </w:pPr>
          <w:hyperlink w:anchor="_Toc215833497" w:history="1">
            <w:r w:rsidRPr="0021342B">
              <w:rPr>
                <w:rStyle w:val="Hyperlink"/>
                <w:noProof/>
              </w:rPr>
              <w:t>7.2 Orientation to Paradigms</w:t>
            </w:r>
            <w:r>
              <w:rPr>
                <w:noProof/>
                <w:webHidden/>
              </w:rPr>
              <w:tab/>
            </w:r>
            <w:r>
              <w:rPr>
                <w:noProof/>
                <w:webHidden/>
              </w:rPr>
              <w:fldChar w:fldCharType="begin"/>
            </w:r>
            <w:r>
              <w:rPr>
                <w:noProof/>
                <w:webHidden/>
              </w:rPr>
              <w:instrText xml:space="preserve"> PAGEREF _Toc215833497 \h </w:instrText>
            </w:r>
            <w:r>
              <w:rPr>
                <w:noProof/>
                <w:webHidden/>
              </w:rPr>
            </w:r>
            <w:r>
              <w:rPr>
                <w:noProof/>
                <w:webHidden/>
              </w:rPr>
              <w:fldChar w:fldCharType="separate"/>
            </w:r>
            <w:r>
              <w:rPr>
                <w:noProof/>
                <w:webHidden/>
              </w:rPr>
              <w:t>20</w:t>
            </w:r>
            <w:r>
              <w:rPr>
                <w:noProof/>
                <w:webHidden/>
              </w:rPr>
              <w:fldChar w:fldCharType="end"/>
            </w:r>
          </w:hyperlink>
        </w:p>
        <w:p w14:paraId="2826EB22" w14:textId="76ECF03E" w:rsidR="00483D37" w:rsidRDefault="00483D37">
          <w:pPr>
            <w:pStyle w:val="TOC3"/>
            <w:tabs>
              <w:tab w:val="right" w:leader="dot" w:pos="9016"/>
            </w:tabs>
            <w:rPr>
              <w:rFonts w:eastAsiaTheme="minorEastAsia"/>
              <w:noProof/>
              <w:sz w:val="24"/>
              <w:szCs w:val="24"/>
              <w:lang w:eastAsia="en-GB"/>
            </w:rPr>
          </w:pPr>
          <w:hyperlink w:anchor="_Toc215833498" w:history="1">
            <w:r w:rsidRPr="0021342B">
              <w:rPr>
                <w:rStyle w:val="Hyperlink"/>
                <w:noProof/>
              </w:rPr>
              <w:t>7.3 Epistemology</w:t>
            </w:r>
            <w:r>
              <w:rPr>
                <w:noProof/>
                <w:webHidden/>
              </w:rPr>
              <w:tab/>
            </w:r>
            <w:r>
              <w:rPr>
                <w:noProof/>
                <w:webHidden/>
              </w:rPr>
              <w:fldChar w:fldCharType="begin"/>
            </w:r>
            <w:r>
              <w:rPr>
                <w:noProof/>
                <w:webHidden/>
              </w:rPr>
              <w:instrText xml:space="preserve"> PAGEREF _Toc215833498 \h </w:instrText>
            </w:r>
            <w:r>
              <w:rPr>
                <w:noProof/>
                <w:webHidden/>
              </w:rPr>
            </w:r>
            <w:r>
              <w:rPr>
                <w:noProof/>
                <w:webHidden/>
              </w:rPr>
              <w:fldChar w:fldCharType="separate"/>
            </w:r>
            <w:r>
              <w:rPr>
                <w:noProof/>
                <w:webHidden/>
              </w:rPr>
              <w:t>20</w:t>
            </w:r>
            <w:r>
              <w:rPr>
                <w:noProof/>
                <w:webHidden/>
              </w:rPr>
              <w:fldChar w:fldCharType="end"/>
            </w:r>
          </w:hyperlink>
        </w:p>
        <w:p w14:paraId="781748DF" w14:textId="1E1CF2CB" w:rsidR="00483D37" w:rsidRDefault="00483D37">
          <w:pPr>
            <w:pStyle w:val="TOC3"/>
            <w:tabs>
              <w:tab w:val="right" w:leader="dot" w:pos="9016"/>
            </w:tabs>
            <w:rPr>
              <w:rFonts w:eastAsiaTheme="minorEastAsia"/>
              <w:noProof/>
              <w:sz w:val="24"/>
              <w:szCs w:val="24"/>
              <w:lang w:eastAsia="en-GB"/>
            </w:rPr>
          </w:pPr>
          <w:hyperlink w:anchor="_Toc215833499" w:history="1">
            <w:r w:rsidRPr="0021342B">
              <w:rPr>
                <w:rStyle w:val="Hyperlink"/>
                <w:noProof/>
              </w:rPr>
              <w:t>7.4 Ontology</w:t>
            </w:r>
            <w:r>
              <w:rPr>
                <w:noProof/>
                <w:webHidden/>
              </w:rPr>
              <w:tab/>
            </w:r>
            <w:r>
              <w:rPr>
                <w:noProof/>
                <w:webHidden/>
              </w:rPr>
              <w:fldChar w:fldCharType="begin"/>
            </w:r>
            <w:r>
              <w:rPr>
                <w:noProof/>
                <w:webHidden/>
              </w:rPr>
              <w:instrText xml:space="preserve"> PAGEREF _Toc215833499 \h </w:instrText>
            </w:r>
            <w:r>
              <w:rPr>
                <w:noProof/>
                <w:webHidden/>
              </w:rPr>
            </w:r>
            <w:r>
              <w:rPr>
                <w:noProof/>
                <w:webHidden/>
              </w:rPr>
              <w:fldChar w:fldCharType="separate"/>
            </w:r>
            <w:r>
              <w:rPr>
                <w:noProof/>
                <w:webHidden/>
              </w:rPr>
              <w:t>21</w:t>
            </w:r>
            <w:r>
              <w:rPr>
                <w:noProof/>
                <w:webHidden/>
              </w:rPr>
              <w:fldChar w:fldCharType="end"/>
            </w:r>
          </w:hyperlink>
        </w:p>
        <w:p w14:paraId="305384D4" w14:textId="736CCDFA" w:rsidR="00483D37" w:rsidRDefault="00483D37">
          <w:pPr>
            <w:pStyle w:val="TOC3"/>
            <w:tabs>
              <w:tab w:val="right" w:leader="dot" w:pos="9016"/>
            </w:tabs>
            <w:rPr>
              <w:rFonts w:eastAsiaTheme="minorEastAsia"/>
              <w:noProof/>
              <w:sz w:val="24"/>
              <w:szCs w:val="24"/>
              <w:lang w:eastAsia="en-GB"/>
            </w:rPr>
          </w:pPr>
          <w:hyperlink w:anchor="_Toc215833500" w:history="1">
            <w:r w:rsidRPr="0021342B">
              <w:rPr>
                <w:rStyle w:val="Hyperlink"/>
                <w:noProof/>
              </w:rPr>
              <w:t>7.5 Ethical Dimensions</w:t>
            </w:r>
            <w:r>
              <w:rPr>
                <w:noProof/>
                <w:webHidden/>
              </w:rPr>
              <w:tab/>
            </w:r>
            <w:r>
              <w:rPr>
                <w:noProof/>
                <w:webHidden/>
              </w:rPr>
              <w:fldChar w:fldCharType="begin"/>
            </w:r>
            <w:r>
              <w:rPr>
                <w:noProof/>
                <w:webHidden/>
              </w:rPr>
              <w:instrText xml:space="preserve"> PAGEREF _Toc215833500 \h </w:instrText>
            </w:r>
            <w:r>
              <w:rPr>
                <w:noProof/>
                <w:webHidden/>
              </w:rPr>
            </w:r>
            <w:r>
              <w:rPr>
                <w:noProof/>
                <w:webHidden/>
              </w:rPr>
              <w:fldChar w:fldCharType="separate"/>
            </w:r>
            <w:r>
              <w:rPr>
                <w:noProof/>
                <w:webHidden/>
              </w:rPr>
              <w:t>21</w:t>
            </w:r>
            <w:r>
              <w:rPr>
                <w:noProof/>
                <w:webHidden/>
              </w:rPr>
              <w:fldChar w:fldCharType="end"/>
            </w:r>
          </w:hyperlink>
        </w:p>
        <w:p w14:paraId="0F1B8F90" w14:textId="601AF034" w:rsidR="00483D37" w:rsidRDefault="00483D37">
          <w:pPr>
            <w:pStyle w:val="TOC3"/>
            <w:tabs>
              <w:tab w:val="right" w:leader="dot" w:pos="9016"/>
            </w:tabs>
            <w:rPr>
              <w:rFonts w:eastAsiaTheme="minorEastAsia"/>
              <w:noProof/>
              <w:sz w:val="24"/>
              <w:szCs w:val="24"/>
              <w:lang w:eastAsia="en-GB"/>
            </w:rPr>
          </w:pPr>
          <w:hyperlink w:anchor="_Toc215833501" w:history="1">
            <w:r w:rsidRPr="0021342B">
              <w:rPr>
                <w:rStyle w:val="Hyperlink"/>
                <w:noProof/>
              </w:rPr>
              <w:t>Ethical Reflexivity</w:t>
            </w:r>
            <w:r>
              <w:rPr>
                <w:noProof/>
                <w:webHidden/>
              </w:rPr>
              <w:tab/>
            </w:r>
            <w:r>
              <w:rPr>
                <w:noProof/>
                <w:webHidden/>
              </w:rPr>
              <w:fldChar w:fldCharType="begin"/>
            </w:r>
            <w:r>
              <w:rPr>
                <w:noProof/>
                <w:webHidden/>
              </w:rPr>
              <w:instrText xml:space="preserve"> PAGEREF _Toc215833501 \h </w:instrText>
            </w:r>
            <w:r>
              <w:rPr>
                <w:noProof/>
                <w:webHidden/>
              </w:rPr>
            </w:r>
            <w:r>
              <w:rPr>
                <w:noProof/>
                <w:webHidden/>
              </w:rPr>
              <w:fldChar w:fldCharType="separate"/>
            </w:r>
            <w:r>
              <w:rPr>
                <w:noProof/>
                <w:webHidden/>
              </w:rPr>
              <w:t>21</w:t>
            </w:r>
            <w:r>
              <w:rPr>
                <w:noProof/>
                <w:webHidden/>
              </w:rPr>
              <w:fldChar w:fldCharType="end"/>
            </w:r>
          </w:hyperlink>
        </w:p>
        <w:p w14:paraId="2F5F32EC" w14:textId="6A98F8A1" w:rsidR="00483D37" w:rsidRDefault="00483D37">
          <w:pPr>
            <w:pStyle w:val="TOC3"/>
            <w:tabs>
              <w:tab w:val="right" w:leader="dot" w:pos="9016"/>
            </w:tabs>
            <w:rPr>
              <w:rFonts w:eastAsiaTheme="minorEastAsia"/>
              <w:noProof/>
              <w:sz w:val="24"/>
              <w:szCs w:val="24"/>
              <w:lang w:eastAsia="en-GB"/>
            </w:rPr>
          </w:pPr>
          <w:hyperlink w:anchor="_Toc215833502" w:history="1">
            <w:r w:rsidRPr="0021342B">
              <w:rPr>
                <w:rStyle w:val="Hyperlink"/>
                <w:noProof/>
              </w:rPr>
              <w:t>7.6 Justice and Human Rights</w:t>
            </w:r>
            <w:r>
              <w:rPr>
                <w:noProof/>
                <w:webHidden/>
              </w:rPr>
              <w:tab/>
            </w:r>
            <w:r>
              <w:rPr>
                <w:noProof/>
                <w:webHidden/>
              </w:rPr>
              <w:fldChar w:fldCharType="begin"/>
            </w:r>
            <w:r>
              <w:rPr>
                <w:noProof/>
                <w:webHidden/>
              </w:rPr>
              <w:instrText xml:space="preserve"> PAGEREF _Toc215833502 \h </w:instrText>
            </w:r>
            <w:r>
              <w:rPr>
                <w:noProof/>
                <w:webHidden/>
              </w:rPr>
            </w:r>
            <w:r>
              <w:rPr>
                <w:noProof/>
                <w:webHidden/>
              </w:rPr>
              <w:fldChar w:fldCharType="separate"/>
            </w:r>
            <w:r>
              <w:rPr>
                <w:noProof/>
                <w:webHidden/>
              </w:rPr>
              <w:t>22</w:t>
            </w:r>
            <w:r>
              <w:rPr>
                <w:noProof/>
                <w:webHidden/>
              </w:rPr>
              <w:fldChar w:fldCharType="end"/>
            </w:r>
          </w:hyperlink>
        </w:p>
        <w:p w14:paraId="723156A2" w14:textId="20D0AFEB" w:rsidR="00483D37" w:rsidRDefault="00483D37">
          <w:pPr>
            <w:pStyle w:val="TOC3"/>
            <w:tabs>
              <w:tab w:val="right" w:leader="dot" w:pos="9016"/>
            </w:tabs>
            <w:rPr>
              <w:rFonts w:eastAsiaTheme="minorEastAsia"/>
              <w:noProof/>
              <w:sz w:val="24"/>
              <w:szCs w:val="24"/>
              <w:lang w:eastAsia="en-GB"/>
            </w:rPr>
          </w:pPr>
          <w:hyperlink w:anchor="_Toc215833503" w:history="1">
            <w:r w:rsidRPr="0021342B">
              <w:rPr>
                <w:rStyle w:val="Hyperlink"/>
                <w:noProof/>
              </w:rPr>
              <w:t>Corporate Ethics</w:t>
            </w:r>
            <w:r>
              <w:rPr>
                <w:noProof/>
                <w:webHidden/>
              </w:rPr>
              <w:tab/>
            </w:r>
            <w:r>
              <w:rPr>
                <w:noProof/>
                <w:webHidden/>
              </w:rPr>
              <w:fldChar w:fldCharType="begin"/>
            </w:r>
            <w:r>
              <w:rPr>
                <w:noProof/>
                <w:webHidden/>
              </w:rPr>
              <w:instrText xml:space="preserve"> PAGEREF _Toc215833503 \h </w:instrText>
            </w:r>
            <w:r>
              <w:rPr>
                <w:noProof/>
                <w:webHidden/>
              </w:rPr>
            </w:r>
            <w:r>
              <w:rPr>
                <w:noProof/>
                <w:webHidden/>
              </w:rPr>
              <w:fldChar w:fldCharType="separate"/>
            </w:r>
            <w:r>
              <w:rPr>
                <w:noProof/>
                <w:webHidden/>
              </w:rPr>
              <w:t>22</w:t>
            </w:r>
            <w:r>
              <w:rPr>
                <w:noProof/>
                <w:webHidden/>
              </w:rPr>
              <w:fldChar w:fldCharType="end"/>
            </w:r>
          </w:hyperlink>
        </w:p>
        <w:p w14:paraId="69D568F4" w14:textId="015D3CFA" w:rsidR="00483D37" w:rsidRDefault="00483D37">
          <w:pPr>
            <w:pStyle w:val="TOC3"/>
            <w:tabs>
              <w:tab w:val="right" w:leader="dot" w:pos="9016"/>
            </w:tabs>
            <w:rPr>
              <w:rFonts w:eastAsiaTheme="minorEastAsia"/>
              <w:noProof/>
              <w:sz w:val="24"/>
              <w:szCs w:val="24"/>
              <w:lang w:eastAsia="en-GB"/>
            </w:rPr>
          </w:pPr>
          <w:hyperlink w:anchor="_Toc215833504" w:history="1">
            <w:r w:rsidRPr="0021342B">
              <w:rPr>
                <w:rStyle w:val="Hyperlink"/>
                <w:noProof/>
              </w:rPr>
              <w:t>Global Integrity</w:t>
            </w:r>
            <w:r>
              <w:rPr>
                <w:noProof/>
                <w:webHidden/>
              </w:rPr>
              <w:tab/>
            </w:r>
            <w:r>
              <w:rPr>
                <w:noProof/>
                <w:webHidden/>
              </w:rPr>
              <w:fldChar w:fldCharType="begin"/>
            </w:r>
            <w:r>
              <w:rPr>
                <w:noProof/>
                <w:webHidden/>
              </w:rPr>
              <w:instrText xml:space="preserve"> PAGEREF _Toc215833504 \h </w:instrText>
            </w:r>
            <w:r>
              <w:rPr>
                <w:noProof/>
                <w:webHidden/>
              </w:rPr>
            </w:r>
            <w:r>
              <w:rPr>
                <w:noProof/>
                <w:webHidden/>
              </w:rPr>
              <w:fldChar w:fldCharType="separate"/>
            </w:r>
            <w:r>
              <w:rPr>
                <w:noProof/>
                <w:webHidden/>
              </w:rPr>
              <w:t>23</w:t>
            </w:r>
            <w:r>
              <w:rPr>
                <w:noProof/>
                <w:webHidden/>
              </w:rPr>
              <w:fldChar w:fldCharType="end"/>
            </w:r>
          </w:hyperlink>
        </w:p>
        <w:p w14:paraId="3B284C41" w14:textId="1BD0EA7B" w:rsidR="00483D37" w:rsidRDefault="00483D37">
          <w:pPr>
            <w:pStyle w:val="TOC3"/>
            <w:tabs>
              <w:tab w:val="right" w:leader="dot" w:pos="9016"/>
            </w:tabs>
            <w:rPr>
              <w:rFonts w:eastAsiaTheme="minorEastAsia"/>
              <w:noProof/>
              <w:sz w:val="24"/>
              <w:szCs w:val="24"/>
              <w:lang w:eastAsia="en-GB"/>
            </w:rPr>
          </w:pPr>
          <w:hyperlink w:anchor="_Toc215833505" w:history="1">
            <w:r w:rsidRPr="0021342B">
              <w:rPr>
                <w:rStyle w:val="Hyperlink"/>
                <w:noProof/>
              </w:rPr>
              <w:t>7.7 Reliability</w:t>
            </w:r>
            <w:r>
              <w:rPr>
                <w:noProof/>
                <w:webHidden/>
              </w:rPr>
              <w:tab/>
            </w:r>
            <w:r>
              <w:rPr>
                <w:noProof/>
                <w:webHidden/>
              </w:rPr>
              <w:fldChar w:fldCharType="begin"/>
            </w:r>
            <w:r>
              <w:rPr>
                <w:noProof/>
                <w:webHidden/>
              </w:rPr>
              <w:instrText xml:space="preserve"> PAGEREF _Toc215833505 \h </w:instrText>
            </w:r>
            <w:r>
              <w:rPr>
                <w:noProof/>
                <w:webHidden/>
              </w:rPr>
            </w:r>
            <w:r>
              <w:rPr>
                <w:noProof/>
                <w:webHidden/>
              </w:rPr>
              <w:fldChar w:fldCharType="separate"/>
            </w:r>
            <w:r>
              <w:rPr>
                <w:noProof/>
                <w:webHidden/>
              </w:rPr>
              <w:t>23</w:t>
            </w:r>
            <w:r>
              <w:rPr>
                <w:noProof/>
                <w:webHidden/>
              </w:rPr>
              <w:fldChar w:fldCharType="end"/>
            </w:r>
          </w:hyperlink>
        </w:p>
        <w:p w14:paraId="14023DDF" w14:textId="3DAE10C6" w:rsidR="00483D37" w:rsidRDefault="00483D37">
          <w:pPr>
            <w:pStyle w:val="TOC3"/>
            <w:tabs>
              <w:tab w:val="right" w:leader="dot" w:pos="9016"/>
            </w:tabs>
            <w:rPr>
              <w:rFonts w:eastAsiaTheme="minorEastAsia"/>
              <w:noProof/>
              <w:sz w:val="24"/>
              <w:szCs w:val="24"/>
              <w:lang w:eastAsia="en-GB"/>
            </w:rPr>
          </w:pPr>
          <w:hyperlink w:anchor="_Toc215833506" w:history="1">
            <w:r w:rsidRPr="0021342B">
              <w:rPr>
                <w:rStyle w:val="Hyperlink"/>
                <w:noProof/>
              </w:rPr>
              <w:t>Strengths</w:t>
            </w:r>
            <w:r>
              <w:rPr>
                <w:noProof/>
                <w:webHidden/>
              </w:rPr>
              <w:tab/>
            </w:r>
            <w:r>
              <w:rPr>
                <w:noProof/>
                <w:webHidden/>
              </w:rPr>
              <w:fldChar w:fldCharType="begin"/>
            </w:r>
            <w:r>
              <w:rPr>
                <w:noProof/>
                <w:webHidden/>
              </w:rPr>
              <w:instrText xml:space="preserve"> PAGEREF _Toc215833506 \h </w:instrText>
            </w:r>
            <w:r>
              <w:rPr>
                <w:noProof/>
                <w:webHidden/>
              </w:rPr>
            </w:r>
            <w:r>
              <w:rPr>
                <w:noProof/>
                <w:webHidden/>
              </w:rPr>
              <w:fldChar w:fldCharType="separate"/>
            </w:r>
            <w:r>
              <w:rPr>
                <w:noProof/>
                <w:webHidden/>
              </w:rPr>
              <w:t>23</w:t>
            </w:r>
            <w:r>
              <w:rPr>
                <w:noProof/>
                <w:webHidden/>
              </w:rPr>
              <w:fldChar w:fldCharType="end"/>
            </w:r>
          </w:hyperlink>
        </w:p>
        <w:p w14:paraId="350C48D6" w14:textId="29A9EEAB" w:rsidR="00483D37" w:rsidRDefault="00483D37">
          <w:pPr>
            <w:pStyle w:val="TOC3"/>
            <w:tabs>
              <w:tab w:val="right" w:leader="dot" w:pos="9016"/>
            </w:tabs>
            <w:rPr>
              <w:rFonts w:eastAsiaTheme="minorEastAsia"/>
              <w:noProof/>
              <w:sz w:val="24"/>
              <w:szCs w:val="24"/>
              <w:lang w:eastAsia="en-GB"/>
            </w:rPr>
          </w:pPr>
          <w:hyperlink w:anchor="_Toc215833507" w:history="1">
            <w:r w:rsidRPr="0021342B">
              <w:rPr>
                <w:rStyle w:val="Hyperlink"/>
                <w:noProof/>
              </w:rPr>
              <w:t>Limitations</w:t>
            </w:r>
            <w:r>
              <w:rPr>
                <w:noProof/>
                <w:webHidden/>
              </w:rPr>
              <w:tab/>
            </w:r>
            <w:r>
              <w:rPr>
                <w:noProof/>
                <w:webHidden/>
              </w:rPr>
              <w:fldChar w:fldCharType="begin"/>
            </w:r>
            <w:r>
              <w:rPr>
                <w:noProof/>
                <w:webHidden/>
              </w:rPr>
              <w:instrText xml:space="preserve"> PAGEREF _Toc215833507 \h </w:instrText>
            </w:r>
            <w:r>
              <w:rPr>
                <w:noProof/>
                <w:webHidden/>
              </w:rPr>
            </w:r>
            <w:r>
              <w:rPr>
                <w:noProof/>
                <w:webHidden/>
              </w:rPr>
              <w:fldChar w:fldCharType="separate"/>
            </w:r>
            <w:r>
              <w:rPr>
                <w:noProof/>
                <w:webHidden/>
              </w:rPr>
              <w:t>24</w:t>
            </w:r>
            <w:r>
              <w:rPr>
                <w:noProof/>
                <w:webHidden/>
              </w:rPr>
              <w:fldChar w:fldCharType="end"/>
            </w:r>
          </w:hyperlink>
        </w:p>
        <w:p w14:paraId="335315C1" w14:textId="6B7CFF73" w:rsidR="00483D37" w:rsidRDefault="00483D37">
          <w:pPr>
            <w:pStyle w:val="TOC3"/>
            <w:tabs>
              <w:tab w:val="right" w:leader="dot" w:pos="9016"/>
            </w:tabs>
            <w:rPr>
              <w:rFonts w:eastAsiaTheme="minorEastAsia"/>
              <w:noProof/>
              <w:sz w:val="24"/>
              <w:szCs w:val="24"/>
              <w:lang w:eastAsia="en-GB"/>
            </w:rPr>
          </w:pPr>
          <w:hyperlink w:anchor="_Toc215833508" w:history="1">
            <w:r w:rsidRPr="0021342B">
              <w:rPr>
                <w:rStyle w:val="Hyperlink"/>
                <w:noProof/>
              </w:rPr>
              <w:t>7.8 Validity</w:t>
            </w:r>
            <w:r>
              <w:rPr>
                <w:noProof/>
                <w:webHidden/>
              </w:rPr>
              <w:tab/>
            </w:r>
            <w:r>
              <w:rPr>
                <w:noProof/>
                <w:webHidden/>
              </w:rPr>
              <w:fldChar w:fldCharType="begin"/>
            </w:r>
            <w:r>
              <w:rPr>
                <w:noProof/>
                <w:webHidden/>
              </w:rPr>
              <w:instrText xml:space="preserve"> PAGEREF _Toc215833508 \h </w:instrText>
            </w:r>
            <w:r>
              <w:rPr>
                <w:noProof/>
                <w:webHidden/>
              </w:rPr>
            </w:r>
            <w:r>
              <w:rPr>
                <w:noProof/>
                <w:webHidden/>
              </w:rPr>
              <w:fldChar w:fldCharType="separate"/>
            </w:r>
            <w:r>
              <w:rPr>
                <w:noProof/>
                <w:webHidden/>
              </w:rPr>
              <w:t>24</w:t>
            </w:r>
            <w:r>
              <w:rPr>
                <w:noProof/>
                <w:webHidden/>
              </w:rPr>
              <w:fldChar w:fldCharType="end"/>
            </w:r>
          </w:hyperlink>
        </w:p>
        <w:p w14:paraId="1576690E" w14:textId="5F711F46" w:rsidR="00483D37" w:rsidRDefault="00483D37">
          <w:pPr>
            <w:pStyle w:val="TOC3"/>
            <w:tabs>
              <w:tab w:val="right" w:leader="dot" w:pos="9016"/>
            </w:tabs>
            <w:rPr>
              <w:rFonts w:eastAsiaTheme="minorEastAsia"/>
              <w:noProof/>
              <w:sz w:val="24"/>
              <w:szCs w:val="24"/>
              <w:lang w:eastAsia="en-GB"/>
            </w:rPr>
          </w:pPr>
          <w:hyperlink w:anchor="_Toc215833509" w:history="1">
            <w:r w:rsidRPr="0021342B">
              <w:rPr>
                <w:rStyle w:val="Hyperlink"/>
                <w:noProof/>
              </w:rPr>
              <w:t>Internal Validity</w:t>
            </w:r>
            <w:r>
              <w:rPr>
                <w:noProof/>
                <w:webHidden/>
              </w:rPr>
              <w:tab/>
            </w:r>
            <w:r>
              <w:rPr>
                <w:noProof/>
                <w:webHidden/>
              </w:rPr>
              <w:fldChar w:fldCharType="begin"/>
            </w:r>
            <w:r>
              <w:rPr>
                <w:noProof/>
                <w:webHidden/>
              </w:rPr>
              <w:instrText xml:space="preserve"> PAGEREF _Toc215833509 \h </w:instrText>
            </w:r>
            <w:r>
              <w:rPr>
                <w:noProof/>
                <w:webHidden/>
              </w:rPr>
            </w:r>
            <w:r>
              <w:rPr>
                <w:noProof/>
                <w:webHidden/>
              </w:rPr>
              <w:fldChar w:fldCharType="separate"/>
            </w:r>
            <w:r>
              <w:rPr>
                <w:noProof/>
                <w:webHidden/>
              </w:rPr>
              <w:t>24</w:t>
            </w:r>
            <w:r>
              <w:rPr>
                <w:noProof/>
                <w:webHidden/>
              </w:rPr>
              <w:fldChar w:fldCharType="end"/>
            </w:r>
          </w:hyperlink>
        </w:p>
        <w:p w14:paraId="7AA8ECB0" w14:textId="0294082D" w:rsidR="00483D37" w:rsidRDefault="00483D37">
          <w:pPr>
            <w:pStyle w:val="TOC3"/>
            <w:tabs>
              <w:tab w:val="right" w:leader="dot" w:pos="9016"/>
            </w:tabs>
            <w:rPr>
              <w:rFonts w:eastAsiaTheme="minorEastAsia"/>
              <w:noProof/>
              <w:sz w:val="24"/>
              <w:szCs w:val="24"/>
              <w:lang w:eastAsia="en-GB"/>
            </w:rPr>
          </w:pPr>
          <w:hyperlink w:anchor="_Toc215833510" w:history="1">
            <w:r w:rsidRPr="0021342B">
              <w:rPr>
                <w:rStyle w:val="Hyperlink"/>
                <w:noProof/>
              </w:rPr>
              <w:t>External validity</w:t>
            </w:r>
            <w:r>
              <w:rPr>
                <w:noProof/>
                <w:webHidden/>
              </w:rPr>
              <w:tab/>
            </w:r>
            <w:r>
              <w:rPr>
                <w:noProof/>
                <w:webHidden/>
              </w:rPr>
              <w:fldChar w:fldCharType="begin"/>
            </w:r>
            <w:r>
              <w:rPr>
                <w:noProof/>
                <w:webHidden/>
              </w:rPr>
              <w:instrText xml:space="preserve"> PAGEREF _Toc215833510 \h </w:instrText>
            </w:r>
            <w:r>
              <w:rPr>
                <w:noProof/>
                <w:webHidden/>
              </w:rPr>
            </w:r>
            <w:r>
              <w:rPr>
                <w:noProof/>
                <w:webHidden/>
              </w:rPr>
              <w:fldChar w:fldCharType="separate"/>
            </w:r>
            <w:r>
              <w:rPr>
                <w:noProof/>
                <w:webHidden/>
              </w:rPr>
              <w:t>25</w:t>
            </w:r>
            <w:r>
              <w:rPr>
                <w:noProof/>
                <w:webHidden/>
              </w:rPr>
              <w:fldChar w:fldCharType="end"/>
            </w:r>
          </w:hyperlink>
        </w:p>
        <w:p w14:paraId="3D8D1B64" w14:textId="1C10A63C" w:rsidR="00483D37" w:rsidRDefault="00483D37">
          <w:pPr>
            <w:pStyle w:val="TOC3"/>
            <w:tabs>
              <w:tab w:val="right" w:leader="dot" w:pos="9016"/>
            </w:tabs>
            <w:rPr>
              <w:rFonts w:eastAsiaTheme="minorEastAsia"/>
              <w:noProof/>
              <w:sz w:val="24"/>
              <w:szCs w:val="24"/>
              <w:lang w:eastAsia="en-GB"/>
            </w:rPr>
          </w:pPr>
          <w:hyperlink w:anchor="_Toc215833511" w:history="1">
            <w:r w:rsidRPr="0021342B">
              <w:rPr>
                <w:rStyle w:val="Hyperlink"/>
                <w:noProof/>
              </w:rPr>
              <w:t>Construct Validity</w:t>
            </w:r>
            <w:r>
              <w:rPr>
                <w:noProof/>
                <w:webHidden/>
              </w:rPr>
              <w:tab/>
            </w:r>
            <w:r>
              <w:rPr>
                <w:noProof/>
                <w:webHidden/>
              </w:rPr>
              <w:fldChar w:fldCharType="begin"/>
            </w:r>
            <w:r>
              <w:rPr>
                <w:noProof/>
                <w:webHidden/>
              </w:rPr>
              <w:instrText xml:space="preserve"> PAGEREF _Toc215833511 \h </w:instrText>
            </w:r>
            <w:r>
              <w:rPr>
                <w:noProof/>
                <w:webHidden/>
              </w:rPr>
            </w:r>
            <w:r>
              <w:rPr>
                <w:noProof/>
                <w:webHidden/>
              </w:rPr>
              <w:fldChar w:fldCharType="separate"/>
            </w:r>
            <w:r>
              <w:rPr>
                <w:noProof/>
                <w:webHidden/>
              </w:rPr>
              <w:t>25</w:t>
            </w:r>
            <w:r>
              <w:rPr>
                <w:noProof/>
                <w:webHidden/>
              </w:rPr>
              <w:fldChar w:fldCharType="end"/>
            </w:r>
          </w:hyperlink>
        </w:p>
        <w:p w14:paraId="6960A41E" w14:textId="59D2BFA0" w:rsidR="00483D37" w:rsidRDefault="00483D37">
          <w:pPr>
            <w:pStyle w:val="TOC3"/>
            <w:tabs>
              <w:tab w:val="right" w:leader="dot" w:pos="9016"/>
            </w:tabs>
            <w:rPr>
              <w:rFonts w:eastAsiaTheme="minorEastAsia"/>
              <w:noProof/>
              <w:sz w:val="24"/>
              <w:szCs w:val="24"/>
              <w:lang w:eastAsia="en-GB"/>
            </w:rPr>
          </w:pPr>
          <w:hyperlink w:anchor="_Toc215833512" w:history="1">
            <w:r w:rsidRPr="0021342B">
              <w:rPr>
                <w:rStyle w:val="Hyperlink"/>
                <w:noProof/>
              </w:rPr>
              <w:t>7.9 Methodological Conclusions</w:t>
            </w:r>
            <w:r>
              <w:rPr>
                <w:noProof/>
                <w:webHidden/>
              </w:rPr>
              <w:tab/>
            </w:r>
            <w:r>
              <w:rPr>
                <w:noProof/>
                <w:webHidden/>
              </w:rPr>
              <w:fldChar w:fldCharType="begin"/>
            </w:r>
            <w:r>
              <w:rPr>
                <w:noProof/>
                <w:webHidden/>
              </w:rPr>
              <w:instrText xml:space="preserve"> PAGEREF _Toc215833512 \h </w:instrText>
            </w:r>
            <w:r>
              <w:rPr>
                <w:noProof/>
                <w:webHidden/>
              </w:rPr>
            </w:r>
            <w:r>
              <w:rPr>
                <w:noProof/>
                <w:webHidden/>
              </w:rPr>
              <w:fldChar w:fldCharType="separate"/>
            </w:r>
            <w:r>
              <w:rPr>
                <w:noProof/>
                <w:webHidden/>
              </w:rPr>
              <w:t>26</w:t>
            </w:r>
            <w:r>
              <w:rPr>
                <w:noProof/>
                <w:webHidden/>
              </w:rPr>
              <w:fldChar w:fldCharType="end"/>
            </w:r>
          </w:hyperlink>
        </w:p>
        <w:p w14:paraId="3B84F61B" w14:textId="0C6B1E66" w:rsidR="00483D37" w:rsidRDefault="00483D37">
          <w:pPr>
            <w:pStyle w:val="TOC1"/>
            <w:tabs>
              <w:tab w:val="right" w:leader="dot" w:pos="9016"/>
            </w:tabs>
            <w:rPr>
              <w:rFonts w:eastAsiaTheme="minorEastAsia"/>
              <w:noProof/>
              <w:sz w:val="24"/>
              <w:szCs w:val="24"/>
              <w:lang w:eastAsia="en-GB"/>
            </w:rPr>
          </w:pPr>
          <w:hyperlink w:anchor="_Toc215833513" w:history="1">
            <w:r w:rsidRPr="0021342B">
              <w:rPr>
                <w:rStyle w:val="Hyperlink"/>
                <w:noProof/>
              </w:rPr>
              <w:t>8. A Critical Appraisal</w:t>
            </w:r>
            <w:r>
              <w:rPr>
                <w:noProof/>
                <w:webHidden/>
              </w:rPr>
              <w:tab/>
            </w:r>
            <w:r>
              <w:rPr>
                <w:noProof/>
                <w:webHidden/>
              </w:rPr>
              <w:fldChar w:fldCharType="begin"/>
            </w:r>
            <w:r>
              <w:rPr>
                <w:noProof/>
                <w:webHidden/>
              </w:rPr>
              <w:instrText xml:space="preserve"> PAGEREF _Toc215833513 \h </w:instrText>
            </w:r>
            <w:r>
              <w:rPr>
                <w:noProof/>
                <w:webHidden/>
              </w:rPr>
            </w:r>
            <w:r>
              <w:rPr>
                <w:noProof/>
                <w:webHidden/>
              </w:rPr>
              <w:fldChar w:fldCharType="separate"/>
            </w:r>
            <w:r>
              <w:rPr>
                <w:noProof/>
                <w:webHidden/>
              </w:rPr>
              <w:t>26</w:t>
            </w:r>
            <w:r>
              <w:rPr>
                <w:noProof/>
                <w:webHidden/>
              </w:rPr>
              <w:fldChar w:fldCharType="end"/>
            </w:r>
          </w:hyperlink>
        </w:p>
        <w:p w14:paraId="76E2302A" w14:textId="53A3A530" w:rsidR="00483D37" w:rsidRDefault="00483D37">
          <w:pPr>
            <w:pStyle w:val="TOC1"/>
            <w:tabs>
              <w:tab w:val="right" w:leader="dot" w:pos="9016"/>
            </w:tabs>
            <w:rPr>
              <w:rFonts w:eastAsiaTheme="minorEastAsia"/>
              <w:noProof/>
              <w:sz w:val="24"/>
              <w:szCs w:val="24"/>
              <w:lang w:eastAsia="en-GB"/>
            </w:rPr>
          </w:pPr>
          <w:hyperlink w:anchor="_Toc215833514" w:history="1">
            <w:r w:rsidRPr="0021342B">
              <w:rPr>
                <w:rStyle w:val="Hyperlink"/>
                <w:noProof/>
              </w:rPr>
              <w:t>Conclusion</w:t>
            </w:r>
            <w:r>
              <w:rPr>
                <w:noProof/>
                <w:webHidden/>
              </w:rPr>
              <w:tab/>
            </w:r>
            <w:r>
              <w:rPr>
                <w:noProof/>
                <w:webHidden/>
              </w:rPr>
              <w:fldChar w:fldCharType="begin"/>
            </w:r>
            <w:r>
              <w:rPr>
                <w:noProof/>
                <w:webHidden/>
              </w:rPr>
              <w:instrText xml:space="preserve"> PAGEREF _Toc215833514 \h </w:instrText>
            </w:r>
            <w:r>
              <w:rPr>
                <w:noProof/>
                <w:webHidden/>
              </w:rPr>
            </w:r>
            <w:r>
              <w:rPr>
                <w:noProof/>
                <w:webHidden/>
              </w:rPr>
              <w:fldChar w:fldCharType="separate"/>
            </w:r>
            <w:r>
              <w:rPr>
                <w:noProof/>
                <w:webHidden/>
              </w:rPr>
              <w:t>27</w:t>
            </w:r>
            <w:r>
              <w:rPr>
                <w:noProof/>
                <w:webHidden/>
              </w:rPr>
              <w:fldChar w:fldCharType="end"/>
            </w:r>
          </w:hyperlink>
        </w:p>
        <w:p w14:paraId="5E5EAA9A" w14:textId="04D004A1" w:rsidR="00483D37" w:rsidRDefault="00483D37">
          <w:pPr>
            <w:pStyle w:val="TOC3"/>
            <w:tabs>
              <w:tab w:val="right" w:leader="dot" w:pos="9016"/>
            </w:tabs>
            <w:rPr>
              <w:rFonts w:eastAsiaTheme="minorEastAsia"/>
              <w:noProof/>
              <w:sz w:val="24"/>
              <w:szCs w:val="24"/>
              <w:lang w:eastAsia="en-GB"/>
            </w:rPr>
          </w:pPr>
          <w:hyperlink w:anchor="_Toc215833515" w:history="1">
            <w:r w:rsidRPr="0021342B">
              <w:rPr>
                <w:rStyle w:val="Hyperlink"/>
                <w:noProof/>
              </w:rPr>
              <w:t>Key conclusions</w:t>
            </w:r>
            <w:r>
              <w:rPr>
                <w:noProof/>
                <w:webHidden/>
              </w:rPr>
              <w:tab/>
            </w:r>
            <w:r>
              <w:rPr>
                <w:noProof/>
                <w:webHidden/>
              </w:rPr>
              <w:fldChar w:fldCharType="begin"/>
            </w:r>
            <w:r>
              <w:rPr>
                <w:noProof/>
                <w:webHidden/>
              </w:rPr>
              <w:instrText xml:space="preserve"> PAGEREF _Toc215833515 \h </w:instrText>
            </w:r>
            <w:r>
              <w:rPr>
                <w:noProof/>
                <w:webHidden/>
              </w:rPr>
            </w:r>
            <w:r>
              <w:rPr>
                <w:noProof/>
                <w:webHidden/>
              </w:rPr>
              <w:fldChar w:fldCharType="separate"/>
            </w:r>
            <w:r>
              <w:rPr>
                <w:noProof/>
                <w:webHidden/>
              </w:rPr>
              <w:t>28</w:t>
            </w:r>
            <w:r>
              <w:rPr>
                <w:noProof/>
                <w:webHidden/>
              </w:rPr>
              <w:fldChar w:fldCharType="end"/>
            </w:r>
          </w:hyperlink>
        </w:p>
        <w:p w14:paraId="70C3ACC9" w14:textId="455C7E34" w:rsidR="00483D37" w:rsidRDefault="00483D37">
          <w:pPr>
            <w:pStyle w:val="TOC1"/>
            <w:tabs>
              <w:tab w:val="right" w:leader="dot" w:pos="9016"/>
            </w:tabs>
            <w:rPr>
              <w:rFonts w:eastAsiaTheme="minorEastAsia"/>
              <w:noProof/>
              <w:sz w:val="24"/>
              <w:szCs w:val="24"/>
              <w:lang w:eastAsia="en-GB"/>
            </w:rPr>
          </w:pPr>
          <w:hyperlink w:anchor="_Toc215833516" w:history="1">
            <w:r w:rsidRPr="0021342B">
              <w:rPr>
                <w:rStyle w:val="Hyperlink"/>
                <w:noProof/>
              </w:rPr>
              <w:t>References</w:t>
            </w:r>
            <w:r>
              <w:rPr>
                <w:noProof/>
                <w:webHidden/>
              </w:rPr>
              <w:tab/>
            </w:r>
            <w:r>
              <w:rPr>
                <w:noProof/>
                <w:webHidden/>
              </w:rPr>
              <w:fldChar w:fldCharType="begin"/>
            </w:r>
            <w:r>
              <w:rPr>
                <w:noProof/>
                <w:webHidden/>
              </w:rPr>
              <w:instrText xml:space="preserve"> PAGEREF _Toc215833516 \h </w:instrText>
            </w:r>
            <w:r>
              <w:rPr>
                <w:noProof/>
                <w:webHidden/>
              </w:rPr>
            </w:r>
            <w:r>
              <w:rPr>
                <w:noProof/>
                <w:webHidden/>
              </w:rPr>
              <w:fldChar w:fldCharType="separate"/>
            </w:r>
            <w:r>
              <w:rPr>
                <w:noProof/>
                <w:webHidden/>
              </w:rPr>
              <w:t>28</w:t>
            </w:r>
            <w:r>
              <w:rPr>
                <w:noProof/>
                <w:webHidden/>
              </w:rPr>
              <w:fldChar w:fldCharType="end"/>
            </w:r>
          </w:hyperlink>
        </w:p>
        <w:p w14:paraId="1D5843AB" w14:textId="1DC888DE" w:rsidR="00380E7F" w:rsidRDefault="00380E7F">
          <w:r>
            <w:rPr>
              <w:b/>
              <w:bCs/>
            </w:rPr>
            <w:fldChar w:fldCharType="end"/>
          </w:r>
        </w:p>
      </w:sdtContent>
    </w:sdt>
    <w:p w14:paraId="3CDDF34D" w14:textId="47C9E3A3" w:rsidR="006A334D" w:rsidRDefault="006A334D">
      <w:pPr>
        <w:rPr>
          <w:rFonts w:ascii="Arial" w:hAnsi="Arial" w:cs="Arial"/>
        </w:rPr>
      </w:pPr>
      <w:r>
        <w:rPr>
          <w:rFonts w:ascii="Arial" w:hAnsi="Arial" w:cs="Arial"/>
        </w:rPr>
        <w:br w:type="page"/>
      </w:r>
    </w:p>
    <w:p w14:paraId="272EADF2" w14:textId="77777777" w:rsidR="00083275" w:rsidRDefault="00083275" w:rsidP="009A10D0">
      <w:pPr>
        <w:spacing w:line="360" w:lineRule="auto"/>
        <w:rPr>
          <w:rFonts w:ascii="Arial" w:hAnsi="Arial" w:cs="Arial"/>
        </w:rPr>
      </w:pPr>
    </w:p>
    <w:p w14:paraId="749FBBA6" w14:textId="77777777" w:rsidR="00380E7F" w:rsidRPr="009A10D0" w:rsidRDefault="00380E7F" w:rsidP="009A10D0">
      <w:pPr>
        <w:spacing w:line="360" w:lineRule="auto"/>
        <w:rPr>
          <w:rFonts w:ascii="Arial" w:hAnsi="Arial" w:cs="Arial"/>
        </w:rPr>
      </w:pPr>
    </w:p>
    <w:p w14:paraId="1B6D6774" w14:textId="10BA91F5" w:rsidR="005D2FDA" w:rsidRDefault="005D2FDA" w:rsidP="005D2FDA">
      <w:pPr>
        <w:pStyle w:val="Heading1"/>
        <w:ind w:left="360"/>
      </w:pPr>
      <w:bookmarkStart w:id="0" w:name="_Toc215833464"/>
      <w:r>
        <w:t>Executive Summary</w:t>
      </w:r>
      <w:bookmarkEnd w:id="0"/>
    </w:p>
    <w:p w14:paraId="2F6F58CD" w14:textId="0D1699E1" w:rsidR="005D2FDA" w:rsidRDefault="004D31D6" w:rsidP="005D2FDA">
      <w:pPr>
        <w:spacing w:line="360" w:lineRule="auto"/>
        <w:rPr>
          <w:rFonts w:ascii="Arial" w:hAnsi="Arial" w:cs="Arial"/>
        </w:rPr>
      </w:pPr>
      <w:r w:rsidRPr="004D31D6">
        <w:rPr>
          <w:rFonts w:ascii="Arial" w:hAnsi="Arial" w:cs="Arial"/>
        </w:rPr>
        <w:t>This critical review highlights research published between 2020 and 2025 that focuses on responsible sourcing initiatives, sustainability, and corporate ethics within the cobalt supply chain of the Democratic Republic of Congo. As cobalt is a vital mineral for the global energy transition, it is important to address the ethical, environmental, and governance issues associated with its extraction in the Democratic Republic of Congo. By examining these concerns, with the aim of identifying opportunities for improvement and developing strategies that promote responsible practices in the industry.</w:t>
      </w:r>
    </w:p>
    <w:p w14:paraId="327D6298" w14:textId="64C91110" w:rsidR="00974F89" w:rsidRPr="00974F89" w:rsidRDefault="00974F89" w:rsidP="00974F89">
      <w:pPr>
        <w:spacing w:line="360" w:lineRule="auto"/>
        <w:rPr>
          <w:rFonts w:ascii="Arial" w:hAnsi="Arial" w:cs="Arial"/>
        </w:rPr>
      </w:pPr>
      <w:r w:rsidRPr="00974F89">
        <w:rPr>
          <w:rFonts w:ascii="Arial" w:hAnsi="Arial" w:cs="Arial"/>
        </w:rPr>
        <w:t xml:space="preserve">The review sheds light on three significant areas of research that can contribute to positive change in the cobalt industry: (1) industry-led initiatives, including OECD guidance, the Responsible Cobalt Initiative, and Cobalt Institute standards; (2) collaborative programs spearheaded </w:t>
      </w:r>
      <w:r w:rsidRPr="00B67D4A">
        <w:rPr>
          <w:rFonts w:ascii="Arial" w:hAnsi="Arial" w:cs="Arial"/>
        </w:rPr>
        <w:t xml:space="preserve">by </w:t>
      </w:r>
      <w:r w:rsidR="00532CBF" w:rsidRPr="00B67D4A">
        <w:rPr>
          <w:rFonts w:ascii="Arial" w:hAnsi="Arial" w:cs="Arial"/>
        </w:rPr>
        <w:t>non-governmental organisations</w:t>
      </w:r>
      <w:r w:rsidR="00B67D4A" w:rsidRPr="00B67D4A">
        <w:rPr>
          <w:rFonts w:ascii="Arial" w:hAnsi="Arial" w:cs="Arial"/>
        </w:rPr>
        <w:t xml:space="preserve"> (</w:t>
      </w:r>
      <w:r w:rsidRPr="00B67D4A">
        <w:rPr>
          <w:rFonts w:ascii="Arial" w:hAnsi="Arial" w:cs="Arial"/>
        </w:rPr>
        <w:t>NGOs</w:t>
      </w:r>
      <w:r w:rsidR="00B67D4A" w:rsidRPr="00B67D4A">
        <w:rPr>
          <w:rFonts w:ascii="Arial" w:hAnsi="Arial" w:cs="Arial"/>
        </w:rPr>
        <w:t>)</w:t>
      </w:r>
      <w:r w:rsidRPr="00B67D4A">
        <w:rPr>
          <w:rFonts w:ascii="Arial" w:hAnsi="Arial" w:cs="Arial"/>
        </w:rPr>
        <w:t xml:space="preserve"> an</w:t>
      </w:r>
      <w:r w:rsidRPr="00974F89">
        <w:rPr>
          <w:rFonts w:ascii="Arial" w:hAnsi="Arial" w:cs="Arial"/>
        </w:rPr>
        <w:t xml:space="preserve">d multi-stakeholder groups, such as the Fair Cobalt Alliance, WEF pilots, and UNICEF's child </w:t>
      </w:r>
      <w:r w:rsidRPr="00974F89">
        <w:rPr>
          <w:rFonts w:ascii="Arial" w:hAnsi="Arial" w:cs="Arial"/>
        </w:rPr>
        <w:t>labour</w:t>
      </w:r>
      <w:r w:rsidRPr="00974F89">
        <w:rPr>
          <w:rFonts w:ascii="Arial" w:hAnsi="Arial" w:cs="Arial"/>
        </w:rPr>
        <w:t xml:space="preserve"> mitigation efforts; and (3) valuable insights from academic contributions across various disciplines.</w:t>
      </w:r>
    </w:p>
    <w:p w14:paraId="0F3C2BB3" w14:textId="175E6849" w:rsidR="00974F89" w:rsidRPr="00974F89" w:rsidRDefault="00974F89" w:rsidP="00974F89">
      <w:pPr>
        <w:spacing w:line="360" w:lineRule="auto"/>
        <w:rPr>
          <w:rFonts w:ascii="Arial" w:hAnsi="Arial" w:cs="Arial"/>
        </w:rPr>
      </w:pPr>
      <w:r w:rsidRPr="00974F89">
        <w:rPr>
          <w:rFonts w:ascii="Arial" w:hAnsi="Arial" w:cs="Arial"/>
        </w:rPr>
        <w:t xml:space="preserve">Moreover, the review </w:t>
      </w:r>
      <w:r>
        <w:rPr>
          <w:rFonts w:ascii="Arial" w:hAnsi="Arial" w:cs="Arial"/>
        </w:rPr>
        <w:t>emphasises</w:t>
      </w:r>
      <w:r w:rsidRPr="00974F89">
        <w:rPr>
          <w:rFonts w:ascii="Arial" w:hAnsi="Arial" w:cs="Arial"/>
        </w:rPr>
        <w:t xml:space="preserve"> important considerations for moving forward: </w:t>
      </w:r>
    </w:p>
    <w:p w14:paraId="12653AA3" w14:textId="77777777" w:rsidR="00974F89" w:rsidRPr="00974F89" w:rsidRDefault="00974F89" w:rsidP="00974F89">
      <w:pPr>
        <w:spacing w:line="360" w:lineRule="auto"/>
        <w:rPr>
          <w:rFonts w:ascii="Arial" w:hAnsi="Arial" w:cs="Arial"/>
        </w:rPr>
      </w:pPr>
      <w:r w:rsidRPr="00974F89">
        <w:rPr>
          <w:rFonts w:ascii="Arial" w:hAnsi="Arial" w:cs="Arial"/>
        </w:rPr>
        <w:t xml:space="preserve">- </w:t>
      </w:r>
      <w:r w:rsidRPr="00BE72BB">
        <w:rPr>
          <w:rStyle w:val="Heading4Char"/>
        </w:rPr>
        <w:t>Epistemological considerations</w:t>
      </w:r>
      <w:r w:rsidRPr="00974F89">
        <w:rPr>
          <w:rFonts w:ascii="Arial" w:hAnsi="Arial" w:cs="Arial"/>
        </w:rPr>
        <w:t>: Addressing issues like construct ambiguity, evidence bias, and methodological pluralism will enhance the reliability of research findings.</w:t>
      </w:r>
    </w:p>
    <w:p w14:paraId="50873311" w14:textId="77777777" w:rsidR="00974F89" w:rsidRPr="00974F89" w:rsidRDefault="00974F89" w:rsidP="00974F89">
      <w:pPr>
        <w:spacing w:line="360" w:lineRule="auto"/>
        <w:rPr>
          <w:rFonts w:ascii="Arial" w:hAnsi="Arial" w:cs="Arial"/>
        </w:rPr>
      </w:pPr>
      <w:r w:rsidRPr="00974F89">
        <w:rPr>
          <w:rFonts w:ascii="Arial" w:hAnsi="Arial" w:cs="Arial"/>
        </w:rPr>
        <w:t xml:space="preserve">- </w:t>
      </w:r>
      <w:r w:rsidRPr="00BE72BB">
        <w:rPr>
          <w:rStyle w:val="Heading4Char"/>
        </w:rPr>
        <w:t>Ontological considerations</w:t>
      </w:r>
      <w:r w:rsidRPr="00974F89">
        <w:rPr>
          <w:rFonts w:ascii="Arial" w:hAnsi="Arial" w:cs="Arial"/>
        </w:rPr>
        <w:t>: Moving beyond simplistic distinctions between artisanal small-scale mining and large-scale mining will help unravel the complexities of socio-technical supply chains and foster more inclusive dialogues about agency.</w:t>
      </w:r>
    </w:p>
    <w:p w14:paraId="6DBEE153" w14:textId="0BFD3D2D" w:rsidR="00974F89" w:rsidRPr="00974F89" w:rsidRDefault="00974F89" w:rsidP="00974F89">
      <w:pPr>
        <w:spacing w:line="360" w:lineRule="auto"/>
        <w:rPr>
          <w:rFonts w:ascii="Arial" w:hAnsi="Arial" w:cs="Arial"/>
        </w:rPr>
      </w:pPr>
      <w:r w:rsidRPr="00974F89">
        <w:rPr>
          <w:rFonts w:ascii="Arial" w:hAnsi="Arial" w:cs="Arial"/>
        </w:rPr>
        <w:t xml:space="preserve">- </w:t>
      </w:r>
      <w:r w:rsidRPr="00BE72BB">
        <w:rPr>
          <w:rStyle w:val="Heading4Char"/>
        </w:rPr>
        <w:t>Ethical considerations</w:t>
      </w:r>
      <w:r w:rsidRPr="00974F89">
        <w:rPr>
          <w:rFonts w:ascii="Arial" w:hAnsi="Arial" w:cs="Arial"/>
        </w:rPr>
        <w:t xml:space="preserve">: </w:t>
      </w:r>
      <w:r>
        <w:rPr>
          <w:rFonts w:ascii="Arial" w:hAnsi="Arial" w:cs="Arial"/>
        </w:rPr>
        <w:t>Prioritising</w:t>
      </w:r>
      <w:r w:rsidRPr="00974F89">
        <w:rPr>
          <w:rFonts w:ascii="Arial" w:hAnsi="Arial" w:cs="Arial"/>
        </w:rPr>
        <w:t xml:space="preserve"> human rights, justice, transparency, and addressing global inequality can guide the industry towards more responsible and equitable practices.</w:t>
      </w:r>
    </w:p>
    <w:p w14:paraId="1A1E7651" w14:textId="4ED7184D" w:rsidR="004D31D6" w:rsidRDefault="00974F89" w:rsidP="00974F89">
      <w:pPr>
        <w:spacing w:line="360" w:lineRule="auto"/>
        <w:rPr>
          <w:rFonts w:ascii="Arial" w:hAnsi="Arial" w:cs="Arial"/>
        </w:rPr>
      </w:pPr>
      <w:r w:rsidRPr="00974F89">
        <w:rPr>
          <w:rFonts w:ascii="Arial" w:hAnsi="Arial" w:cs="Arial"/>
        </w:rPr>
        <w:t>By focusing on these areas, stakeholders can work together to promote a more sustainable and ethical cobalt supply chain.</w:t>
      </w:r>
    </w:p>
    <w:p w14:paraId="04C4E112" w14:textId="31B07E61" w:rsidR="005D2FDA" w:rsidRDefault="000908B7" w:rsidP="005D2FDA">
      <w:pPr>
        <w:spacing w:line="360" w:lineRule="auto"/>
        <w:rPr>
          <w:rFonts w:ascii="Arial" w:hAnsi="Arial" w:cs="Arial"/>
        </w:rPr>
      </w:pPr>
      <w:r w:rsidRPr="000908B7">
        <w:rPr>
          <w:rFonts w:ascii="Arial" w:hAnsi="Arial" w:cs="Arial"/>
        </w:rPr>
        <w:lastRenderedPageBreak/>
        <w:t xml:space="preserve">The case study conducted by Calvão, McDonald, and Bolay (2021a) effectively demonstrates the valuable insights that critical realist and ethnographic approaches can provide in exploring the lived experiences and ethical dilemmas of miners. This research </w:t>
      </w:r>
      <w:r>
        <w:rPr>
          <w:rFonts w:ascii="Arial" w:hAnsi="Arial" w:cs="Arial"/>
        </w:rPr>
        <w:t>effectively demonstrates ethical reflexivity, contextual validity, and theoretical depth, thereby contributing to a more comprehensive</w:t>
      </w:r>
      <w:r w:rsidRPr="000908B7">
        <w:rPr>
          <w:rFonts w:ascii="Arial" w:hAnsi="Arial" w:cs="Arial"/>
        </w:rPr>
        <w:t xml:space="preserve"> understanding of the subject. However, it also highlights opportunities for improvement, particularly regarding replicability and quantitative </w:t>
      </w:r>
      <w:r>
        <w:rPr>
          <w:rFonts w:ascii="Arial" w:hAnsi="Arial" w:cs="Arial"/>
        </w:rPr>
        <w:t>rigour</w:t>
      </w:r>
      <w:r w:rsidRPr="000908B7">
        <w:rPr>
          <w:rFonts w:ascii="Arial" w:hAnsi="Arial" w:cs="Arial"/>
        </w:rPr>
        <w:t>, which could enhance the study's overall impact and applicability.</w:t>
      </w:r>
    </w:p>
    <w:p w14:paraId="1F9A4067" w14:textId="4FD76002" w:rsidR="00FF1528" w:rsidRPr="00FF1528" w:rsidRDefault="0031240F" w:rsidP="00FF1528">
      <w:pPr>
        <w:spacing w:line="360" w:lineRule="auto"/>
        <w:rPr>
          <w:rFonts w:ascii="Arial" w:hAnsi="Arial" w:cs="Arial"/>
        </w:rPr>
      </w:pPr>
      <w:r>
        <w:rPr>
          <w:rFonts w:ascii="Arial" w:hAnsi="Arial" w:cs="Arial"/>
        </w:rPr>
        <w:t>The review effectively highlights that responsible sourcing in the cobalt supply chain of the Democratic Republic of Congo requires a nuanced approach that balances risk mitigation with the protection of local livelihoods. This balance is crucial in a region where artisanal mining plays a significant role in the economy and the community’s well-being</w:t>
      </w:r>
      <w:r w:rsidR="00FF1528" w:rsidRPr="00FF1528">
        <w:rPr>
          <w:rFonts w:ascii="Arial" w:hAnsi="Arial" w:cs="Arial"/>
        </w:rPr>
        <w:t xml:space="preserve">. </w:t>
      </w:r>
    </w:p>
    <w:p w14:paraId="7BA569DC" w14:textId="77777777" w:rsidR="00FF1528" w:rsidRPr="00FF1528" w:rsidRDefault="00FF1528" w:rsidP="00FF1528">
      <w:pPr>
        <w:spacing w:line="360" w:lineRule="auto"/>
        <w:rPr>
          <w:rFonts w:ascii="Arial" w:hAnsi="Arial" w:cs="Arial"/>
        </w:rPr>
      </w:pPr>
      <w:r w:rsidRPr="00FF1528">
        <w:rPr>
          <w:rFonts w:ascii="Arial" w:hAnsi="Arial" w:cs="Arial"/>
        </w:rPr>
        <w:t>To achieve this, it is essential to incorporate a framework that prioritises ecological, social, and economic sustainability. Companies must not only comply with ethical standards but also adopt a proactive stance in their corporate social responsibility initiatives. This means actively engaging with local communities, investing in sustainable practices, and ensuring that their operations do not compromise the environment or the rights of the workers involved in the supply chain.</w:t>
      </w:r>
    </w:p>
    <w:p w14:paraId="7D8ED12C" w14:textId="36BF3BCD" w:rsidR="00FF1528" w:rsidRDefault="00FF1528" w:rsidP="00FF1528">
      <w:pPr>
        <w:spacing w:line="360" w:lineRule="auto"/>
        <w:rPr>
          <w:rFonts w:ascii="Arial" w:hAnsi="Arial" w:cs="Arial"/>
        </w:rPr>
      </w:pPr>
      <w:r w:rsidRPr="00FF1528">
        <w:rPr>
          <w:rFonts w:ascii="Arial" w:hAnsi="Arial" w:cs="Arial"/>
        </w:rPr>
        <w:t>Furthermore, future research should aim to combine comprehensive ethnographic studies, providing a deeper understanding of the cultural and social dynamics at work</w:t>
      </w:r>
      <w:r>
        <w:rPr>
          <w:rFonts w:ascii="Arial" w:hAnsi="Arial" w:cs="Arial"/>
        </w:rPr>
        <w:t>,</w:t>
      </w:r>
      <w:r w:rsidRPr="00FF1528">
        <w:rPr>
          <w:rFonts w:ascii="Arial" w:hAnsi="Arial" w:cs="Arial"/>
        </w:rPr>
        <w:t xml:space="preserve"> with rigorous quantitative assessments that measure the impacts of sourcing practices. This dual approach will ensure that findings are both substantial and equitable, ultimately leading to more informed decision-making that benefits both businesses and the communities affected by cobalt mining.</w:t>
      </w:r>
    </w:p>
    <w:p w14:paraId="05B53B9E" w14:textId="48ECC55C" w:rsidR="00083275" w:rsidRDefault="004A0C85" w:rsidP="005D2FDA">
      <w:pPr>
        <w:pStyle w:val="Heading1"/>
        <w:numPr>
          <w:ilvl w:val="0"/>
          <w:numId w:val="2"/>
        </w:numPr>
      </w:pPr>
      <w:bookmarkStart w:id="1" w:name="_Toc215833465"/>
      <w:r w:rsidRPr="009A10D0">
        <w:t>Introduction</w:t>
      </w:r>
      <w:bookmarkEnd w:id="1"/>
    </w:p>
    <w:p w14:paraId="0B38265B" w14:textId="3A1F8127" w:rsidR="00282172" w:rsidRDefault="00980CBA" w:rsidP="009A10D0">
      <w:pPr>
        <w:spacing w:line="360" w:lineRule="auto"/>
        <w:rPr>
          <w:rFonts w:ascii="Arial" w:hAnsi="Arial" w:cs="Arial"/>
        </w:rPr>
      </w:pPr>
      <w:r w:rsidRPr="00980CBA">
        <w:rPr>
          <w:rFonts w:ascii="Arial" w:hAnsi="Arial" w:cs="Arial"/>
        </w:rPr>
        <w:t xml:space="preserve">Transformative Innovation Policy (TIP) represents a forward-thinking approach to crafting and applying </w:t>
      </w:r>
      <w:r w:rsidRPr="00DA3697">
        <w:rPr>
          <w:rFonts w:ascii="Arial" w:hAnsi="Arial" w:cs="Arial"/>
        </w:rPr>
        <w:t>science, technology, and innovation</w:t>
      </w:r>
      <w:r w:rsidRPr="00980CBA">
        <w:rPr>
          <w:rFonts w:ascii="Arial" w:hAnsi="Arial" w:cs="Arial"/>
        </w:rPr>
        <w:t xml:space="preserve"> (STI) policy (</w:t>
      </w:r>
      <w:r w:rsidRPr="00257FE6">
        <w:rPr>
          <w:rFonts w:ascii="Arial" w:hAnsi="Arial" w:cs="Arial"/>
        </w:rPr>
        <w:t>Schot and Steinmueller 2018</w:t>
      </w:r>
      <w:r w:rsidRPr="00980CBA">
        <w:rPr>
          <w:rFonts w:ascii="Arial" w:hAnsi="Arial" w:cs="Arial"/>
          <w:b/>
          <w:bCs/>
        </w:rPr>
        <w:t xml:space="preserve">; </w:t>
      </w:r>
      <w:r w:rsidRPr="003B5D27">
        <w:rPr>
          <w:rFonts w:ascii="Arial" w:hAnsi="Arial" w:cs="Arial"/>
        </w:rPr>
        <w:t>Weber and Rohracher 2012</w:t>
      </w:r>
      <w:r w:rsidRPr="00980CBA">
        <w:rPr>
          <w:rFonts w:ascii="Arial" w:hAnsi="Arial" w:cs="Arial"/>
        </w:rPr>
        <w:t xml:space="preserve">). It emphasises the critical significance of meeting societal demands while actively promoting inclusive, egalitarian and sustainable prosperity. The TIP framework encourages the advancement of systemic change by integrating innovation </w:t>
      </w:r>
      <w:r w:rsidRPr="00980CBA">
        <w:rPr>
          <w:rFonts w:ascii="Arial" w:hAnsi="Arial" w:cs="Arial"/>
        </w:rPr>
        <w:lastRenderedPageBreak/>
        <w:t>policies that prioritise both social development and environmental sustainability, ultimately leading to a more resilient and prosperous society</w:t>
      </w:r>
      <w:r w:rsidR="000703DC">
        <w:rPr>
          <w:rFonts w:ascii="Arial" w:hAnsi="Arial" w:cs="Arial"/>
        </w:rPr>
        <w:t xml:space="preserve"> </w:t>
      </w:r>
      <w:r w:rsidR="00161514">
        <w:rPr>
          <w:rFonts w:ascii="Arial" w:hAnsi="Arial" w:cs="Arial"/>
        </w:rPr>
        <w:t>(</w:t>
      </w:r>
      <w:r w:rsidR="004446C2" w:rsidRPr="004446C2">
        <w:rPr>
          <w:rFonts w:ascii="Arial" w:hAnsi="Arial" w:cs="Arial"/>
        </w:rPr>
        <w:t xml:space="preserve">Boni </w:t>
      </w:r>
      <w:r w:rsidR="004446C2" w:rsidRPr="004446C2">
        <w:rPr>
          <w:rFonts w:ascii="Arial" w:hAnsi="Arial" w:cs="Arial"/>
          <w:i/>
          <w:iCs/>
        </w:rPr>
        <w:t>et al</w:t>
      </w:r>
      <w:r w:rsidR="004446C2">
        <w:rPr>
          <w:rFonts w:ascii="Arial" w:hAnsi="Arial" w:cs="Arial"/>
        </w:rPr>
        <w:t>.</w:t>
      </w:r>
      <w:r w:rsidR="00161514">
        <w:rPr>
          <w:rFonts w:ascii="Arial" w:hAnsi="Arial" w:cs="Arial"/>
        </w:rPr>
        <w:t xml:space="preserve">, </w:t>
      </w:r>
      <w:r w:rsidR="004446C2" w:rsidRPr="004446C2">
        <w:rPr>
          <w:rFonts w:ascii="Arial" w:hAnsi="Arial" w:cs="Arial"/>
        </w:rPr>
        <w:t>2025)</w:t>
      </w:r>
      <w:r w:rsidR="00161514">
        <w:rPr>
          <w:rFonts w:ascii="Arial" w:hAnsi="Arial" w:cs="Arial"/>
        </w:rPr>
        <w:t>.</w:t>
      </w:r>
    </w:p>
    <w:p w14:paraId="1A803385" w14:textId="39C7ACCB" w:rsidR="001803DA" w:rsidRDefault="009A255B" w:rsidP="009A10D0">
      <w:pPr>
        <w:spacing w:line="360" w:lineRule="auto"/>
        <w:rPr>
          <w:rFonts w:ascii="Arial" w:hAnsi="Arial" w:cs="Arial"/>
        </w:rPr>
      </w:pPr>
      <w:r w:rsidRPr="009A255B">
        <w:rPr>
          <w:rFonts w:ascii="Arial" w:hAnsi="Arial" w:cs="Arial"/>
        </w:rPr>
        <w:t>In recent years, the concept of "sustainability" within supply chains has emerged as a crucial focus in both academic and industry discussions</w:t>
      </w:r>
      <w:r w:rsidR="00BB02AA">
        <w:rPr>
          <w:rFonts w:ascii="Arial" w:hAnsi="Arial" w:cs="Arial"/>
        </w:rPr>
        <w:t xml:space="preserve"> </w:t>
      </w:r>
      <w:r w:rsidR="00BB02AA" w:rsidRPr="00BB02AA">
        <w:rPr>
          <w:rFonts w:ascii="Arial" w:hAnsi="Arial" w:cs="Arial"/>
        </w:rPr>
        <w:t>(Mirzaei and Shokouhyar, 2022).</w:t>
      </w:r>
      <w:r w:rsidRPr="009A255B">
        <w:rPr>
          <w:rFonts w:ascii="Arial" w:hAnsi="Arial" w:cs="Arial"/>
        </w:rPr>
        <w:t xml:space="preserve"> It is encouraging to see that both governmental and private sectors are increasingly prioritising sustainable practices. This shift presents a valuable opportunity for companies to take responsibility for their operations through embracing the triple bottom line, which emphasises environmental, social and economic considerations</w:t>
      </w:r>
      <w:r w:rsidR="006E6379">
        <w:rPr>
          <w:rFonts w:ascii="Arial" w:hAnsi="Arial" w:cs="Arial"/>
        </w:rPr>
        <w:t xml:space="preserve"> (</w:t>
      </w:r>
      <w:r w:rsidR="006E6379" w:rsidRPr="006E6379">
        <w:rPr>
          <w:rFonts w:ascii="Arial" w:hAnsi="Arial" w:cs="Arial"/>
        </w:rPr>
        <w:t>Mirzaei</w:t>
      </w:r>
      <w:r w:rsidR="006E6379">
        <w:rPr>
          <w:rFonts w:ascii="Arial" w:hAnsi="Arial" w:cs="Arial"/>
        </w:rPr>
        <w:t xml:space="preserve"> and </w:t>
      </w:r>
      <w:r w:rsidR="006E6379" w:rsidRPr="006E6379">
        <w:rPr>
          <w:rFonts w:ascii="Arial" w:hAnsi="Arial" w:cs="Arial"/>
        </w:rPr>
        <w:t>Shokouhyar, 2022)</w:t>
      </w:r>
      <w:r w:rsidR="006E6379">
        <w:rPr>
          <w:rFonts w:ascii="Arial" w:hAnsi="Arial" w:cs="Arial"/>
        </w:rPr>
        <w:t xml:space="preserve">. </w:t>
      </w:r>
      <w:r w:rsidRPr="009A255B">
        <w:rPr>
          <w:rFonts w:ascii="Arial" w:hAnsi="Arial" w:cs="Arial"/>
        </w:rPr>
        <w:t>Through initiatives such as this, companies can contribute positively to society while also fostering long-term sustainability, continued growth and development</w:t>
      </w:r>
      <w:r w:rsidR="006E6379">
        <w:rPr>
          <w:rFonts w:ascii="Arial" w:hAnsi="Arial" w:cs="Arial"/>
        </w:rPr>
        <w:t>.</w:t>
      </w:r>
    </w:p>
    <w:p w14:paraId="6674D361" w14:textId="77777777" w:rsidR="00990F59" w:rsidRDefault="00D95102" w:rsidP="009A10D0">
      <w:pPr>
        <w:spacing w:line="360" w:lineRule="auto"/>
        <w:rPr>
          <w:rFonts w:ascii="Arial" w:hAnsi="Arial" w:cs="Arial"/>
        </w:rPr>
      </w:pPr>
      <w:r w:rsidRPr="00D95102">
        <w:rPr>
          <w:rFonts w:ascii="Arial" w:hAnsi="Arial" w:cs="Arial"/>
        </w:rPr>
        <w:t xml:space="preserve">Sustainability has gained considerable attention in the past few decades, playing a vital role in guaranteeing that future generations </w:t>
      </w:r>
      <w:r w:rsidR="00BD4A7D" w:rsidRPr="00D95102">
        <w:rPr>
          <w:rFonts w:ascii="Arial" w:hAnsi="Arial" w:cs="Arial"/>
        </w:rPr>
        <w:t>can fulfil</w:t>
      </w:r>
      <w:r w:rsidRPr="00D95102">
        <w:rPr>
          <w:rFonts w:ascii="Arial" w:hAnsi="Arial" w:cs="Arial"/>
        </w:rPr>
        <w:t xml:space="preserve"> their needs. A sustainable supply chain (SSC) is designed to achieve three interconnected objectives: fostering environmental stewardship, promoting economic viability, and enhancing social responsibility. By aligning with the principles established by the United Nations (UN) Sustainable Development Goals (United Nations, 2015), these objectives offer businesses and communities a constructive roadmap to create a positive and lasting impact on the world.</w:t>
      </w:r>
      <w:r w:rsidR="00DD1361">
        <w:rPr>
          <w:rFonts w:ascii="Arial" w:hAnsi="Arial" w:cs="Arial"/>
        </w:rPr>
        <w:t xml:space="preserve"> </w:t>
      </w:r>
    </w:p>
    <w:p w14:paraId="03CAA44E" w14:textId="704A1E2F" w:rsidR="00D95102" w:rsidRDefault="00DD1361" w:rsidP="009A10D0">
      <w:pPr>
        <w:spacing w:line="360" w:lineRule="auto"/>
        <w:rPr>
          <w:rFonts w:ascii="Arial" w:hAnsi="Arial" w:cs="Arial"/>
        </w:rPr>
      </w:pPr>
      <w:r w:rsidRPr="00DD1361">
        <w:rPr>
          <w:rFonts w:ascii="Arial" w:hAnsi="Arial" w:cs="Arial"/>
        </w:rPr>
        <w:t>The global renewable energy revolution presents a significant opportunity to engage in meaningful discussions concerning sustainability, ethical corporate conduct, and responsible sourcing, particularly regarding the sourcing of cobalt. As an essential mineral in lithium-ion batteries, cobalt plays a vital role in enhancing renewable energy storage, advancing electric vehicles (EVs), and powering consumer electronics devices. Through prioritising ethical practices in cobalt sourcing, Companies can contribute to a more sustainable future while meeting the growing demand for these essential technologies</w:t>
      </w:r>
      <w:r w:rsidR="006C0763">
        <w:rPr>
          <w:rFonts w:ascii="Arial" w:hAnsi="Arial" w:cs="Arial"/>
        </w:rPr>
        <w:t xml:space="preserve"> (</w:t>
      </w:r>
      <w:r w:rsidR="006C0763" w:rsidRPr="006C0763">
        <w:rPr>
          <w:rFonts w:ascii="Arial" w:hAnsi="Arial" w:cs="Arial"/>
        </w:rPr>
        <w:t>Gulley, 2022</w:t>
      </w:r>
      <w:r w:rsidR="006C0763">
        <w:rPr>
          <w:rFonts w:ascii="Arial" w:hAnsi="Arial" w:cs="Arial"/>
        </w:rPr>
        <w:t>;</w:t>
      </w:r>
      <w:r w:rsidR="00D4425F">
        <w:rPr>
          <w:rFonts w:ascii="Arial" w:hAnsi="Arial" w:cs="Arial"/>
        </w:rPr>
        <w:t xml:space="preserve"> </w:t>
      </w:r>
      <w:r w:rsidR="003F7D2C" w:rsidRPr="003B0AFF">
        <w:rPr>
          <w:rFonts w:ascii="Arial" w:hAnsi="Arial" w:cs="Arial"/>
        </w:rPr>
        <w:t xml:space="preserve">Bahini, Mushtaq, </w:t>
      </w:r>
      <w:r w:rsidR="00BA2C09">
        <w:rPr>
          <w:rFonts w:ascii="Arial" w:hAnsi="Arial" w:cs="Arial"/>
        </w:rPr>
        <w:t xml:space="preserve">and </w:t>
      </w:r>
      <w:r w:rsidR="003F7D2C" w:rsidRPr="003B0AFF">
        <w:rPr>
          <w:rFonts w:ascii="Arial" w:hAnsi="Arial" w:cs="Arial"/>
        </w:rPr>
        <w:t>Bahoo, 2024</w:t>
      </w:r>
      <w:r w:rsidR="00BA2C09">
        <w:rPr>
          <w:rFonts w:ascii="Arial" w:hAnsi="Arial" w:cs="Arial"/>
        </w:rPr>
        <w:t xml:space="preserve">; </w:t>
      </w:r>
      <w:r w:rsidR="00BA2C09" w:rsidRPr="00C74D65">
        <w:rPr>
          <w:rFonts w:ascii="Arial" w:hAnsi="Arial" w:cs="Arial"/>
        </w:rPr>
        <w:t>European Commission</w:t>
      </w:r>
      <w:r w:rsidR="00910F29">
        <w:rPr>
          <w:rFonts w:ascii="Arial" w:hAnsi="Arial" w:cs="Arial"/>
        </w:rPr>
        <w:t>,</w:t>
      </w:r>
      <w:r w:rsidR="00BA2C09" w:rsidRPr="00C74D65">
        <w:rPr>
          <w:rFonts w:ascii="Arial" w:hAnsi="Arial" w:cs="Arial"/>
        </w:rPr>
        <w:t xml:space="preserve"> 2014</w:t>
      </w:r>
      <w:r w:rsidR="00D4425F">
        <w:rPr>
          <w:rFonts w:ascii="Arial" w:hAnsi="Arial" w:cs="Arial"/>
        </w:rPr>
        <w:t>;</w:t>
      </w:r>
      <w:r w:rsidR="00170430">
        <w:rPr>
          <w:rFonts w:ascii="Arial" w:hAnsi="Arial" w:cs="Arial"/>
        </w:rPr>
        <w:t xml:space="preserve"> </w:t>
      </w:r>
      <w:r w:rsidR="00170430" w:rsidRPr="00170430">
        <w:rPr>
          <w:rFonts w:ascii="Arial" w:hAnsi="Arial" w:cs="Arial"/>
        </w:rPr>
        <w:t xml:space="preserve">Graedel </w:t>
      </w:r>
      <w:bookmarkStart w:id="2" w:name="_Hlk215074261"/>
      <w:r w:rsidR="00BF0236" w:rsidRPr="00BF0236">
        <w:rPr>
          <w:rFonts w:ascii="Arial" w:hAnsi="Arial" w:cs="Arial"/>
          <w:i/>
          <w:iCs/>
        </w:rPr>
        <w:t>et al</w:t>
      </w:r>
      <w:r w:rsidR="00BF0236">
        <w:rPr>
          <w:rFonts w:ascii="Arial" w:hAnsi="Arial" w:cs="Arial"/>
        </w:rPr>
        <w:t xml:space="preserve">, </w:t>
      </w:r>
      <w:bookmarkEnd w:id="2"/>
      <w:r w:rsidR="00170430" w:rsidRPr="00170430">
        <w:rPr>
          <w:rFonts w:ascii="Arial" w:hAnsi="Arial" w:cs="Arial"/>
        </w:rPr>
        <w:t>2015</w:t>
      </w:r>
      <w:r w:rsidR="00BF0236">
        <w:rPr>
          <w:rFonts w:ascii="Arial" w:hAnsi="Arial" w:cs="Arial"/>
        </w:rPr>
        <w:t>;</w:t>
      </w:r>
      <w:r w:rsidR="00E22FB6">
        <w:rPr>
          <w:rFonts w:ascii="Arial" w:hAnsi="Arial" w:cs="Arial"/>
        </w:rPr>
        <w:t xml:space="preserve"> </w:t>
      </w:r>
      <w:r w:rsidR="00E22FB6" w:rsidRPr="00DD1677">
        <w:rPr>
          <w:rFonts w:ascii="Arial" w:hAnsi="Arial" w:cs="Arial"/>
        </w:rPr>
        <w:t>Nassar</w:t>
      </w:r>
      <w:r w:rsidR="00910F29">
        <w:rPr>
          <w:rFonts w:ascii="Arial" w:hAnsi="Arial" w:cs="Arial"/>
        </w:rPr>
        <w:t xml:space="preserve"> </w:t>
      </w:r>
      <w:r w:rsidR="00910F29" w:rsidRPr="00910F29">
        <w:rPr>
          <w:rFonts w:ascii="Arial" w:hAnsi="Arial" w:cs="Arial"/>
          <w:i/>
          <w:iCs/>
        </w:rPr>
        <w:t>et al</w:t>
      </w:r>
      <w:r w:rsidR="00910F29" w:rsidRPr="00910F29">
        <w:rPr>
          <w:rFonts w:ascii="Arial" w:hAnsi="Arial" w:cs="Arial"/>
        </w:rPr>
        <w:t xml:space="preserve">, </w:t>
      </w:r>
      <w:r w:rsidR="00910F29">
        <w:rPr>
          <w:rFonts w:ascii="Arial" w:hAnsi="Arial" w:cs="Arial"/>
        </w:rPr>
        <w:t>2</w:t>
      </w:r>
      <w:r w:rsidR="00E22FB6" w:rsidRPr="00DD1677">
        <w:rPr>
          <w:rFonts w:ascii="Arial" w:hAnsi="Arial" w:cs="Arial"/>
        </w:rPr>
        <w:t>020)</w:t>
      </w:r>
      <w:r w:rsidR="00D83D53">
        <w:rPr>
          <w:rFonts w:ascii="Arial" w:hAnsi="Arial" w:cs="Arial"/>
        </w:rPr>
        <w:t>.</w:t>
      </w:r>
    </w:p>
    <w:p w14:paraId="0FA09BE1" w14:textId="60FC6395" w:rsidR="00200433" w:rsidRDefault="00200433" w:rsidP="009A10D0">
      <w:pPr>
        <w:spacing w:line="360" w:lineRule="auto"/>
        <w:rPr>
          <w:rFonts w:ascii="Arial" w:hAnsi="Arial" w:cs="Arial"/>
        </w:rPr>
      </w:pPr>
      <w:r w:rsidRPr="00200433">
        <w:rPr>
          <w:rFonts w:ascii="Arial" w:hAnsi="Arial" w:cs="Arial"/>
        </w:rPr>
        <w:t xml:space="preserve">The Democratic Republic of the Congo (DRC) provides </w:t>
      </w:r>
      <w:proofErr w:type="gramStart"/>
      <w:r w:rsidRPr="00200433">
        <w:rPr>
          <w:rFonts w:ascii="Arial" w:hAnsi="Arial" w:cs="Arial"/>
        </w:rPr>
        <w:t>in excess of</w:t>
      </w:r>
      <w:proofErr w:type="gramEnd"/>
      <w:r w:rsidRPr="00200433">
        <w:rPr>
          <w:rFonts w:ascii="Arial" w:hAnsi="Arial" w:cs="Arial"/>
        </w:rPr>
        <w:t xml:space="preserve"> 70 per cent of the world's cobalt, mainly derived from the Copperbelt district in the provinces of Haut-Katanga and Lualaba (</w:t>
      </w:r>
      <w:r w:rsidR="00987C0B" w:rsidRPr="006C0763">
        <w:rPr>
          <w:rFonts w:ascii="Arial" w:hAnsi="Arial" w:cs="Arial"/>
        </w:rPr>
        <w:t>Gulley, 2022</w:t>
      </w:r>
      <w:r w:rsidR="00987C0B">
        <w:rPr>
          <w:rFonts w:ascii="Arial" w:hAnsi="Arial" w:cs="Arial"/>
        </w:rPr>
        <w:t xml:space="preserve">; </w:t>
      </w:r>
      <w:r w:rsidR="00987C0B" w:rsidRPr="003B0AFF">
        <w:rPr>
          <w:rFonts w:ascii="Arial" w:hAnsi="Arial" w:cs="Arial"/>
        </w:rPr>
        <w:t xml:space="preserve">Bahini, Mushtaq, </w:t>
      </w:r>
      <w:r w:rsidR="00987C0B">
        <w:rPr>
          <w:rFonts w:ascii="Arial" w:hAnsi="Arial" w:cs="Arial"/>
        </w:rPr>
        <w:t xml:space="preserve">and </w:t>
      </w:r>
      <w:r w:rsidR="00987C0B" w:rsidRPr="003B0AFF">
        <w:rPr>
          <w:rFonts w:ascii="Arial" w:hAnsi="Arial" w:cs="Arial"/>
        </w:rPr>
        <w:t>Bahoo, 2024</w:t>
      </w:r>
      <w:r w:rsidR="00987C0B">
        <w:rPr>
          <w:rFonts w:ascii="Arial" w:hAnsi="Arial" w:cs="Arial"/>
        </w:rPr>
        <w:t xml:space="preserve">; </w:t>
      </w:r>
      <w:r w:rsidR="00987C0B" w:rsidRPr="00C74D65">
        <w:rPr>
          <w:rFonts w:ascii="Arial" w:hAnsi="Arial" w:cs="Arial"/>
        </w:rPr>
        <w:t>European Commission</w:t>
      </w:r>
      <w:r w:rsidR="00987C0B">
        <w:rPr>
          <w:rFonts w:ascii="Arial" w:hAnsi="Arial" w:cs="Arial"/>
        </w:rPr>
        <w:t>,</w:t>
      </w:r>
      <w:r w:rsidR="00987C0B" w:rsidRPr="00C74D65">
        <w:rPr>
          <w:rFonts w:ascii="Arial" w:hAnsi="Arial" w:cs="Arial"/>
        </w:rPr>
        <w:t xml:space="preserve"> 2014</w:t>
      </w:r>
      <w:r w:rsidR="00987C0B">
        <w:rPr>
          <w:rFonts w:ascii="Arial" w:hAnsi="Arial" w:cs="Arial"/>
        </w:rPr>
        <w:t xml:space="preserve">; </w:t>
      </w:r>
      <w:r w:rsidR="00987C0B" w:rsidRPr="00170430">
        <w:rPr>
          <w:rFonts w:ascii="Arial" w:hAnsi="Arial" w:cs="Arial"/>
        </w:rPr>
        <w:t xml:space="preserve">Graedel </w:t>
      </w:r>
      <w:r w:rsidR="00987C0B" w:rsidRPr="00BF0236">
        <w:rPr>
          <w:rFonts w:ascii="Arial" w:hAnsi="Arial" w:cs="Arial"/>
          <w:i/>
          <w:iCs/>
        </w:rPr>
        <w:t>et al</w:t>
      </w:r>
      <w:r w:rsidR="00987C0B">
        <w:rPr>
          <w:rFonts w:ascii="Arial" w:hAnsi="Arial" w:cs="Arial"/>
        </w:rPr>
        <w:t xml:space="preserve">, </w:t>
      </w:r>
      <w:r w:rsidR="00987C0B" w:rsidRPr="00170430">
        <w:rPr>
          <w:rFonts w:ascii="Arial" w:hAnsi="Arial" w:cs="Arial"/>
        </w:rPr>
        <w:t>2015</w:t>
      </w:r>
      <w:r w:rsidR="00987C0B">
        <w:rPr>
          <w:rFonts w:ascii="Arial" w:hAnsi="Arial" w:cs="Arial"/>
        </w:rPr>
        <w:t xml:space="preserve">; </w:t>
      </w:r>
      <w:r w:rsidR="00987C0B" w:rsidRPr="00DD1677">
        <w:rPr>
          <w:rFonts w:ascii="Arial" w:hAnsi="Arial" w:cs="Arial"/>
        </w:rPr>
        <w:t>Nassar</w:t>
      </w:r>
      <w:r w:rsidR="00987C0B">
        <w:rPr>
          <w:rFonts w:ascii="Arial" w:hAnsi="Arial" w:cs="Arial"/>
        </w:rPr>
        <w:t xml:space="preserve"> </w:t>
      </w:r>
      <w:r w:rsidR="00987C0B" w:rsidRPr="00910F29">
        <w:rPr>
          <w:rFonts w:ascii="Arial" w:hAnsi="Arial" w:cs="Arial"/>
          <w:i/>
          <w:iCs/>
        </w:rPr>
        <w:t>et al</w:t>
      </w:r>
      <w:r w:rsidR="00987C0B" w:rsidRPr="00910F29">
        <w:rPr>
          <w:rFonts w:ascii="Arial" w:hAnsi="Arial" w:cs="Arial"/>
        </w:rPr>
        <w:t xml:space="preserve">, </w:t>
      </w:r>
      <w:r w:rsidR="00987C0B">
        <w:rPr>
          <w:rFonts w:ascii="Arial" w:hAnsi="Arial" w:cs="Arial"/>
        </w:rPr>
        <w:t>2</w:t>
      </w:r>
      <w:r w:rsidR="00987C0B" w:rsidRPr="00DD1677">
        <w:rPr>
          <w:rFonts w:ascii="Arial" w:hAnsi="Arial" w:cs="Arial"/>
        </w:rPr>
        <w:t>020)</w:t>
      </w:r>
      <w:r w:rsidR="00987C0B">
        <w:rPr>
          <w:rFonts w:ascii="Arial" w:hAnsi="Arial" w:cs="Arial"/>
        </w:rPr>
        <w:t>.</w:t>
      </w:r>
      <w:r w:rsidRPr="00200433">
        <w:rPr>
          <w:rFonts w:ascii="Arial" w:hAnsi="Arial" w:cs="Arial"/>
        </w:rPr>
        <w:t xml:space="preserve"> </w:t>
      </w:r>
      <w:r w:rsidR="001D3258">
        <w:rPr>
          <w:rFonts w:ascii="Arial" w:hAnsi="Arial" w:cs="Arial"/>
        </w:rPr>
        <w:t xml:space="preserve">This concentration of resources provides </w:t>
      </w:r>
      <w:r w:rsidR="001D3258">
        <w:rPr>
          <w:rFonts w:ascii="Arial" w:hAnsi="Arial" w:cs="Arial"/>
        </w:rPr>
        <w:lastRenderedPageBreak/>
        <w:t>substantial strategic prospects for technological and renewable energy advancements</w:t>
      </w:r>
      <w:r w:rsidRPr="00200433">
        <w:rPr>
          <w:rFonts w:ascii="Arial" w:hAnsi="Arial" w:cs="Arial"/>
        </w:rPr>
        <w:t>. However, it also underscores the importance of demonstrating a strong commitment to ethical conduct, ensuring ethical sourcing and sustainable development in the area</w:t>
      </w:r>
      <w:r w:rsidR="00BB5705">
        <w:rPr>
          <w:rFonts w:ascii="Arial" w:hAnsi="Arial" w:cs="Arial"/>
        </w:rPr>
        <w:t xml:space="preserve"> (</w:t>
      </w:r>
      <w:r w:rsidR="00BB659D" w:rsidRPr="006C0763">
        <w:rPr>
          <w:rFonts w:ascii="Arial" w:hAnsi="Arial" w:cs="Arial"/>
        </w:rPr>
        <w:t>Gulley, 2022</w:t>
      </w:r>
      <w:r w:rsidR="00BB659D">
        <w:rPr>
          <w:rFonts w:ascii="Arial" w:hAnsi="Arial" w:cs="Arial"/>
        </w:rPr>
        <w:t>)</w:t>
      </w:r>
      <w:r w:rsidR="00BB5705">
        <w:rPr>
          <w:rFonts w:ascii="Arial" w:hAnsi="Arial" w:cs="Arial"/>
        </w:rPr>
        <w:t>.</w:t>
      </w:r>
    </w:p>
    <w:p w14:paraId="5ACC9FAB" w14:textId="0C285A69" w:rsidR="00B8204D" w:rsidRDefault="00250A67" w:rsidP="009A10D0">
      <w:pPr>
        <w:spacing w:line="360" w:lineRule="auto"/>
        <w:rPr>
          <w:rFonts w:ascii="Arial" w:hAnsi="Arial" w:cs="Arial"/>
        </w:rPr>
      </w:pPr>
      <w:r w:rsidRPr="00250A67">
        <w:rPr>
          <w:rFonts w:ascii="Arial" w:hAnsi="Arial" w:cs="Arial"/>
        </w:rPr>
        <w:t>The cobalt supply chain in the DRC is organised into a dual structure that presents opportunities for both large-scale industrial mining (LSM) and artisanal and small-scale mining (ASM). LSM is primarily led by multinational corporations, while ASM contributes significantly, accounting for 15–20% of total cobalt production (Sovacool, 2019</w:t>
      </w:r>
      <w:r w:rsidR="00D73BB4">
        <w:rPr>
          <w:rFonts w:ascii="Arial" w:hAnsi="Arial" w:cs="Arial"/>
        </w:rPr>
        <w:t xml:space="preserve">; </w:t>
      </w:r>
      <w:r w:rsidR="00D73BB4" w:rsidRPr="00D73BB4">
        <w:rPr>
          <w:rFonts w:ascii="Arial" w:hAnsi="Arial" w:cs="Arial"/>
        </w:rPr>
        <w:t xml:space="preserve">Mancini </w:t>
      </w:r>
      <w:r w:rsidR="00D73BB4" w:rsidRPr="00A47DD5">
        <w:rPr>
          <w:rFonts w:ascii="Arial" w:hAnsi="Arial" w:cs="Arial"/>
          <w:i/>
          <w:iCs/>
        </w:rPr>
        <w:t>et al</w:t>
      </w:r>
      <w:r w:rsidR="00D73BB4" w:rsidRPr="00D73BB4">
        <w:rPr>
          <w:rFonts w:ascii="Arial" w:hAnsi="Arial" w:cs="Arial"/>
        </w:rPr>
        <w:t>., 2021)</w:t>
      </w:r>
      <w:r w:rsidRPr="00250A67">
        <w:rPr>
          <w:rFonts w:ascii="Arial" w:hAnsi="Arial" w:cs="Arial"/>
        </w:rPr>
        <w:t>. This dual approach not only supports economic growth but also emphasises the potential to promote sustainable practices and regional development within the mining sector.</w:t>
      </w:r>
      <w:r w:rsidR="00831CA6">
        <w:rPr>
          <w:rFonts w:ascii="Arial" w:hAnsi="Arial" w:cs="Arial"/>
        </w:rPr>
        <w:t xml:space="preserve"> </w:t>
      </w:r>
    </w:p>
    <w:p w14:paraId="5E388E32" w14:textId="20A15886" w:rsidR="00831CA6" w:rsidRDefault="00831CA6" w:rsidP="009A10D0">
      <w:pPr>
        <w:spacing w:line="360" w:lineRule="auto"/>
        <w:rPr>
          <w:rFonts w:ascii="Arial" w:hAnsi="Arial" w:cs="Arial"/>
        </w:rPr>
      </w:pPr>
      <w:r w:rsidRPr="00831CA6">
        <w:rPr>
          <w:rFonts w:ascii="Arial" w:hAnsi="Arial" w:cs="Arial"/>
        </w:rPr>
        <w:t xml:space="preserve">For hundreds of thousands of Congolese workers, ASM is a vital part of their daily lives. However, it also faces challenges, including unsafe working conditions, environmental degradation, child labour, environmental degradation, and informal trading networks (Sovacool, 2019). Recognising such issues has spurred interest and action worldwide, with downstream governments, NGOs, and companies collaborating to develop responsible sourcing frameworks (European Commission, 2020). Such initiatives aim to ensure that cobalt extraction and trade are conducted in a manner that promotes sustainability and upholds ethical corporate conduct </w:t>
      </w:r>
      <w:r w:rsidRPr="005560B1">
        <w:rPr>
          <w:rFonts w:ascii="Arial" w:hAnsi="Arial" w:cs="Arial"/>
        </w:rPr>
        <w:t xml:space="preserve">(Mancini </w:t>
      </w:r>
      <w:r w:rsidRPr="005560B1">
        <w:rPr>
          <w:rFonts w:ascii="Arial" w:hAnsi="Arial" w:cs="Arial"/>
          <w:i/>
          <w:iCs/>
        </w:rPr>
        <w:t>et al</w:t>
      </w:r>
      <w:r w:rsidRPr="005560B1">
        <w:rPr>
          <w:rFonts w:ascii="Arial" w:hAnsi="Arial" w:cs="Arial"/>
        </w:rPr>
        <w:t>., 2021; European Commission, 2020;</w:t>
      </w:r>
      <w:r w:rsidRPr="00831CA6">
        <w:rPr>
          <w:rFonts w:ascii="Arial" w:hAnsi="Arial" w:cs="Arial"/>
        </w:rPr>
        <w:t xml:space="preserve"> Regulation (EU) 2017/821). </w:t>
      </w:r>
    </w:p>
    <w:p w14:paraId="00D661AF" w14:textId="37A7F0B5" w:rsidR="004B2B77" w:rsidRDefault="004B2B77" w:rsidP="009A10D0">
      <w:pPr>
        <w:spacing w:line="360" w:lineRule="auto"/>
        <w:rPr>
          <w:rFonts w:ascii="Arial" w:hAnsi="Arial" w:cs="Arial"/>
        </w:rPr>
      </w:pPr>
      <w:r w:rsidRPr="004B2B77">
        <w:rPr>
          <w:rFonts w:ascii="Arial" w:hAnsi="Arial" w:cs="Arial"/>
        </w:rPr>
        <w:t xml:space="preserve">Throughout the last five years, there has been a significant increase in Studies across various fields, including supply chain management, sustainability science, development studies, and business ethics, particularly focused on the effectiveness of ethical sourcing initiatives throughout </w:t>
      </w:r>
      <w:r w:rsidR="00B023F5">
        <w:rPr>
          <w:rFonts w:ascii="Arial" w:hAnsi="Arial" w:cs="Arial"/>
        </w:rPr>
        <w:t>t</w:t>
      </w:r>
      <w:r w:rsidRPr="004B2B77">
        <w:rPr>
          <w:rFonts w:ascii="Arial" w:hAnsi="Arial" w:cs="Arial"/>
        </w:rPr>
        <w:t>he DRC (BGR, 2019; OECD, 2019; Zvarivadza, 2018; WEF, 2019). This body of literature demonstrates a variety of methodological approaches, including ontological assumptions and quantitative supply chain modelling. Additionally, it encourages critical conversations regarding corporate responsibility, governance, and ASM.</w:t>
      </w:r>
    </w:p>
    <w:p w14:paraId="698C9380" w14:textId="17934372" w:rsidR="000F79F3" w:rsidRDefault="000F79F3" w:rsidP="009A10D0">
      <w:pPr>
        <w:spacing w:line="360" w:lineRule="auto"/>
        <w:rPr>
          <w:rFonts w:ascii="Arial" w:hAnsi="Arial" w:cs="Arial"/>
        </w:rPr>
      </w:pPr>
      <w:r w:rsidRPr="000F79F3">
        <w:rPr>
          <w:rFonts w:ascii="Arial" w:hAnsi="Arial" w:cs="Arial"/>
        </w:rPr>
        <w:t xml:space="preserve">The prevailing ethical discussions underscore the necessity for constructive solutions that strike an acceptable balance between protecting livelihoods and mitigating risks, while promoting practical feasibility and transparency. Additionally, they emphasise the importance </w:t>
      </w:r>
      <w:r w:rsidRPr="000F79F3">
        <w:rPr>
          <w:rFonts w:ascii="Arial" w:hAnsi="Arial" w:cs="Arial"/>
        </w:rPr>
        <w:lastRenderedPageBreak/>
        <w:t xml:space="preserve">of aligning regional justice with demand worldwide, which is crucial for achieving sustainable outcomes throughout the region </w:t>
      </w:r>
      <w:r w:rsidRPr="003434C4">
        <w:rPr>
          <w:rFonts w:ascii="Arial" w:hAnsi="Arial" w:cs="Arial"/>
        </w:rPr>
        <w:t xml:space="preserve">(Gulley, 2022; Sovacool, 2019; Mancini </w:t>
      </w:r>
      <w:r w:rsidRPr="003434C4">
        <w:rPr>
          <w:rFonts w:ascii="Arial" w:hAnsi="Arial" w:cs="Arial"/>
          <w:i/>
          <w:iCs/>
        </w:rPr>
        <w:t>et al</w:t>
      </w:r>
      <w:r w:rsidRPr="003434C4">
        <w:rPr>
          <w:rFonts w:ascii="Arial" w:hAnsi="Arial" w:cs="Arial"/>
        </w:rPr>
        <w:t>., 2021; BGR, 2019; OECD, 2019; Zvarivadza, 2018; WEF, 2019)</w:t>
      </w:r>
      <w:r w:rsidRPr="000F79F3">
        <w:rPr>
          <w:rFonts w:ascii="Arial" w:hAnsi="Arial" w:cs="Arial"/>
        </w:rPr>
        <w:t>. By addressing these issues collaboratively, stakeholders can work together to enhance the effectiveness of responsible sourcing initiatives and contribute to the well-being of local communities.</w:t>
      </w:r>
      <w:r w:rsidR="001B6918">
        <w:rPr>
          <w:rFonts w:ascii="Arial" w:hAnsi="Arial" w:cs="Arial"/>
        </w:rPr>
        <w:t xml:space="preserve"> </w:t>
      </w:r>
    </w:p>
    <w:p w14:paraId="2049AF7C" w14:textId="77777777" w:rsidR="003D0175" w:rsidRDefault="002C7E60" w:rsidP="003D0175">
      <w:pPr>
        <w:spacing w:line="360" w:lineRule="auto"/>
        <w:rPr>
          <w:rFonts w:ascii="Arial" w:hAnsi="Arial" w:cs="Arial"/>
        </w:rPr>
      </w:pPr>
      <w:r w:rsidRPr="002C7E60">
        <w:rPr>
          <w:rFonts w:ascii="Arial" w:hAnsi="Arial" w:cs="Arial"/>
        </w:rPr>
        <w:t>This critical evaluation compiles studies that were published throughout 2020 and 2025, with an emphasis on ethical considerations, sustainable practices, and responsible sourcing initiatives within the DRC's cobalt supply chain. It thoughtfully examines the epistemological, ontological, and ethical dilemmas present in the literature, highlighting both the strengths and weaknesses of current studies. Furthermore, the review incorporates an in-depth discussion of a representative study, offering valuable insights. The primary objective is to assess the existing body of knowledge, clarify methodological and ethical concerns, and propose potential directions for further investigation that will advance the field.</w:t>
      </w:r>
    </w:p>
    <w:p w14:paraId="349E5FD4" w14:textId="466AFC59" w:rsidR="002C7E60" w:rsidRPr="003D0175" w:rsidRDefault="003865C4" w:rsidP="005D2FDA">
      <w:pPr>
        <w:pStyle w:val="Heading1"/>
        <w:numPr>
          <w:ilvl w:val="0"/>
          <w:numId w:val="2"/>
        </w:numPr>
      </w:pPr>
      <w:bookmarkStart w:id="3" w:name="_Toc215833466"/>
      <w:r w:rsidRPr="003D0175">
        <w:t>Literature Evaluation</w:t>
      </w:r>
      <w:bookmarkEnd w:id="3"/>
    </w:p>
    <w:p w14:paraId="7498FAE8" w14:textId="3BCC47E5" w:rsidR="003D0175" w:rsidRPr="003D0175" w:rsidRDefault="003D0175" w:rsidP="003D0175">
      <w:pPr>
        <w:pStyle w:val="Heading2"/>
      </w:pPr>
      <w:bookmarkStart w:id="4" w:name="_Toc215833467"/>
      <w:r w:rsidRPr="003D0175">
        <w:t>Literature Evaluation: Initiatives for Responsible Sourcing within the DRC Cobalt Supply Chain (2020–2025)</w:t>
      </w:r>
      <w:bookmarkEnd w:id="4"/>
    </w:p>
    <w:p w14:paraId="3AB62504" w14:textId="326D5DB9" w:rsidR="00BE70F8" w:rsidRDefault="00BC73BA" w:rsidP="00404C9A">
      <w:pPr>
        <w:pStyle w:val="Heading3"/>
      </w:pPr>
      <w:bookmarkStart w:id="5" w:name="_Toc215833468"/>
      <w:r>
        <w:t xml:space="preserve">2.1 </w:t>
      </w:r>
      <w:r w:rsidR="00404C9A" w:rsidRPr="00404C9A">
        <w:t>Industry-driven initiatives</w:t>
      </w:r>
      <w:bookmarkEnd w:id="5"/>
    </w:p>
    <w:p w14:paraId="35869070" w14:textId="77777777" w:rsidR="00C66C0B" w:rsidRDefault="00820ACF" w:rsidP="009A10D0">
      <w:pPr>
        <w:spacing w:line="360" w:lineRule="auto"/>
        <w:rPr>
          <w:rFonts w:ascii="Arial" w:hAnsi="Arial" w:cs="Arial"/>
        </w:rPr>
      </w:pPr>
      <w:r w:rsidRPr="00820ACF">
        <w:rPr>
          <w:rFonts w:ascii="Arial" w:hAnsi="Arial" w:cs="Arial"/>
        </w:rPr>
        <w:t xml:space="preserve">A crucial fundamental benchmark for corporations is set by the OECD Due Diligence Guidance for Responsible Mineral Supply Chains, which concentrates on evaluating and reducing risk throughout supply chains </w:t>
      </w:r>
      <w:r w:rsidRPr="00AB00A0">
        <w:rPr>
          <w:rFonts w:ascii="Arial" w:hAnsi="Arial" w:cs="Arial"/>
        </w:rPr>
        <w:t>(OECD, 2016). Scholars Miller and Le Breton-Miller (2025)</w:t>
      </w:r>
      <w:r w:rsidRPr="00820ACF">
        <w:rPr>
          <w:rFonts w:ascii="Arial" w:hAnsi="Arial" w:cs="Arial"/>
        </w:rPr>
        <w:t xml:space="preserve"> </w:t>
      </w:r>
      <w:r w:rsidR="00677D59">
        <w:rPr>
          <w:rFonts w:ascii="Arial" w:hAnsi="Arial" w:cs="Arial"/>
        </w:rPr>
        <w:t>note</w:t>
      </w:r>
      <w:r w:rsidRPr="00820ACF">
        <w:rPr>
          <w:rFonts w:ascii="Arial" w:hAnsi="Arial" w:cs="Arial"/>
        </w:rPr>
        <w:t xml:space="preserve"> that</w:t>
      </w:r>
      <w:r w:rsidR="00A24CA2">
        <w:rPr>
          <w:rFonts w:ascii="Arial" w:hAnsi="Arial" w:cs="Arial"/>
        </w:rPr>
        <w:t xml:space="preserve">, although it currently </w:t>
      </w:r>
      <w:r w:rsidR="00677D59">
        <w:rPr>
          <w:rFonts w:ascii="Arial" w:hAnsi="Arial" w:cs="Arial"/>
        </w:rPr>
        <w:t>relies on voluntary compliance, there is a need to strengthen accountability and responsible sourcing processes by fortifying enforcement mechanisms</w:t>
      </w:r>
      <w:r w:rsidRPr="00820ACF">
        <w:rPr>
          <w:rFonts w:ascii="Arial" w:hAnsi="Arial" w:cs="Arial"/>
        </w:rPr>
        <w:t>.</w:t>
      </w:r>
      <w:r w:rsidR="00A24CA2">
        <w:rPr>
          <w:rFonts w:ascii="Arial" w:hAnsi="Arial" w:cs="Arial"/>
        </w:rPr>
        <w:t xml:space="preserve"> </w:t>
      </w:r>
    </w:p>
    <w:p w14:paraId="624011BC" w14:textId="361A99AF" w:rsidR="00BE70F8" w:rsidRDefault="00BF3351" w:rsidP="009A10D0">
      <w:pPr>
        <w:spacing w:line="360" w:lineRule="auto"/>
        <w:rPr>
          <w:rFonts w:ascii="Arial" w:hAnsi="Arial" w:cs="Arial"/>
        </w:rPr>
      </w:pPr>
      <w:r w:rsidRPr="00BF3351">
        <w:rPr>
          <w:rFonts w:ascii="Arial" w:hAnsi="Arial" w:cs="Arial"/>
        </w:rPr>
        <w:t xml:space="preserve">A significant driver in encouraging traceability while avoiding child labour is the Responsible Cobalt Initiative (RCI), which was initiated by </w:t>
      </w:r>
      <w:r w:rsidRPr="00AB00A0">
        <w:rPr>
          <w:rFonts w:ascii="Arial" w:hAnsi="Arial" w:cs="Arial"/>
        </w:rPr>
        <w:t xml:space="preserve">Chinese businesses (Links, de Feijter, and Lammertink, 2021; Park, 2023; Mancini </w:t>
      </w:r>
      <w:r w:rsidRPr="00AB00A0">
        <w:rPr>
          <w:rFonts w:ascii="Arial" w:hAnsi="Arial" w:cs="Arial"/>
          <w:i/>
          <w:iCs/>
        </w:rPr>
        <w:t>et al</w:t>
      </w:r>
      <w:r w:rsidRPr="00AB00A0">
        <w:rPr>
          <w:rFonts w:ascii="Arial" w:hAnsi="Arial" w:cs="Arial"/>
        </w:rPr>
        <w:t>., 2021</w:t>
      </w:r>
      <w:r w:rsidR="005F1496" w:rsidRPr="00AB00A0">
        <w:rPr>
          <w:rFonts w:ascii="Arial" w:hAnsi="Arial" w:cs="Arial"/>
        </w:rPr>
        <w:t>; CRSDDS, 2021)</w:t>
      </w:r>
      <w:r w:rsidRPr="00AB00A0">
        <w:rPr>
          <w:rFonts w:ascii="Arial" w:hAnsi="Arial" w:cs="Arial"/>
        </w:rPr>
        <w:t>.</w:t>
      </w:r>
      <w:r w:rsidRPr="00BF3351">
        <w:rPr>
          <w:rFonts w:ascii="Arial" w:hAnsi="Arial" w:cs="Arial"/>
        </w:rPr>
        <w:t xml:space="preserve"> This initiative is a positive step toward aligning Chinese supply chains into compliance with international standards of ethical conduct. To enhance its effectiveness, influence, and integrity, </w:t>
      </w:r>
      <w:r w:rsidRPr="00BF3351">
        <w:rPr>
          <w:rFonts w:ascii="Arial" w:hAnsi="Arial" w:cs="Arial"/>
        </w:rPr>
        <w:lastRenderedPageBreak/>
        <w:t xml:space="preserve">addressing the challenges of self-reporting could further strengthen its impact and </w:t>
      </w:r>
      <w:r w:rsidRPr="00C06B65">
        <w:rPr>
          <w:rFonts w:ascii="Arial" w:hAnsi="Arial" w:cs="Arial"/>
        </w:rPr>
        <w:t>credibility (United Nations Environment Programme, 2020).</w:t>
      </w:r>
      <w:r w:rsidR="00AF5AC5">
        <w:rPr>
          <w:rFonts w:ascii="Arial" w:hAnsi="Arial" w:cs="Arial"/>
        </w:rPr>
        <w:t xml:space="preserve"> </w:t>
      </w:r>
    </w:p>
    <w:p w14:paraId="410A25B0" w14:textId="3E732BC5" w:rsidR="00697298" w:rsidRDefault="00DA3697" w:rsidP="009A10D0">
      <w:pPr>
        <w:spacing w:line="360" w:lineRule="auto"/>
        <w:rPr>
          <w:rFonts w:ascii="Arial" w:hAnsi="Arial" w:cs="Arial"/>
        </w:rPr>
      </w:pPr>
      <w:r w:rsidRPr="00DA3697">
        <w:rPr>
          <w:rFonts w:ascii="Arial" w:hAnsi="Arial" w:cs="Arial"/>
        </w:rPr>
        <w:t xml:space="preserve">The Cobalt Refinery Supply Chain Due Diligence Standard (CRSDDS), introduced by the Cobalt Institute, outlines essential compliance requirements for refineries </w:t>
      </w:r>
      <w:r w:rsidRPr="003434C4">
        <w:rPr>
          <w:rFonts w:ascii="Arial" w:hAnsi="Arial" w:cs="Arial"/>
        </w:rPr>
        <w:t>(CRSDDS, 2021).</w:t>
      </w:r>
      <w:r w:rsidRPr="00DA3697">
        <w:rPr>
          <w:rFonts w:ascii="Arial" w:hAnsi="Arial" w:cs="Arial"/>
        </w:rPr>
        <w:t xml:space="preserve"> While research indicates that it significantly boosts transparency throughout midstream levels, there is potential for further improving its efficacy by incorporating more efficient mechanisms of documenting ASM inputs (Östensson, 2020; Löf, Löf, and Ericsson, 2021). Addressing this gap could strengthen the overall integrity of the supply chain.</w:t>
      </w:r>
    </w:p>
    <w:p w14:paraId="57B86BF7" w14:textId="2E6F6E62" w:rsidR="00EB510D" w:rsidRPr="00EB510D" w:rsidRDefault="00EB510D" w:rsidP="00EB510D">
      <w:pPr>
        <w:pStyle w:val="Heading3"/>
      </w:pPr>
      <w:bookmarkStart w:id="6" w:name="_Toc215833469"/>
      <w:r>
        <w:t xml:space="preserve">2.2 </w:t>
      </w:r>
      <w:r w:rsidRPr="00EB510D">
        <w:t>Multi-stakeholder and NGO initiatives</w:t>
      </w:r>
      <w:bookmarkEnd w:id="6"/>
    </w:p>
    <w:p w14:paraId="0CAE89C6" w14:textId="3249DC9B" w:rsidR="0040489C" w:rsidRDefault="00113F0E" w:rsidP="009A10D0">
      <w:pPr>
        <w:spacing w:line="360" w:lineRule="auto"/>
        <w:rPr>
          <w:rFonts w:ascii="Arial" w:hAnsi="Arial" w:cs="Arial"/>
        </w:rPr>
      </w:pPr>
      <w:r w:rsidRPr="00113F0E">
        <w:rPr>
          <w:rFonts w:ascii="Arial" w:hAnsi="Arial" w:cs="Arial"/>
        </w:rPr>
        <w:t>Alliances between multi-stakeholders and NGOs are crucial to formalising ASM and strengthening outcomes for communities</w:t>
      </w:r>
      <w:r>
        <w:rPr>
          <w:rFonts w:ascii="Arial" w:hAnsi="Arial" w:cs="Arial"/>
        </w:rPr>
        <w:t>:</w:t>
      </w:r>
    </w:p>
    <w:p w14:paraId="77CC37C7" w14:textId="2CCD21EC" w:rsidR="00113F0E" w:rsidRDefault="002F1793" w:rsidP="009A10D0">
      <w:pPr>
        <w:spacing w:line="360" w:lineRule="auto"/>
        <w:rPr>
          <w:rFonts w:ascii="Arial" w:hAnsi="Arial" w:cs="Arial"/>
        </w:rPr>
      </w:pPr>
      <w:r w:rsidRPr="002F1793">
        <w:rPr>
          <w:rFonts w:ascii="Arial" w:hAnsi="Arial" w:cs="Arial"/>
        </w:rPr>
        <w:t xml:space="preserve">By formalising procedures, boosting safety measures, and encouraging community development, the Fair Cobalt Alliance (FCA) is committed to enhancing ASM. While academic evaluations commend its participatory method, they additionally suggest investigating strategies to improve scalability (Hilson </w:t>
      </w:r>
      <w:r w:rsidRPr="00846504">
        <w:rPr>
          <w:rFonts w:ascii="Arial" w:hAnsi="Arial" w:cs="Arial"/>
          <w:i/>
          <w:iCs/>
        </w:rPr>
        <w:t>et al</w:t>
      </w:r>
      <w:r w:rsidRPr="002F1793">
        <w:rPr>
          <w:rFonts w:ascii="Arial" w:hAnsi="Arial" w:cs="Arial"/>
        </w:rPr>
        <w:t>., 2021; Rochlin, 2021; Weng and Margules, 2022). This constructive feedback presents an opportunity for the FCA to enhance its initiatives and amplify its positive impact.</w:t>
      </w:r>
    </w:p>
    <w:p w14:paraId="273FC9F4" w14:textId="1B1DCDDD" w:rsidR="007D6A50" w:rsidRDefault="0006108C" w:rsidP="009A10D0">
      <w:pPr>
        <w:spacing w:line="360" w:lineRule="auto"/>
        <w:rPr>
          <w:rFonts w:ascii="Arial" w:hAnsi="Arial" w:cs="Arial"/>
        </w:rPr>
      </w:pPr>
      <w:r w:rsidRPr="0006108C">
        <w:rPr>
          <w:rFonts w:ascii="Arial" w:hAnsi="Arial" w:cs="Arial"/>
        </w:rPr>
        <w:t xml:space="preserve">By piloting projects dedicated to formalising ASM in Kolwezi, the World Economic Forum's (WEF) "Making Mining Safe and Fair" (2020) initiative has achieved significant progress (World Economic Forum, 2020; Mancini </w:t>
      </w:r>
      <w:r w:rsidRPr="00320345">
        <w:rPr>
          <w:rFonts w:ascii="Arial" w:hAnsi="Arial" w:cs="Arial"/>
          <w:i/>
          <w:iCs/>
        </w:rPr>
        <w:t>et al</w:t>
      </w:r>
      <w:r w:rsidRPr="0006108C">
        <w:rPr>
          <w:rFonts w:ascii="Arial" w:hAnsi="Arial" w:cs="Arial"/>
        </w:rPr>
        <w:t xml:space="preserve">., 2021). Ethnographic reports have highlighted Promising developments, including enhanced safety precautions and a decline in child labour practices. However, there are opportunities for further improvement, particularly in addressing the challenges posed by the leakage of mining products into unregulated </w:t>
      </w:r>
      <w:r w:rsidRPr="00F27CD8">
        <w:rPr>
          <w:rFonts w:ascii="Arial" w:hAnsi="Arial" w:cs="Arial"/>
        </w:rPr>
        <w:t xml:space="preserve">marketplaces (Mancini </w:t>
      </w:r>
      <w:r w:rsidRPr="00F27CD8">
        <w:rPr>
          <w:rFonts w:ascii="Arial" w:hAnsi="Arial" w:cs="Arial"/>
          <w:i/>
          <w:iCs/>
        </w:rPr>
        <w:t>et al</w:t>
      </w:r>
      <w:r w:rsidRPr="00F27CD8">
        <w:rPr>
          <w:rFonts w:ascii="Arial" w:hAnsi="Arial" w:cs="Arial"/>
        </w:rPr>
        <w:t xml:space="preserve">., 2021; Calvão </w:t>
      </w:r>
      <w:r w:rsidRPr="00F27CD8">
        <w:rPr>
          <w:rFonts w:ascii="Arial" w:hAnsi="Arial" w:cs="Arial"/>
          <w:i/>
          <w:iCs/>
        </w:rPr>
        <w:t>et al</w:t>
      </w:r>
      <w:r w:rsidRPr="00F27CD8">
        <w:rPr>
          <w:rFonts w:ascii="Arial" w:hAnsi="Arial" w:cs="Arial"/>
        </w:rPr>
        <w:t>., 2021</w:t>
      </w:r>
      <w:r w:rsidR="009E2124" w:rsidRPr="00F27CD8">
        <w:rPr>
          <w:rFonts w:ascii="Arial" w:hAnsi="Arial" w:cs="Arial"/>
        </w:rPr>
        <w:t>a</w:t>
      </w:r>
      <w:r w:rsidRPr="00F27CD8">
        <w:rPr>
          <w:rFonts w:ascii="Arial" w:hAnsi="Arial" w:cs="Arial"/>
        </w:rPr>
        <w:t>; Sovacool, 2019). Co</w:t>
      </w:r>
      <w:r w:rsidRPr="0006108C">
        <w:rPr>
          <w:rFonts w:ascii="Arial" w:hAnsi="Arial" w:cs="Arial"/>
        </w:rPr>
        <w:t>ntinued efforts and collaboration can sustain these advancements while addressing the remaining issues within the industry.</w:t>
      </w:r>
    </w:p>
    <w:p w14:paraId="7833AC92" w14:textId="4DEB1D5C" w:rsidR="0006108C" w:rsidRDefault="00025B7A" w:rsidP="009A10D0">
      <w:pPr>
        <w:spacing w:line="360" w:lineRule="auto"/>
        <w:rPr>
          <w:rFonts w:ascii="Arial" w:hAnsi="Arial" w:cs="Arial"/>
        </w:rPr>
      </w:pPr>
      <w:r w:rsidRPr="00025B7A">
        <w:rPr>
          <w:rFonts w:ascii="Arial" w:hAnsi="Arial" w:cs="Arial"/>
        </w:rPr>
        <w:t>PACT and UNICEF Initiatives are indispensable in addressing child labour while improving the education of communities (UNICEF, 2025). While research emphasises their positive impact on society, it additionally identifies opportunities for further integration with broader supply chain governance (</w:t>
      </w:r>
      <w:r w:rsidR="00696FFA" w:rsidRPr="00696FFA">
        <w:rPr>
          <w:rFonts w:ascii="Arial" w:hAnsi="Arial" w:cs="Arial"/>
        </w:rPr>
        <w:t>Sovacool, 2019</w:t>
      </w:r>
      <w:r w:rsidR="00377602">
        <w:rPr>
          <w:rFonts w:ascii="Arial" w:hAnsi="Arial" w:cs="Arial"/>
        </w:rPr>
        <w:t xml:space="preserve">; </w:t>
      </w:r>
      <w:r w:rsidRPr="00025B7A">
        <w:rPr>
          <w:rFonts w:ascii="Arial" w:hAnsi="Arial" w:cs="Arial"/>
        </w:rPr>
        <w:t xml:space="preserve">Muimba-Kankolongo </w:t>
      </w:r>
      <w:r w:rsidRPr="00320345">
        <w:rPr>
          <w:rFonts w:ascii="Arial" w:hAnsi="Arial" w:cs="Arial"/>
          <w:i/>
          <w:iCs/>
        </w:rPr>
        <w:t>et al</w:t>
      </w:r>
      <w:r w:rsidRPr="00025B7A">
        <w:rPr>
          <w:rFonts w:ascii="Arial" w:hAnsi="Arial" w:cs="Arial"/>
        </w:rPr>
        <w:t>., 2021</w:t>
      </w:r>
      <w:r w:rsidR="00E0138A">
        <w:rPr>
          <w:rFonts w:ascii="Arial" w:hAnsi="Arial" w:cs="Arial"/>
        </w:rPr>
        <w:t xml:space="preserve">; </w:t>
      </w:r>
      <w:r w:rsidR="00E0138A" w:rsidRPr="00E0138A">
        <w:rPr>
          <w:rFonts w:ascii="Arial" w:hAnsi="Arial" w:cs="Arial"/>
        </w:rPr>
        <w:t>Hönke, 2010</w:t>
      </w:r>
      <w:r w:rsidRPr="00025B7A">
        <w:rPr>
          <w:rFonts w:ascii="Arial" w:hAnsi="Arial" w:cs="Arial"/>
        </w:rPr>
        <w:t xml:space="preserve">). </w:t>
      </w:r>
      <w:r w:rsidRPr="00025B7A">
        <w:rPr>
          <w:rFonts w:ascii="Arial" w:hAnsi="Arial" w:cs="Arial"/>
        </w:rPr>
        <w:lastRenderedPageBreak/>
        <w:t>By fortifying these connections, these initiatives could further broaden their efficacy and reach.</w:t>
      </w:r>
    </w:p>
    <w:p w14:paraId="11CB300F" w14:textId="5D4007EA" w:rsidR="00677D59" w:rsidRDefault="008A5621" w:rsidP="005D2FDA">
      <w:pPr>
        <w:pStyle w:val="Heading1"/>
        <w:numPr>
          <w:ilvl w:val="0"/>
          <w:numId w:val="2"/>
        </w:numPr>
      </w:pPr>
      <w:bookmarkStart w:id="7" w:name="_Toc215833470"/>
      <w:r w:rsidRPr="008A5621">
        <w:t>Business Ethics and Sustainability within the DRC Cobalt Supply Chain</w:t>
      </w:r>
      <w:bookmarkEnd w:id="7"/>
    </w:p>
    <w:p w14:paraId="41469586" w14:textId="14A10970" w:rsidR="005125C3" w:rsidRDefault="007A741E" w:rsidP="007A741E">
      <w:pPr>
        <w:pStyle w:val="Heading2"/>
      </w:pPr>
      <w:bookmarkStart w:id="8" w:name="_Toc215833471"/>
      <w:r>
        <w:t>3.1</w:t>
      </w:r>
      <w:r w:rsidR="00B857BF">
        <w:t xml:space="preserve"> </w:t>
      </w:r>
      <w:r w:rsidRPr="007A741E">
        <w:t>Dimensions of Sustainability</w:t>
      </w:r>
      <w:bookmarkEnd w:id="8"/>
    </w:p>
    <w:p w14:paraId="6B249E01" w14:textId="57F7247A" w:rsidR="00BE70F8" w:rsidRDefault="00391B75" w:rsidP="00391B75">
      <w:pPr>
        <w:pStyle w:val="Heading3"/>
      </w:pPr>
      <w:bookmarkStart w:id="9" w:name="_Toc215833472"/>
      <w:r w:rsidRPr="00391B75">
        <w:t>Sustainable Environmental Development</w:t>
      </w:r>
      <w:bookmarkEnd w:id="9"/>
    </w:p>
    <w:p w14:paraId="21EAE60C" w14:textId="501281CA" w:rsidR="00704C43" w:rsidRDefault="00192B56" w:rsidP="009A10D0">
      <w:pPr>
        <w:spacing w:line="360" w:lineRule="auto"/>
        <w:rPr>
          <w:rFonts w:ascii="Arial" w:hAnsi="Arial" w:cs="Arial"/>
        </w:rPr>
      </w:pPr>
      <w:r w:rsidRPr="00192B56">
        <w:rPr>
          <w:rFonts w:ascii="Arial" w:hAnsi="Arial" w:cs="Arial"/>
        </w:rPr>
        <w:t xml:space="preserve">The environmental impacts of the cobalt mining industry in the DRC present significant environmental issues that can be mitigated through the adoption of improved methods. ASM predominantly utilises basic techniques, such as cleaning ores in rivers and hand-digging. Such practices can inadvertently lead to issues such as deforestation, contaminated water sources and soil erosion (Schwartz </w:t>
      </w:r>
      <w:r w:rsidRPr="00320345">
        <w:rPr>
          <w:rFonts w:ascii="Arial" w:hAnsi="Arial" w:cs="Arial"/>
          <w:i/>
          <w:iCs/>
        </w:rPr>
        <w:t>et al</w:t>
      </w:r>
      <w:r w:rsidRPr="00192B56">
        <w:rPr>
          <w:rFonts w:ascii="Arial" w:hAnsi="Arial" w:cs="Arial"/>
        </w:rPr>
        <w:t>., 2020</w:t>
      </w:r>
      <w:r w:rsidR="00B674B5">
        <w:rPr>
          <w:rFonts w:ascii="Arial" w:hAnsi="Arial" w:cs="Arial"/>
        </w:rPr>
        <w:t xml:space="preserve">; </w:t>
      </w:r>
      <w:r w:rsidR="00B674B5" w:rsidRPr="00B674B5">
        <w:rPr>
          <w:rFonts w:ascii="Arial" w:hAnsi="Arial" w:cs="Arial"/>
        </w:rPr>
        <w:t>Sovacool, 2019)</w:t>
      </w:r>
      <w:r w:rsidRPr="00192B56">
        <w:rPr>
          <w:rFonts w:ascii="Arial" w:hAnsi="Arial" w:cs="Arial"/>
        </w:rPr>
        <w:t xml:space="preserve">.  </w:t>
      </w:r>
    </w:p>
    <w:p w14:paraId="4F31C6F3" w14:textId="1D6B0B90" w:rsidR="008A5621" w:rsidRDefault="00192B56" w:rsidP="009A10D0">
      <w:pPr>
        <w:spacing w:line="360" w:lineRule="auto"/>
        <w:rPr>
          <w:rFonts w:ascii="Arial" w:hAnsi="Arial" w:cs="Arial"/>
        </w:rPr>
      </w:pPr>
      <w:r w:rsidRPr="00192B56">
        <w:rPr>
          <w:rFonts w:ascii="Arial" w:hAnsi="Arial" w:cs="Arial"/>
        </w:rPr>
        <w:t xml:space="preserve">However, the current research expanded upon and strengthened the findings from previous campaigns that examined environmental degradation associated with mining operations in the DRC and Zambia. In Zambia, various investigations conducted over the last twenty years have provided valuable insights into heavy metal contamination affecting lakes, rivers, groundwater, dust, soil, trees, wild plants, wildlife, farm livestock and aquatic life (Kříbek </w:t>
      </w:r>
      <w:r w:rsidRPr="00320345">
        <w:rPr>
          <w:rFonts w:ascii="Arial" w:hAnsi="Arial" w:cs="Arial"/>
          <w:i/>
          <w:iCs/>
        </w:rPr>
        <w:t>et al</w:t>
      </w:r>
      <w:r w:rsidRPr="00192B56">
        <w:rPr>
          <w:rFonts w:ascii="Arial" w:hAnsi="Arial" w:cs="Arial"/>
        </w:rPr>
        <w:t xml:space="preserve">., 2010; Ettler </w:t>
      </w:r>
      <w:r w:rsidRPr="00320345">
        <w:rPr>
          <w:rFonts w:ascii="Arial" w:hAnsi="Arial" w:cs="Arial"/>
          <w:i/>
          <w:iCs/>
        </w:rPr>
        <w:t>et al</w:t>
      </w:r>
      <w:r w:rsidRPr="00192B56">
        <w:rPr>
          <w:rFonts w:ascii="Arial" w:hAnsi="Arial" w:cs="Arial"/>
        </w:rPr>
        <w:t>., 2011</w:t>
      </w:r>
      <w:r w:rsidR="007B226E">
        <w:rPr>
          <w:rFonts w:ascii="Arial" w:hAnsi="Arial" w:cs="Arial"/>
        </w:rPr>
        <w:t>;</w:t>
      </w:r>
      <w:r w:rsidR="003D123B">
        <w:rPr>
          <w:rFonts w:ascii="Arial" w:hAnsi="Arial" w:cs="Arial"/>
        </w:rPr>
        <w:t xml:space="preserve"> </w:t>
      </w:r>
      <w:r w:rsidR="007B226E" w:rsidRPr="007B226E">
        <w:rPr>
          <w:rFonts w:ascii="Arial" w:hAnsi="Arial" w:cs="Arial"/>
        </w:rPr>
        <w:t>Smolders</w:t>
      </w:r>
      <w:r w:rsidR="007B226E">
        <w:rPr>
          <w:rFonts w:ascii="Arial" w:hAnsi="Arial" w:cs="Arial"/>
        </w:rPr>
        <w:t xml:space="preserve"> </w:t>
      </w:r>
      <w:r w:rsidR="007B226E" w:rsidRPr="00320345">
        <w:rPr>
          <w:rFonts w:ascii="Arial" w:hAnsi="Arial" w:cs="Arial"/>
          <w:i/>
          <w:iCs/>
        </w:rPr>
        <w:t>et al</w:t>
      </w:r>
      <w:r w:rsidR="007B226E" w:rsidRPr="007B226E">
        <w:rPr>
          <w:rFonts w:ascii="Arial" w:hAnsi="Arial" w:cs="Arial"/>
        </w:rPr>
        <w:t>.</w:t>
      </w:r>
      <w:r w:rsidR="003D123B">
        <w:rPr>
          <w:rFonts w:ascii="Arial" w:hAnsi="Arial" w:cs="Arial"/>
        </w:rPr>
        <w:t>,</w:t>
      </w:r>
      <w:r w:rsidR="007B226E" w:rsidRPr="007B226E">
        <w:rPr>
          <w:rFonts w:ascii="Arial" w:hAnsi="Arial" w:cs="Arial"/>
        </w:rPr>
        <w:t>2019</w:t>
      </w:r>
      <w:r w:rsidRPr="00192B56">
        <w:rPr>
          <w:rFonts w:ascii="Arial" w:hAnsi="Arial" w:cs="Arial"/>
        </w:rPr>
        <w:t xml:space="preserve">). </w:t>
      </w:r>
      <w:r w:rsidR="00FE4F14" w:rsidRPr="00FE4F14">
        <w:rPr>
          <w:rFonts w:ascii="Arial" w:hAnsi="Arial" w:cs="Arial"/>
        </w:rPr>
        <w:t>By recognising these issues and proactively exploring solutions, organisations can make efforts to develop more sustainable mining methods that minimise environmental damage and promote healthier ecosystems.</w:t>
      </w:r>
    </w:p>
    <w:p w14:paraId="27F6AD17" w14:textId="77777777" w:rsidR="00C66C0B" w:rsidRDefault="00563C00" w:rsidP="009A10D0">
      <w:pPr>
        <w:spacing w:line="360" w:lineRule="auto"/>
        <w:rPr>
          <w:rFonts w:ascii="Arial" w:hAnsi="Arial" w:cs="Arial"/>
        </w:rPr>
      </w:pPr>
      <w:r w:rsidRPr="00563C00">
        <w:rPr>
          <w:rFonts w:ascii="Arial" w:hAnsi="Arial" w:cs="Arial"/>
        </w:rPr>
        <w:t xml:space="preserve">According to research conducted by Kříbek </w:t>
      </w:r>
      <w:r w:rsidRPr="005D584B">
        <w:rPr>
          <w:rFonts w:ascii="Arial" w:hAnsi="Arial" w:cs="Arial"/>
          <w:i/>
          <w:iCs/>
        </w:rPr>
        <w:t>et al</w:t>
      </w:r>
      <w:r w:rsidRPr="00563C00">
        <w:rPr>
          <w:rFonts w:ascii="Arial" w:hAnsi="Arial" w:cs="Arial"/>
        </w:rPr>
        <w:t>.</w:t>
      </w:r>
      <w:r w:rsidR="00F70C41">
        <w:rPr>
          <w:rFonts w:ascii="Arial" w:hAnsi="Arial" w:cs="Arial"/>
        </w:rPr>
        <w:t>,</w:t>
      </w:r>
      <w:r w:rsidRPr="00563C00">
        <w:rPr>
          <w:rFonts w:ascii="Arial" w:hAnsi="Arial" w:cs="Arial"/>
        </w:rPr>
        <w:t xml:space="preserve"> (2010), Ettler </w:t>
      </w:r>
      <w:r w:rsidRPr="005D584B">
        <w:rPr>
          <w:rFonts w:ascii="Arial" w:hAnsi="Arial" w:cs="Arial"/>
          <w:i/>
          <w:iCs/>
        </w:rPr>
        <w:t>et al</w:t>
      </w:r>
      <w:r w:rsidRPr="00563C00">
        <w:rPr>
          <w:rFonts w:ascii="Arial" w:hAnsi="Arial" w:cs="Arial"/>
        </w:rPr>
        <w:t xml:space="preserve">. (2011), Smolders </w:t>
      </w:r>
      <w:r w:rsidRPr="005D584B">
        <w:rPr>
          <w:rFonts w:ascii="Arial" w:hAnsi="Arial" w:cs="Arial"/>
          <w:i/>
          <w:iCs/>
        </w:rPr>
        <w:t>et al</w:t>
      </w:r>
      <w:r w:rsidRPr="00563C00">
        <w:rPr>
          <w:rFonts w:ascii="Arial" w:hAnsi="Arial" w:cs="Arial"/>
        </w:rPr>
        <w:t>.</w:t>
      </w:r>
      <w:r w:rsidR="00F70C41">
        <w:rPr>
          <w:rFonts w:ascii="Arial" w:hAnsi="Arial" w:cs="Arial"/>
        </w:rPr>
        <w:t>,</w:t>
      </w:r>
      <w:r w:rsidRPr="00563C00">
        <w:rPr>
          <w:rFonts w:ascii="Arial" w:hAnsi="Arial" w:cs="Arial"/>
        </w:rPr>
        <w:t xml:space="preserve"> (2019),</w:t>
      </w:r>
      <w:r w:rsidR="0015029A">
        <w:rPr>
          <w:rFonts w:ascii="Arial" w:hAnsi="Arial" w:cs="Arial"/>
        </w:rPr>
        <w:t xml:space="preserve"> </w:t>
      </w:r>
      <w:r w:rsidR="0015029A" w:rsidRPr="00D02B79">
        <w:rPr>
          <w:rFonts w:ascii="Arial" w:hAnsi="Arial" w:cs="Arial"/>
        </w:rPr>
        <w:t>Kayembe-Kitenge</w:t>
      </w:r>
      <w:r w:rsidR="00C12762">
        <w:rPr>
          <w:rFonts w:ascii="Arial" w:hAnsi="Arial" w:cs="Arial"/>
        </w:rPr>
        <w:t xml:space="preserve"> </w:t>
      </w:r>
      <w:r w:rsidR="00C12762" w:rsidRPr="005D584B">
        <w:rPr>
          <w:rFonts w:ascii="Arial" w:hAnsi="Arial" w:cs="Arial"/>
          <w:i/>
          <w:iCs/>
        </w:rPr>
        <w:t>et al</w:t>
      </w:r>
      <w:r w:rsidR="00C12762">
        <w:rPr>
          <w:rFonts w:ascii="Arial" w:hAnsi="Arial" w:cs="Arial"/>
        </w:rPr>
        <w:t>.</w:t>
      </w:r>
      <w:r w:rsidR="00F70C41">
        <w:rPr>
          <w:rFonts w:ascii="Arial" w:hAnsi="Arial" w:cs="Arial"/>
        </w:rPr>
        <w:t>,</w:t>
      </w:r>
      <w:r w:rsidR="00C12762">
        <w:rPr>
          <w:rFonts w:ascii="Arial" w:hAnsi="Arial" w:cs="Arial"/>
        </w:rPr>
        <w:t xml:space="preserve"> (2020),</w:t>
      </w:r>
      <w:r w:rsidRPr="00563C00">
        <w:rPr>
          <w:rFonts w:ascii="Arial" w:hAnsi="Arial" w:cs="Arial"/>
        </w:rPr>
        <w:t xml:space="preserve"> and Sovacool (2019), excessive concentrations of cobalt and other heavy metals have been detected in the urine of residents living near ASM sites. The studies highlight the importance of addressing potential health risks associated with reproductive and respiratory disorders in the communities that are impacted by such mining practices. </w:t>
      </w:r>
    </w:p>
    <w:p w14:paraId="1DF218C7" w14:textId="065FE591" w:rsidR="00192B56" w:rsidRDefault="001830D7" w:rsidP="009A10D0">
      <w:pPr>
        <w:spacing w:line="360" w:lineRule="auto"/>
        <w:rPr>
          <w:rFonts w:ascii="Arial" w:hAnsi="Arial" w:cs="Arial"/>
        </w:rPr>
      </w:pPr>
      <w:r w:rsidRPr="001830D7">
        <w:rPr>
          <w:rFonts w:ascii="Arial" w:hAnsi="Arial" w:cs="Arial"/>
        </w:rPr>
        <w:t xml:space="preserve">Conversely, while industrial mining, including LSM, utilises more mechanised processes, it also produces substantial quantities of wastewater and tailings. This presents an opportunity for further study and innovation to mitigate the risks associated with acid mining drainage </w:t>
      </w:r>
      <w:r w:rsidRPr="001830D7">
        <w:rPr>
          <w:rFonts w:ascii="Arial" w:hAnsi="Arial" w:cs="Arial"/>
        </w:rPr>
        <w:lastRenderedPageBreak/>
        <w:t>and extremely hazardous leachates, as identified in recent studies (Sovacool, 2019; Otamonga and Poté, 2020). By concentrating on these areas, we can make progress toward safer and more sustainable mining processes that safeguard both the environment and public health.</w:t>
      </w:r>
    </w:p>
    <w:p w14:paraId="66C23E03" w14:textId="1FE7825D" w:rsidR="001830D7" w:rsidRDefault="00504173" w:rsidP="009A10D0">
      <w:pPr>
        <w:spacing w:line="360" w:lineRule="auto"/>
        <w:rPr>
          <w:rFonts w:ascii="Arial" w:hAnsi="Arial" w:cs="Arial"/>
        </w:rPr>
      </w:pPr>
      <w:r w:rsidRPr="00504173">
        <w:rPr>
          <w:rFonts w:ascii="Arial" w:hAnsi="Arial" w:cs="Arial"/>
        </w:rPr>
        <w:t>Recent studies emphasise cobalt's crucial significance as a "green mineral" vital for advancing climate change mitigation endeavours. Furthermore, it highlights significant concerns and challenges relating to regional ecological degradation. To address this issue constructively, Hilson</w:t>
      </w:r>
      <w:r w:rsidR="004A7267">
        <w:rPr>
          <w:rFonts w:ascii="Arial" w:hAnsi="Arial" w:cs="Arial"/>
        </w:rPr>
        <w:t xml:space="preserve"> </w:t>
      </w:r>
      <w:r w:rsidR="004A7267" w:rsidRPr="004A7267">
        <w:rPr>
          <w:rFonts w:ascii="Arial" w:hAnsi="Arial" w:cs="Arial"/>
          <w:i/>
          <w:iCs/>
        </w:rPr>
        <w:t>et al.,</w:t>
      </w:r>
      <w:r w:rsidRPr="00504173">
        <w:rPr>
          <w:rFonts w:ascii="Arial" w:hAnsi="Arial" w:cs="Arial"/>
        </w:rPr>
        <w:t xml:space="preserve"> (2022), along with Mancini </w:t>
      </w:r>
      <w:r w:rsidRPr="005D584B">
        <w:rPr>
          <w:rFonts w:ascii="Arial" w:hAnsi="Arial" w:cs="Arial"/>
          <w:i/>
          <w:iCs/>
        </w:rPr>
        <w:t>et al</w:t>
      </w:r>
      <w:r w:rsidRPr="00504173">
        <w:rPr>
          <w:rFonts w:ascii="Arial" w:hAnsi="Arial" w:cs="Arial"/>
        </w:rPr>
        <w:t>.</w:t>
      </w:r>
      <w:r w:rsidR="00F70C41">
        <w:rPr>
          <w:rFonts w:ascii="Arial" w:hAnsi="Arial" w:cs="Arial"/>
        </w:rPr>
        <w:t>,</w:t>
      </w:r>
      <w:r w:rsidRPr="00504173">
        <w:rPr>
          <w:rFonts w:ascii="Arial" w:hAnsi="Arial" w:cs="Arial"/>
        </w:rPr>
        <w:t xml:space="preserve"> (2020), advocate for comprehensive sustainability evaluations. These evaluations should effectively balance global climate benefits with the regional environmental impacts. By implementing life-cycle analyses that consider specific ecological impacts at various sites, developers can promote well-informed decision-making that supports sustainable practices and aligns with both global and local environmental objectives.</w:t>
      </w:r>
    </w:p>
    <w:p w14:paraId="77BA8438" w14:textId="3202BCE5" w:rsidR="00391B75" w:rsidRDefault="006805FB" w:rsidP="006805FB">
      <w:pPr>
        <w:pStyle w:val="Heading3"/>
      </w:pPr>
      <w:bookmarkStart w:id="10" w:name="_Toc215833473"/>
      <w:r w:rsidRPr="006805FB">
        <w:t>Social Sustainability</w:t>
      </w:r>
      <w:bookmarkEnd w:id="10"/>
    </w:p>
    <w:p w14:paraId="55BCFFC9" w14:textId="77777777" w:rsidR="002B0CF5" w:rsidRDefault="00514BFA" w:rsidP="009A10D0">
      <w:pPr>
        <w:spacing w:line="360" w:lineRule="auto"/>
        <w:rPr>
          <w:rFonts w:ascii="Arial" w:hAnsi="Arial" w:cs="Arial"/>
        </w:rPr>
      </w:pPr>
      <w:r w:rsidRPr="00514BFA">
        <w:rPr>
          <w:rFonts w:ascii="Arial" w:hAnsi="Arial" w:cs="Arial"/>
        </w:rPr>
        <w:t>ASM serves as an integral part in providing sources of income for approximately 150,000 to 200,000 mining workers within the Democratic Republic of Congo and possesses a significant beneficial impact on regional economies, benefiting millions indirectly (Sovacool, 2019; World Economic Forum, 2020; Calvão, 2021</w:t>
      </w:r>
      <w:r w:rsidR="0037100E">
        <w:rPr>
          <w:rFonts w:ascii="Arial" w:hAnsi="Arial" w:cs="Arial"/>
        </w:rPr>
        <w:t>a</w:t>
      </w:r>
      <w:r w:rsidRPr="00514BFA">
        <w:rPr>
          <w:rFonts w:ascii="Arial" w:hAnsi="Arial" w:cs="Arial"/>
        </w:rPr>
        <w:t>; Archer, 2021; Deberdt, 2021). Despite this, to enhance social sustainability throughout this sector, it is essential to address several challenges, including child labour, the lack of social protections, and hazardous working conditions</w:t>
      </w:r>
      <w:r w:rsidR="00FE61D1">
        <w:rPr>
          <w:rFonts w:ascii="Arial" w:hAnsi="Arial" w:cs="Arial"/>
        </w:rPr>
        <w:t xml:space="preserve"> </w:t>
      </w:r>
      <w:r w:rsidR="00FE61D1" w:rsidRPr="00514BFA">
        <w:rPr>
          <w:rFonts w:ascii="Arial" w:hAnsi="Arial" w:cs="Arial"/>
        </w:rPr>
        <w:t>(Sovacool, 2019; World Economic Forum, 2020; Calvão, 2021</w:t>
      </w:r>
      <w:r w:rsidR="00FE61D1">
        <w:rPr>
          <w:rFonts w:ascii="Arial" w:hAnsi="Arial" w:cs="Arial"/>
        </w:rPr>
        <w:t>a</w:t>
      </w:r>
      <w:r w:rsidR="00FE61D1" w:rsidRPr="00514BFA">
        <w:rPr>
          <w:rFonts w:ascii="Arial" w:hAnsi="Arial" w:cs="Arial"/>
        </w:rPr>
        <w:t xml:space="preserve">; Archer, 2021; Deberdt, 2021). </w:t>
      </w:r>
    </w:p>
    <w:p w14:paraId="796885A6" w14:textId="6BF1692B" w:rsidR="00156145" w:rsidRDefault="00514BFA" w:rsidP="009A10D0">
      <w:pPr>
        <w:spacing w:line="360" w:lineRule="auto"/>
        <w:rPr>
          <w:rFonts w:ascii="Arial" w:hAnsi="Arial" w:cs="Arial"/>
        </w:rPr>
      </w:pPr>
      <w:r w:rsidRPr="00514BFA">
        <w:rPr>
          <w:rFonts w:ascii="Arial" w:hAnsi="Arial" w:cs="Arial"/>
        </w:rPr>
        <w:t xml:space="preserve">By concentrating on strengthening safety measures, providing personal protective equipment, and ensuring stable income opportunities, organisations can establish a safer and more sustainable working environment for miners whilst maintaining support for the local communities (Sovacool, 2019; Dodoo </w:t>
      </w:r>
      <w:r w:rsidRPr="005D584B">
        <w:rPr>
          <w:rFonts w:ascii="Arial" w:hAnsi="Arial" w:cs="Arial"/>
          <w:i/>
          <w:iCs/>
        </w:rPr>
        <w:t>et al</w:t>
      </w:r>
      <w:r w:rsidRPr="00514BFA">
        <w:rPr>
          <w:rFonts w:ascii="Arial" w:hAnsi="Arial" w:cs="Arial"/>
        </w:rPr>
        <w:t>., 2023).</w:t>
      </w:r>
      <w:r w:rsidR="00C66C0B">
        <w:rPr>
          <w:rFonts w:ascii="Arial" w:hAnsi="Arial" w:cs="Arial"/>
        </w:rPr>
        <w:t xml:space="preserve"> </w:t>
      </w:r>
      <w:r w:rsidR="00156145" w:rsidRPr="00156145">
        <w:rPr>
          <w:rFonts w:ascii="Arial" w:hAnsi="Arial" w:cs="Arial"/>
        </w:rPr>
        <w:t xml:space="preserve">There is a growing recognition of gendered impacts in the mining industry. Women perform essential roles in ore trading and cleaning; however, they often suffer significant adverse health effects and economic challenges.  According to studies conducted by Banza Lubaba Nkulu </w:t>
      </w:r>
      <w:r w:rsidR="00156145" w:rsidRPr="005D584B">
        <w:rPr>
          <w:rFonts w:ascii="Arial" w:hAnsi="Arial" w:cs="Arial"/>
          <w:i/>
          <w:iCs/>
        </w:rPr>
        <w:t>et al</w:t>
      </w:r>
      <w:r w:rsidR="00156145" w:rsidRPr="00156145">
        <w:rPr>
          <w:rFonts w:ascii="Arial" w:hAnsi="Arial" w:cs="Arial"/>
        </w:rPr>
        <w:t>.</w:t>
      </w:r>
      <w:r w:rsidR="00F70C41">
        <w:rPr>
          <w:rFonts w:ascii="Arial" w:hAnsi="Arial" w:cs="Arial"/>
        </w:rPr>
        <w:t>,</w:t>
      </w:r>
      <w:r w:rsidR="00156145" w:rsidRPr="00156145">
        <w:rPr>
          <w:rFonts w:ascii="Arial" w:hAnsi="Arial" w:cs="Arial"/>
        </w:rPr>
        <w:t xml:space="preserve"> (2018), Pugliese (2021), Cuvelier (2011), Hunt (1991), Perks, and Schulz (2020), women and children are disproportionately exposed to toxic substances, presenting significant ethical considerations </w:t>
      </w:r>
      <w:r w:rsidR="00156145" w:rsidRPr="00156145">
        <w:rPr>
          <w:rFonts w:ascii="Arial" w:hAnsi="Arial" w:cs="Arial"/>
        </w:rPr>
        <w:lastRenderedPageBreak/>
        <w:t>regarding intergenerational trauma and damage. Addressing these concerns could contribute to improved health conditions and greater equitable financial opportunities for women within this profession.</w:t>
      </w:r>
    </w:p>
    <w:p w14:paraId="7A27A098" w14:textId="77777777" w:rsidR="005D4622" w:rsidRPr="005D4622" w:rsidRDefault="005D4622" w:rsidP="005D4622">
      <w:pPr>
        <w:pStyle w:val="Heading3"/>
      </w:pPr>
      <w:bookmarkStart w:id="11" w:name="_Toc215833474"/>
      <w:r w:rsidRPr="005D4622">
        <w:t>Economical Sustainability</w:t>
      </w:r>
      <w:bookmarkEnd w:id="11"/>
    </w:p>
    <w:p w14:paraId="74B5EA88" w14:textId="19DA6E45" w:rsidR="008A5621" w:rsidRDefault="00D31C7A" w:rsidP="009A10D0">
      <w:pPr>
        <w:spacing w:line="360" w:lineRule="auto"/>
        <w:rPr>
          <w:rFonts w:ascii="Arial" w:hAnsi="Arial" w:cs="Arial"/>
        </w:rPr>
      </w:pPr>
      <w:r w:rsidRPr="00D31C7A">
        <w:rPr>
          <w:rFonts w:ascii="Arial" w:hAnsi="Arial" w:cs="Arial"/>
        </w:rPr>
        <w:t xml:space="preserve">The financial sustainability within the cobalt supply chain presents opportunities for improvement, particularly in addressing issues such as price instability, unequal revenue sharing and corruption (Arvidsson, Brunke, and Nordelöf, 2025). With the increasing international market demand for cobalt driven by the growth of electric vehicles (EVs), this presents an opportunity to provide additional support for ASM, which is currently confronting risks from fluctuations in pricing and unethical trading conduct (Jones </w:t>
      </w:r>
      <w:r w:rsidRPr="005D584B">
        <w:rPr>
          <w:rFonts w:ascii="Arial" w:hAnsi="Arial" w:cs="Arial"/>
          <w:i/>
          <w:iCs/>
        </w:rPr>
        <w:t>et al</w:t>
      </w:r>
      <w:r w:rsidRPr="00D31C7A">
        <w:rPr>
          <w:rFonts w:ascii="Arial" w:hAnsi="Arial" w:cs="Arial"/>
        </w:rPr>
        <w:t xml:space="preserve">., 2022). Scholars such as Östensson (2020), Löf and Ericsson (2021), and Hirlekar </w:t>
      </w:r>
      <w:r w:rsidRPr="005D584B">
        <w:rPr>
          <w:rFonts w:ascii="Arial" w:hAnsi="Arial" w:cs="Arial"/>
          <w:i/>
          <w:iCs/>
        </w:rPr>
        <w:t>et al</w:t>
      </w:r>
      <w:r w:rsidRPr="00D31C7A">
        <w:rPr>
          <w:rFonts w:ascii="Arial" w:hAnsi="Arial" w:cs="Arial"/>
        </w:rPr>
        <w:t>.</w:t>
      </w:r>
      <w:r w:rsidR="00936997">
        <w:rPr>
          <w:rFonts w:ascii="Arial" w:hAnsi="Arial" w:cs="Arial"/>
        </w:rPr>
        <w:t>,</w:t>
      </w:r>
      <w:r w:rsidRPr="00D31C7A">
        <w:rPr>
          <w:rFonts w:ascii="Arial" w:hAnsi="Arial" w:cs="Arial"/>
        </w:rPr>
        <w:t xml:space="preserve"> (2025) highlight the potential for reforming governance structures to mitigate rent-seeking conduct among the regional elites, thereby promoting a more equitable allocation of mining profits. </w:t>
      </w:r>
    </w:p>
    <w:p w14:paraId="2155C81F" w14:textId="7375B047" w:rsidR="00D31C7A" w:rsidRDefault="005627F5" w:rsidP="005627F5">
      <w:pPr>
        <w:pStyle w:val="Heading2"/>
      </w:pPr>
      <w:bookmarkStart w:id="12" w:name="_Toc215833475"/>
      <w:r>
        <w:t xml:space="preserve">3.2 </w:t>
      </w:r>
      <w:r w:rsidRPr="005627F5">
        <w:t>Corporate Ethics Dimensions</w:t>
      </w:r>
      <w:bookmarkEnd w:id="12"/>
    </w:p>
    <w:p w14:paraId="2CED4C26" w14:textId="0F177B30" w:rsidR="008A5621" w:rsidRDefault="00FA6E13" w:rsidP="00EB2A49">
      <w:pPr>
        <w:pStyle w:val="Heading3"/>
        <w:rPr>
          <w:rFonts w:ascii="Arial" w:hAnsi="Arial" w:cs="Arial"/>
        </w:rPr>
      </w:pPr>
      <w:bookmarkStart w:id="13" w:name="_Toc215833476"/>
      <w:r w:rsidRPr="00FA6E13">
        <w:t>Responsibility for Corporations</w:t>
      </w:r>
      <w:bookmarkEnd w:id="13"/>
      <w:r w:rsidR="00F91051" w:rsidRPr="00F91051">
        <w:rPr>
          <w:rFonts w:ascii="Arial" w:hAnsi="Arial" w:cs="Arial"/>
        </w:rPr>
        <w:t xml:space="preserve"> </w:t>
      </w:r>
    </w:p>
    <w:p w14:paraId="5C1B2BAD" w14:textId="3B378ECD" w:rsidR="00EB2A49" w:rsidRDefault="00EB2A49" w:rsidP="009A10D0">
      <w:pPr>
        <w:spacing w:line="360" w:lineRule="auto"/>
        <w:rPr>
          <w:rFonts w:ascii="Arial" w:hAnsi="Arial" w:cs="Arial"/>
        </w:rPr>
      </w:pPr>
      <w:r w:rsidRPr="00EB2A49">
        <w:rPr>
          <w:rFonts w:ascii="Arial" w:hAnsi="Arial" w:cs="Arial"/>
        </w:rPr>
        <w:t>Multinational companies have a significant opportunity to enhance their reputations by actively combating child labour and hazardous practices within the DRC. Scholars such as Sovacool (2019), Dodoo et al. (2023), Cao et al. (2024), the European Commission (2024), and Schleich (2024) emphasise that corporate accountability in cobalt supply chains should extend beyond basic compliance. By proactively engaging with ASM communities, organisations can establish positive relationships and contribute to sustainable development. Furthermore, ethical structures, including stakeholder theory</w:t>
      </w:r>
      <w:r>
        <w:rPr>
          <w:rFonts w:ascii="Arial" w:hAnsi="Arial" w:cs="Arial"/>
        </w:rPr>
        <w:t xml:space="preserve"> </w:t>
      </w:r>
      <w:r w:rsidRPr="00EB2A49">
        <w:rPr>
          <w:rFonts w:ascii="Arial" w:hAnsi="Arial" w:cs="Arial"/>
        </w:rPr>
        <w:t>(Freeman et al., 2010), encourage corporations to recognise their accountability not just to shareholders but also to all stakeholders, including local communities, miners, and future generations. Such a method can result in more resilient supply chains and a deeper commitment to societal accountability.</w:t>
      </w:r>
    </w:p>
    <w:p w14:paraId="47CCE180" w14:textId="38248E24" w:rsidR="00FA6E13" w:rsidRDefault="00371B4A" w:rsidP="00371B4A">
      <w:pPr>
        <w:pStyle w:val="Heading3"/>
      </w:pPr>
      <w:bookmarkStart w:id="14" w:name="_Toc215833477"/>
      <w:r w:rsidRPr="00371B4A">
        <w:t>Dilemmas of Ethics</w:t>
      </w:r>
      <w:bookmarkEnd w:id="14"/>
    </w:p>
    <w:p w14:paraId="377EF0EF" w14:textId="522CD67D" w:rsidR="00FA6E13" w:rsidRDefault="00985B65" w:rsidP="009A10D0">
      <w:pPr>
        <w:spacing w:line="360" w:lineRule="auto"/>
        <w:rPr>
          <w:rFonts w:ascii="Arial" w:hAnsi="Arial" w:cs="Arial"/>
        </w:rPr>
      </w:pPr>
      <w:r w:rsidRPr="00985B65">
        <w:rPr>
          <w:rFonts w:ascii="Arial" w:hAnsi="Arial" w:cs="Arial"/>
        </w:rPr>
        <w:t>An integral ethical consideration is deciding whether to eliminate ASM from supply chains to mitigate reputational risks or to integrate ASM through formalisation programs that enhance the local communities' livelihoods (Calvão et al., 2021</w:t>
      </w:r>
      <w:r w:rsidR="0037100E">
        <w:rPr>
          <w:rFonts w:ascii="Arial" w:hAnsi="Arial" w:cs="Arial"/>
        </w:rPr>
        <w:t>a</w:t>
      </w:r>
      <w:r w:rsidRPr="00985B65">
        <w:rPr>
          <w:rFonts w:ascii="Arial" w:hAnsi="Arial" w:cs="Arial"/>
        </w:rPr>
        <w:t xml:space="preserve">). While exclusion may alleviate </w:t>
      </w:r>
      <w:r w:rsidRPr="00985B65">
        <w:rPr>
          <w:rFonts w:ascii="Arial" w:hAnsi="Arial" w:cs="Arial"/>
        </w:rPr>
        <w:lastRenderedPageBreak/>
        <w:t xml:space="preserve">immediate concerns, it additionally contributes to perpetuating impoverishment and marginalisation. Conversely, embracing ASM </w:t>
      </w:r>
      <w:r w:rsidR="00D61483">
        <w:rPr>
          <w:rFonts w:ascii="Arial" w:hAnsi="Arial" w:cs="Arial"/>
        </w:rPr>
        <w:t>necessitate</w:t>
      </w:r>
      <w:r w:rsidRPr="00985B65">
        <w:rPr>
          <w:rFonts w:ascii="Arial" w:hAnsi="Arial" w:cs="Arial"/>
        </w:rPr>
        <w:t xml:space="preserve">s a </w:t>
      </w:r>
      <w:r w:rsidR="00D61483">
        <w:rPr>
          <w:rFonts w:ascii="Arial" w:hAnsi="Arial" w:cs="Arial"/>
        </w:rPr>
        <w:t>significant</w:t>
      </w:r>
      <w:r w:rsidRPr="00985B65">
        <w:rPr>
          <w:rFonts w:ascii="Arial" w:hAnsi="Arial" w:cs="Arial"/>
        </w:rPr>
        <w:t xml:space="preserve"> investment in safety measures, traceability, and governance, which ultimately promotes a greater egalitarian approach that conforms with distributive justice principles </w:t>
      </w:r>
      <w:r w:rsidRPr="003434C4">
        <w:rPr>
          <w:rFonts w:ascii="Arial" w:hAnsi="Arial" w:cs="Arial"/>
        </w:rPr>
        <w:t>(Calvão et al., 2021</w:t>
      </w:r>
      <w:r w:rsidR="0037100E" w:rsidRPr="003434C4">
        <w:rPr>
          <w:rFonts w:ascii="Arial" w:hAnsi="Arial" w:cs="Arial"/>
        </w:rPr>
        <w:t>a</w:t>
      </w:r>
      <w:r w:rsidRPr="003434C4">
        <w:rPr>
          <w:rFonts w:ascii="Arial" w:hAnsi="Arial" w:cs="Arial"/>
        </w:rPr>
        <w:t>; Hilson et al., 2022; European Parliament, 2025).</w:t>
      </w:r>
      <w:r w:rsidRPr="00985B65">
        <w:rPr>
          <w:rFonts w:ascii="Arial" w:hAnsi="Arial" w:cs="Arial"/>
        </w:rPr>
        <w:t xml:space="preserve"> Organisations can empower communities participating in ASM and promote sustainable development </w:t>
      </w:r>
      <w:r>
        <w:rPr>
          <w:rFonts w:ascii="Arial" w:hAnsi="Arial" w:cs="Arial"/>
        </w:rPr>
        <w:t>by</w:t>
      </w:r>
      <w:r w:rsidRPr="00985B65">
        <w:rPr>
          <w:rFonts w:ascii="Arial" w:hAnsi="Arial" w:cs="Arial"/>
        </w:rPr>
        <w:t xml:space="preserve"> supporting these initiatives.</w:t>
      </w:r>
    </w:p>
    <w:p w14:paraId="1651CE3A" w14:textId="77777777" w:rsidR="00540E02" w:rsidRPr="00540E02" w:rsidRDefault="00540E02" w:rsidP="00540E02">
      <w:pPr>
        <w:pStyle w:val="Heading3"/>
      </w:pPr>
      <w:bookmarkStart w:id="15" w:name="_Toc215833478"/>
      <w:r w:rsidRPr="00540E02">
        <w:t xml:space="preserve">Accountability and </w:t>
      </w:r>
      <w:r w:rsidRPr="00A81720">
        <w:t>Transparency</w:t>
      </w:r>
      <w:bookmarkEnd w:id="15"/>
    </w:p>
    <w:p w14:paraId="58F0ACE5" w14:textId="77777777" w:rsidR="009C60E4" w:rsidRDefault="002461F4" w:rsidP="009A10D0">
      <w:pPr>
        <w:spacing w:line="360" w:lineRule="auto"/>
        <w:rPr>
          <w:rFonts w:ascii="Arial" w:hAnsi="Arial" w:cs="Arial"/>
        </w:rPr>
      </w:pPr>
      <w:r w:rsidRPr="002461F4">
        <w:rPr>
          <w:rFonts w:ascii="Arial" w:hAnsi="Arial" w:cs="Arial"/>
        </w:rPr>
        <w:t xml:space="preserve">Regarding the cobalt supply chains, transparency is a vital aspect of business ethics. An excellent opportunity for ensuring verifiable sourcing is by embracing </w:t>
      </w:r>
      <w:r w:rsidRPr="00D17FD8">
        <w:rPr>
          <w:rFonts w:ascii="Arial" w:hAnsi="Arial" w:cs="Arial"/>
        </w:rPr>
        <w:t>blockchain-based traceability systems (Onuma, 2025; Mugurusi and Ahishakiye, 2022).</w:t>
      </w:r>
      <w:r w:rsidRPr="002461F4">
        <w:rPr>
          <w:rFonts w:ascii="Arial" w:hAnsi="Arial" w:cs="Arial"/>
        </w:rPr>
        <w:t xml:space="preserve"> Additionally, addressing socio-political constraints, such as resistance from traders and the difficulties posed by insufficient digital infrastructure in artisanal and small-scale mining ASM contexts, can pave the way for more ethical operations. </w:t>
      </w:r>
    </w:p>
    <w:p w14:paraId="63AB773B" w14:textId="597E2F7D" w:rsidR="005627F5" w:rsidRDefault="002461F4" w:rsidP="009A10D0">
      <w:pPr>
        <w:spacing w:line="360" w:lineRule="auto"/>
        <w:rPr>
          <w:rFonts w:ascii="Arial" w:hAnsi="Arial" w:cs="Arial"/>
        </w:rPr>
      </w:pPr>
      <w:r w:rsidRPr="002461F4">
        <w:rPr>
          <w:rFonts w:ascii="Arial" w:hAnsi="Arial" w:cs="Arial"/>
        </w:rPr>
        <w:t xml:space="preserve">To develop ethical responsibility, it is essential that organisations prioritise independent audits and participate in community-level discussions, </w:t>
      </w:r>
      <w:r>
        <w:rPr>
          <w:rFonts w:ascii="Arial" w:hAnsi="Arial" w:cs="Arial"/>
        </w:rPr>
        <w:t>rather than</w:t>
      </w:r>
      <w:r w:rsidRPr="002461F4">
        <w:rPr>
          <w:rFonts w:ascii="Arial" w:hAnsi="Arial" w:cs="Arial"/>
        </w:rPr>
        <w:t xml:space="preserve"> relying primarily on technological solutions (Onuma, 2025; Mugurusi and Ahishakiye, 2022). This multifaceted approach can lead to significant improvements within the industry.</w:t>
      </w:r>
    </w:p>
    <w:p w14:paraId="6EEC8C5F" w14:textId="02D2B665" w:rsidR="004C2AB8" w:rsidRDefault="002341BF" w:rsidP="002341BF">
      <w:pPr>
        <w:pStyle w:val="Heading3"/>
      </w:pPr>
      <w:bookmarkStart w:id="16" w:name="_Toc215833479"/>
      <w:r>
        <w:t>I</w:t>
      </w:r>
      <w:r w:rsidRPr="002341BF">
        <w:t>nequality Globally</w:t>
      </w:r>
      <w:bookmarkEnd w:id="16"/>
    </w:p>
    <w:p w14:paraId="584D8C06" w14:textId="295ED2EE" w:rsidR="008A5621" w:rsidRDefault="006E0BDB" w:rsidP="009A10D0">
      <w:pPr>
        <w:spacing w:line="360" w:lineRule="auto"/>
        <w:rPr>
          <w:rFonts w:ascii="Arial" w:hAnsi="Arial" w:cs="Arial"/>
        </w:rPr>
      </w:pPr>
      <w:r w:rsidRPr="006E0BDB">
        <w:rPr>
          <w:rFonts w:ascii="Arial" w:hAnsi="Arial" w:cs="Arial"/>
        </w:rPr>
        <w:t>The ethical considerations surrounding cobalt sourcing present an opportunity to address inequalities worldwide. While corporations throughout Europe, Asia, and North America profit from the inexpensive pricing of cobalt, there is an opportunity to improve the conditions of local communities within the DRC, which confront serious environmental and social challenges (Mancini et al., 2021; Schwartz et al., 2020). The current situation highlights the pressing need for an improved, equitable approach, one that replaces resource colonialism with practices that promote local community justice and sustainability (Calvão et al., 2021b). By establishing redistributive procedures,</w:t>
      </w:r>
      <w:r w:rsidR="007C7B4F">
        <w:rPr>
          <w:rFonts w:ascii="Arial" w:hAnsi="Arial" w:cs="Arial"/>
        </w:rPr>
        <w:t xml:space="preserve"> governments and</w:t>
      </w:r>
      <w:r w:rsidRPr="006E0BDB">
        <w:rPr>
          <w:rFonts w:ascii="Arial" w:hAnsi="Arial" w:cs="Arial"/>
        </w:rPr>
        <w:t xml:space="preserve"> society can ensure that mining communities not only contribute to the global market but also receive equitable benefits that improve their overall well-being, standard of living, and promote sustainable development.</w:t>
      </w:r>
    </w:p>
    <w:p w14:paraId="0EEA29E2" w14:textId="76F03476" w:rsidR="00E50F83" w:rsidRPr="00E50F83" w:rsidRDefault="008740D9" w:rsidP="00E50F83">
      <w:pPr>
        <w:pStyle w:val="Heading2"/>
      </w:pPr>
      <w:bookmarkStart w:id="17" w:name="_Toc215833480"/>
      <w:r>
        <w:lastRenderedPageBreak/>
        <w:t xml:space="preserve">3.3 </w:t>
      </w:r>
      <w:r w:rsidR="00E50F83" w:rsidRPr="00E50F83">
        <w:t>Critical Analysis</w:t>
      </w:r>
      <w:bookmarkEnd w:id="17"/>
    </w:p>
    <w:p w14:paraId="371C69FF" w14:textId="35883D63" w:rsidR="002341BF" w:rsidRDefault="002B1CA1" w:rsidP="009A10D0">
      <w:pPr>
        <w:spacing w:line="360" w:lineRule="auto"/>
        <w:rPr>
          <w:rFonts w:ascii="Arial" w:hAnsi="Arial" w:cs="Arial"/>
        </w:rPr>
      </w:pPr>
      <w:r w:rsidRPr="002B1CA1">
        <w:rPr>
          <w:rFonts w:ascii="Arial" w:hAnsi="Arial" w:cs="Arial"/>
        </w:rPr>
        <w:t>A substantial possibility for bridging the disparity between local ethical realities and global sustainability narratives is emphasised throughout the literature. While compliance and reputational risk management are frequently given the highest priority in responsible sourcing programs, scholarly studies challenge these organisations to focus on far more fundamental structural concerns, including governance, inequality, and justice. To truly exemplify sustainability, we, as a society, must broaden our focus beyond technical traceability and embrace ecological integrity, equitable wealth distribution, and social protection.</w:t>
      </w:r>
      <w:r w:rsidR="0003022E">
        <w:rPr>
          <w:rFonts w:ascii="Arial" w:hAnsi="Arial" w:cs="Arial"/>
        </w:rPr>
        <w:t xml:space="preserve"> </w:t>
      </w:r>
    </w:p>
    <w:p w14:paraId="315A5B51" w14:textId="57708C60" w:rsidR="0003022E" w:rsidRDefault="0003022E" w:rsidP="009A10D0">
      <w:pPr>
        <w:spacing w:line="360" w:lineRule="auto"/>
        <w:rPr>
          <w:rFonts w:ascii="Arial" w:hAnsi="Arial" w:cs="Arial"/>
        </w:rPr>
      </w:pPr>
      <w:r w:rsidRPr="0003022E">
        <w:rPr>
          <w:rFonts w:ascii="Arial" w:hAnsi="Arial" w:cs="Arial"/>
        </w:rPr>
        <w:t xml:space="preserve">Within the context of the DRC cobalt supply chain, there is a meaningful opportunity to transition our approach from risk avoidance to proactive accountability. By integrating ASM into formal supply </w:t>
      </w:r>
      <w:r w:rsidR="00EC6459" w:rsidRPr="0003022E">
        <w:rPr>
          <w:rFonts w:ascii="Arial" w:hAnsi="Arial" w:cs="Arial"/>
        </w:rPr>
        <w:t>chains and</w:t>
      </w:r>
      <w:r w:rsidRPr="0003022E">
        <w:rPr>
          <w:rFonts w:ascii="Arial" w:hAnsi="Arial" w:cs="Arial"/>
        </w:rPr>
        <w:t xml:space="preserve"> developing a model that assures worldwide climate benefits are realised without negatively compromising local communities. Adopting a comprehensive perspective of sustainability can contribute to positive results that benefit both corporations and the communities they impact.</w:t>
      </w:r>
    </w:p>
    <w:p w14:paraId="0EBC047E" w14:textId="23824245" w:rsidR="0034267A" w:rsidRPr="0034267A" w:rsidRDefault="0034267A" w:rsidP="005D2FDA">
      <w:pPr>
        <w:pStyle w:val="Heading1"/>
        <w:numPr>
          <w:ilvl w:val="0"/>
          <w:numId w:val="2"/>
        </w:numPr>
      </w:pPr>
      <w:bookmarkStart w:id="18" w:name="_Toc215833481"/>
      <w:r w:rsidRPr="0034267A">
        <w:t>Issues with Epistemology within Cobalt Supply Chain Studies</w:t>
      </w:r>
      <w:bookmarkEnd w:id="18"/>
    </w:p>
    <w:p w14:paraId="5FC0A929" w14:textId="3F47DDD1" w:rsidR="002B1CA1" w:rsidRDefault="00E90E4D" w:rsidP="00E90E4D">
      <w:pPr>
        <w:pStyle w:val="Heading2"/>
      </w:pPr>
      <w:bookmarkStart w:id="19" w:name="_Toc215833482"/>
      <w:r>
        <w:t xml:space="preserve">4.1 </w:t>
      </w:r>
      <w:r w:rsidRPr="00E90E4D">
        <w:t>Methodological Diversity and Knowledge Claims</w:t>
      </w:r>
      <w:bookmarkEnd w:id="19"/>
    </w:p>
    <w:p w14:paraId="062F2241" w14:textId="54ED0BFD" w:rsidR="008740D9" w:rsidRDefault="00A94F4C" w:rsidP="009A10D0">
      <w:pPr>
        <w:spacing w:line="360" w:lineRule="auto"/>
        <w:rPr>
          <w:rFonts w:ascii="Arial" w:hAnsi="Arial" w:cs="Arial"/>
        </w:rPr>
      </w:pPr>
      <w:r w:rsidRPr="00A94F4C">
        <w:rPr>
          <w:rFonts w:ascii="Arial" w:hAnsi="Arial" w:cs="Arial"/>
        </w:rPr>
        <w:t>The research on ethical sourcing within the DRC cobalt supply chain presents an invaluable opportunity for diverse epistemological perspectives. Scholars apply various paradigms which deepen our comprehension of the respective LSM and ASM practices, enabling a richer exploration of the complexities associated with them.</w:t>
      </w:r>
    </w:p>
    <w:p w14:paraId="4E356AB7" w14:textId="78BA7BB6" w:rsidR="008740D9" w:rsidRDefault="00BE1BF6" w:rsidP="009A10D0">
      <w:pPr>
        <w:spacing w:line="360" w:lineRule="auto"/>
        <w:rPr>
          <w:rFonts w:ascii="Arial" w:hAnsi="Arial" w:cs="Arial"/>
        </w:rPr>
      </w:pPr>
      <w:r w:rsidRPr="00C66C0B">
        <w:rPr>
          <w:rStyle w:val="Heading4Char"/>
        </w:rPr>
        <w:t>Productive Structures</w:t>
      </w:r>
      <w:r w:rsidRPr="00BE1BF6">
        <w:rPr>
          <w:rFonts w:ascii="Arial" w:hAnsi="Arial" w:cs="Arial"/>
        </w:rPr>
        <w:t>: As exemplified by the OECD Due Diligence Guidance for Responsible Mineral Supply Chains, numerous studies attempt to identify optimal approaches towards responsible sourcing. These guidelines provide a solid foundation grounded in policy analysis and ethical theory, encouraging a thoughtful methodology as opposed to relying solely on empirical evaluation (OECD, 2016). Furthermore, the contributions of scholars Miller and Le Breton-Miller (2025) further enrich this critically important discussion.</w:t>
      </w:r>
    </w:p>
    <w:p w14:paraId="1F7D3D39" w14:textId="153DD483" w:rsidR="00A12543" w:rsidRDefault="00A12543" w:rsidP="009A10D0">
      <w:pPr>
        <w:spacing w:line="360" w:lineRule="auto"/>
        <w:rPr>
          <w:rFonts w:ascii="Arial" w:hAnsi="Arial" w:cs="Arial"/>
        </w:rPr>
      </w:pPr>
      <w:r w:rsidRPr="00C66C0B">
        <w:rPr>
          <w:rStyle w:val="Heading4Char"/>
        </w:rPr>
        <w:lastRenderedPageBreak/>
        <w:t>Empirical ethnographies</w:t>
      </w:r>
      <w:r w:rsidRPr="00A12543">
        <w:rPr>
          <w:rFonts w:ascii="Arial" w:hAnsi="Arial" w:cs="Arial"/>
        </w:rPr>
        <w:t xml:space="preserve">: Ethnographic research </w:t>
      </w:r>
      <w:r w:rsidR="00AE2944">
        <w:rPr>
          <w:rFonts w:ascii="Arial" w:hAnsi="Arial" w:cs="Arial"/>
        </w:rPr>
        <w:t>provides</w:t>
      </w:r>
      <w:r w:rsidRPr="00A12543">
        <w:rPr>
          <w:rFonts w:ascii="Arial" w:hAnsi="Arial" w:cs="Arial"/>
        </w:rPr>
        <w:t xml:space="preserve"> invaluable qualitative </w:t>
      </w:r>
      <w:r w:rsidR="00486C0B" w:rsidRPr="00486C0B">
        <w:rPr>
          <w:rFonts w:ascii="Arial" w:hAnsi="Arial" w:cs="Arial"/>
        </w:rPr>
        <w:t>understandings</w:t>
      </w:r>
      <w:r w:rsidRPr="00A12543">
        <w:rPr>
          <w:rFonts w:ascii="Arial" w:hAnsi="Arial" w:cs="Arial"/>
        </w:rPr>
        <w:t xml:space="preserve"> into the real-life experiences of miners, shining light on the ethical difficulties and social realities they encounter. By evaluating these aspects, researchers can acquire a greater comprehension of the obstacles and potential solutions for improving their circumstances while addressing their concerns (World Economic Forum, 2020; Mancini et al., 2021; Calvão et al., 2021a; Sovacool, 2019).</w:t>
      </w:r>
    </w:p>
    <w:p w14:paraId="545B8419" w14:textId="782E84E5" w:rsidR="00165FE2" w:rsidRDefault="00FC1886" w:rsidP="009A10D0">
      <w:pPr>
        <w:spacing w:line="360" w:lineRule="auto"/>
        <w:rPr>
          <w:rFonts w:ascii="Arial" w:hAnsi="Arial" w:cs="Arial"/>
        </w:rPr>
      </w:pPr>
      <w:r w:rsidRPr="00C66C0B">
        <w:rPr>
          <w:rStyle w:val="Heading4Char"/>
        </w:rPr>
        <w:t>Quantitative modelling</w:t>
      </w:r>
      <w:r w:rsidRPr="00FC1886">
        <w:rPr>
          <w:rFonts w:ascii="Arial" w:hAnsi="Arial" w:cs="Arial"/>
        </w:rPr>
        <w:t>: Supply chain transparency research (Onuma, 2025; Mugurusi and Ahishakiye, 2022) leverages network analysis and blockchain simulations to enhance traceability within supply chains. This approach provides valuable insights that can assist organisations in enhancing their operations and building greater trust with consumers.</w:t>
      </w:r>
    </w:p>
    <w:p w14:paraId="3835A41F" w14:textId="5457BB1F" w:rsidR="008412F1" w:rsidRDefault="00D9139A" w:rsidP="009A10D0">
      <w:pPr>
        <w:spacing w:line="360" w:lineRule="auto"/>
        <w:rPr>
          <w:rFonts w:ascii="Arial" w:hAnsi="Arial" w:cs="Arial"/>
        </w:rPr>
      </w:pPr>
      <w:r w:rsidRPr="00C66C0B">
        <w:rPr>
          <w:rStyle w:val="Heading4Char"/>
        </w:rPr>
        <w:t>Mixed-method approaches</w:t>
      </w:r>
      <w:r w:rsidRPr="00D9139A">
        <w:rPr>
          <w:rFonts w:ascii="Arial" w:hAnsi="Arial" w:cs="Arial"/>
        </w:rPr>
        <w:t>: Multiple studies demonstrate the value of integrating surveys, interviews, and policy analysis, which can significantly strengthen their findings and provide a more nuanced understanding of the subject matter (Sovacool, 2019; Calvão et al., 2021a; Hilson et al., 2022). This multifaceted method not only enriches the investigation itself but also assists in identifying significant findings that might otherwise be overlooked.</w:t>
      </w:r>
      <w:r w:rsidR="00430038">
        <w:rPr>
          <w:rFonts w:ascii="Arial" w:hAnsi="Arial" w:cs="Arial"/>
        </w:rPr>
        <w:t xml:space="preserve"> </w:t>
      </w:r>
      <w:r w:rsidR="008412F1" w:rsidRPr="008412F1">
        <w:rPr>
          <w:rFonts w:ascii="Arial" w:hAnsi="Arial" w:cs="Arial"/>
        </w:rPr>
        <w:t>This diversity exemplifies the concept of epistemological pluralism, and while it presents obstacles in synthesising data across various paradigms, it also offers valuable opportunities for enriching our understanding and generating innovative insights.</w:t>
      </w:r>
    </w:p>
    <w:p w14:paraId="6627FC54" w14:textId="58988B84" w:rsidR="00685854" w:rsidRDefault="00324CF9" w:rsidP="00324CF9">
      <w:pPr>
        <w:pStyle w:val="Heading3"/>
      </w:pPr>
      <w:bookmarkStart w:id="20" w:name="_Toc215833483"/>
      <w:r>
        <w:t xml:space="preserve">4.2 </w:t>
      </w:r>
      <w:r w:rsidRPr="00324CF9">
        <w:t>Evidence Bias and Positionality</w:t>
      </w:r>
      <w:bookmarkEnd w:id="20"/>
    </w:p>
    <w:p w14:paraId="5F20112B" w14:textId="5AE467CC" w:rsidR="008740D9" w:rsidRDefault="001F23C0" w:rsidP="009A10D0">
      <w:pPr>
        <w:spacing w:line="360" w:lineRule="auto"/>
        <w:rPr>
          <w:rFonts w:ascii="Arial" w:hAnsi="Arial" w:cs="Arial"/>
        </w:rPr>
      </w:pPr>
      <w:r w:rsidRPr="001F23C0">
        <w:rPr>
          <w:rFonts w:ascii="Arial" w:hAnsi="Arial" w:cs="Arial"/>
        </w:rPr>
        <w:t>Evidence bias is an integral area of research in epistemology. Many data sources, such as donor-funded projects, NGO reports, and corporate disclosures, provide valuable insights, yet they can also carry normative commitments that influence how successes are presented. While independent scholarly studies are less frequent due to factors including access constraints and safety risks, increasing their prevalence could enhance the reliability and diversity of knowledge assertions. By acknowledging the perspectives of researchers and stakeholders, we can strive towards increasing the impartiality and representativeness of research results, ultimately leading to more accurate conclusions and better-informed decision-making.</w:t>
      </w:r>
    </w:p>
    <w:p w14:paraId="7F0C1CA3" w14:textId="279B4BB3" w:rsidR="00B77AAE" w:rsidRDefault="004E2EDC" w:rsidP="009C18D2">
      <w:pPr>
        <w:pStyle w:val="Heading3"/>
      </w:pPr>
      <w:bookmarkStart w:id="21" w:name="_Toc215833484"/>
      <w:r>
        <w:lastRenderedPageBreak/>
        <w:t xml:space="preserve">4.3 </w:t>
      </w:r>
      <w:r w:rsidR="009C18D2" w:rsidRPr="009C18D2">
        <w:t>Validity of Construction</w:t>
      </w:r>
      <w:bookmarkEnd w:id="21"/>
    </w:p>
    <w:p w14:paraId="1AB293F7" w14:textId="7D19ACF4" w:rsidR="00B77AAE" w:rsidRDefault="0050265E" w:rsidP="009A10D0">
      <w:pPr>
        <w:spacing w:line="360" w:lineRule="auto"/>
        <w:rPr>
          <w:rFonts w:ascii="Arial" w:hAnsi="Arial" w:cs="Arial"/>
        </w:rPr>
      </w:pPr>
      <w:r w:rsidRPr="0050265E">
        <w:rPr>
          <w:rFonts w:ascii="Arial" w:hAnsi="Arial" w:cs="Arial"/>
        </w:rPr>
        <w:t>The notion of "responsible sourcing" is complex and can therefore be construed in multiple ways.  Some studies define it primarily as a means of preventing child labour, while others expand its scope to encompass crucial topics such as corruption control, livelihood protection and environmental stewardship (Sovacool, 2019; Mancini et al., 2021; Hilson et al., 2022). For improved clarity and to permit more accurate comparisons across research, developing a more unified interpretation of the term would prove advantageous.</w:t>
      </w:r>
    </w:p>
    <w:p w14:paraId="79258FA4" w14:textId="42A81F40" w:rsidR="00A0561A" w:rsidRDefault="00055B5D" w:rsidP="009A10D0">
      <w:pPr>
        <w:spacing w:line="360" w:lineRule="auto"/>
        <w:rPr>
          <w:rFonts w:ascii="Arial" w:hAnsi="Arial" w:cs="Arial"/>
        </w:rPr>
      </w:pPr>
      <w:r w:rsidRPr="00055B5D">
        <w:rPr>
          <w:rFonts w:ascii="Arial" w:hAnsi="Arial" w:cs="Arial"/>
        </w:rPr>
        <w:t>Additionally, operationalising responsible sourcing through quantitative variables, including verified traceability, income stability and the prevalence of injuries, can considerably strengthen the rigour of these results (Sovacool, 2019; Mancini et al., 2021; Hilson et al., 2022). By implementing this methodology, a more comprehensive and actionable structure that supports responsible sourcing can be developed, effectively addressing its various dimensions.</w:t>
      </w:r>
    </w:p>
    <w:p w14:paraId="4CD10FB4" w14:textId="33E5DD05" w:rsidR="00EB1249" w:rsidRPr="00EB1249" w:rsidRDefault="00EB1249" w:rsidP="005D2FDA">
      <w:pPr>
        <w:pStyle w:val="Heading1"/>
        <w:numPr>
          <w:ilvl w:val="0"/>
          <w:numId w:val="2"/>
        </w:numPr>
      </w:pPr>
      <w:bookmarkStart w:id="22" w:name="_Toc215833485"/>
      <w:r w:rsidRPr="00EB1249">
        <w:t>Ontological Concerns within Cobalt Supply Chain Research</w:t>
      </w:r>
      <w:bookmarkEnd w:id="22"/>
    </w:p>
    <w:p w14:paraId="732A0CA9" w14:textId="46A6A926" w:rsidR="00882E91" w:rsidRDefault="00F30F92" w:rsidP="00D6209F">
      <w:pPr>
        <w:pStyle w:val="Heading2"/>
      </w:pPr>
      <w:r>
        <w:t xml:space="preserve"> </w:t>
      </w:r>
      <w:bookmarkStart w:id="23" w:name="_Toc215833486"/>
      <w:r w:rsidR="00A04241">
        <w:t xml:space="preserve">5.1 </w:t>
      </w:r>
      <w:r w:rsidR="00BD2728" w:rsidRPr="00BD2728">
        <w:t xml:space="preserve">The </w:t>
      </w:r>
      <w:r w:rsidR="00BD2728">
        <w:t>D</w:t>
      </w:r>
      <w:r w:rsidR="00BD2728" w:rsidRPr="00BD2728">
        <w:t>ualism of LSM vs. ASM</w:t>
      </w:r>
      <w:bookmarkEnd w:id="23"/>
    </w:p>
    <w:p w14:paraId="251E4DAE" w14:textId="77777777" w:rsidR="009C60E4" w:rsidRDefault="0067702E" w:rsidP="009A10D0">
      <w:pPr>
        <w:spacing w:line="360" w:lineRule="auto"/>
        <w:rPr>
          <w:rFonts w:ascii="Arial" w:hAnsi="Arial" w:cs="Arial"/>
        </w:rPr>
      </w:pPr>
      <w:r w:rsidRPr="0067702E">
        <w:rPr>
          <w:rFonts w:ascii="Arial" w:hAnsi="Arial" w:cs="Arial"/>
        </w:rPr>
        <w:t xml:space="preserve">Ontologically, studies frequently differentiate between ASM and LSM by labelling ASM as manual, informal, and dangerous, while considering LSM as mechanised, formal, and regulated. However, this dichotomy could fail to recognise the complexities of reality. ASM typically operates on or near industrial concessions, and the materials involved often intermingle along commercial routes (Cuvelier, 2023; Calvão et al., 2021a). </w:t>
      </w:r>
    </w:p>
    <w:p w14:paraId="0FDD3963" w14:textId="1141D1E7" w:rsidR="00882E91" w:rsidRDefault="0067702E" w:rsidP="009A10D0">
      <w:pPr>
        <w:spacing w:line="360" w:lineRule="auto"/>
        <w:rPr>
          <w:rFonts w:ascii="Arial" w:hAnsi="Arial" w:cs="Arial"/>
        </w:rPr>
      </w:pPr>
      <w:r w:rsidRPr="0067702E">
        <w:rPr>
          <w:rFonts w:ascii="Arial" w:hAnsi="Arial" w:cs="Arial"/>
        </w:rPr>
        <w:t>Furthermore, understanding the interconnecting boundaries between ASM and LSM can provide a more nuanced understanding of these mining practices and their implications, encouraging a more deliberative approach to regulation and resource management (Cuvelier, 2023; Calvão et al., 2021a).</w:t>
      </w:r>
    </w:p>
    <w:p w14:paraId="7CA0C0C1" w14:textId="33FF0488" w:rsidR="00DC5EE8" w:rsidRPr="003A353A" w:rsidRDefault="004B6179" w:rsidP="00D6209F">
      <w:pPr>
        <w:pStyle w:val="Heading2"/>
        <w:rPr>
          <w:rStyle w:val="Heading3Char"/>
        </w:rPr>
      </w:pPr>
      <w:bookmarkStart w:id="24" w:name="_Toc215833487"/>
      <w:r>
        <w:rPr>
          <w:rStyle w:val="Heading3Char"/>
        </w:rPr>
        <w:t>5.2 T</w:t>
      </w:r>
      <w:r w:rsidR="003A353A">
        <w:rPr>
          <w:rStyle w:val="Heading3Char"/>
        </w:rPr>
        <w:t>h</w:t>
      </w:r>
      <w:r w:rsidR="003A353A" w:rsidRPr="003A353A">
        <w:rPr>
          <w:rStyle w:val="Heading3Char"/>
        </w:rPr>
        <w:t>e Socio-Technical System of the Supply Chain</w:t>
      </w:r>
      <w:bookmarkEnd w:id="24"/>
    </w:p>
    <w:p w14:paraId="607CE588" w14:textId="77777777" w:rsidR="009C60E4" w:rsidRDefault="00C94E10" w:rsidP="009A10D0">
      <w:pPr>
        <w:spacing w:line="360" w:lineRule="auto"/>
        <w:rPr>
          <w:rFonts w:ascii="Arial" w:hAnsi="Arial" w:cs="Arial"/>
        </w:rPr>
      </w:pPr>
      <w:r w:rsidRPr="00C94E10">
        <w:rPr>
          <w:rFonts w:ascii="Arial" w:hAnsi="Arial" w:cs="Arial"/>
        </w:rPr>
        <w:t xml:space="preserve">Ontological assumptions concerning supply chains play a pivotal role in defining study conclusions. While certain research studies adopt a linear perspective that monitors the </w:t>
      </w:r>
      <w:r w:rsidRPr="00C94E10">
        <w:rPr>
          <w:rFonts w:ascii="Arial" w:hAnsi="Arial" w:cs="Arial"/>
        </w:rPr>
        <w:lastRenderedPageBreak/>
        <w:t xml:space="preserve">process from the mine to the trader and eventually to the refinery, and ultimately to the OEM (Bille and Hendriksen, 2023; Calvão and Archer, 2021b), other studies offer a more holistic view, conceptualising supply chains as socio-technical networks. </w:t>
      </w:r>
    </w:p>
    <w:p w14:paraId="56724FC7" w14:textId="5FD744F2" w:rsidR="00B77AAE" w:rsidRDefault="00C94E10" w:rsidP="009A10D0">
      <w:pPr>
        <w:spacing w:line="360" w:lineRule="auto"/>
        <w:rPr>
          <w:rFonts w:ascii="Arial" w:hAnsi="Arial" w:cs="Arial"/>
        </w:rPr>
      </w:pPr>
      <w:r w:rsidRPr="00C94E10">
        <w:rPr>
          <w:rFonts w:ascii="Arial" w:hAnsi="Arial" w:cs="Arial"/>
        </w:rPr>
        <w:t xml:space="preserve">This latter approach highlights the interplay between multiple players, institutions and technologies. Furthermore, blockchain presents a unique, socio-technical intervention that transcends merely establishing technological infrastructure; it further encourages social acceptance and requires effective governance to succeed (Bille and Hendriksen, </w:t>
      </w:r>
      <w:r w:rsidR="005A23C9" w:rsidRPr="00C94E10">
        <w:rPr>
          <w:rFonts w:ascii="Arial" w:hAnsi="Arial" w:cs="Arial"/>
        </w:rPr>
        <w:t>2023;</w:t>
      </w:r>
      <w:r w:rsidR="00B52712">
        <w:rPr>
          <w:rFonts w:ascii="Arial" w:hAnsi="Arial" w:cs="Arial"/>
        </w:rPr>
        <w:t xml:space="preserve"> </w:t>
      </w:r>
      <w:r w:rsidRPr="00C94E10">
        <w:rPr>
          <w:rFonts w:ascii="Arial" w:hAnsi="Arial" w:cs="Arial"/>
        </w:rPr>
        <w:t>Calvão and Archer, 2021b). This deeper comprehension may contribute to more effective innovations and solutions within supply chain management.</w:t>
      </w:r>
    </w:p>
    <w:p w14:paraId="64A38BA5" w14:textId="77777777" w:rsidR="005A23C9" w:rsidRPr="005A23C9" w:rsidRDefault="005A23C9" w:rsidP="005A23C9">
      <w:pPr>
        <w:pStyle w:val="Heading3"/>
      </w:pPr>
      <w:bookmarkStart w:id="25" w:name="_Toc215833488"/>
      <w:r w:rsidRPr="005A23C9">
        <w:t>Responsibility and Agency</w:t>
      </w:r>
      <w:bookmarkEnd w:id="25"/>
    </w:p>
    <w:p w14:paraId="3B4CED8B" w14:textId="77777777" w:rsidR="009C60E4" w:rsidRDefault="00F506F3" w:rsidP="009A10D0">
      <w:pPr>
        <w:spacing w:line="360" w:lineRule="auto"/>
        <w:rPr>
          <w:rFonts w:ascii="Arial" w:hAnsi="Arial" w:cs="Arial"/>
        </w:rPr>
      </w:pPr>
      <w:r w:rsidRPr="00F506F3">
        <w:rPr>
          <w:rFonts w:ascii="Arial" w:hAnsi="Arial" w:cs="Arial"/>
        </w:rPr>
        <w:t>Ontological discussions provide significant insights into the conceptual framework of agency and the question of who bears accountability and responsibility for ethical consequences. This presents critical considerations for stakeholders, including NGOs, governments, corporations, together with the miners directly (Ehrnström-Fuentes and Böhm, 2022; Sorsa and Fougère, 2021; Virtanen, Siragusa, and Guttorm, 2020</w:t>
      </w:r>
      <w:r w:rsidR="00B927E8">
        <w:rPr>
          <w:rFonts w:ascii="Arial" w:hAnsi="Arial" w:cs="Arial"/>
        </w:rPr>
        <w:t xml:space="preserve">; </w:t>
      </w:r>
      <w:r w:rsidR="00B927E8" w:rsidRPr="00D454E8">
        <w:rPr>
          <w:rFonts w:ascii="Arial" w:hAnsi="Arial" w:cs="Arial"/>
        </w:rPr>
        <w:t>Ajith</w:t>
      </w:r>
      <w:r w:rsidR="0008720F">
        <w:rPr>
          <w:rFonts w:ascii="Arial" w:hAnsi="Arial" w:cs="Arial"/>
        </w:rPr>
        <w:t xml:space="preserve"> et al., </w:t>
      </w:r>
      <w:r w:rsidR="00B927E8" w:rsidRPr="00D454E8">
        <w:rPr>
          <w:rFonts w:ascii="Arial" w:hAnsi="Arial" w:cs="Arial"/>
        </w:rPr>
        <w:t>2021</w:t>
      </w:r>
      <w:r w:rsidRPr="00F506F3">
        <w:rPr>
          <w:rFonts w:ascii="Arial" w:hAnsi="Arial" w:cs="Arial"/>
        </w:rPr>
        <w:t xml:space="preserve">). </w:t>
      </w:r>
    </w:p>
    <w:p w14:paraId="27B4116D" w14:textId="327E88A5" w:rsidR="002341BF" w:rsidRDefault="00F506F3" w:rsidP="009A10D0">
      <w:pPr>
        <w:spacing w:line="360" w:lineRule="auto"/>
        <w:rPr>
          <w:rFonts w:ascii="Arial" w:hAnsi="Arial" w:cs="Arial"/>
        </w:rPr>
      </w:pPr>
      <w:r w:rsidRPr="00F506F3">
        <w:rPr>
          <w:rFonts w:ascii="Arial" w:hAnsi="Arial" w:cs="Arial"/>
        </w:rPr>
        <w:t>While conventional corporate ethics frameworks frequently focus on organisations as the primary agents, ethnographic research has underlined the agency, tenacity, and resilience of miners (Bille and Hendriksen, 2023; Calvão and Archer, 2021b). Recognising this variety in viewpoints can result in greater, nuanced and effective ethical recommendations that more accurately represent and reflect the realities of all parties involved.</w:t>
      </w:r>
    </w:p>
    <w:p w14:paraId="12D079F1" w14:textId="4BEA241B" w:rsidR="005A5F76" w:rsidRPr="005A5F76" w:rsidRDefault="005A5F76" w:rsidP="005D2FDA">
      <w:pPr>
        <w:pStyle w:val="Heading1"/>
        <w:numPr>
          <w:ilvl w:val="0"/>
          <w:numId w:val="2"/>
        </w:numPr>
      </w:pPr>
      <w:bookmarkStart w:id="26" w:name="_Toc215833489"/>
      <w:r w:rsidRPr="005A5F76">
        <w:t>Ethical Concerns within the Cobalt Supply Chain Study</w:t>
      </w:r>
      <w:bookmarkEnd w:id="26"/>
    </w:p>
    <w:p w14:paraId="69E5F57E" w14:textId="54ED5918" w:rsidR="00DB1CD2" w:rsidRDefault="00335CE3" w:rsidP="00BD6039">
      <w:pPr>
        <w:pStyle w:val="Heading2"/>
      </w:pPr>
      <w:bookmarkStart w:id="27" w:name="_Toc215833490"/>
      <w:r>
        <w:t xml:space="preserve">6.1 </w:t>
      </w:r>
      <w:r w:rsidR="00BD6039" w:rsidRPr="00BD6039">
        <w:t>Rights of humanity</w:t>
      </w:r>
      <w:bookmarkEnd w:id="27"/>
    </w:p>
    <w:p w14:paraId="393B5550" w14:textId="1FDD5695" w:rsidR="007811E7" w:rsidRDefault="00725AFF" w:rsidP="009A10D0">
      <w:pPr>
        <w:spacing w:line="360" w:lineRule="auto"/>
        <w:rPr>
          <w:rFonts w:ascii="Arial" w:hAnsi="Arial" w:cs="Arial"/>
        </w:rPr>
      </w:pPr>
      <w:r w:rsidRPr="00725AFF">
        <w:rPr>
          <w:rFonts w:ascii="Arial" w:hAnsi="Arial" w:cs="Arial"/>
        </w:rPr>
        <w:t xml:space="preserve">Human rights violations in ASM are extensively reported and encompass an abundance of grave issues, among them exposure to hazardous working conditions, child labour, and the absence of necessary protective equipment (Sovacool, 2019; Gatsinzi, 2020; Mancini et al., 2021). Such conditions not only endanger the health and safety of </w:t>
      </w:r>
      <w:r w:rsidR="00AC254D" w:rsidRPr="00725AFF">
        <w:rPr>
          <w:rFonts w:ascii="Arial" w:hAnsi="Arial" w:cs="Arial"/>
        </w:rPr>
        <w:t>employees but</w:t>
      </w:r>
      <w:r w:rsidRPr="00725AFF">
        <w:rPr>
          <w:rFonts w:ascii="Arial" w:hAnsi="Arial" w:cs="Arial"/>
        </w:rPr>
        <w:t xml:space="preserve"> </w:t>
      </w:r>
      <w:r w:rsidR="007811E7">
        <w:rPr>
          <w:rFonts w:ascii="Arial" w:hAnsi="Arial" w:cs="Arial"/>
        </w:rPr>
        <w:t>also</w:t>
      </w:r>
      <w:r w:rsidRPr="00725AFF">
        <w:rPr>
          <w:rFonts w:ascii="Arial" w:hAnsi="Arial" w:cs="Arial"/>
        </w:rPr>
        <w:t xml:space="preserve"> expose the systemic failures in regulatory control. </w:t>
      </w:r>
      <w:r w:rsidR="00C21396" w:rsidRPr="00C21396">
        <w:rPr>
          <w:rFonts w:ascii="Arial" w:hAnsi="Arial" w:cs="Arial"/>
        </w:rPr>
        <w:t xml:space="preserve">To address these pressing concerns, </w:t>
      </w:r>
      <w:r w:rsidR="00C21396" w:rsidRPr="00C21396">
        <w:rPr>
          <w:rFonts w:ascii="Arial" w:hAnsi="Arial" w:cs="Arial"/>
        </w:rPr>
        <w:lastRenderedPageBreak/>
        <w:t xml:space="preserve">ethical investigation initiatives need to focus on harm reduction techniques and the protection of human rights. This is critically imperative, given the empirical evidence indicating considerable health risks associated with toxic exposure from mining operations, which exposes ASM as a profound public health emergency (Sovacool, 2019; Mancini et al., 2021; Gatsinzi, 2020; Van Brusselen et al., 2020). </w:t>
      </w:r>
    </w:p>
    <w:p w14:paraId="045AC9AC" w14:textId="777E0965" w:rsidR="005A23C9" w:rsidRDefault="00C21396" w:rsidP="009A10D0">
      <w:pPr>
        <w:spacing w:line="360" w:lineRule="auto"/>
        <w:rPr>
          <w:rFonts w:ascii="Arial" w:hAnsi="Arial" w:cs="Arial"/>
        </w:rPr>
      </w:pPr>
      <w:r w:rsidRPr="00C21396">
        <w:rPr>
          <w:rFonts w:ascii="Arial" w:hAnsi="Arial" w:cs="Arial"/>
        </w:rPr>
        <w:t>Research investigations have indicated that individuals who participate in ASM consistently face elevated risks of respiratory illnesses, fertility issues, foetal damage, birth defects, skin diseases, and detrimental medical complications as a consequence of being exposed to hazardous substances, particularly lead and the metal mercury (Sovacool, 2019; Mancini et al., 2021; Gatsinzi, 2020; Van Brusselen et al., 2020).</w:t>
      </w:r>
      <w:r w:rsidR="007811E7">
        <w:rPr>
          <w:rFonts w:ascii="Arial" w:hAnsi="Arial" w:cs="Arial"/>
        </w:rPr>
        <w:t xml:space="preserve"> </w:t>
      </w:r>
      <w:r w:rsidR="00981AFE" w:rsidRPr="00981AFE">
        <w:rPr>
          <w:rFonts w:ascii="Arial" w:hAnsi="Arial" w:cs="Arial"/>
        </w:rPr>
        <w:t>By framing ASM within this framework, scholars and policymakers can more effectively advocate for comprehensive interventions that not only safeguard workers' rights but also promote sustainable practices that alleviate the adverse health impacts associated with the industry.</w:t>
      </w:r>
    </w:p>
    <w:p w14:paraId="095C695D" w14:textId="6E622FE9" w:rsidR="00F7488C" w:rsidRPr="00F7488C" w:rsidRDefault="00F7488C" w:rsidP="00F7488C">
      <w:pPr>
        <w:pStyle w:val="Heading2"/>
      </w:pPr>
      <w:bookmarkStart w:id="28" w:name="_Toc215833491"/>
      <w:r>
        <w:t xml:space="preserve">6.2 </w:t>
      </w:r>
      <w:r w:rsidRPr="00F7488C">
        <w:t>Living Standards and Equal Justice</w:t>
      </w:r>
      <w:bookmarkEnd w:id="28"/>
    </w:p>
    <w:p w14:paraId="6DB1FA2B" w14:textId="77777777" w:rsidR="009C60E4" w:rsidRDefault="008A022B" w:rsidP="009A10D0">
      <w:pPr>
        <w:spacing w:line="360" w:lineRule="auto"/>
        <w:rPr>
          <w:rFonts w:ascii="Arial" w:hAnsi="Arial" w:cs="Arial"/>
        </w:rPr>
      </w:pPr>
      <w:r w:rsidRPr="008A022B">
        <w:rPr>
          <w:rFonts w:ascii="Arial" w:hAnsi="Arial" w:cs="Arial"/>
        </w:rPr>
        <w:t xml:space="preserve">A significant ethical consideration in responsible sourcing initiatives is how to approach ASM effectively. Excluding ASM is a potential strategy to reduce reputational concerns; however, this may inadvertently deepen poverty for individuals working within this sector (Arvidsson et al., 2025; Hilson et al., 2021, 2022; Calvão et al., 2021a; Sovacool, 2019; Dodoo et al., 2023; Mancini et al., 2021). </w:t>
      </w:r>
    </w:p>
    <w:p w14:paraId="256D6DDF" w14:textId="26F7061B" w:rsidR="00981AFE" w:rsidRDefault="008A022B" w:rsidP="009A10D0">
      <w:pPr>
        <w:spacing w:line="360" w:lineRule="auto"/>
        <w:rPr>
          <w:rFonts w:ascii="Arial" w:hAnsi="Arial" w:cs="Arial"/>
        </w:rPr>
      </w:pPr>
      <w:r w:rsidRPr="008A022B">
        <w:rPr>
          <w:rFonts w:ascii="Arial" w:hAnsi="Arial" w:cs="Arial"/>
        </w:rPr>
        <w:t>Alternatively, including ASM through formalisation can be consistent with the principles of distributive justice, creating opportunities for beneficial change. However, this approach necessitates thoughtful investments in governance and safety to guarantee that all parties benefit (Hilson et al., 2022; Arvidsson et al., 2025). Balancing these considerations can result in more sustainable and equitable solutions throughout the mining industry.</w:t>
      </w:r>
    </w:p>
    <w:p w14:paraId="15EE0056" w14:textId="15AE0CCE" w:rsidR="00A02285" w:rsidRPr="00A02285" w:rsidRDefault="00A02285" w:rsidP="00A02285">
      <w:pPr>
        <w:pStyle w:val="Heading2"/>
      </w:pPr>
      <w:bookmarkStart w:id="29" w:name="_Toc215833492"/>
      <w:r>
        <w:t xml:space="preserve">6.3 </w:t>
      </w:r>
      <w:r w:rsidRPr="00A02285">
        <w:t>Accountability and Transparency</w:t>
      </w:r>
      <w:bookmarkEnd w:id="29"/>
    </w:p>
    <w:p w14:paraId="155A9134" w14:textId="5DBA22C4" w:rsidR="008A022B" w:rsidRDefault="005538A3" w:rsidP="009A10D0">
      <w:pPr>
        <w:spacing w:line="360" w:lineRule="auto"/>
        <w:rPr>
          <w:rFonts w:ascii="Arial" w:hAnsi="Arial" w:cs="Arial"/>
        </w:rPr>
      </w:pPr>
      <w:r w:rsidRPr="005538A3">
        <w:rPr>
          <w:rFonts w:ascii="Arial" w:hAnsi="Arial" w:cs="Arial"/>
        </w:rPr>
        <w:t xml:space="preserve">Transparency in corporate reporting and independent verification procedures serves as crucial for ethical accountability. Blockchain technology, which presents promising solutions for achieving traceability in supply chains and financial transactions, confronts considerable socio-political obstacles which can prevent its widespread acceptance (Onuma, 2025; Mugurusi and Ahishakiye, 2022). Therefore, ethical studies must critically examine whether </w:t>
      </w:r>
      <w:r w:rsidRPr="005538A3">
        <w:rPr>
          <w:rFonts w:ascii="Arial" w:hAnsi="Arial" w:cs="Arial"/>
        </w:rPr>
        <w:lastRenderedPageBreak/>
        <w:t>these technological advancements genuinely promote equitable development and empower marginalised populations, or whether they primarily serve to bolster corporate reputations without alleviating underlying social challenges. This examination is crucial for recognising the multifaceted implications of technological innovations in promoting ethical conduct within companies and society at large.</w:t>
      </w:r>
    </w:p>
    <w:p w14:paraId="1C22BE9F" w14:textId="03E0B6D6" w:rsidR="00322DA6" w:rsidRPr="00322DA6" w:rsidRDefault="00322DA6" w:rsidP="00322DA6">
      <w:pPr>
        <w:pStyle w:val="Heading2"/>
      </w:pPr>
      <w:bookmarkStart w:id="30" w:name="_Toc215833493"/>
      <w:r>
        <w:t xml:space="preserve">6.4 </w:t>
      </w:r>
      <w:r w:rsidRPr="00322DA6">
        <w:t>Inequality Globally</w:t>
      </w:r>
      <w:bookmarkEnd w:id="30"/>
    </w:p>
    <w:p w14:paraId="05B9BBCA" w14:textId="68ECBB52" w:rsidR="005538A3" w:rsidRDefault="00CA0779" w:rsidP="009A10D0">
      <w:pPr>
        <w:spacing w:line="360" w:lineRule="auto"/>
        <w:rPr>
          <w:rFonts w:ascii="Arial" w:hAnsi="Arial" w:cs="Arial"/>
        </w:rPr>
      </w:pPr>
      <w:r w:rsidRPr="00CA0779">
        <w:rPr>
          <w:rFonts w:ascii="Arial" w:hAnsi="Arial" w:cs="Arial"/>
        </w:rPr>
        <w:t xml:space="preserve">Cobalt supply chains demonstrate profound international disparities: while downstream organisations, for instance, battery manufacturers and producers of electronic devices, reap immense profits due to the low-cost extraction of cobalt, local communities, typically located within mining regions, especially throughout the </w:t>
      </w:r>
      <w:r>
        <w:rPr>
          <w:rFonts w:ascii="Arial" w:hAnsi="Arial" w:cs="Arial"/>
        </w:rPr>
        <w:t>DRC</w:t>
      </w:r>
      <w:r w:rsidRPr="00CA0779">
        <w:rPr>
          <w:rFonts w:ascii="Arial" w:hAnsi="Arial" w:cs="Arial"/>
        </w:rPr>
        <w:t xml:space="preserve">, commonly confront severe social challenges and environmental degradation associated with mining operations. Some of the difficulties include poor working conditions, water and soil contamination, and inadequate access to essential amenities (Mancini et al., 2021; Schwartz et al., 2020; Calvão et al., 2021b; Jones et al.,2022; Muimba-Kankolongo et al., 2021). </w:t>
      </w:r>
    </w:p>
    <w:p w14:paraId="16CB952C" w14:textId="66E3D7E1" w:rsidR="005A23C9" w:rsidRDefault="00993F62" w:rsidP="009A10D0">
      <w:pPr>
        <w:spacing w:line="360" w:lineRule="auto"/>
        <w:rPr>
          <w:rFonts w:ascii="Arial" w:hAnsi="Arial" w:cs="Arial"/>
        </w:rPr>
      </w:pPr>
      <w:r w:rsidRPr="00993F62">
        <w:rPr>
          <w:rFonts w:ascii="Arial" w:hAnsi="Arial" w:cs="Arial"/>
        </w:rPr>
        <w:t>To establish ethical business conduct and guarantee an equitable allocation of resources, it is crucial to establish comprehensive redistributive procedures. These initiatives could strengthen mining communities by providing them with a percentage of the revenue generated from cobalt extraction, in addition to investing in regional infrastructure, healthcare services and education. Through initiatives such as this, these corporations can foster a more equitable and sustainable future for all stakeholders concerned, enabling local communities to share in the economic benefits while mitigating the adverse effects of mining operations.</w:t>
      </w:r>
    </w:p>
    <w:p w14:paraId="4D5B8B86" w14:textId="125C0914" w:rsidR="00993F62" w:rsidRPr="00F353DD" w:rsidRDefault="00F353DD" w:rsidP="00F353DD">
      <w:pPr>
        <w:pStyle w:val="Heading2"/>
      </w:pPr>
      <w:bookmarkStart w:id="31" w:name="_Toc215833494"/>
      <w:r w:rsidRPr="00F353DD">
        <w:t>An Evaluation of Subsections 4 to 6</w:t>
      </w:r>
      <w:bookmarkEnd w:id="31"/>
    </w:p>
    <w:p w14:paraId="2468880C" w14:textId="5533553C" w:rsidR="00C426EC" w:rsidRDefault="008327B9" w:rsidP="009A10D0">
      <w:pPr>
        <w:spacing w:line="360" w:lineRule="auto"/>
        <w:rPr>
          <w:rFonts w:ascii="Arial" w:hAnsi="Arial" w:cs="Arial"/>
        </w:rPr>
      </w:pPr>
      <w:r w:rsidRPr="008327B9">
        <w:rPr>
          <w:rFonts w:ascii="Arial" w:hAnsi="Arial" w:cs="Arial"/>
        </w:rPr>
        <w:t xml:space="preserve">Academic studies present a valuable opportunity for advancement across various philosophical dimensions. </w:t>
      </w:r>
      <w:r w:rsidR="006F59A5">
        <w:rPr>
          <w:rFonts w:ascii="Arial" w:hAnsi="Arial" w:cs="Arial"/>
        </w:rPr>
        <w:t>Starting from an epistemological perspective</w:t>
      </w:r>
      <w:r w:rsidRPr="008327B9">
        <w:rPr>
          <w:rFonts w:ascii="Arial" w:hAnsi="Arial" w:cs="Arial"/>
        </w:rPr>
        <w:t xml:space="preserve">, addressing issues related to construct ambiguity, which can lead to misinterpretations of findings and evidence bias, which distorts the perception of results, is crucial. Resolving these issues can improve the ability to compare empirical results between studies, resulting in more effective and </w:t>
      </w:r>
      <w:r w:rsidR="00767AAF">
        <w:rPr>
          <w:rFonts w:ascii="Arial" w:hAnsi="Arial" w:cs="Arial"/>
        </w:rPr>
        <w:t xml:space="preserve">nuanced </w:t>
      </w:r>
      <w:r w:rsidRPr="008327B9">
        <w:rPr>
          <w:rFonts w:ascii="Arial" w:hAnsi="Arial" w:cs="Arial"/>
        </w:rPr>
        <w:t>causal conclusions.</w:t>
      </w:r>
      <w:r w:rsidR="0029139A">
        <w:rPr>
          <w:rFonts w:ascii="Arial" w:hAnsi="Arial" w:cs="Arial"/>
        </w:rPr>
        <w:t xml:space="preserve"> </w:t>
      </w:r>
      <w:r w:rsidR="0029139A" w:rsidRPr="0029139A">
        <w:rPr>
          <w:rFonts w:ascii="Arial" w:hAnsi="Arial" w:cs="Arial"/>
        </w:rPr>
        <w:t xml:space="preserve">From an ontological perspective, transcending simplistic binary classifications enables a deeper examination of the intricate realities that define the </w:t>
      </w:r>
      <w:r w:rsidR="0029139A" w:rsidRPr="0029139A">
        <w:rPr>
          <w:rFonts w:ascii="Arial" w:hAnsi="Arial" w:cs="Arial"/>
        </w:rPr>
        <w:lastRenderedPageBreak/>
        <w:t>interactions among ASM, LSM, and the larger socio-technical networks in which they operate. This understanding encourages a deeper comprehension of how these entities interact and the socio-economic landscapes they inhabit.</w:t>
      </w:r>
    </w:p>
    <w:p w14:paraId="310B6421" w14:textId="270F1AD0" w:rsidR="000408BC" w:rsidRDefault="000408BC" w:rsidP="009A10D0">
      <w:pPr>
        <w:spacing w:line="360" w:lineRule="auto"/>
        <w:rPr>
          <w:rFonts w:ascii="Arial" w:hAnsi="Arial" w:cs="Arial"/>
        </w:rPr>
      </w:pPr>
      <w:r w:rsidRPr="000408BC">
        <w:rPr>
          <w:rFonts w:ascii="Arial" w:hAnsi="Arial" w:cs="Arial"/>
        </w:rPr>
        <w:t xml:space="preserve">Ethically, the advancement of responsible sourcing initiatives requires a thoughtful approach to striking a balance between inclusion and exclusion, as well as between practicality and transparency. Achieving this balance is crucial for addressing the complexities of global sustainability while simultaneously advocating for local justice. Effective responsible sourcing initiatives must not only articulate global objectives but additionally consider the </w:t>
      </w:r>
      <w:r w:rsidR="008957A2" w:rsidRPr="000408BC">
        <w:rPr>
          <w:rFonts w:ascii="Arial" w:hAnsi="Arial" w:cs="Arial"/>
        </w:rPr>
        <w:t>exact</w:t>
      </w:r>
      <w:r w:rsidR="008957A2">
        <w:rPr>
          <w:rFonts w:ascii="Arial" w:hAnsi="Arial" w:cs="Arial"/>
        </w:rPr>
        <w:t xml:space="preserve"> </w:t>
      </w:r>
      <w:r w:rsidRPr="000408BC">
        <w:rPr>
          <w:rFonts w:ascii="Arial" w:hAnsi="Arial" w:cs="Arial"/>
        </w:rPr>
        <w:t>requirements and rights of local communities impacted by mining operations.</w:t>
      </w:r>
    </w:p>
    <w:p w14:paraId="77B9F84B" w14:textId="16903F03" w:rsidR="00D30A43" w:rsidRDefault="00D30A43" w:rsidP="009A10D0">
      <w:pPr>
        <w:spacing w:line="360" w:lineRule="auto"/>
        <w:rPr>
          <w:rFonts w:ascii="Arial" w:hAnsi="Arial" w:cs="Arial"/>
        </w:rPr>
      </w:pPr>
      <w:r w:rsidRPr="00D30A43">
        <w:rPr>
          <w:rFonts w:ascii="Arial" w:hAnsi="Arial" w:cs="Arial"/>
        </w:rPr>
        <w:t xml:space="preserve">By embracing critical realist paradigms that incorporate rigorous empirical methodologies with a dedication to ethical reflexivity, future studies within this subject can make significant contributions. These contributions will not only strengthen theoretical knowledge but also lead to real-world applications that positively affect both industry practices and the communities impacted by them. Ultimately, this </w:t>
      </w:r>
      <w:r w:rsidR="008957A2" w:rsidRPr="00D30A43">
        <w:rPr>
          <w:rFonts w:ascii="Arial" w:hAnsi="Arial" w:cs="Arial"/>
        </w:rPr>
        <w:t>specific</w:t>
      </w:r>
      <w:r w:rsidRPr="00D30A43">
        <w:rPr>
          <w:rFonts w:ascii="Arial" w:hAnsi="Arial" w:cs="Arial"/>
        </w:rPr>
        <w:t xml:space="preserve"> form of integrated strategy will pave the way for more equitable and sustainable mining </w:t>
      </w:r>
      <w:r w:rsidR="00B663A1">
        <w:rPr>
          <w:rFonts w:ascii="Arial" w:hAnsi="Arial" w:cs="Arial"/>
        </w:rPr>
        <w:t>operation</w:t>
      </w:r>
      <w:r w:rsidRPr="00D30A43">
        <w:rPr>
          <w:rFonts w:ascii="Arial" w:hAnsi="Arial" w:cs="Arial"/>
        </w:rPr>
        <w:t xml:space="preserve">s </w:t>
      </w:r>
      <w:r>
        <w:rPr>
          <w:rFonts w:ascii="Arial" w:hAnsi="Arial" w:cs="Arial"/>
        </w:rPr>
        <w:t>worldwide</w:t>
      </w:r>
      <w:r w:rsidRPr="00D30A43">
        <w:rPr>
          <w:rFonts w:ascii="Arial" w:hAnsi="Arial" w:cs="Arial"/>
        </w:rPr>
        <w:t>.</w:t>
      </w:r>
    </w:p>
    <w:p w14:paraId="7FF79ED8" w14:textId="4095106E" w:rsidR="004B4135" w:rsidRPr="009A1C60" w:rsidRDefault="00F80164" w:rsidP="005D2FDA">
      <w:pPr>
        <w:pStyle w:val="Heading1"/>
        <w:numPr>
          <w:ilvl w:val="0"/>
          <w:numId w:val="2"/>
        </w:numPr>
      </w:pPr>
      <w:bookmarkStart w:id="32" w:name="_Toc215833495"/>
      <w:r w:rsidRPr="009A1C60">
        <w:t xml:space="preserve">Critical Discussion of </w:t>
      </w:r>
      <w:r w:rsidR="009A1C60" w:rsidRPr="009A1C60">
        <w:t>the Article “</w:t>
      </w:r>
      <w:r w:rsidRPr="009A1C60">
        <w:t>Cobalt Mining and the Corporate Outsourcing of Responsibility in the Democratic Republic of Congo</w:t>
      </w:r>
      <w:r w:rsidR="009A1C60" w:rsidRPr="009A1C60">
        <w:t xml:space="preserve">” </w:t>
      </w:r>
      <w:r w:rsidR="009A1C60" w:rsidRPr="009A1C60">
        <w:t>by Calvão, McDonald, and Bolay 2021</w:t>
      </w:r>
      <w:bookmarkEnd w:id="32"/>
    </w:p>
    <w:p w14:paraId="53508425" w14:textId="7C3BF993" w:rsidR="00AE47ED" w:rsidRDefault="0036348F" w:rsidP="009A10D0">
      <w:pPr>
        <w:spacing w:line="360" w:lineRule="auto"/>
        <w:rPr>
          <w:rFonts w:ascii="Arial" w:hAnsi="Arial" w:cs="Arial"/>
        </w:rPr>
      </w:pPr>
      <w:r w:rsidRPr="0036348F">
        <w:rPr>
          <w:rFonts w:ascii="Arial" w:hAnsi="Arial" w:cs="Arial"/>
        </w:rPr>
        <w:t xml:space="preserve">The research article by Calvão, McDonald, and Bolay (2021a) provides profound insights into how multinational companies' participation in cobalt extraction within the DRC can significantly improve their management of obligations pertaining to human rights, sustainability practices and labour conditions. The authors emphasise that while corporate social responsibility (CSR) frameworks are well-intentioned, they often relegate accountability to external stakeholders, including </w:t>
      </w:r>
      <w:r w:rsidRPr="005E0629">
        <w:rPr>
          <w:rFonts w:ascii="Arial" w:hAnsi="Arial" w:cs="Arial"/>
        </w:rPr>
        <w:t>NGOs</w:t>
      </w:r>
      <w:r w:rsidRPr="0036348F">
        <w:rPr>
          <w:rFonts w:ascii="Arial" w:hAnsi="Arial" w:cs="Arial"/>
        </w:rPr>
        <w:t>, local cooperatives, and governmental authorities, rather than confronting the underlying causes of structural exploitation within their operations.</w:t>
      </w:r>
    </w:p>
    <w:p w14:paraId="0AF4F409" w14:textId="77777777" w:rsidR="00980CA6" w:rsidRDefault="00AE47ED" w:rsidP="009A10D0">
      <w:pPr>
        <w:spacing w:line="360" w:lineRule="auto"/>
        <w:rPr>
          <w:rFonts w:ascii="Arial" w:hAnsi="Arial" w:cs="Arial"/>
        </w:rPr>
      </w:pPr>
      <w:r w:rsidRPr="00AE47ED">
        <w:rPr>
          <w:rFonts w:ascii="Arial" w:hAnsi="Arial" w:cs="Arial"/>
        </w:rPr>
        <w:lastRenderedPageBreak/>
        <w:t>By highlighting the pitfalls of this approach, the authors contend that corporations have a vital opportunity to critically reassess their strategic frameworks. This re-evaluation could result in the adoption of more straightforward, inclusive, and effective policies that reduce risks and ensure responsible sourcing practices throughout their supply chains. For instance, companies could implement rigorous auditing procedures, establish direct relationships with local communities, and invest in capacity-building initiatives that empower vulnerable populations.</w:t>
      </w:r>
      <w:r w:rsidR="00980CA6">
        <w:rPr>
          <w:rFonts w:ascii="Arial" w:hAnsi="Arial" w:cs="Arial"/>
        </w:rPr>
        <w:t xml:space="preserve"> </w:t>
      </w:r>
    </w:p>
    <w:p w14:paraId="7783A5DD" w14:textId="38E86066" w:rsidR="0029139A" w:rsidRDefault="00980CA6" w:rsidP="009A10D0">
      <w:pPr>
        <w:spacing w:line="360" w:lineRule="auto"/>
        <w:rPr>
          <w:rFonts w:ascii="Arial" w:hAnsi="Arial" w:cs="Arial"/>
        </w:rPr>
      </w:pPr>
      <w:r w:rsidRPr="00980CA6">
        <w:rPr>
          <w:rFonts w:ascii="Arial" w:hAnsi="Arial" w:cs="Arial"/>
        </w:rPr>
        <w:t>Ultimately, by taking a more proactive stance and addressing human rights and labour issues head-on, these corporations can not only mitigate potential risks but also promote a more equitable and sustainable cobalt industry that benefits all stakeholders involved. This all-encompassing approach promises not only to improve corporate accountability but also to contribute to the long-term sustainability of the industry and the welfare of those affected by it.</w:t>
      </w:r>
    </w:p>
    <w:p w14:paraId="6658ECAA" w14:textId="50EB2D59" w:rsidR="00ED3A52" w:rsidRPr="00ED3A52" w:rsidRDefault="00ED3A52" w:rsidP="00ED3A52">
      <w:pPr>
        <w:pStyle w:val="Heading2"/>
      </w:pPr>
      <w:bookmarkStart w:id="33" w:name="_Toc215833496"/>
      <w:r>
        <w:t xml:space="preserve">7.1 </w:t>
      </w:r>
      <w:r w:rsidRPr="00ED3A52">
        <w:t>Philosophy of Research</w:t>
      </w:r>
      <w:bookmarkEnd w:id="33"/>
    </w:p>
    <w:p w14:paraId="188D0D1A" w14:textId="2D13CEFF" w:rsidR="00D80D05" w:rsidRPr="00D80D05" w:rsidRDefault="00D80D05" w:rsidP="00D80D05">
      <w:pPr>
        <w:pStyle w:val="Heading3"/>
      </w:pPr>
      <w:bookmarkStart w:id="34" w:name="_Toc215833497"/>
      <w:r>
        <w:t xml:space="preserve">7.2 </w:t>
      </w:r>
      <w:r w:rsidRPr="00D80D05">
        <w:t>Orientation to Paradigms</w:t>
      </w:r>
      <w:bookmarkEnd w:id="34"/>
    </w:p>
    <w:p w14:paraId="7BC77665" w14:textId="3E5B1FE6" w:rsidR="00980CA6" w:rsidRDefault="00FF0D12" w:rsidP="009A10D0">
      <w:pPr>
        <w:spacing w:line="360" w:lineRule="auto"/>
        <w:rPr>
          <w:rFonts w:ascii="Arial" w:hAnsi="Arial" w:cs="Arial"/>
        </w:rPr>
      </w:pPr>
      <w:r w:rsidRPr="00FF0D12">
        <w:rPr>
          <w:rFonts w:ascii="Arial" w:hAnsi="Arial" w:cs="Arial"/>
        </w:rPr>
        <w:t>The study adopts a critical realist perspective, emphasising the complicated realities of cobalt mining, which include child labour, hazardous working conditions, and environmental degradation. Importantly, it further recognises that these issues are determined by social factors such as global demand, governance structures and corporate practices. By embracing a critical realism paradigm, these authors can effectively investigate the causal mechanisms at work, such as the outsourcing of responsibility. This method enables a deeper understanding of the socially constructed nature of CSR discourse, paving the way for potential solutions and improvements within the sector.</w:t>
      </w:r>
    </w:p>
    <w:p w14:paraId="0DBEC8F7" w14:textId="16EC39BA" w:rsidR="0070539C" w:rsidRDefault="0070539C" w:rsidP="0070539C">
      <w:pPr>
        <w:pStyle w:val="Heading3"/>
      </w:pPr>
      <w:bookmarkStart w:id="35" w:name="_Toc215833498"/>
      <w:r>
        <w:t>7.3 Epistemology</w:t>
      </w:r>
      <w:bookmarkEnd w:id="35"/>
      <w:r>
        <w:t xml:space="preserve"> </w:t>
      </w:r>
    </w:p>
    <w:p w14:paraId="75F9063A" w14:textId="175756EC" w:rsidR="00FF0D12" w:rsidRDefault="0029455D" w:rsidP="009A10D0">
      <w:pPr>
        <w:spacing w:line="360" w:lineRule="auto"/>
        <w:rPr>
          <w:rFonts w:ascii="Arial" w:hAnsi="Arial" w:cs="Arial"/>
        </w:rPr>
      </w:pPr>
      <w:r w:rsidRPr="0029455D">
        <w:rPr>
          <w:rFonts w:ascii="Arial" w:hAnsi="Arial" w:cs="Arial"/>
        </w:rPr>
        <w:t xml:space="preserve">Epistemologically, the article employs a range of qualitative methods, including ethnographic field research and in-depth interviews with a diverse array of stakeholders, including miners, officials from NGOs, and corporate representatives. Additionally, it undertakes a thorough analysis of pertinent policy documents. By immersing deeply into the intricate mining environment of the DRC, the research reveals invaluable local perspectives that are frequently disregarded in typical company reports. This methodological strategy serves as a </w:t>
      </w:r>
      <w:r w:rsidRPr="0029455D">
        <w:rPr>
          <w:rFonts w:ascii="Arial" w:hAnsi="Arial" w:cs="Arial"/>
        </w:rPr>
        <w:lastRenderedPageBreak/>
        <w:t>constructive critique of positivist research paradigms, which tend to prioritise quantitative indicators, including compliance scores and injury rates. In doing so, it promotes a richer and more nuanced understanding of the socio-economic and cultural dynamics within the mining industry, fostering a more holistic view of the challenges experienced by the local communities.</w:t>
      </w:r>
    </w:p>
    <w:p w14:paraId="5A26C7FA" w14:textId="431EE6AB" w:rsidR="0029455D" w:rsidRDefault="00393EDC" w:rsidP="00393EDC">
      <w:pPr>
        <w:pStyle w:val="Heading3"/>
      </w:pPr>
      <w:bookmarkStart w:id="36" w:name="_Toc215833499"/>
      <w:r>
        <w:t>7.4 Ontology</w:t>
      </w:r>
      <w:bookmarkEnd w:id="36"/>
      <w:r>
        <w:t xml:space="preserve"> </w:t>
      </w:r>
    </w:p>
    <w:p w14:paraId="17E0B72A" w14:textId="3DCE995F" w:rsidR="00980CA6" w:rsidRDefault="00BF2AB5" w:rsidP="00DF4513">
      <w:pPr>
        <w:spacing w:line="360" w:lineRule="auto"/>
        <w:rPr>
          <w:rFonts w:ascii="Arial" w:hAnsi="Arial" w:cs="Arial"/>
        </w:rPr>
      </w:pPr>
      <w:r w:rsidRPr="00BF2AB5">
        <w:rPr>
          <w:rFonts w:ascii="Arial" w:hAnsi="Arial" w:cs="Arial"/>
        </w:rPr>
        <w:t>From an ontological perspective, the article provides a comprehensive analysis of the complex interrelationship between artisanal and industrial mining, moving beyond superficial categorisations that commonly divide both these industries. It perceives the cobalt supply chain as a hybrid socio-technical system, in which ASM and LSM not only coexist but also interact in significant ways. This interaction cultivates a shared sense of responsibility among a diverse array of stakeholders, including miners, local communities, regulatory bodies and corporations.</w:t>
      </w:r>
      <w:r w:rsidR="007236EC" w:rsidRPr="00DF4513">
        <w:rPr>
          <w:rFonts w:ascii="Arial" w:hAnsi="Arial" w:cs="Arial"/>
        </w:rPr>
        <w:t xml:space="preserve"> </w:t>
      </w:r>
    </w:p>
    <w:p w14:paraId="4BD39DA6" w14:textId="66066627" w:rsidR="00A25769" w:rsidRPr="00DF4513" w:rsidRDefault="000D5264" w:rsidP="00DF4513">
      <w:pPr>
        <w:spacing w:line="360" w:lineRule="auto"/>
        <w:rPr>
          <w:rFonts w:ascii="Arial" w:hAnsi="Arial" w:cs="Arial"/>
        </w:rPr>
      </w:pPr>
      <w:r w:rsidRPr="000D5264">
        <w:rPr>
          <w:rFonts w:ascii="Arial" w:hAnsi="Arial" w:cs="Arial"/>
        </w:rPr>
        <w:t>By highlighting the multifaceted nature of accountability within this framework, the study underscores the need for governance structures that are both adaptive and responsive. Effective governance must consider the complexities and realities of these intersecting mining practices, acknowledging that traditional regulatory approaches may fall short in addressing the unique challenges posed by the interplay between ASM and LSM. In doing so, the research advocates for innovative strategies that promote sustainable practices while ensuring equitable opportunities for all stakeholders in the cobalt supply chain.</w:t>
      </w:r>
    </w:p>
    <w:p w14:paraId="2CA89634" w14:textId="51CDA44F" w:rsidR="005A23C9" w:rsidRDefault="009A2159" w:rsidP="009A2159">
      <w:pPr>
        <w:pStyle w:val="Heading3"/>
      </w:pPr>
      <w:bookmarkStart w:id="37" w:name="_Toc215833500"/>
      <w:r>
        <w:t xml:space="preserve">7.5 </w:t>
      </w:r>
      <w:r w:rsidR="00396878">
        <w:t>Ethical Dimensions</w:t>
      </w:r>
      <w:bookmarkEnd w:id="37"/>
    </w:p>
    <w:p w14:paraId="022CE76E" w14:textId="08E1CC52" w:rsidR="00BE70F8" w:rsidRDefault="004D3D60" w:rsidP="004D3D60">
      <w:pPr>
        <w:pStyle w:val="Heading3"/>
      </w:pPr>
      <w:bookmarkStart w:id="38" w:name="_Toc215833501"/>
      <w:r>
        <w:t>Ethical Reflexivity</w:t>
      </w:r>
      <w:bookmarkEnd w:id="38"/>
      <w:r>
        <w:t xml:space="preserve"> </w:t>
      </w:r>
    </w:p>
    <w:p w14:paraId="682505A3" w14:textId="35892094" w:rsidR="009A2159" w:rsidRDefault="00E65C8D" w:rsidP="009A10D0">
      <w:pPr>
        <w:spacing w:line="360" w:lineRule="auto"/>
        <w:rPr>
          <w:rFonts w:ascii="Arial" w:hAnsi="Arial" w:cs="Arial"/>
        </w:rPr>
      </w:pPr>
      <w:r w:rsidRPr="00E65C8D">
        <w:rPr>
          <w:rFonts w:ascii="Arial" w:hAnsi="Arial" w:cs="Arial"/>
        </w:rPr>
        <w:t>These researchers demonstrate a notable level of ethical reflexivity through explicitly identifying their responsibility as researchers from outside of the DRC. They are acutely aware of the inherent power disparities involved in the production of knowledge, especially in contexts where local voices are frequently disregarded or misrepresented. In recognising these disparities, they take significant measures to ensure that the perspectives and experiences of miners are accurately recorded and represented in an authentic manner.</w:t>
      </w:r>
    </w:p>
    <w:p w14:paraId="011A2767" w14:textId="227CF59A" w:rsidR="00E65C8D" w:rsidRDefault="00053773" w:rsidP="009A10D0">
      <w:pPr>
        <w:spacing w:line="360" w:lineRule="auto"/>
        <w:rPr>
          <w:rFonts w:ascii="Arial" w:hAnsi="Arial" w:cs="Arial"/>
        </w:rPr>
      </w:pPr>
      <w:r w:rsidRPr="00053773">
        <w:rPr>
          <w:rFonts w:ascii="Arial" w:hAnsi="Arial" w:cs="Arial"/>
        </w:rPr>
        <w:t xml:space="preserve">Such dedication to reflexivity becomes especially invaluable in a research context where subjects may suffer vulnerability and marginalisation, as it promotes a deeper and more </w:t>
      </w:r>
      <w:r w:rsidRPr="00053773">
        <w:rPr>
          <w:rFonts w:ascii="Arial" w:hAnsi="Arial" w:cs="Arial"/>
        </w:rPr>
        <w:lastRenderedPageBreak/>
        <w:t>complex comprehension of their actual life experiences. The authors' methodology emphasises the crucial importance of collaboration and respect for local communities, ensuring that the insights obtained accurately reflect the realities of those directly affected by mineral extraction operations, rather than imposing external narratives that may not be consistent with their true experiences.</w:t>
      </w:r>
    </w:p>
    <w:p w14:paraId="29D4DAD1" w14:textId="7F332B3E" w:rsidR="00053773" w:rsidRDefault="000E65C9" w:rsidP="000E65C9">
      <w:pPr>
        <w:pStyle w:val="Heading3"/>
      </w:pPr>
      <w:bookmarkStart w:id="39" w:name="_Toc215833502"/>
      <w:r>
        <w:t>7.6 Justice and Human Rights</w:t>
      </w:r>
      <w:bookmarkEnd w:id="39"/>
    </w:p>
    <w:p w14:paraId="2AB4A4DF" w14:textId="6B0DA211" w:rsidR="00053773" w:rsidRDefault="00C02000" w:rsidP="009A10D0">
      <w:pPr>
        <w:spacing w:line="360" w:lineRule="auto"/>
        <w:rPr>
          <w:rFonts w:ascii="Arial" w:hAnsi="Arial" w:cs="Arial"/>
        </w:rPr>
      </w:pPr>
      <w:r w:rsidRPr="00C02000">
        <w:rPr>
          <w:rFonts w:ascii="Arial" w:hAnsi="Arial" w:cs="Arial"/>
        </w:rPr>
        <w:t xml:space="preserve">The paper highlights the urgent need to address human rights issues, including hazardous working conditions, child labour, and inadequate protective equipment, within the context of socioeconomic dynamics. It stresses the vital importance of implementing ethical frameworks that effectively balance the principles of reducing harm with the pursuit of distributive justice. </w:t>
      </w:r>
    </w:p>
    <w:p w14:paraId="56BD0D8C" w14:textId="141E268B" w:rsidR="009A2159" w:rsidRDefault="00FD545D" w:rsidP="009A10D0">
      <w:pPr>
        <w:spacing w:line="360" w:lineRule="auto"/>
        <w:rPr>
          <w:rFonts w:ascii="Arial" w:hAnsi="Arial" w:cs="Arial"/>
        </w:rPr>
      </w:pPr>
      <w:r w:rsidRPr="00FD545D">
        <w:rPr>
          <w:rFonts w:ascii="Arial" w:hAnsi="Arial" w:cs="Arial"/>
        </w:rPr>
        <w:t>Rather than discarding ASM from supply chains, an approach that might temporarily alleviate reputational concerns, implementing a more positive strategy is essential. This method should focus on the proper integration of ASM into the broader supply chain framework. Through achieving this, organisations may not only provide economic opportunities for vulnerable communities but also contribute to reducing poverty and promoting social justice. Such integration has the potential to create a more equitable and sustainable supply chain that benefits all stakeholders involved, ensuring that the rights and well-being of workers are prioritised in the process.</w:t>
      </w:r>
    </w:p>
    <w:p w14:paraId="57BF255D" w14:textId="3041E4FE" w:rsidR="009A2159" w:rsidRDefault="00FD545D" w:rsidP="0016090C">
      <w:pPr>
        <w:pStyle w:val="Heading3"/>
      </w:pPr>
      <w:bookmarkStart w:id="40" w:name="_Toc215833503"/>
      <w:r>
        <w:t>Corporate Ethics</w:t>
      </w:r>
      <w:bookmarkEnd w:id="40"/>
    </w:p>
    <w:p w14:paraId="7BCF3E62" w14:textId="70853F0B" w:rsidR="009A2159" w:rsidRDefault="00393C4D" w:rsidP="009A10D0">
      <w:pPr>
        <w:spacing w:line="360" w:lineRule="auto"/>
        <w:rPr>
          <w:rFonts w:ascii="Arial" w:hAnsi="Arial" w:cs="Arial"/>
        </w:rPr>
      </w:pPr>
      <w:r w:rsidRPr="00393C4D">
        <w:rPr>
          <w:rFonts w:ascii="Arial" w:hAnsi="Arial" w:cs="Arial"/>
        </w:rPr>
        <w:t>The study presents a comprehensive critique of corporate ethical structures, which primarily prioritise compliance with regulations and managing reputational risks. While outsourcing responsibilities to NGOs or cooperatives may initially appear to be a strategic and efficient approach, it frequently results in diminishing accountability among corporations. This practice can create a disconnect between companies and their ethical responsibilities, particularly towards vulnerable populations who may be adversely affected by corporate actions.</w:t>
      </w:r>
    </w:p>
    <w:p w14:paraId="78924DD0" w14:textId="059708B4" w:rsidR="00292E25" w:rsidRDefault="00292E25" w:rsidP="009A10D0">
      <w:pPr>
        <w:spacing w:line="360" w:lineRule="auto"/>
        <w:rPr>
          <w:rFonts w:ascii="Arial" w:hAnsi="Arial" w:cs="Arial"/>
        </w:rPr>
      </w:pPr>
      <w:r w:rsidRPr="00292E25">
        <w:rPr>
          <w:rFonts w:ascii="Arial" w:hAnsi="Arial" w:cs="Arial"/>
        </w:rPr>
        <w:t xml:space="preserve">Consequently, there is a pressing need for a more comprehensive and balanced approach to corporate responsibility, one that ensures that these vulnerable individuals and communities receive adequate support and protection in matters of risk management. By implementing </w:t>
      </w:r>
      <w:r w:rsidRPr="00292E25">
        <w:rPr>
          <w:rFonts w:ascii="Arial" w:hAnsi="Arial" w:cs="Arial"/>
        </w:rPr>
        <w:lastRenderedPageBreak/>
        <w:t xml:space="preserve">deeper collaboration with community stakeholders and improving transparency systems, companies can significantly strengthen their ethical frameworks. Such an approach not only promotes corporate accountability but also contributes to a more just and equitable environment for all stakeholders involved, ultimately benefiting </w:t>
      </w:r>
      <w:proofErr w:type="gramStart"/>
      <w:r w:rsidRPr="00292E25">
        <w:rPr>
          <w:rFonts w:ascii="Arial" w:hAnsi="Arial" w:cs="Arial"/>
        </w:rPr>
        <w:t>society as a whole</w:t>
      </w:r>
      <w:proofErr w:type="gramEnd"/>
      <w:r w:rsidRPr="00292E25">
        <w:rPr>
          <w:rFonts w:ascii="Arial" w:hAnsi="Arial" w:cs="Arial"/>
        </w:rPr>
        <w:t>.</w:t>
      </w:r>
    </w:p>
    <w:p w14:paraId="1A9A9053" w14:textId="209F5551" w:rsidR="00FD545D" w:rsidRDefault="00950154" w:rsidP="00950154">
      <w:pPr>
        <w:pStyle w:val="Heading3"/>
      </w:pPr>
      <w:bookmarkStart w:id="41" w:name="_Toc215833504"/>
      <w:r>
        <w:t>Global Integrity</w:t>
      </w:r>
      <w:bookmarkEnd w:id="41"/>
    </w:p>
    <w:p w14:paraId="1F268487" w14:textId="013766D4" w:rsidR="00FD545D" w:rsidRDefault="008D63BE" w:rsidP="009A10D0">
      <w:pPr>
        <w:spacing w:line="360" w:lineRule="auto"/>
        <w:rPr>
          <w:rFonts w:ascii="Arial" w:hAnsi="Arial" w:cs="Arial"/>
        </w:rPr>
      </w:pPr>
      <w:r w:rsidRPr="008D63BE">
        <w:rPr>
          <w:rFonts w:ascii="Arial" w:hAnsi="Arial" w:cs="Arial"/>
        </w:rPr>
        <w:t>The authors conduct an in-depth examination of cobalt mining, depicting it as a grave representation of global inequality. They highlight the severe contrast between the substantial profits amassed by corporations in Europe, North America, and Asia, which benefit from the availability of low-cost cobalt, and the precarious working conditions faced by miners in the Democratic Republic of Congo. These miners often endure hazardous environments, limited rights and low wages, raising significant ethical concerns regarding the supply chain of this critical mineral.</w:t>
      </w:r>
    </w:p>
    <w:p w14:paraId="603B3153" w14:textId="4A7B8F41" w:rsidR="008D63BE" w:rsidRPr="008D63BE" w:rsidRDefault="001B22E3" w:rsidP="009A10D0">
      <w:pPr>
        <w:spacing w:line="360" w:lineRule="auto"/>
        <w:rPr>
          <w:rFonts w:ascii="Arial" w:hAnsi="Arial" w:cs="Arial"/>
        </w:rPr>
      </w:pPr>
      <w:r w:rsidRPr="001B22E3">
        <w:rPr>
          <w:rFonts w:ascii="Arial" w:hAnsi="Arial" w:cs="Arial"/>
        </w:rPr>
        <w:t>Furthermore, this analysis invites a critical reassessment of the notion of "green minerals," stressing that while these resources are marketed as essential for sustainable technology, such as electric vehicle batteries and renewable energy storage, local communities are grappling with severe social and environmental challenges. The discussion urges stakeholders to consider the implications of their sustainability efforts on the ground, highlighting the necessity for a more equitable approach to resource extraction and the development of sustainable practices that truly benefit all stakeholders involved.</w:t>
      </w:r>
    </w:p>
    <w:p w14:paraId="298AE4F8" w14:textId="059153B8" w:rsidR="00292E25" w:rsidRDefault="00BB2E52" w:rsidP="00BB2E52">
      <w:pPr>
        <w:pStyle w:val="Heading3"/>
      </w:pPr>
      <w:bookmarkStart w:id="42" w:name="_Toc215833505"/>
      <w:r>
        <w:t xml:space="preserve">7.7 </w:t>
      </w:r>
      <w:r w:rsidR="001416FD">
        <w:t>Reliability</w:t>
      </w:r>
      <w:bookmarkEnd w:id="42"/>
      <w:r w:rsidR="001416FD">
        <w:t xml:space="preserve"> </w:t>
      </w:r>
    </w:p>
    <w:p w14:paraId="2CBBC2AC" w14:textId="7A7F82A0" w:rsidR="00292E25" w:rsidRDefault="003604F3" w:rsidP="003604F3">
      <w:pPr>
        <w:pStyle w:val="Heading3"/>
      </w:pPr>
      <w:bookmarkStart w:id="43" w:name="_Toc215833506"/>
      <w:r>
        <w:t>Strengths</w:t>
      </w:r>
      <w:bookmarkEnd w:id="43"/>
    </w:p>
    <w:p w14:paraId="3D323BAD" w14:textId="7BF338E9" w:rsidR="00BB2E52" w:rsidRDefault="0051443D" w:rsidP="009A10D0">
      <w:pPr>
        <w:spacing w:line="360" w:lineRule="auto"/>
        <w:rPr>
          <w:rFonts w:ascii="Arial" w:hAnsi="Arial" w:cs="Arial"/>
        </w:rPr>
      </w:pPr>
      <w:r w:rsidRPr="0051443D">
        <w:rPr>
          <w:rFonts w:ascii="Arial" w:hAnsi="Arial" w:cs="Arial"/>
        </w:rPr>
        <w:t>In addition to the corporate initiatives and NGO interventions that have a significant impact on this industry, the study provides incisive and extensive examinations of ASM practices. By employing a meticulous triangulation approach, which combines systematic observations, in-depth interviews, and comprehensive document evaluation, the research strengthens its validity and reliability.</w:t>
      </w:r>
    </w:p>
    <w:p w14:paraId="5DC093B7" w14:textId="11A5962E" w:rsidR="00BB2E52" w:rsidRDefault="00453122" w:rsidP="009A10D0">
      <w:pPr>
        <w:spacing w:line="360" w:lineRule="auto"/>
        <w:rPr>
          <w:rFonts w:ascii="Arial" w:hAnsi="Arial" w:cs="Arial"/>
        </w:rPr>
      </w:pPr>
      <w:r w:rsidRPr="00453122">
        <w:rPr>
          <w:rFonts w:ascii="Arial" w:hAnsi="Arial" w:cs="Arial"/>
        </w:rPr>
        <w:t xml:space="preserve">Furthermore, the findings are consistent with those from a range of other ethnographic studies (e.g., Cao et al., 2024; Calvão et al., 2021b; Mancini et al., 2020, 2021; Mugurusi and Ahishakiye, 2022; Hilson et al., 2021), demonstrating an elevated degree of reliability and resonance across various geographical and social contexts. This interconnectedness </w:t>
      </w:r>
      <w:r w:rsidRPr="00453122">
        <w:rPr>
          <w:rFonts w:ascii="Arial" w:hAnsi="Arial" w:cs="Arial"/>
        </w:rPr>
        <w:lastRenderedPageBreak/>
        <w:t xml:space="preserve">not only bolsters the credibility of this </w:t>
      </w:r>
      <w:proofErr w:type="gramStart"/>
      <w:r w:rsidRPr="00453122">
        <w:rPr>
          <w:rFonts w:ascii="Arial" w:hAnsi="Arial" w:cs="Arial"/>
        </w:rPr>
        <w:t>particular study</w:t>
      </w:r>
      <w:proofErr w:type="gramEnd"/>
      <w:r w:rsidRPr="00453122">
        <w:rPr>
          <w:rFonts w:ascii="Arial" w:hAnsi="Arial" w:cs="Arial"/>
        </w:rPr>
        <w:t xml:space="preserve"> but also significantly contributes to a deeper understanding of ASM in diverse settings, highlighting the complexities and interdependencies within the industry. By connecting these findings with existing literature, the research establishes a solid foundation for further investigations into the dynamics of ASM and its socio-economic ramifications.</w:t>
      </w:r>
    </w:p>
    <w:p w14:paraId="459E463C" w14:textId="4B4CA5AE" w:rsidR="00C15757" w:rsidRDefault="00C15757" w:rsidP="00C15757">
      <w:pPr>
        <w:pStyle w:val="Heading3"/>
      </w:pPr>
      <w:bookmarkStart w:id="44" w:name="_Toc215833507"/>
      <w:r>
        <w:t>Limitations</w:t>
      </w:r>
      <w:bookmarkEnd w:id="44"/>
    </w:p>
    <w:p w14:paraId="7FE3C964" w14:textId="77777777" w:rsidR="00B96593" w:rsidRDefault="001F2219" w:rsidP="001F2219">
      <w:pPr>
        <w:spacing w:line="360" w:lineRule="auto"/>
        <w:rPr>
          <w:rFonts w:ascii="Arial" w:hAnsi="Arial" w:cs="Arial"/>
        </w:rPr>
      </w:pPr>
      <w:r w:rsidRPr="001F2219">
        <w:rPr>
          <w:rFonts w:ascii="Arial" w:hAnsi="Arial" w:cs="Arial"/>
        </w:rPr>
        <w:t xml:space="preserve">Although ethnographic methods provide rich insights, their replicability can be challenging, as findings often depend on the researcher's specific access to subjects and their interpretation of the information provided. This aspect presents an opportunity for researchers to share their methodologies in detail, enhancing clarity and enabling others to expand upon their work. </w:t>
      </w:r>
    </w:p>
    <w:p w14:paraId="6BA79421" w14:textId="2B5BE819" w:rsidR="00BB2E52" w:rsidRDefault="001F2219" w:rsidP="001F2219">
      <w:pPr>
        <w:spacing w:line="360" w:lineRule="auto"/>
        <w:rPr>
          <w:rFonts w:ascii="Arial" w:hAnsi="Arial" w:cs="Arial"/>
        </w:rPr>
      </w:pPr>
      <w:r w:rsidRPr="001F2219">
        <w:rPr>
          <w:rFonts w:ascii="Arial" w:hAnsi="Arial" w:cs="Arial"/>
        </w:rPr>
        <w:t>Due to the rapid evolution of ASM practices and corporate initiatives, temporal reliability may result in findings that vary over time.</w:t>
      </w:r>
      <w:r w:rsidR="00B96593">
        <w:rPr>
          <w:rFonts w:ascii="Arial" w:hAnsi="Arial" w:cs="Arial"/>
        </w:rPr>
        <w:t xml:space="preserve"> </w:t>
      </w:r>
      <w:r w:rsidRPr="001F2219">
        <w:rPr>
          <w:rFonts w:ascii="Arial" w:hAnsi="Arial" w:cs="Arial"/>
        </w:rPr>
        <w:t xml:space="preserve">Suggesting a need for continuous research and adaptation, allowing for the capture of the most current trends and insights in the subject. </w:t>
      </w:r>
      <w:r w:rsidR="00183031" w:rsidRPr="00183031">
        <w:rPr>
          <w:rFonts w:ascii="Arial" w:hAnsi="Arial" w:cs="Arial"/>
        </w:rPr>
        <w:t>Comparability is hindered by the lack of standardised instruments, making it difficult to compare findings with those from quantitative studies. This presents an invaluable opportunity for collaboration among researchers to develop standardised tools that can bridge the gap between qualitative and quantitative research, thereby improving the overall comprehension of the subject.</w:t>
      </w:r>
    </w:p>
    <w:p w14:paraId="0F89DDEB" w14:textId="1B051F73" w:rsidR="00C15757" w:rsidRDefault="009A7739" w:rsidP="00BF67BC">
      <w:pPr>
        <w:pStyle w:val="Heading3"/>
      </w:pPr>
      <w:bookmarkStart w:id="45" w:name="_Toc215833508"/>
      <w:r>
        <w:t xml:space="preserve">7.8 </w:t>
      </w:r>
      <w:r w:rsidR="00BF67BC">
        <w:t>Validity</w:t>
      </w:r>
      <w:bookmarkEnd w:id="45"/>
    </w:p>
    <w:p w14:paraId="759F2A2D" w14:textId="6D5E9D42" w:rsidR="00C15757" w:rsidRDefault="009A7739" w:rsidP="009A7739">
      <w:pPr>
        <w:pStyle w:val="Heading3"/>
      </w:pPr>
      <w:bookmarkStart w:id="46" w:name="_Toc215833509"/>
      <w:r>
        <w:t>Internal Validity</w:t>
      </w:r>
      <w:bookmarkEnd w:id="46"/>
      <w:r>
        <w:t xml:space="preserve"> </w:t>
      </w:r>
    </w:p>
    <w:p w14:paraId="69DBE57F" w14:textId="2B85BE94" w:rsidR="00BF67BC" w:rsidRDefault="006A4D1D" w:rsidP="009A10D0">
      <w:pPr>
        <w:spacing w:line="360" w:lineRule="auto"/>
        <w:rPr>
          <w:rFonts w:ascii="Arial" w:hAnsi="Arial" w:cs="Arial"/>
        </w:rPr>
      </w:pPr>
      <w:r w:rsidRPr="006A4D1D">
        <w:rPr>
          <w:rFonts w:ascii="Arial" w:hAnsi="Arial" w:cs="Arial"/>
        </w:rPr>
        <w:t>The strengths of this study provide significant insights by thoroughly identifying and explaining plausible contributing factors which connect the corporate practice of outsourcing responsibility to various ethical quandaries. These connections are underpinned by rich contextual support, which deepens the analysis and reinforces the validity of the conclusion. By examining these intricate connections, the research clarifies how outsourcing decisions can impact ethical standards, corporate responsibility, and accountability.</w:t>
      </w:r>
    </w:p>
    <w:p w14:paraId="15BDF50B" w14:textId="6AE9133E" w:rsidR="00AC0528" w:rsidRDefault="00AC0528" w:rsidP="009A10D0">
      <w:pPr>
        <w:spacing w:line="360" w:lineRule="auto"/>
        <w:rPr>
          <w:rFonts w:ascii="Arial" w:hAnsi="Arial" w:cs="Arial"/>
        </w:rPr>
      </w:pPr>
      <w:r w:rsidRPr="00AC0528">
        <w:rPr>
          <w:rFonts w:ascii="Arial" w:hAnsi="Arial" w:cs="Arial"/>
        </w:rPr>
        <w:t xml:space="preserve">Despite these strengths, it is crucial to acknowledge that the study's limitations, including the absence of quantitative controls or counterfactual examination, limit the conclusions drawn about causality; thus, these associations are primarily inferential. While the identified </w:t>
      </w:r>
      <w:r w:rsidRPr="00AC0528">
        <w:rPr>
          <w:rFonts w:ascii="Arial" w:hAnsi="Arial" w:cs="Arial"/>
        </w:rPr>
        <w:lastRenderedPageBreak/>
        <w:t>mechanisms demonstrate strong internal validity, strengthening the study's statistical generalisation would improve its applicability to a broader range of contexts. Incorporating quantitative techniques and diverse data sources could provide a more comprehensive understanding of how outsourcing tactics affect ethical decision-making across different industries.</w:t>
      </w:r>
    </w:p>
    <w:p w14:paraId="74DACA51" w14:textId="1D8120B9" w:rsidR="00AC0528" w:rsidRDefault="0010067F" w:rsidP="0010067F">
      <w:pPr>
        <w:pStyle w:val="Heading3"/>
      </w:pPr>
      <w:bookmarkStart w:id="47" w:name="_Toc215833510"/>
      <w:r>
        <w:t>External validity</w:t>
      </w:r>
      <w:bookmarkEnd w:id="47"/>
    </w:p>
    <w:p w14:paraId="483EA970" w14:textId="77777777" w:rsidR="009C60E4" w:rsidRDefault="00A24A66" w:rsidP="009A10D0">
      <w:pPr>
        <w:spacing w:line="360" w:lineRule="auto"/>
        <w:rPr>
          <w:rFonts w:ascii="Arial" w:hAnsi="Arial" w:cs="Arial"/>
        </w:rPr>
      </w:pPr>
      <w:r w:rsidRPr="00A24A66">
        <w:rPr>
          <w:rFonts w:ascii="Arial" w:hAnsi="Arial" w:cs="Arial"/>
        </w:rPr>
        <w:t xml:space="preserve">Kolwezi and various other locations within the DRC play a pivotal role as vital centres for ASM. These areas not only contribute substantially to the local economy but also provide invaluable insights into community dynamics and mining techniques which may be applicable in broader contexts. Nonetheless, it is essential to recognise that ASM methods can vary considerably throughout different regions, influenced by factors such as local regulations, market dynamics, cultural norms and geological conditions. </w:t>
      </w:r>
    </w:p>
    <w:p w14:paraId="55E3B492" w14:textId="2E1A7671" w:rsidR="00A37FE3" w:rsidRDefault="009C60E4" w:rsidP="009A10D0">
      <w:pPr>
        <w:spacing w:line="360" w:lineRule="auto"/>
        <w:rPr>
          <w:rFonts w:ascii="Arial" w:hAnsi="Arial" w:cs="Arial"/>
        </w:rPr>
      </w:pPr>
      <w:r w:rsidRPr="009C60E4">
        <w:rPr>
          <w:rFonts w:ascii="Arial" w:hAnsi="Arial" w:cs="Arial"/>
        </w:rPr>
        <w:t>This heterogeneity may hinder the ability to extrapolate the results from the DRC to other nations or regions, as the specific circumstances that shape ASM differ significantly. Therefore, the external validity of these findings is highly contingent on contextual circumstances, highlighting the necessity for a thoughtful and nuanced approach when considering how these insights might be implemented throughout various contexts.</w:t>
      </w:r>
    </w:p>
    <w:p w14:paraId="7877339A" w14:textId="10F78AEA" w:rsidR="002B0CF5" w:rsidRDefault="000A74B0" w:rsidP="000A74B0">
      <w:pPr>
        <w:pStyle w:val="Heading3"/>
      </w:pPr>
      <w:bookmarkStart w:id="48" w:name="_Toc215833511"/>
      <w:r>
        <w:t>Construct Validity</w:t>
      </w:r>
      <w:bookmarkEnd w:id="48"/>
    </w:p>
    <w:p w14:paraId="227906B5" w14:textId="322EF39B" w:rsidR="00A24A66" w:rsidRDefault="007F6C39" w:rsidP="009A10D0">
      <w:pPr>
        <w:spacing w:line="360" w:lineRule="auto"/>
        <w:rPr>
          <w:rFonts w:ascii="Arial" w:hAnsi="Arial" w:cs="Arial"/>
        </w:rPr>
      </w:pPr>
      <w:r w:rsidRPr="005E0629">
        <w:rPr>
          <w:rStyle w:val="Heading4Char"/>
        </w:rPr>
        <w:t>Strengths</w:t>
      </w:r>
      <w:r w:rsidRPr="007F6C39">
        <w:rPr>
          <w:rFonts w:ascii="Arial" w:hAnsi="Arial" w:cs="Arial"/>
        </w:rPr>
        <w:t>: The concepts of "responsibility" and "outsourcing" are intricately portrayed through detailed accounts of miners' real-life experiences, in addition to the operational practices of corporations within the mining industry. This nuanced exploration not only highlights the multifaceted dynamics of these concepts but also improves construct validity by grounding theoretical discussions in real-life scenarios. By showcasing how these elements manifest in the daily lives of workers and corporate tactics, the research provides an extensive understanding of responsibility in the context of outsourced employment.</w:t>
      </w:r>
      <w:r w:rsidR="0042332E">
        <w:rPr>
          <w:rFonts w:ascii="Arial" w:hAnsi="Arial" w:cs="Arial"/>
        </w:rPr>
        <w:t xml:space="preserve"> </w:t>
      </w:r>
      <w:r w:rsidR="0042332E" w:rsidRPr="005E0629">
        <w:rPr>
          <w:rStyle w:val="Heading4Char"/>
        </w:rPr>
        <w:t>Limitations</w:t>
      </w:r>
      <w:r w:rsidR="0042332E" w:rsidRPr="0042332E">
        <w:rPr>
          <w:rFonts w:ascii="Arial" w:hAnsi="Arial" w:cs="Arial"/>
        </w:rPr>
        <w:t xml:space="preserve">: Despite the valuable insights offered by the current framework, a significant limitation lies in the absence of standardised measurements, particularly precise rates of injury, job security indicators and financial stability metrics. This deficiency hampers the ability to make comparisons with quantitative studies, which often depend on impartial information for evaluation. By addressing this gap, potentially through the development of </w:t>
      </w:r>
      <w:r w:rsidR="0042332E" w:rsidRPr="0042332E">
        <w:rPr>
          <w:rFonts w:ascii="Arial" w:hAnsi="Arial" w:cs="Arial"/>
        </w:rPr>
        <w:lastRenderedPageBreak/>
        <w:t>industry-wide benchmarks or universally accepted metrics, the validity of the research could be substantially strengthened, allowing for more credible conclusions and implications for policy-making and corporate accountability in the industry field.</w:t>
      </w:r>
    </w:p>
    <w:p w14:paraId="0A4A9B33" w14:textId="0EA16B90" w:rsidR="00534CEA" w:rsidRPr="00534CEA" w:rsidRDefault="00534CEA" w:rsidP="00534CEA">
      <w:pPr>
        <w:pStyle w:val="Heading3"/>
      </w:pPr>
      <w:bookmarkStart w:id="49" w:name="_Toc215833512"/>
      <w:r>
        <w:t xml:space="preserve">7.9 </w:t>
      </w:r>
      <w:r w:rsidRPr="00534CEA">
        <w:t>Methodological Conclusions</w:t>
      </w:r>
      <w:bookmarkEnd w:id="49"/>
    </w:p>
    <w:p w14:paraId="72ED7F81" w14:textId="1AAB9B4A" w:rsidR="0042332E" w:rsidRDefault="003067AC" w:rsidP="009A10D0">
      <w:pPr>
        <w:spacing w:line="360" w:lineRule="auto"/>
        <w:rPr>
          <w:rFonts w:ascii="Arial" w:hAnsi="Arial" w:cs="Arial"/>
        </w:rPr>
      </w:pPr>
      <w:r w:rsidRPr="005E0629">
        <w:rPr>
          <w:rStyle w:val="Heading4Char"/>
        </w:rPr>
        <w:t>What is effective</w:t>
      </w:r>
      <w:r w:rsidRPr="003067AC">
        <w:rPr>
          <w:rFonts w:ascii="Arial" w:hAnsi="Arial" w:cs="Arial"/>
        </w:rPr>
        <w:t>: A highly effective method for revealing ethical quandaries and socioeconomic realities that compliance frameworks typically disregard is ethnographic immersion. By applying critical realism, a solid philosophical framework can be constructed that seamlessly integrates empirical observations with theoretical insights, enabling a deeper understanding of the complexities of social phenomena. This approach enables researchers to gain a more nuanced understanding of the lived experiences of individuals within these contexts.</w:t>
      </w:r>
    </w:p>
    <w:p w14:paraId="02520D95" w14:textId="59D7C488" w:rsidR="00BF67BC" w:rsidRDefault="004B3D9E" w:rsidP="009A10D0">
      <w:pPr>
        <w:spacing w:line="360" w:lineRule="auto"/>
        <w:rPr>
          <w:rFonts w:ascii="Arial" w:hAnsi="Arial" w:cs="Arial"/>
        </w:rPr>
      </w:pPr>
      <w:r w:rsidRPr="005E0629">
        <w:rPr>
          <w:rStyle w:val="Heading4Char"/>
        </w:rPr>
        <w:t>What is required</w:t>
      </w:r>
      <w:r w:rsidRPr="004B3D9E">
        <w:rPr>
          <w:rFonts w:ascii="Arial" w:hAnsi="Arial" w:cs="Arial"/>
        </w:rPr>
        <w:t>: To enrich the depth and breadth of ethnographic insights, it is crucial to incorporate longitudinal information alongside standardised indicators. Longitudinal studies provide context throughout time, allowing for the observation of changes and trends, while standardised indicators enhance the consistency and comparability of the findings across different contexts. Conducting independent audits can further strengthen the research by validating the information, and establishing quantitative baselines will support the assessment of improvements and monitoring progress more effectively.</w:t>
      </w:r>
    </w:p>
    <w:p w14:paraId="4262D231" w14:textId="53C232CE" w:rsidR="00BF67BC" w:rsidRDefault="006B58FE" w:rsidP="009A10D0">
      <w:pPr>
        <w:spacing w:line="360" w:lineRule="auto"/>
        <w:rPr>
          <w:rFonts w:ascii="Arial" w:hAnsi="Arial" w:cs="Arial"/>
        </w:rPr>
      </w:pPr>
      <w:r w:rsidRPr="008A46DB">
        <w:rPr>
          <w:rStyle w:val="Heading4Char"/>
        </w:rPr>
        <w:t>Implications</w:t>
      </w:r>
      <w:r w:rsidRPr="006B58FE">
        <w:rPr>
          <w:rFonts w:ascii="Arial" w:hAnsi="Arial" w:cs="Arial"/>
        </w:rPr>
        <w:t>: Looking ahead, further studies should strategically combine ethnographic methods with quantitative evaluations to achieve a balance between depth and accuracy. This holistic strategy will not only deepen our understanding of the social dynamics at work, but additionally, it will guide actions related to responsible sourcing initiatives. By actively incorporating the perspectives and experiences of miners into these initiatives, it can promote ethical legitimacy and foster more equitable practices in the supply chain, ultimately leading to a more sustainable and socially responsible industry.</w:t>
      </w:r>
    </w:p>
    <w:p w14:paraId="2B80E701" w14:textId="4AE75905" w:rsidR="0015670A" w:rsidRPr="0015670A" w:rsidRDefault="0015670A" w:rsidP="0015670A">
      <w:pPr>
        <w:pStyle w:val="Heading1"/>
      </w:pPr>
      <w:bookmarkStart w:id="50" w:name="_Toc215833513"/>
      <w:r>
        <w:t xml:space="preserve">8. </w:t>
      </w:r>
      <w:r w:rsidRPr="0015670A">
        <w:t>A Critical Appraisal</w:t>
      </w:r>
      <w:bookmarkEnd w:id="50"/>
    </w:p>
    <w:p w14:paraId="4E7C8344" w14:textId="25588EAA" w:rsidR="006B58FE" w:rsidRDefault="008D4BB4" w:rsidP="009A10D0">
      <w:pPr>
        <w:spacing w:line="360" w:lineRule="auto"/>
        <w:rPr>
          <w:rFonts w:ascii="Arial" w:hAnsi="Arial" w:cs="Arial"/>
        </w:rPr>
      </w:pPr>
      <w:r w:rsidRPr="008D4BB4">
        <w:rPr>
          <w:rFonts w:ascii="Arial" w:hAnsi="Arial" w:cs="Arial"/>
        </w:rPr>
        <w:t xml:space="preserve">Calvão, McDonald, and Bolay’s article persuasively demonstrates the strengths inherent in qualitative, critical realist research, especially its capacity to provide rich, subtle contextual insights that conventional quantitative methods occasionally overlook. This type of study </w:t>
      </w:r>
      <w:r w:rsidRPr="008D4BB4">
        <w:rPr>
          <w:rFonts w:ascii="Arial" w:hAnsi="Arial" w:cs="Arial"/>
        </w:rPr>
        <w:lastRenderedPageBreak/>
        <w:t>demonstrates a high degree of ethical reflexivity, allowing researchers to critically examine their own positionality and the implications of their work on marginalised voices within the supply chain industry. By subverting dominant narratives that typically shape conversations around supply chains, the authors highlight vital themes of justice and inclusion, drawing attention to the ethical dimensions that are generally disregarded.</w:t>
      </w:r>
    </w:p>
    <w:p w14:paraId="3D64B7C4" w14:textId="7FB5C5DD" w:rsidR="009A2159" w:rsidRPr="009A10D0" w:rsidRDefault="009B75DD" w:rsidP="009A10D0">
      <w:pPr>
        <w:spacing w:line="360" w:lineRule="auto"/>
        <w:rPr>
          <w:rFonts w:ascii="Arial" w:hAnsi="Arial" w:cs="Arial"/>
        </w:rPr>
      </w:pPr>
      <w:r w:rsidRPr="009B75DD">
        <w:rPr>
          <w:rFonts w:ascii="Arial" w:hAnsi="Arial" w:cs="Arial"/>
        </w:rPr>
        <w:t>Subsequently, the reliance on ethnographic methods presents certain challenges, particularly in terms of reproducibility and cross-context comparability. Despite these difficulties, these approaches also pave the way for ground-breaking opportunities in future studies. To further enrich the field, researchers could benefit from an integrative approach that combines the qualitative depth of these studies with the quantitative accuracy necessary to substantiate ethical claims with quantifiable results. Implementing this comprehensive approach could lead to a deeper comprehension of the intricate dynamics at work within supply chains, ultimately promoting a more equitable and just framework for evaluating and addressing the complexities of international supply chain operations.</w:t>
      </w:r>
    </w:p>
    <w:p w14:paraId="3ACE5A2D" w14:textId="6341E60A" w:rsidR="009A10D0" w:rsidRPr="009A10D0" w:rsidRDefault="009A10D0" w:rsidP="00282172">
      <w:pPr>
        <w:pStyle w:val="Heading1"/>
      </w:pPr>
      <w:bookmarkStart w:id="51" w:name="_Toc215833514"/>
      <w:r w:rsidRPr="009A10D0">
        <w:t>Conclusion</w:t>
      </w:r>
      <w:bookmarkEnd w:id="51"/>
    </w:p>
    <w:p w14:paraId="4F86BBDB" w14:textId="3A401688" w:rsidR="00282172" w:rsidRDefault="00631627" w:rsidP="009A10D0">
      <w:pPr>
        <w:spacing w:line="360" w:lineRule="auto"/>
        <w:rPr>
          <w:rFonts w:ascii="Arial" w:hAnsi="Arial" w:cs="Arial"/>
        </w:rPr>
      </w:pPr>
      <w:r w:rsidRPr="00631627">
        <w:rPr>
          <w:rFonts w:ascii="Arial" w:hAnsi="Arial" w:cs="Arial"/>
        </w:rPr>
        <w:t>The article provides a comprehensive and constructive critique of the ways in which corporations manage their obligations and responsibilities within the cobalt supply chain in the DRC. It methodically addresses critical epistemological, ontological, and ethical concerns that underlie this complex issue. Additionally, the article advocates for the establishment of stronger accountability systems to ensure that companies comply with their social and environmental obligations.</w:t>
      </w:r>
    </w:p>
    <w:p w14:paraId="450980F6" w14:textId="413FD3E4" w:rsidR="00DC520A" w:rsidRPr="00DC520A" w:rsidRDefault="00DC520A" w:rsidP="00DC520A">
      <w:pPr>
        <w:spacing w:line="360" w:lineRule="auto"/>
        <w:rPr>
          <w:rFonts w:ascii="Arial" w:hAnsi="Arial" w:cs="Arial"/>
        </w:rPr>
      </w:pPr>
      <w:r w:rsidRPr="00DC520A">
        <w:rPr>
          <w:rFonts w:ascii="Arial" w:hAnsi="Arial" w:cs="Arial"/>
        </w:rPr>
        <w:t>By exploring the subtleties of research philosophy, the discussion underscores the critical importance of ethics, validity and reliability in such an environment. It enriches the understanding of methodological pluralism, the idea that multiple research approaches can be beneficial, and reinforces the vital necessity of ethical reflexivity, which encourages researchers and practitioners to critically reflect on their own values and presumptions.</w:t>
      </w:r>
    </w:p>
    <w:p w14:paraId="3046AD6A" w14:textId="18A54080" w:rsidR="00631627" w:rsidRDefault="00DC520A" w:rsidP="00DC520A">
      <w:pPr>
        <w:spacing w:line="360" w:lineRule="auto"/>
        <w:rPr>
          <w:rFonts w:ascii="Arial" w:hAnsi="Arial" w:cs="Arial"/>
        </w:rPr>
      </w:pPr>
      <w:r w:rsidRPr="00DC520A">
        <w:rPr>
          <w:rFonts w:ascii="Arial" w:hAnsi="Arial" w:cs="Arial"/>
        </w:rPr>
        <w:t xml:space="preserve">In addition, this comprehensive strategy not only advances the study of responsible sourcing but also promotes healthier business practices within the industry, promoting greater transparency and ethical commitment among corporations. Ultimately, it aims to establish a </w:t>
      </w:r>
      <w:r w:rsidRPr="00DC520A">
        <w:rPr>
          <w:rFonts w:ascii="Arial" w:hAnsi="Arial" w:cs="Arial"/>
        </w:rPr>
        <w:lastRenderedPageBreak/>
        <w:t>more sustainable and equitable cobalt supply chain that safeguards both communities and the environment in the DRC.</w:t>
      </w:r>
    </w:p>
    <w:p w14:paraId="164D84DA" w14:textId="16FB6C57" w:rsidR="004B4CB6" w:rsidRDefault="004B4CB6" w:rsidP="004B4CB6">
      <w:pPr>
        <w:pStyle w:val="Heading3"/>
      </w:pPr>
      <w:bookmarkStart w:id="52" w:name="_Toc215833515"/>
      <w:r>
        <w:t>Key conclusions</w:t>
      </w:r>
      <w:bookmarkEnd w:id="52"/>
    </w:p>
    <w:p w14:paraId="24440ECE" w14:textId="77777777" w:rsidR="000F091D" w:rsidRPr="000F091D" w:rsidRDefault="000F091D" w:rsidP="000F091D">
      <w:pPr>
        <w:spacing w:line="360" w:lineRule="auto"/>
        <w:rPr>
          <w:rFonts w:ascii="Arial" w:hAnsi="Arial" w:cs="Arial"/>
        </w:rPr>
      </w:pPr>
      <w:r w:rsidRPr="000F091D">
        <w:rPr>
          <w:rFonts w:ascii="Arial" w:hAnsi="Arial" w:cs="Arial"/>
        </w:rPr>
        <w:t xml:space="preserve">- Responsible sourcing not only offers a strategic opportunity to minimise risks but also plays a crucial role in safeguarding the livelihoods of the communities that depend on natural resources. This strategy ensures that supply chains are both resilient and equitable, striking an equilibrium between corporate interests and social responsibility.  </w:t>
      </w:r>
    </w:p>
    <w:p w14:paraId="0BA92020" w14:textId="61F8B9B1" w:rsidR="000F091D" w:rsidRDefault="000F091D" w:rsidP="000F091D">
      <w:pPr>
        <w:spacing w:line="360" w:lineRule="auto"/>
        <w:rPr>
          <w:rFonts w:ascii="Arial" w:hAnsi="Arial" w:cs="Arial"/>
        </w:rPr>
      </w:pPr>
      <w:r w:rsidRPr="000F091D">
        <w:rPr>
          <w:rFonts w:ascii="Arial" w:hAnsi="Arial" w:cs="Arial"/>
        </w:rPr>
        <w:t xml:space="preserve">- By maintaining internal responsibility and monitoring, corporations can significantly improve their ethical accountability, establishing a culture of integrity that permeates all aspects of their operations. This commitment builds trust among stakeholders and demonstrates a proactive approach to sustainability.  </w:t>
      </w:r>
    </w:p>
    <w:p w14:paraId="5BA34273" w14:textId="296AA3C9" w:rsidR="00EE2EB3" w:rsidRPr="00EE2EB3" w:rsidRDefault="00EE2EB3" w:rsidP="00EE2EB3">
      <w:pPr>
        <w:spacing w:line="360" w:lineRule="auto"/>
        <w:rPr>
          <w:rFonts w:ascii="Arial" w:hAnsi="Arial" w:cs="Arial"/>
        </w:rPr>
      </w:pPr>
      <w:r>
        <w:rPr>
          <w:rFonts w:ascii="Arial" w:hAnsi="Arial" w:cs="Arial"/>
        </w:rPr>
        <w:t xml:space="preserve">- </w:t>
      </w:r>
      <w:r w:rsidRPr="00EE2EB3">
        <w:rPr>
          <w:rFonts w:ascii="Arial" w:hAnsi="Arial" w:cs="Arial"/>
        </w:rPr>
        <w:t xml:space="preserve">The integration of ethnographic insights with meticulous quantitative analysis enriches research methodologies, allowing for a more profound understanding of the complex dynamics at work in sourcing processes. This dual approach facilitates the collection of complex information that can inform more effective decision-making.  </w:t>
      </w:r>
    </w:p>
    <w:p w14:paraId="659877B6" w14:textId="66363EFA" w:rsidR="00BE496C" w:rsidRPr="000F091D" w:rsidRDefault="00EE2EB3" w:rsidP="00BE496C">
      <w:pPr>
        <w:spacing w:line="360" w:lineRule="auto"/>
      </w:pPr>
      <w:r w:rsidRPr="00EE2EB3">
        <w:rPr>
          <w:rFonts w:ascii="Arial" w:hAnsi="Arial" w:cs="Arial"/>
        </w:rPr>
        <w:t xml:space="preserve">- Achieving ethical legitimacy necessitates the incorporation of miners' perspectives, ensuring that their voices are heard and valued in conversations regarding resource extraction. Furthermore, actively addressing global inequalities is imperative to enhancing working conditions, establishing equitable labour </w:t>
      </w:r>
      <w:r w:rsidRPr="00EE2EB3">
        <w:rPr>
          <w:rFonts w:ascii="Arial" w:hAnsi="Arial" w:cs="Arial"/>
        </w:rPr>
        <w:t>practices, and</w:t>
      </w:r>
      <w:r w:rsidRPr="00EE2EB3">
        <w:rPr>
          <w:rFonts w:ascii="Arial" w:hAnsi="Arial" w:cs="Arial"/>
        </w:rPr>
        <w:t xml:space="preserve"> promoting social equity within the mining industry.</w:t>
      </w:r>
    </w:p>
    <w:p w14:paraId="4AC27D6A" w14:textId="44A02A62" w:rsidR="009A10D0" w:rsidRPr="009A10D0" w:rsidRDefault="009A10D0" w:rsidP="00282172">
      <w:pPr>
        <w:pStyle w:val="Heading1"/>
      </w:pPr>
      <w:bookmarkStart w:id="53" w:name="_Toc215833516"/>
      <w:r w:rsidRPr="009A10D0">
        <w:t>References</w:t>
      </w:r>
      <w:bookmarkEnd w:id="53"/>
    </w:p>
    <w:p w14:paraId="35C833D9" w14:textId="5A5AB549" w:rsidR="00D454E8" w:rsidRDefault="00D454E8" w:rsidP="009A10D0">
      <w:pPr>
        <w:spacing w:line="360" w:lineRule="auto"/>
        <w:rPr>
          <w:rFonts w:ascii="Arial" w:hAnsi="Arial" w:cs="Arial"/>
        </w:rPr>
      </w:pPr>
      <w:r w:rsidRPr="00D454E8">
        <w:rPr>
          <w:rFonts w:ascii="Arial" w:hAnsi="Arial" w:cs="Arial"/>
        </w:rPr>
        <w:t xml:space="preserve">Ajith, M., Ghosh, A., and Jansz, J. (2021) 'A mixed-method investigations of work, government and social factors associated with severe injuries in artisanal and small-scale mining (ASM) operations', Safety Science, 138, pp.1-12. Available at: </w:t>
      </w:r>
      <w:hyperlink r:id="rId11" w:history="1">
        <w:r w:rsidR="00001246" w:rsidRPr="009648D8">
          <w:rPr>
            <w:rStyle w:val="Hyperlink"/>
            <w:rFonts w:ascii="Arial" w:hAnsi="Arial" w:cs="Arial"/>
          </w:rPr>
          <w:t>https://doi.org/10.1016/j.ssci.2021.105244</w:t>
        </w:r>
      </w:hyperlink>
      <w:r w:rsidR="00001246">
        <w:rPr>
          <w:rFonts w:ascii="Arial" w:hAnsi="Arial" w:cs="Arial"/>
        </w:rPr>
        <w:t xml:space="preserve"> </w:t>
      </w:r>
    </w:p>
    <w:p w14:paraId="79B83E7F" w14:textId="5CE41A0C" w:rsidR="00B1652A" w:rsidRDefault="00B1652A" w:rsidP="009A10D0">
      <w:pPr>
        <w:spacing w:line="360" w:lineRule="auto"/>
        <w:rPr>
          <w:rFonts w:ascii="Arial" w:hAnsi="Arial" w:cs="Arial"/>
        </w:rPr>
      </w:pPr>
      <w:r w:rsidRPr="00B1652A">
        <w:rPr>
          <w:rFonts w:ascii="Arial" w:hAnsi="Arial" w:cs="Arial"/>
        </w:rPr>
        <w:t xml:space="preserve">Archer, M. (2021) 'Navigating the sustainability landscape: Impact pathways and the sustainability ethic as moral compass', Focaal, (91), pp. 85-99. Available at: </w:t>
      </w:r>
      <w:hyperlink r:id="rId12" w:history="1">
        <w:r w:rsidRPr="00FC13C9">
          <w:rPr>
            <w:rStyle w:val="Hyperlink"/>
            <w:rFonts w:ascii="Arial" w:hAnsi="Arial" w:cs="Arial"/>
          </w:rPr>
          <w:t>https://doi.org/10.3167/fcl.2020.072001</w:t>
        </w:r>
      </w:hyperlink>
      <w:r w:rsidRPr="00B1652A">
        <w:rPr>
          <w:rFonts w:ascii="Arial" w:hAnsi="Arial" w:cs="Arial"/>
        </w:rPr>
        <w:t>.</w:t>
      </w:r>
      <w:r>
        <w:rPr>
          <w:rFonts w:ascii="Arial" w:hAnsi="Arial" w:cs="Arial"/>
        </w:rPr>
        <w:t xml:space="preserve"> </w:t>
      </w:r>
    </w:p>
    <w:p w14:paraId="6175B6DB" w14:textId="70A2F7CF" w:rsidR="00006EFB" w:rsidRDefault="00006EFB" w:rsidP="009A10D0">
      <w:pPr>
        <w:spacing w:line="360" w:lineRule="auto"/>
        <w:rPr>
          <w:rFonts w:ascii="Arial" w:hAnsi="Arial" w:cs="Arial"/>
        </w:rPr>
      </w:pPr>
      <w:r w:rsidRPr="00006EFB">
        <w:rPr>
          <w:rFonts w:ascii="Arial" w:hAnsi="Arial" w:cs="Arial"/>
        </w:rPr>
        <w:lastRenderedPageBreak/>
        <w:t xml:space="preserve">Arvidsson, R., Brunke, J., and Nordelöf, A. (2025) 'Towards a method for poverty reduction potential in social life cycle assessment with application to the cobalt supply chain', The International Journal of Life Cycle Assessment, (30), pp.2234-2247. Available at: </w:t>
      </w:r>
      <w:hyperlink r:id="rId13" w:history="1">
        <w:r w:rsidRPr="00FC13C9">
          <w:rPr>
            <w:rStyle w:val="Hyperlink"/>
            <w:rFonts w:ascii="Arial" w:hAnsi="Arial" w:cs="Arial"/>
          </w:rPr>
          <w:t>https://doi.org/10.1007/s11367-025-02471-6</w:t>
        </w:r>
      </w:hyperlink>
      <w:r>
        <w:rPr>
          <w:rFonts w:ascii="Arial" w:hAnsi="Arial" w:cs="Arial"/>
        </w:rPr>
        <w:t xml:space="preserve"> </w:t>
      </w:r>
    </w:p>
    <w:p w14:paraId="416B1769" w14:textId="0083F5B4" w:rsidR="003B0AFF" w:rsidRDefault="003B0AFF" w:rsidP="009A10D0">
      <w:pPr>
        <w:spacing w:line="360" w:lineRule="auto"/>
        <w:rPr>
          <w:rFonts w:ascii="Arial" w:hAnsi="Arial" w:cs="Arial"/>
        </w:rPr>
      </w:pPr>
      <w:r w:rsidRPr="003B0AFF">
        <w:rPr>
          <w:rFonts w:ascii="Arial" w:hAnsi="Arial" w:cs="Arial"/>
        </w:rPr>
        <w:t>Bahini, Y., Mushtaq, R.,</w:t>
      </w:r>
      <w:r w:rsidR="00BA2C09">
        <w:rPr>
          <w:rFonts w:ascii="Arial" w:hAnsi="Arial" w:cs="Arial"/>
        </w:rPr>
        <w:t xml:space="preserve"> and</w:t>
      </w:r>
      <w:r w:rsidRPr="003B0AFF">
        <w:rPr>
          <w:rFonts w:ascii="Arial" w:hAnsi="Arial" w:cs="Arial"/>
        </w:rPr>
        <w:t xml:space="preserve"> Bahoo, S. (2024) 'Global energy transition: The vital role of cobalt in renewable energy', Journal of Cleaner Production, 470(10), pp. 1-10. Available at: </w:t>
      </w:r>
      <w:hyperlink r:id="rId14" w:history="1">
        <w:r w:rsidRPr="00FC13C9">
          <w:rPr>
            <w:rStyle w:val="Hyperlink"/>
            <w:rFonts w:ascii="Arial" w:hAnsi="Arial" w:cs="Arial"/>
          </w:rPr>
          <w:t>https://doi.org/10.1016/j.jclepro.2024.143306</w:t>
        </w:r>
      </w:hyperlink>
      <w:r>
        <w:rPr>
          <w:rFonts w:ascii="Arial" w:hAnsi="Arial" w:cs="Arial"/>
        </w:rPr>
        <w:t xml:space="preserve"> </w:t>
      </w:r>
    </w:p>
    <w:p w14:paraId="471A7E81" w14:textId="198034D6" w:rsidR="00CC539D" w:rsidRDefault="00CC539D" w:rsidP="00CC539D">
      <w:pPr>
        <w:spacing w:line="360" w:lineRule="auto"/>
        <w:rPr>
          <w:rFonts w:ascii="Arial" w:hAnsi="Arial" w:cs="Arial"/>
        </w:rPr>
      </w:pPr>
      <w:r w:rsidRPr="00CC539D">
        <w:rPr>
          <w:rFonts w:ascii="Arial" w:hAnsi="Arial" w:cs="Arial"/>
        </w:rPr>
        <w:t xml:space="preserve">Bille, A. and Hendriksen, C. (2023) ‘Let us get contextual: critical realist case studies in supply chain management’, Supply </w:t>
      </w:r>
      <w:r>
        <w:rPr>
          <w:rFonts w:ascii="Arial" w:hAnsi="Arial" w:cs="Arial"/>
        </w:rPr>
        <w:t>Chain Management</w:t>
      </w:r>
      <w:r w:rsidRPr="00CC539D">
        <w:rPr>
          <w:rFonts w:ascii="Arial" w:hAnsi="Arial" w:cs="Arial"/>
        </w:rPr>
        <w:t xml:space="preserve">, 28(4), pp. 724–737. Available at: </w:t>
      </w:r>
      <w:hyperlink r:id="rId15" w:history="1">
        <w:r w:rsidRPr="009648D8">
          <w:rPr>
            <w:rStyle w:val="Hyperlink"/>
            <w:rFonts w:ascii="Arial" w:hAnsi="Arial" w:cs="Arial"/>
          </w:rPr>
          <w:t>https://doi.org/10.1108/SCM-03-2022-0119</w:t>
        </w:r>
      </w:hyperlink>
      <w:r w:rsidRPr="00CC539D">
        <w:rPr>
          <w:rFonts w:ascii="Arial" w:hAnsi="Arial" w:cs="Arial"/>
        </w:rPr>
        <w:t>.</w:t>
      </w:r>
      <w:r>
        <w:rPr>
          <w:rFonts w:ascii="Arial" w:hAnsi="Arial" w:cs="Arial"/>
        </w:rPr>
        <w:t xml:space="preserve"> </w:t>
      </w:r>
    </w:p>
    <w:p w14:paraId="54CBA7BB" w14:textId="5E73F1A1" w:rsidR="00D755CA" w:rsidRDefault="00D755CA" w:rsidP="009A10D0">
      <w:pPr>
        <w:spacing w:line="360" w:lineRule="auto"/>
        <w:rPr>
          <w:rFonts w:ascii="Arial" w:hAnsi="Arial" w:cs="Arial"/>
        </w:rPr>
      </w:pPr>
      <w:r w:rsidRPr="00D755CA">
        <w:rPr>
          <w:rFonts w:ascii="Arial" w:hAnsi="Arial" w:cs="Arial"/>
        </w:rPr>
        <w:t xml:space="preserve">BGR (Bundesanstalt für Geowissenschaften und Rohstoffe) (2019) Mapping of the Artisanal Copper-Cobalt Mining Sector in the Provinces of Haut-Katanga and Lualaba in the Democratic Republic of Congo. BGR (Bundesanstalt für Geowissenschaften und Rohstoffe). Available at: </w:t>
      </w:r>
      <w:hyperlink r:id="rId16" w:history="1">
        <w:r w:rsidRPr="00FC13C9">
          <w:rPr>
            <w:rStyle w:val="Hyperlink"/>
            <w:rFonts w:ascii="Arial" w:hAnsi="Arial" w:cs="Arial"/>
          </w:rPr>
          <w:t>https://www.delvedatabase.org/uploads/resources/BGR_Cobalt_Congo_2019_en.pdf</w:t>
        </w:r>
      </w:hyperlink>
      <w:r>
        <w:rPr>
          <w:rFonts w:ascii="Arial" w:hAnsi="Arial" w:cs="Arial"/>
        </w:rPr>
        <w:t xml:space="preserve"> </w:t>
      </w:r>
      <w:r w:rsidRPr="00D755CA">
        <w:rPr>
          <w:rFonts w:ascii="Arial" w:hAnsi="Arial" w:cs="Arial"/>
        </w:rPr>
        <w:t>(Accessed: 26 November 2025).</w:t>
      </w:r>
    </w:p>
    <w:p w14:paraId="77496327" w14:textId="1C03B1E0" w:rsidR="009A10D0" w:rsidRPr="009A10D0" w:rsidRDefault="00627A35" w:rsidP="009A10D0">
      <w:pPr>
        <w:spacing w:line="360" w:lineRule="auto"/>
        <w:rPr>
          <w:rFonts w:ascii="Arial" w:hAnsi="Arial" w:cs="Arial"/>
        </w:rPr>
      </w:pPr>
      <w:r w:rsidRPr="00667800">
        <w:rPr>
          <w:rFonts w:ascii="Arial" w:hAnsi="Arial" w:cs="Arial"/>
        </w:rPr>
        <w:t>Boni, A., Velasco, D., Ghosh, B. (2025)</w:t>
      </w:r>
      <w:r w:rsidR="00BC3BF0">
        <w:rPr>
          <w:rFonts w:ascii="Arial" w:hAnsi="Arial" w:cs="Arial"/>
        </w:rPr>
        <w:t xml:space="preserve"> ‘A</w:t>
      </w:r>
      <w:r w:rsidRPr="00627A35">
        <w:rPr>
          <w:rFonts w:ascii="Arial" w:hAnsi="Arial" w:cs="Arial"/>
        </w:rPr>
        <w:t xml:space="preserve"> human capability approach to transformative innovation policy. Theoretical insights and practical implications for directionality, Journal of Responsible Innovation, 12(1), Available at: </w:t>
      </w:r>
      <w:hyperlink r:id="rId17" w:history="1">
        <w:r w:rsidRPr="001B60B0">
          <w:rPr>
            <w:rStyle w:val="Hyperlink"/>
            <w:rFonts w:ascii="Arial" w:hAnsi="Arial" w:cs="Arial"/>
          </w:rPr>
          <w:t>https://doi.org/10.1080/23299460.2024.2440966</w:t>
        </w:r>
      </w:hyperlink>
      <w:r>
        <w:rPr>
          <w:rFonts w:ascii="Arial" w:hAnsi="Arial" w:cs="Arial"/>
        </w:rPr>
        <w:t xml:space="preserve"> </w:t>
      </w:r>
    </w:p>
    <w:p w14:paraId="4A73AC8B" w14:textId="5E5B4BDC" w:rsidR="00DE08B5" w:rsidRDefault="00DE08B5" w:rsidP="00257FE6">
      <w:pPr>
        <w:spacing w:line="360" w:lineRule="auto"/>
        <w:rPr>
          <w:rFonts w:ascii="Arial" w:hAnsi="Arial" w:cs="Arial"/>
        </w:rPr>
      </w:pPr>
      <w:bookmarkStart w:id="54" w:name="_Hlk212456900"/>
      <w:r w:rsidRPr="00DE08B5">
        <w:rPr>
          <w:rFonts w:ascii="Arial" w:hAnsi="Arial" w:cs="Arial"/>
        </w:rPr>
        <w:t>Calvão, F., and Archer, M. (2021</w:t>
      </w:r>
      <w:r w:rsidR="0037100E">
        <w:rPr>
          <w:rFonts w:ascii="Arial" w:hAnsi="Arial" w:cs="Arial"/>
        </w:rPr>
        <w:t>b</w:t>
      </w:r>
      <w:r w:rsidRPr="00DE08B5">
        <w:rPr>
          <w:rFonts w:ascii="Arial" w:hAnsi="Arial" w:cs="Arial"/>
        </w:rPr>
        <w:t>) 'Digital extraction: Blockchain traceability in mineral supply chains', </w:t>
      </w:r>
      <w:r w:rsidRPr="00DE08B5">
        <w:rPr>
          <w:rFonts w:ascii="Arial" w:hAnsi="Arial" w:cs="Arial"/>
          <w:i/>
          <w:iCs/>
        </w:rPr>
        <w:t>Political Geography</w:t>
      </w:r>
      <w:r w:rsidRPr="00DE08B5">
        <w:rPr>
          <w:rFonts w:ascii="Arial" w:hAnsi="Arial" w:cs="Arial"/>
        </w:rPr>
        <w:t xml:space="preserve">, 87, pp. 1-11. Available at: </w:t>
      </w:r>
      <w:hyperlink r:id="rId18" w:history="1">
        <w:r w:rsidRPr="009648D8">
          <w:rPr>
            <w:rStyle w:val="Hyperlink"/>
            <w:rFonts w:ascii="Arial" w:hAnsi="Arial" w:cs="Arial"/>
          </w:rPr>
          <w:t>https://doi.org/10.1016/j.polgeo.2021.102381</w:t>
        </w:r>
      </w:hyperlink>
      <w:r>
        <w:rPr>
          <w:rFonts w:ascii="Arial" w:hAnsi="Arial" w:cs="Arial"/>
        </w:rPr>
        <w:t xml:space="preserve"> </w:t>
      </w:r>
    </w:p>
    <w:p w14:paraId="59032BDA" w14:textId="763CE137" w:rsidR="00AE417F" w:rsidRDefault="00AE417F" w:rsidP="00257FE6">
      <w:pPr>
        <w:spacing w:line="360" w:lineRule="auto"/>
        <w:rPr>
          <w:rFonts w:ascii="Arial" w:hAnsi="Arial" w:cs="Arial"/>
        </w:rPr>
      </w:pPr>
      <w:r w:rsidRPr="00AE417F">
        <w:rPr>
          <w:rFonts w:ascii="Arial" w:hAnsi="Arial" w:cs="Arial"/>
        </w:rPr>
        <w:t>Calvão, F., McDonald, C., and Bolay, M. (2021</w:t>
      </w:r>
      <w:r w:rsidR="00F24F61">
        <w:rPr>
          <w:rFonts w:ascii="Arial" w:hAnsi="Arial" w:cs="Arial"/>
        </w:rPr>
        <w:t>a</w:t>
      </w:r>
      <w:r w:rsidRPr="00AE417F">
        <w:rPr>
          <w:rFonts w:ascii="Arial" w:hAnsi="Arial" w:cs="Arial"/>
        </w:rPr>
        <w:t xml:space="preserve">) 'Cobalt mining and the corporate outsourcing of responsibility in the Democratic Republic of Congo', The Extractive Industries and Society, 8(4), pp.1-10. Available at: </w:t>
      </w:r>
      <w:hyperlink r:id="rId19" w:history="1">
        <w:r w:rsidRPr="00FC13C9">
          <w:rPr>
            <w:rStyle w:val="Hyperlink"/>
            <w:rFonts w:ascii="Arial" w:hAnsi="Arial" w:cs="Arial"/>
          </w:rPr>
          <w:t>https://doi.org/10.1016/j.exis.2021.02.004</w:t>
        </w:r>
      </w:hyperlink>
      <w:r>
        <w:rPr>
          <w:rFonts w:ascii="Arial" w:hAnsi="Arial" w:cs="Arial"/>
        </w:rPr>
        <w:t xml:space="preserve"> </w:t>
      </w:r>
    </w:p>
    <w:p w14:paraId="7CD86700" w14:textId="4806D354" w:rsidR="00AE1890" w:rsidRDefault="00AE1890" w:rsidP="00257FE6">
      <w:pPr>
        <w:spacing w:line="360" w:lineRule="auto"/>
        <w:rPr>
          <w:rFonts w:ascii="Arial" w:hAnsi="Arial" w:cs="Arial"/>
        </w:rPr>
      </w:pPr>
      <w:r w:rsidRPr="00AE1890">
        <w:rPr>
          <w:rFonts w:ascii="Arial" w:hAnsi="Arial" w:cs="Arial"/>
        </w:rPr>
        <w:t xml:space="preserve">Cao, X., Sharmina, M., and Cuéllar-Franca, R. (2024) 'Sourcing cobalt in the Democratic Republic of the Congo for a responsible net-zero transition: Incentives, risks and stakeholders', Resources Policy, (95), pp. 1-12. Available at: </w:t>
      </w:r>
      <w:hyperlink r:id="rId20" w:history="1">
        <w:r w:rsidRPr="00FC13C9">
          <w:rPr>
            <w:rStyle w:val="Hyperlink"/>
            <w:rFonts w:ascii="Arial" w:hAnsi="Arial" w:cs="Arial"/>
          </w:rPr>
          <w:t>https://doi.org/10.1016/j.resourpol.2024.105149</w:t>
        </w:r>
      </w:hyperlink>
      <w:r>
        <w:rPr>
          <w:rFonts w:ascii="Arial" w:hAnsi="Arial" w:cs="Arial"/>
        </w:rPr>
        <w:t xml:space="preserve"> </w:t>
      </w:r>
    </w:p>
    <w:p w14:paraId="2CD89B3B" w14:textId="7F230088" w:rsidR="002A231A" w:rsidRDefault="003B3CB9" w:rsidP="00257FE6">
      <w:pPr>
        <w:spacing w:line="360" w:lineRule="auto"/>
        <w:rPr>
          <w:rFonts w:ascii="Arial" w:hAnsi="Arial" w:cs="Arial"/>
        </w:rPr>
      </w:pPr>
      <w:r w:rsidRPr="003B3CB9">
        <w:rPr>
          <w:rFonts w:ascii="Arial" w:hAnsi="Arial" w:cs="Arial"/>
        </w:rPr>
        <w:lastRenderedPageBreak/>
        <w:t xml:space="preserve">Cuvelier, J. (2011) 'Men, mines and masculinities: the lives and practices of artisanal miners in Lwambo (Katanga province, DR Congo)', Social Sciences, Issue information, pp.1-406. Available at: </w:t>
      </w:r>
      <w:hyperlink r:id="rId21" w:history="1">
        <w:r w:rsidRPr="00FC13C9">
          <w:rPr>
            <w:rStyle w:val="Hyperlink"/>
            <w:rFonts w:ascii="Arial" w:hAnsi="Arial" w:cs="Arial"/>
          </w:rPr>
          <w:t>http://hdl.handle.net/1854/LU-1863372</w:t>
        </w:r>
      </w:hyperlink>
      <w:r>
        <w:rPr>
          <w:rFonts w:ascii="Arial" w:hAnsi="Arial" w:cs="Arial"/>
        </w:rPr>
        <w:t xml:space="preserve"> </w:t>
      </w:r>
      <w:r w:rsidRPr="003B3CB9">
        <w:rPr>
          <w:rFonts w:ascii="Arial" w:hAnsi="Arial" w:cs="Arial"/>
        </w:rPr>
        <w:t>(Accessed: 29 November 2025).</w:t>
      </w:r>
    </w:p>
    <w:p w14:paraId="4636A265" w14:textId="29C9DC71" w:rsidR="00C468EB" w:rsidRDefault="00C468EB" w:rsidP="00257FE6">
      <w:pPr>
        <w:spacing w:line="360" w:lineRule="auto"/>
        <w:rPr>
          <w:rFonts w:ascii="Arial" w:hAnsi="Arial" w:cs="Arial"/>
        </w:rPr>
      </w:pPr>
      <w:r w:rsidRPr="00C468EB">
        <w:rPr>
          <w:rFonts w:ascii="Arial" w:hAnsi="Arial" w:cs="Arial"/>
        </w:rPr>
        <w:t>Cuvelier, J. (2023) 'Why time matters for understanding the ASM-LSM nexus in south-eastern Democratic Republic of Congo', The Journal of Modern African Studies, 61(2), pp. 189-208. Available at:</w:t>
      </w:r>
      <w:r w:rsidR="00E265FE">
        <w:rPr>
          <w:rFonts w:ascii="Arial" w:hAnsi="Arial" w:cs="Arial"/>
        </w:rPr>
        <w:t xml:space="preserve"> </w:t>
      </w:r>
      <w:hyperlink r:id="rId22" w:history="1">
        <w:r w:rsidRPr="009648D8">
          <w:rPr>
            <w:rStyle w:val="Hyperlink"/>
            <w:rFonts w:ascii="Arial" w:hAnsi="Arial" w:cs="Arial"/>
          </w:rPr>
          <w:t>https://doi.org/10.1017/S0022278X23000022</w:t>
        </w:r>
      </w:hyperlink>
      <w:r>
        <w:rPr>
          <w:rFonts w:ascii="Arial" w:hAnsi="Arial" w:cs="Arial"/>
        </w:rPr>
        <w:t xml:space="preserve"> </w:t>
      </w:r>
    </w:p>
    <w:p w14:paraId="5FF552AF" w14:textId="00332C49" w:rsidR="00AD533A" w:rsidRDefault="00AD533A" w:rsidP="00257FE6">
      <w:pPr>
        <w:spacing w:line="360" w:lineRule="auto"/>
        <w:rPr>
          <w:rFonts w:ascii="Arial" w:hAnsi="Arial" w:cs="Arial"/>
        </w:rPr>
      </w:pPr>
      <w:r w:rsidRPr="00AD533A">
        <w:rPr>
          <w:rFonts w:ascii="Arial" w:hAnsi="Arial" w:cs="Arial"/>
        </w:rPr>
        <w:t xml:space="preserve">CRSDDS (Cobalt Refiner Supply Chain Due Diligence Standard) (2021) Cobalt Refiner Supply Chain Due Diligence Standard. Version 2.0. Cobalt Refiner Supply Chain Due Diligence Standard Available at: </w:t>
      </w:r>
      <w:hyperlink r:id="rId23" w:history="1">
        <w:r w:rsidRPr="00FC13C9">
          <w:rPr>
            <w:rStyle w:val="Hyperlink"/>
            <w:rFonts w:ascii="Arial" w:hAnsi="Arial" w:cs="Arial"/>
          </w:rPr>
          <w:t>https://www.followingthemoney.org/wp-content/uploads/2022/07/2021_RCI-RMI_Cobalt-Refiner-Supply-Chain-Due-Diligence-Standard-Version-2.0_E.pdf</w:t>
        </w:r>
      </w:hyperlink>
      <w:r>
        <w:rPr>
          <w:rFonts w:ascii="Arial" w:hAnsi="Arial" w:cs="Arial"/>
        </w:rPr>
        <w:t xml:space="preserve"> </w:t>
      </w:r>
      <w:r w:rsidRPr="00AD533A">
        <w:rPr>
          <w:rFonts w:ascii="Arial" w:hAnsi="Arial" w:cs="Arial"/>
        </w:rPr>
        <w:t>(Accessed: 26 November 2025).</w:t>
      </w:r>
    </w:p>
    <w:p w14:paraId="2B7596A1" w14:textId="37F60FF3" w:rsidR="005B4D8B" w:rsidRDefault="005B4D8B" w:rsidP="005B4D8B">
      <w:pPr>
        <w:spacing w:line="360" w:lineRule="auto"/>
        <w:rPr>
          <w:rFonts w:ascii="Arial" w:hAnsi="Arial" w:cs="Arial"/>
        </w:rPr>
      </w:pPr>
      <w:r w:rsidRPr="005B4D8B">
        <w:rPr>
          <w:rFonts w:ascii="Arial" w:hAnsi="Arial" w:cs="Arial"/>
        </w:rPr>
        <w:t>Deberdt, R. (2021)</w:t>
      </w:r>
      <w:r>
        <w:rPr>
          <w:rFonts w:ascii="Arial" w:hAnsi="Arial" w:cs="Arial"/>
        </w:rPr>
        <w:t>.</w:t>
      </w:r>
      <w:r w:rsidRPr="005B4D8B">
        <w:rPr>
          <w:rFonts w:ascii="Arial" w:hAnsi="Arial" w:cs="Arial"/>
        </w:rPr>
        <w:t xml:space="preserve"> Baseline Study of Artisanal and Small-Scale Cobalt Mining in the Democratic</w:t>
      </w:r>
      <w:r>
        <w:rPr>
          <w:rFonts w:ascii="Arial" w:hAnsi="Arial" w:cs="Arial"/>
        </w:rPr>
        <w:t xml:space="preserve"> </w:t>
      </w:r>
      <w:r w:rsidRPr="005B4D8B">
        <w:rPr>
          <w:rFonts w:ascii="Arial" w:hAnsi="Arial" w:cs="Arial"/>
        </w:rPr>
        <w:t xml:space="preserve">Republic of Congo. H20-02422. Responsible Sourcing Network. Available at: </w:t>
      </w:r>
      <w:hyperlink r:id="rId24" w:history="1">
        <w:r w:rsidRPr="00FC13C9">
          <w:rPr>
            <w:rStyle w:val="Hyperlink"/>
            <w:rFonts w:ascii="Arial" w:hAnsi="Arial" w:cs="Arial"/>
          </w:rPr>
          <w:t>http://securityhumanrightshub.org/media/pdf/resources/Baseline+Study+Cobalt+ASM+Mining+-+7.28.2021.pdf</w:t>
        </w:r>
      </w:hyperlink>
      <w:r>
        <w:rPr>
          <w:rFonts w:ascii="Arial" w:hAnsi="Arial" w:cs="Arial"/>
        </w:rPr>
        <w:t xml:space="preserve"> </w:t>
      </w:r>
      <w:r w:rsidRPr="005B4D8B">
        <w:rPr>
          <w:rFonts w:ascii="Arial" w:hAnsi="Arial" w:cs="Arial"/>
        </w:rPr>
        <w:t>(Accessed: 28 November 2025).</w:t>
      </w:r>
    </w:p>
    <w:p w14:paraId="5CB10BC4" w14:textId="12E9C05A" w:rsidR="009C4247" w:rsidRDefault="009C4247" w:rsidP="00257FE6">
      <w:pPr>
        <w:spacing w:line="360" w:lineRule="auto"/>
        <w:rPr>
          <w:rFonts w:ascii="Arial" w:hAnsi="Arial" w:cs="Arial"/>
        </w:rPr>
      </w:pPr>
      <w:r w:rsidRPr="009C4247">
        <w:rPr>
          <w:rFonts w:ascii="Arial" w:hAnsi="Arial" w:cs="Arial"/>
        </w:rPr>
        <w:t xml:space="preserve">Dodoo, J., Surienty, L., Al-Samarraie, H. (2023) 'The influence of learning-oriented leadership for promoting future-directed workplace safety in the mining industry', Safety Science, (159), pp.1-9. Available at: </w:t>
      </w:r>
      <w:hyperlink r:id="rId25" w:history="1">
        <w:r w:rsidR="0001516F" w:rsidRPr="00FC13C9">
          <w:rPr>
            <w:rStyle w:val="Hyperlink"/>
            <w:rFonts w:ascii="Arial" w:hAnsi="Arial" w:cs="Arial"/>
          </w:rPr>
          <w:t>https://doi.org/10.1016/j.ssci.2022.106010</w:t>
        </w:r>
      </w:hyperlink>
      <w:r w:rsidR="0001516F">
        <w:rPr>
          <w:rFonts w:ascii="Arial" w:hAnsi="Arial" w:cs="Arial"/>
        </w:rPr>
        <w:t xml:space="preserve"> </w:t>
      </w:r>
    </w:p>
    <w:p w14:paraId="465580F0" w14:textId="2238BC9F" w:rsidR="00273FCC" w:rsidRDefault="00273FCC" w:rsidP="00257FE6">
      <w:pPr>
        <w:spacing w:line="360" w:lineRule="auto"/>
        <w:rPr>
          <w:rFonts w:ascii="Arial" w:hAnsi="Arial" w:cs="Arial"/>
        </w:rPr>
      </w:pPr>
      <w:r w:rsidRPr="00273FCC">
        <w:rPr>
          <w:rFonts w:ascii="Arial" w:hAnsi="Arial" w:cs="Arial"/>
        </w:rPr>
        <w:t xml:space="preserve">Ehrnström-Fuentes, M., Böhm, S. (2022) 'The Political Ontology of Corporate Social Responsibility: Obscuring the Pluriverse in Place', Journal of Business Ethics, 185, pp.245-261. Available at: </w:t>
      </w:r>
      <w:hyperlink r:id="rId26" w:history="1">
        <w:r w:rsidR="000C7621" w:rsidRPr="009648D8">
          <w:rPr>
            <w:rStyle w:val="Hyperlink"/>
            <w:rFonts w:ascii="Arial" w:hAnsi="Arial" w:cs="Arial"/>
          </w:rPr>
          <w:t>https://doi.org/10.1007/s10551-022-05175-1</w:t>
        </w:r>
      </w:hyperlink>
      <w:r w:rsidR="000C7621">
        <w:rPr>
          <w:rFonts w:ascii="Arial" w:hAnsi="Arial" w:cs="Arial"/>
        </w:rPr>
        <w:t xml:space="preserve"> </w:t>
      </w:r>
    </w:p>
    <w:p w14:paraId="53681F43" w14:textId="7EEC3260" w:rsidR="008A0997" w:rsidRDefault="008A0997" w:rsidP="00257FE6">
      <w:pPr>
        <w:spacing w:line="360" w:lineRule="auto"/>
        <w:rPr>
          <w:rFonts w:ascii="Arial" w:hAnsi="Arial" w:cs="Arial"/>
        </w:rPr>
      </w:pPr>
      <w:r w:rsidRPr="008A0997">
        <w:rPr>
          <w:rFonts w:ascii="Arial" w:hAnsi="Arial" w:cs="Arial"/>
        </w:rPr>
        <w:t xml:space="preserve">Ettler, V., Mihaljevič, M., Kříbek, B., Majer, V., and Šebek, O. (2011) 'Tracing the spatial distribution and mobility of metal/metalloid contaminants in Oxisols in the vicinity of the Nkana copper smelter, Copperbelt province, Zambia', Geoderma, 164(1-2), pp.73-84. Available at: </w:t>
      </w:r>
      <w:hyperlink r:id="rId27" w:history="1">
        <w:r w:rsidRPr="00FC13C9">
          <w:rPr>
            <w:rStyle w:val="Hyperlink"/>
            <w:rFonts w:ascii="Arial" w:hAnsi="Arial" w:cs="Arial"/>
          </w:rPr>
          <w:t>https://doi-org.ezproxy.uwtsd.ac.uk/10.1016/j.geoderma.2011.05.014</w:t>
        </w:r>
      </w:hyperlink>
      <w:r>
        <w:rPr>
          <w:rFonts w:ascii="Arial" w:hAnsi="Arial" w:cs="Arial"/>
        </w:rPr>
        <w:t xml:space="preserve"> </w:t>
      </w:r>
    </w:p>
    <w:p w14:paraId="0B0E00E9" w14:textId="4644AB30" w:rsidR="00C74D65" w:rsidRDefault="00C74D65" w:rsidP="00257FE6">
      <w:pPr>
        <w:spacing w:line="360" w:lineRule="auto"/>
        <w:rPr>
          <w:rFonts w:ascii="Arial" w:hAnsi="Arial" w:cs="Arial"/>
        </w:rPr>
      </w:pPr>
      <w:r w:rsidRPr="00C74D65">
        <w:rPr>
          <w:rFonts w:ascii="Arial" w:hAnsi="Arial" w:cs="Arial"/>
        </w:rPr>
        <w:t xml:space="preserve">European Commission (2014). Report on </w:t>
      </w:r>
      <w:r>
        <w:rPr>
          <w:rFonts w:ascii="Arial" w:hAnsi="Arial" w:cs="Arial"/>
        </w:rPr>
        <w:t>Critical Raw Materials</w:t>
      </w:r>
      <w:r w:rsidRPr="00C74D65">
        <w:rPr>
          <w:rFonts w:ascii="Arial" w:hAnsi="Arial" w:cs="Arial"/>
        </w:rPr>
        <w:t xml:space="preserve"> for the EU. Office for Official Publications of the European Communities.</w:t>
      </w:r>
    </w:p>
    <w:p w14:paraId="0AB555BE" w14:textId="3FB9BEC2" w:rsidR="00B400CD" w:rsidRDefault="009C4AD7" w:rsidP="00257FE6">
      <w:pPr>
        <w:spacing w:line="360" w:lineRule="auto"/>
        <w:rPr>
          <w:rFonts w:ascii="Arial" w:hAnsi="Arial" w:cs="Arial"/>
        </w:rPr>
      </w:pPr>
      <w:bookmarkStart w:id="55" w:name="_Hlk215073277"/>
      <w:bookmarkStart w:id="56" w:name="_Hlk215072655"/>
      <w:r w:rsidRPr="009C4AD7">
        <w:rPr>
          <w:rFonts w:ascii="Arial" w:hAnsi="Arial" w:cs="Arial"/>
        </w:rPr>
        <w:lastRenderedPageBreak/>
        <w:t>European Commission (2020) Regulation of The European Parliament and of The Council Concerning Batteries and Waste, Repealing Directive 2006/66/EC and Amending Regulation (EU) No 2019/1020. Office for Official Publications of the European Communities.</w:t>
      </w:r>
    </w:p>
    <w:p w14:paraId="0544968B" w14:textId="1D5C5179" w:rsidR="00AB1395" w:rsidRDefault="00AB1395" w:rsidP="00257FE6">
      <w:pPr>
        <w:spacing w:line="360" w:lineRule="auto"/>
        <w:rPr>
          <w:rFonts w:ascii="Arial" w:hAnsi="Arial" w:cs="Arial"/>
        </w:rPr>
      </w:pPr>
      <w:r w:rsidRPr="00AB1395">
        <w:rPr>
          <w:rFonts w:ascii="Arial" w:hAnsi="Arial" w:cs="Arial"/>
        </w:rPr>
        <w:t xml:space="preserve">European Commission (2024) Report </w:t>
      </w:r>
      <w:r>
        <w:rPr>
          <w:rFonts w:ascii="Arial" w:hAnsi="Arial" w:cs="Arial"/>
        </w:rPr>
        <w:t>f</w:t>
      </w:r>
      <w:r w:rsidRPr="00AB1395">
        <w:rPr>
          <w:rFonts w:ascii="Arial" w:hAnsi="Arial" w:cs="Arial"/>
        </w:rPr>
        <w:t xml:space="preserve">rom </w:t>
      </w:r>
      <w:r>
        <w:rPr>
          <w:rFonts w:ascii="Arial" w:hAnsi="Arial" w:cs="Arial"/>
        </w:rPr>
        <w:t>t</w:t>
      </w:r>
      <w:r w:rsidRPr="00AB1395">
        <w:rPr>
          <w:rFonts w:ascii="Arial" w:hAnsi="Arial" w:cs="Arial"/>
        </w:rPr>
        <w:t xml:space="preserve">he Commission </w:t>
      </w:r>
      <w:r>
        <w:rPr>
          <w:rFonts w:ascii="Arial" w:hAnsi="Arial" w:cs="Arial"/>
        </w:rPr>
        <w:t>t</w:t>
      </w:r>
      <w:r w:rsidRPr="00AB1395">
        <w:rPr>
          <w:rFonts w:ascii="Arial" w:hAnsi="Arial" w:cs="Arial"/>
        </w:rPr>
        <w:t xml:space="preserve">o </w:t>
      </w:r>
      <w:r>
        <w:rPr>
          <w:rFonts w:ascii="Arial" w:hAnsi="Arial" w:cs="Arial"/>
        </w:rPr>
        <w:t>t</w:t>
      </w:r>
      <w:r w:rsidRPr="00AB1395">
        <w:rPr>
          <w:rFonts w:ascii="Arial" w:hAnsi="Arial" w:cs="Arial"/>
        </w:rPr>
        <w:t xml:space="preserve">he European Parliament and The Council. The European Commission. Available at: </w:t>
      </w:r>
      <w:hyperlink r:id="rId28" w:history="1">
        <w:r w:rsidRPr="00FC13C9">
          <w:rPr>
            <w:rStyle w:val="Hyperlink"/>
            <w:rFonts w:ascii="Arial" w:hAnsi="Arial" w:cs="Arial"/>
          </w:rPr>
          <w:t>https://eur-lex.europa.eu/legal-content/EN/TXT/PDF/?uri=CELEX:52024DC0415</w:t>
        </w:r>
      </w:hyperlink>
      <w:r>
        <w:rPr>
          <w:rFonts w:ascii="Arial" w:hAnsi="Arial" w:cs="Arial"/>
        </w:rPr>
        <w:t xml:space="preserve"> </w:t>
      </w:r>
      <w:r w:rsidRPr="00AB1395">
        <w:rPr>
          <w:rFonts w:ascii="Arial" w:hAnsi="Arial" w:cs="Arial"/>
        </w:rPr>
        <w:t>(Accessed: 29 November 2025).</w:t>
      </w:r>
    </w:p>
    <w:p w14:paraId="2E23879A" w14:textId="10F0B29D" w:rsidR="00B84FDD" w:rsidRDefault="00B84FDD" w:rsidP="00257FE6">
      <w:pPr>
        <w:spacing w:line="360" w:lineRule="auto"/>
        <w:rPr>
          <w:rFonts w:ascii="Arial" w:hAnsi="Arial" w:cs="Arial"/>
        </w:rPr>
      </w:pPr>
      <w:r w:rsidRPr="00B84FDD">
        <w:rPr>
          <w:rFonts w:ascii="Arial" w:hAnsi="Arial" w:cs="Arial"/>
        </w:rPr>
        <w:t xml:space="preserve">European Parliament (2025). Traceability of </w:t>
      </w:r>
      <w:r>
        <w:rPr>
          <w:rFonts w:ascii="Arial" w:hAnsi="Arial" w:cs="Arial"/>
        </w:rPr>
        <w:t>Critical Raw Materials, with a Focus on Africa: Technical and Logistical Considerations</w:t>
      </w:r>
      <w:r w:rsidRPr="00B84FDD">
        <w:rPr>
          <w:rFonts w:ascii="Arial" w:hAnsi="Arial" w:cs="Arial"/>
        </w:rPr>
        <w:t xml:space="preserve">. Available at: </w:t>
      </w:r>
      <w:hyperlink r:id="rId29" w:history="1">
        <w:r w:rsidRPr="00227D8B">
          <w:rPr>
            <w:rStyle w:val="Hyperlink"/>
            <w:rFonts w:ascii="Arial" w:hAnsi="Arial" w:cs="Arial"/>
          </w:rPr>
          <w:t>https://www.europarl.europa.eu/cmsdata/297032/Traceability%20of%20critical%20raw%20materials.pdf</w:t>
        </w:r>
      </w:hyperlink>
      <w:r>
        <w:rPr>
          <w:rFonts w:ascii="Arial" w:hAnsi="Arial" w:cs="Arial"/>
        </w:rPr>
        <w:t xml:space="preserve"> </w:t>
      </w:r>
      <w:r w:rsidRPr="00B84FDD">
        <w:rPr>
          <w:rFonts w:ascii="Arial" w:hAnsi="Arial" w:cs="Arial"/>
        </w:rPr>
        <w:t>(Accessed: 29 November 2025).</w:t>
      </w:r>
    </w:p>
    <w:p w14:paraId="316B665F" w14:textId="76EE46EA" w:rsidR="00373E8E" w:rsidRDefault="00373E8E" w:rsidP="00257FE6">
      <w:pPr>
        <w:spacing w:line="360" w:lineRule="auto"/>
        <w:rPr>
          <w:rFonts w:ascii="Arial" w:hAnsi="Arial" w:cs="Arial"/>
        </w:rPr>
      </w:pPr>
      <w:r w:rsidRPr="00373E8E">
        <w:rPr>
          <w:rFonts w:ascii="Arial" w:hAnsi="Arial" w:cs="Arial"/>
        </w:rPr>
        <w:t xml:space="preserve">Freeman, R., Harrison, J., Wicks, A., Parmar, B., and de Colle, S. (2010) 'Stakeholder Theory', The State of the Art, Issue information, pp. 1-361. Available at: </w:t>
      </w:r>
      <w:hyperlink r:id="rId30" w:history="1">
        <w:r w:rsidRPr="00FC13C9">
          <w:rPr>
            <w:rStyle w:val="Hyperlink"/>
            <w:rFonts w:ascii="Arial" w:hAnsi="Arial" w:cs="Arial"/>
          </w:rPr>
          <w:t>https://doi.org/10.1017/CBO9780511815768.012</w:t>
        </w:r>
      </w:hyperlink>
      <w:r>
        <w:rPr>
          <w:rFonts w:ascii="Arial" w:hAnsi="Arial" w:cs="Arial"/>
        </w:rPr>
        <w:t xml:space="preserve"> </w:t>
      </w:r>
      <w:r w:rsidRPr="00373E8E">
        <w:rPr>
          <w:rFonts w:ascii="Arial" w:hAnsi="Arial" w:cs="Arial"/>
        </w:rPr>
        <w:t xml:space="preserve"> </w:t>
      </w:r>
    </w:p>
    <w:p w14:paraId="354BF65B" w14:textId="007C56B5" w:rsidR="00D356E7" w:rsidRDefault="00D356E7" w:rsidP="00257FE6">
      <w:pPr>
        <w:spacing w:line="360" w:lineRule="auto"/>
        <w:rPr>
          <w:rFonts w:ascii="Arial" w:hAnsi="Arial" w:cs="Arial"/>
        </w:rPr>
      </w:pPr>
      <w:r w:rsidRPr="00D356E7">
        <w:rPr>
          <w:rFonts w:ascii="Arial" w:hAnsi="Arial" w:cs="Arial"/>
        </w:rPr>
        <w:t>Gatsinzi, A. (2020)</w:t>
      </w:r>
      <w:r w:rsidR="00AD0033">
        <w:rPr>
          <w:rFonts w:ascii="Arial" w:hAnsi="Arial" w:cs="Arial"/>
        </w:rPr>
        <w:t>,</w:t>
      </w:r>
      <w:r w:rsidRPr="00D356E7">
        <w:rPr>
          <w:rFonts w:ascii="Arial" w:hAnsi="Arial" w:cs="Arial"/>
        </w:rPr>
        <w:t xml:space="preserve"> Young faces in dangerous places: a critical re-appraisal of the child labour debate in Africa’s artisanal and small-scale mining sector. Doctor of Philosophy. University of Surrey. Available at: </w:t>
      </w:r>
      <w:hyperlink r:id="rId31" w:history="1">
        <w:r w:rsidR="00AD0033" w:rsidRPr="009648D8">
          <w:rPr>
            <w:rStyle w:val="Hyperlink"/>
            <w:rFonts w:ascii="Arial" w:hAnsi="Arial" w:cs="Arial"/>
          </w:rPr>
          <w:t>https://doi.org/10.15126/thesis.00850789L</w:t>
        </w:r>
      </w:hyperlink>
      <w:r w:rsidR="00AD0033">
        <w:rPr>
          <w:rFonts w:ascii="Arial" w:hAnsi="Arial" w:cs="Arial"/>
        </w:rPr>
        <w:t xml:space="preserve"> </w:t>
      </w:r>
      <w:r w:rsidRPr="00D356E7">
        <w:rPr>
          <w:rFonts w:ascii="Arial" w:hAnsi="Arial" w:cs="Arial"/>
        </w:rPr>
        <w:t>(Accessed: 30 November 2025).</w:t>
      </w:r>
    </w:p>
    <w:p w14:paraId="4AF2292E" w14:textId="2B5D4C7C" w:rsidR="00ED2A71" w:rsidRDefault="00ED2A71" w:rsidP="00257FE6">
      <w:pPr>
        <w:spacing w:line="360" w:lineRule="auto"/>
        <w:rPr>
          <w:rFonts w:ascii="Arial" w:hAnsi="Arial" w:cs="Arial"/>
        </w:rPr>
      </w:pPr>
      <w:r w:rsidRPr="00ED2A71">
        <w:rPr>
          <w:rFonts w:ascii="Arial" w:hAnsi="Arial" w:cs="Arial"/>
        </w:rPr>
        <w:t>Graedel, T., Harper, E., Nassar, N., Nuss, P., and Reck, B. (2015</w:t>
      </w:r>
      <w:bookmarkEnd w:id="55"/>
      <w:r w:rsidRPr="00ED2A71">
        <w:rPr>
          <w:rFonts w:ascii="Arial" w:hAnsi="Arial" w:cs="Arial"/>
        </w:rPr>
        <w:t xml:space="preserve">) 'Criticality of metals and metalloids', Sustainability Science, 112(14), pp. 4257-4262. Available at: </w:t>
      </w:r>
      <w:hyperlink r:id="rId32" w:history="1">
        <w:r w:rsidRPr="00FC13C9">
          <w:rPr>
            <w:rStyle w:val="Hyperlink"/>
            <w:rFonts w:ascii="Arial" w:hAnsi="Arial" w:cs="Arial"/>
          </w:rPr>
          <w:t>https://doi.org/10.1073/pnas.1500415112</w:t>
        </w:r>
      </w:hyperlink>
      <w:r>
        <w:rPr>
          <w:rFonts w:ascii="Arial" w:hAnsi="Arial" w:cs="Arial"/>
        </w:rPr>
        <w:t xml:space="preserve"> </w:t>
      </w:r>
    </w:p>
    <w:p w14:paraId="1FBC9707" w14:textId="02D5462F" w:rsidR="006C0763" w:rsidRDefault="006C0763" w:rsidP="00257FE6">
      <w:pPr>
        <w:spacing w:line="360" w:lineRule="auto"/>
        <w:rPr>
          <w:rFonts w:ascii="Arial" w:hAnsi="Arial" w:cs="Arial"/>
        </w:rPr>
      </w:pPr>
      <w:r w:rsidRPr="006C0763">
        <w:rPr>
          <w:rFonts w:ascii="Arial" w:hAnsi="Arial" w:cs="Arial"/>
        </w:rPr>
        <w:t xml:space="preserve">Gulley, A. (2022) </w:t>
      </w:r>
      <w:bookmarkEnd w:id="56"/>
      <w:r w:rsidRPr="006C0763">
        <w:rPr>
          <w:rFonts w:ascii="Arial" w:hAnsi="Arial" w:cs="Arial"/>
        </w:rPr>
        <w:t xml:space="preserve">'One hundred years of cobalt production in the Democratic Republic of the Congo', Resources Policy, 79, pp. 1-10. Available at: </w:t>
      </w:r>
      <w:hyperlink r:id="rId33" w:history="1">
        <w:r w:rsidRPr="00FC13C9">
          <w:rPr>
            <w:rStyle w:val="Hyperlink"/>
            <w:rFonts w:ascii="Arial" w:hAnsi="Arial" w:cs="Arial"/>
          </w:rPr>
          <w:t>https://doi.org/10.1016/j.resourpol.2022.103007</w:t>
        </w:r>
      </w:hyperlink>
      <w:r>
        <w:rPr>
          <w:rFonts w:ascii="Arial" w:hAnsi="Arial" w:cs="Arial"/>
        </w:rPr>
        <w:t xml:space="preserve"> </w:t>
      </w:r>
    </w:p>
    <w:p w14:paraId="381075CF" w14:textId="1AF13DBC" w:rsidR="001908CB" w:rsidRDefault="001908CB" w:rsidP="003F7A2F">
      <w:pPr>
        <w:spacing w:line="360" w:lineRule="auto"/>
        <w:rPr>
          <w:rFonts w:ascii="Arial" w:hAnsi="Arial" w:cs="Arial"/>
        </w:rPr>
      </w:pPr>
      <w:r w:rsidRPr="001908CB">
        <w:rPr>
          <w:rFonts w:ascii="Arial" w:hAnsi="Arial" w:cs="Arial"/>
        </w:rPr>
        <w:t xml:space="preserve">Hilson, G., Hu, Y. (2022) 'Changing priorities, shifting narratives: Remapping rural livelihoods in Africa's artisanal and small-scale mining sector', Journal of Rural Studies, 92, pp. 93-108. Available at: </w:t>
      </w:r>
      <w:hyperlink r:id="rId34" w:history="1">
        <w:r w:rsidRPr="00FC13C9">
          <w:rPr>
            <w:rStyle w:val="Hyperlink"/>
            <w:rFonts w:ascii="Arial" w:hAnsi="Arial" w:cs="Arial"/>
          </w:rPr>
          <w:t>https://doi.org/10.1016/j.jrurstud.2022.03.010</w:t>
        </w:r>
      </w:hyperlink>
      <w:r>
        <w:rPr>
          <w:rFonts w:ascii="Arial" w:hAnsi="Arial" w:cs="Arial"/>
        </w:rPr>
        <w:t xml:space="preserve"> </w:t>
      </w:r>
    </w:p>
    <w:p w14:paraId="6C1D40BC" w14:textId="100F5A86" w:rsidR="0089652D" w:rsidRDefault="0089652D" w:rsidP="003F7A2F">
      <w:pPr>
        <w:spacing w:line="360" w:lineRule="auto"/>
        <w:rPr>
          <w:rFonts w:ascii="Arial" w:hAnsi="Arial" w:cs="Arial"/>
        </w:rPr>
      </w:pPr>
      <w:r w:rsidRPr="0089652D">
        <w:rPr>
          <w:rFonts w:ascii="Arial" w:hAnsi="Arial" w:cs="Arial"/>
        </w:rPr>
        <w:t xml:space="preserve">Hilson, G., Mondlane, S., Hilson, A., Arnall, A., and Laing, T. (2021) 'Formalizing artisanal and small-scale mining in Mozambique: Concerns, priorities and challenges', Resources Policy, 77, pp. 1-15. Available at: </w:t>
      </w:r>
      <w:hyperlink r:id="rId35" w:history="1">
        <w:r w:rsidR="00CC444A" w:rsidRPr="00FC13C9">
          <w:rPr>
            <w:rStyle w:val="Hyperlink"/>
            <w:rFonts w:ascii="Arial" w:hAnsi="Arial" w:cs="Arial"/>
          </w:rPr>
          <w:t>https://doi.org/10.1016/j.resourpol.2021.102001</w:t>
        </w:r>
      </w:hyperlink>
      <w:r w:rsidR="00CC444A">
        <w:rPr>
          <w:rFonts w:ascii="Arial" w:hAnsi="Arial" w:cs="Arial"/>
        </w:rPr>
        <w:t xml:space="preserve"> </w:t>
      </w:r>
    </w:p>
    <w:p w14:paraId="4C24C156" w14:textId="323BC094" w:rsidR="00AD10EE" w:rsidRDefault="00AD10EE" w:rsidP="003F7A2F">
      <w:pPr>
        <w:spacing w:line="360" w:lineRule="auto"/>
        <w:rPr>
          <w:rFonts w:ascii="Arial" w:hAnsi="Arial" w:cs="Arial"/>
        </w:rPr>
      </w:pPr>
      <w:bookmarkStart w:id="57" w:name="_Hlk215349258"/>
      <w:r w:rsidRPr="00AD10EE">
        <w:rPr>
          <w:rFonts w:ascii="Arial" w:hAnsi="Arial" w:cs="Arial"/>
        </w:rPr>
        <w:lastRenderedPageBreak/>
        <w:t xml:space="preserve">Hirlekar, O., Kolte, A., and Vasa, L. (2025) 'Transition in the mining industry with green energy: Economic dynamics in mining demand', Resources Policy, (100), pp.1-13. Available at: </w:t>
      </w:r>
      <w:hyperlink r:id="rId36" w:history="1">
        <w:r w:rsidRPr="00FC13C9">
          <w:rPr>
            <w:rStyle w:val="Hyperlink"/>
            <w:rFonts w:ascii="Arial" w:hAnsi="Arial" w:cs="Arial"/>
          </w:rPr>
          <w:t>https://doi.org/10.1016/j.resourpol.2024.105409</w:t>
        </w:r>
      </w:hyperlink>
      <w:r>
        <w:rPr>
          <w:rFonts w:ascii="Arial" w:hAnsi="Arial" w:cs="Arial"/>
        </w:rPr>
        <w:t xml:space="preserve"> </w:t>
      </w:r>
    </w:p>
    <w:p w14:paraId="224ED7C4" w14:textId="546BF1B6" w:rsidR="00C3648A" w:rsidRDefault="00C3648A" w:rsidP="003F7A2F">
      <w:pPr>
        <w:spacing w:line="360" w:lineRule="auto"/>
        <w:rPr>
          <w:rFonts w:ascii="Arial" w:hAnsi="Arial" w:cs="Arial"/>
        </w:rPr>
      </w:pPr>
      <w:r w:rsidRPr="00C3648A">
        <w:rPr>
          <w:rFonts w:ascii="Arial" w:hAnsi="Arial" w:cs="Arial"/>
        </w:rPr>
        <w:t xml:space="preserve">Hönke, J. (2010) </w:t>
      </w:r>
      <w:bookmarkEnd w:id="57"/>
      <w:r w:rsidRPr="00C3648A">
        <w:rPr>
          <w:rFonts w:ascii="Arial" w:hAnsi="Arial" w:cs="Arial"/>
        </w:rPr>
        <w:t xml:space="preserve">'New Political Topography. Mining Companies and Indirect Discharge in Southern Katanga (DRC)', Politique Africaine, 120, pp. 105-127. Available at: </w:t>
      </w:r>
      <w:hyperlink r:id="rId37" w:history="1">
        <w:r w:rsidR="00083B48" w:rsidRPr="00FC13C9">
          <w:rPr>
            <w:rStyle w:val="Hyperlink"/>
            <w:rFonts w:ascii="Arial" w:hAnsi="Arial" w:cs="Arial"/>
          </w:rPr>
          <w:t>https://shs.cairn.info/revue-politique-africaine-2010-4-page-105?lang=en</w:t>
        </w:r>
      </w:hyperlink>
      <w:r w:rsidR="00083B48">
        <w:rPr>
          <w:rFonts w:ascii="Arial" w:hAnsi="Arial" w:cs="Arial"/>
        </w:rPr>
        <w:t xml:space="preserve"> </w:t>
      </w:r>
      <w:r w:rsidRPr="00C3648A">
        <w:rPr>
          <w:rFonts w:ascii="Arial" w:hAnsi="Arial" w:cs="Arial"/>
        </w:rPr>
        <w:t>(Accessed: 27 November 2025).</w:t>
      </w:r>
    </w:p>
    <w:p w14:paraId="54A49B19" w14:textId="635D7895" w:rsidR="00766B0D" w:rsidRDefault="00766B0D" w:rsidP="00766B0D">
      <w:pPr>
        <w:spacing w:line="360" w:lineRule="auto"/>
        <w:rPr>
          <w:rFonts w:ascii="Arial" w:hAnsi="Arial" w:cs="Arial"/>
        </w:rPr>
      </w:pPr>
      <w:r w:rsidRPr="00766B0D">
        <w:rPr>
          <w:rFonts w:ascii="Arial" w:hAnsi="Arial" w:cs="Arial"/>
        </w:rPr>
        <w:t xml:space="preserve">Hunt, N.R. (1991) ‘Noise Over Camouflaged Polygamy, Colonial Morality Taxation, and a Woman-Naming Crisis in Belgian Africa1’, Journal of African history, 32(3), pp. 471–494. Available at: </w:t>
      </w:r>
      <w:hyperlink r:id="rId38" w:history="1">
        <w:r w:rsidR="006800C5" w:rsidRPr="00FC13C9">
          <w:rPr>
            <w:rStyle w:val="Hyperlink"/>
            <w:rFonts w:ascii="Arial" w:hAnsi="Arial" w:cs="Arial"/>
          </w:rPr>
          <w:t>https://doi.org/10.1017/S0021853700031558</w:t>
        </w:r>
      </w:hyperlink>
      <w:r w:rsidRPr="00766B0D">
        <w:rPr>
          <w:rFonts w:ascii="Arial" w:hAnsi="Arial" w:cs="Arial"/>
        </w:rPr>
        <w:t>.</w:t>
      </w:r>
      <w:r w:rsidR="006800C5">
        <w:rPr>
          <w:rFonts w:ascii="Arial" w:hAnsi="Arial" w:cs="Arial"/>
        </w:rPr>
        <w:t xml:space="preserve"> </w:t>
      </w:r>
    </w:p>
    <w:p w14:paraId="48040526" w14:textId="72B5EFE8" w:rsidR="00F400F8" w:rsidRDefault="00F400F8" w:rsidP="003F7A2F">
      <w:pPr>
        <w:spacing w:line="360" w:lineRule="auto"/>
        <w:rPr>
          <w:rFonts w:ascii="Arial" w:hAnsi="Arial" w:cs="Arial"/>
        </w:rPr>
      </w:pPr>
      <w:r w:rsidRPr="00F400F8">
        <w:rPr>
          <w:rFonts w:ascii="Arial" w:hAnsi="Arial" w:cs="Arial"/>
        </w:rPr>
        <w:t xml:space="preserve">Jones, B., Nguyen-Tien, V., and </w:t>
      </w:r>
      <w:r w:rsidR="00350661" w:rsidRPr="00F400F8">
        <w:rPr>
          <w:rFonts w:ascii="Arial" w:hAnsi="Arial" w:cs="Arial"/>
        </w:rPr>
        <w:t>Elliot,</w:t>
      </w:r>
      <w:r w:rsidRPr="00F400F8">
        <w:rPr>
          <w:rFonts w:ascii="Arial" w:hAnsi="Arial" w:cs="Arial"/>
        </w:rPr>
        <w:t xml:space="preserve"> R. (2022) 'The electric vehicle revolution: Critical material supply chains, trade and development', The World Economy, 46(1), pp. 2-26. Available at: </w:t>
      </w:r>
      <w:hyperlink r:id="rId39" w:history="1">
        <w:r w:rsidRPr="00FC13C9">
          <w:rPr>
            <w:rStyle w:val="Hyperlink"/>
            <w:rFonts w:ascii="Arial" w:hAnsi="Arial" w:cs="Arial"/>
          </w:rPr>
          <w:t>https://doi.org/10.1111/twec.13345</w:t>
        </w:r>
      </w:hyperlink>
      <w:r>
        <w:rPr>
          <w:rFonts w:ascii="Arial" w:hAnsi="Arial" w:cs="Arial"/>
        </w:rPr>
        <w:t xml:space="preserve"> </w:t>
      </w:r>
    </w:p>
    <w:p w14:paraId="7F0C5BF6" w14:textId="49150F98" w:rsidR="00D02B79" w:rsidRDefault="00D02B79" w:rsidP="003F7A2F">
      <w:pPr>
        <w:spacing w:line="360" w:lineRule="auto"/>
        <w:rPr>
          <w:rFonts w:ascii="Arial" w:hAnsi="Arial" w:cs="Arial"/>
        </w:rPr>
      </w:pPr>
      <w:r w:rsidRPr="00D02B79">
        <w:rPr>
          <w:rFonts w:ascii="Arial" w:hAnsi="Arial" w:cs="Arial"/>
        </w:rPr>
        <w:t xml:space="preserve">Kayembe-Kitenge, T., Kabange Umba, I., Obadia, P., Mbuyi-Musanzayi, S., Nkulu Banza, P., Katoto, P., Nawej, C., Kalenga IIunga, G., Haufroid, V., Banza Lubaba Nkulu, C., Nawrot, T., and Nemery, B. (2020) 'Respiratory Health and Urinary Trace Metals among Artisanal Stone-Crushers: A Cross-Sectional Study in Lubumbashi, DR Congo', Environmental Health, 17(24), pp. 9384. Available at: </w:t>
      </w:r>
      <w:hyperlink r:id="rId40" w:history="1">
        <w:r w:rsidRPr="00FC13C9">
          <w:rPr>
            <w:rStyle w:val="Hyperlink"/>
            <w:rFonts w:ascii="Arial" w:hAnsi="Arial" w:cs="Arial"/>
          </w:rPr>
          <w:t>https://doi.org/10.3390/ijerph17249384</w:t>
        </w:r>
      </w:hyperlink>
      <w:r>
        <w:rPr>
          <w:rFonts w:ascii="Arial" w:hAnsi="Arial" w:cs="Arial"/>
        </w:rPr>
        <w:t xml:space="preserve"> </w:t>
      </w:r>
    </w:p>
    <w:p w14:paraId="6D7F043F" w14:textId="3EA946C2" w:rsidR="000F02C2" w:rsidRDefault="000F02C2" w:rsidP="003F7A2F">
      <w:pPr>
        <w:spacing w:line="360" w:lineRule="auto"/>
        <w:rPr>
          <w:rFonts w:ascii="Arial" w:hAnsi="Arial" w:cs="Arial"/>
        </w:rPr>
      </w:pPr>
      <w:r w:rsidRPr="000F02C2">
        <w:rPr>
          <w:rFonts w:ascii="Arial" w:hAnsi="Arial" w:cs="Arial"/>
        </w:rPr>
        <w:t xml:space="preserve">Kříbek, B., Majer, V., Veselovský, F., and Nyambe, I. (2010) 'Discrimination of lithogenic and anthropogenic sources of metals and sulphur in soils of the central-northern part of the Zambian Copperbelt Mining District: A topsoil vs. subsurface soil concept', Journal of Geochemical Exploration, 104(3), pp. 69-86. Available at: </w:t>
      </w:r>
      <w:hyperlink r:id="rId41" w:history="1">
        <w:r w:rsidRPr="00FC13C9">
          <w:rPr>
            <w:rStyle w:val="Hyperlink"/>
            <w:rFonts w:ascii="Arial" w:hAnsi="Arial" w:cs="Arial"/>
          </w:rPr>
          <w:t>https://doi-org.ezproxy.uwtsd.ac.uk/10.1016/j.gexplo.2009.12.005</w:t>
        </w:r>
      </w:hyperlink>
      <w:r>
        <w:rPr>
          <w:rFonts w:ascii="Arial" w:hAnsi="Arial" w:cs="Arial"/>
        </w:rPr>
        <w:t xml:space="preserve"> </w:t>
      </w:r>
    </w:p>
    <w:p w14:paraId="5B8F9E2F" w14:textId="06866937" w:rsidR="003F7A2F" w:rsidRDefault="003F7A2F" w:rsidP="003F7A2F">
      <w:pPr>
        <w:spacing w:line="360" w:lineRule="auto"/>
        <w:rPr>
          <w:rFonts w:ascii="Arial" w:hAnsi="Arial" w:cs="Arial"/>
        </w:rPr>
      </w:pPr>
      <w:r w:rsidRPr="003F7A2F">
        <w:rPr>
          <w:rFonts w:ascii="Arial" w:hAnsi="Arial" w:cs="Arial"/>
        </w:rPr>
        <w:t>Links, S., de Feijter, T., and Lammertink, J. (2021)</w:t>
      </w:r>
      <w:r w:rsidR="007534EE">
        <w:rPr>
          <w:rFonts w:ascii="Arial" w:hAnsi="Arial" w:cs="Arial"/>
        </w:rPr>
        <w:t>. Chinese Approaches to Overseas Responsible Business:</w:t>
      </w:r>
      <w:r w:rsidRPr="003F7A2F">
        <w:rPr>
          <w:rFonts w:ascii="Arial" w:hAnsi="Arial" w:cs="Arial"/>
        </w:rPr>
        <w:t xml:space="preserve"> Insights from the DRC Cobalt Industry. Leiden</w:t>
      </w:r>
      <w:r>
        <w:rPr>
          <w:rFonts w:ascii="Arial" w:hAnsi="Arial" w:cs="Arial"/>
        </w:rPr>
        <w:t xml:space="preserve"> </w:t>
      </w:r>
      <w:r w:rsidRPr="003F7A2F">
        <w:rPr>
          <w:rFonts w:ascii="Arial" w:hAnsi="Arial" w:cs="Arial"/>
        </w:rPr>
        <w:t>Asia</w:t>
      </w:r>
      <w:r>
        <w:rPr>
          <w:rFonts w:ascii="Arial" w:hAnsi="Arial" w:cs="Arial"/>
        </w:rPr>
        <w:t xml:space="preserve"> </w:t>
      </w:r>
      <w:r w:rsidRPr="003F7A2F">
        <w:rPr>
          <w:rFonts w:ascii="Arial" w:hAnsi="Arial" w:cs="Arial"/>
        </w:rPr>
        <w:t xml:space="preserve">Centre Available at: </w:t>
      </w:r>
      <w:hyperlink r:id="rId42" w:history="1">
        <w:r w:rsidR="00B40044" w:rsidRPr="00FC13C9">
          <w:rPr>
            <w:rStyle w:val="Hyperlink"/>
            <w:rFonts w:ascii="Arial" w:hAnsi="Arial" w:cs="Arial"/>
          </w:rPr>
          <w:t>https://www.securityhumanrightshub.org/media/pdf/resources/Chinese-Approaches-to-Overseas-Responsible-Business_0_1.pdf</w:t>
        </w:r>
      </w:hyperlink>
      <w:r w:rsidR="00B40044">
        <w:rPr>
          <w:rFonts w:ascii="Arial" w:hAnsi="Arial" w:cs="Arial"/>
        </w:rPr>
        <w:t xml:space="preserve"> </w:t>
      </w:r>
      <w:r w:rsidRPr="003F7A2F">
        <w:rPr>
          <w:rFonts w:ascii="Arial" w:hAnsi="Arial" w:cs="Arial"/>
        </w:rPr>
        <w:t xml:space="preserve"> (Accessed: 26 November 2025).</w:t>
      </w:r>
    </w:p>
    <w:p w14:paraId="718A6973" w14:textId="18B22DC1" w:rsidR="004B3A3C" w:rsidRDefault="004B3A3C" w:rsidP="00257FE6">
      <w:pPr>
        <w:spacing w:line="360" w:lineRule="auto"/>
        <w:rPr>
          <w:rFonts w:ascii="Arial" w:hAnsi="Arial" w:cs="Arial"/>
        </w:rPr>
      </w:pPr>
      <w:r w:rsidRPr="004B3A3C">
        <w:rPr>
          <w:rFonts w:ascii="Arial" w:hAnsi="Arial" w:cs="Arial"/>
        </w:rPr>
        <w:t>Löf, A., Löf, O., and Ericsson, M. (2021)</w:t>
      </w:r>
      <w:r w:rsidR="00B8479D">
        <w:rPr>
          <w:rFonts w:ascii="Arial" w:hAnsi="Arial" w:cs="Arial"/>
        </w:rPr>
        <w:t>.</w:t>
      </w:r>
      <w:r w:rsidRPr="004B3A3C">
        <w:rPr>
          <w:rFonts w:ascii="Arial" w:hAnsi="Arial" w:cs="Arial"/>
        </w:rPr>
        <w:t xml:space="preserve"> Resource rents in the diamond industry 2014-19: Rents, issues, methods, and data availability. WIDER Working Paper No. 2021/39. The </w:t>
      </w:r>
      <w:r w:rsidRPr="004B3A3C">
        <w:rPr>
          <w:rFonts w:ascii="Arial" w:hAnsi="Arial" w:cs="Arial"/>
        </w:rPr>
        <w:lastRenderedPageBreak/>
        <w:t>United Nations University World Institute for Development Economics Research (UNU-WIDER), Helsinki</w:t>
      </w:r>
      <w:r w:rsidR="00B8479D">
        <w:rPr>
          <w:rFonts w:ascii="Arial" w:hAnsi="Arial" w:cs="Arial"/>
        </w:rPr>
        <w:t xml:space="preserve">. Available at: </w:t>
      </w:r>
      <w:hyperlink r:id="rId43" w:history="1">
        <w:r w:rsidR="00B8479D" w:rsidRPr="00FC13C9">
          <w:rPr>
            <w:rStyle w:val="Hyperlink"/>
            <w:rFonts w:ascii="Arial" w:hAnsi="Arial" w:cs="Arial"/>
          </w:rPr>
          <w:t>https://www.econstor.eu/bitstream/10419/243365/1/wp2021-039.pdf</w:t>
        </w:r>
      </w:hyperlink>
      <w:r w:rsidR="00B8479D">
        <w:rPr>
          <w:rFonts w:ascii="Arial" w:hAnsi="Arial" w:cs="Arial"/>
        </w:rPr>
        <w:t xml:space="preserve"> Accessed: 27 November 2025</w:t>
      </w:r>
      <w:r w:rsidRPr="004B3A3C">
        <w:rPr>
          <w:rFonts w:ascii="Arial" w:hAnsi="Arial" w:cs="Arial"/>
        </w:rPr>
        <w:t>.</w:t>
      </w:r>
    </w:p>
    <w:p w14:paraId="5EA0BFD6" w14:textId="61A42774" w:rsidR="004A345A" w:rsidRDefault="004A345A" w:rsidP="00257FE6">
      <w:pPr>
        <w:spacing w:line="360" w:lineRule="auto"/>
        <w:rPr>
          <w:rFonts w:ascii="Arial" w:hAnsi="Arial" w:cs="Arial"/>
        </w:rPr>
      </w:pPr>
      <w:r w:rsidRPr="004A345A">
        <w:rPr>
          <w:rFonts w:ascii="Arial" w:hAnsi="Arial" w:cs="Arial"/>
        </w:rPr>
        <w:t xml:space="preserve">Mancini, L., Eslava, N., Traverso, M., Mathieux, F. (2021) 'Assessing impacts of responsible sourcing initiatives for cobalt: Insights from a case study', Resources Policy, 71, pp.1-14. Available at: </w:t>
      </w:r>
      <w:hyperlink r:id="rId44" w:history="1">
        <w:r w:rsidRPr="00FC13C9">
          <w:rPr>
            <w:rStyle w:val="Hyperlink"/>
            <w:rFonts w:ascii="Arial" w:hAnsi="Arial" w:cs="Arial"/>
          </w:rPr>
          <w:t>https://doi.org/10.1016/j.resourpol.2021.102015</w:t>
        </w:r>
      </w:hyperlink>
      <w:r>
        <w:rPr>
          <w:rFonts w:ascii="Arial" w:hAnsi="Arial" w:cs="Arial"/>
        </w:rPr>
        <w:t xml:space="preserve"> </w:t>
      </w:r>
    </w:p>
    <w:p w14:paraId="7AD1128B" w14:textId="7D55D729" w:rsidR="002F4FC1" w:rsidRDefault="005F3333" w:rsidP="00257FE6">
      <w:pPr>
        <w:spacing w:line="360" w:lineRule="auto"/>
        <w:rPr>
          <w:rFonts w:ascii="Arial" w:hAnsi="Arial" w:cs="Arial"/>
        </w:rPr>
      </w:pPr>
      <w:r w:rsidRPr="005F3333">
        <w:rPr>
          <w:rFonts w:ascii="Arial" w:hAnsi="Arial" w:cs="Arial"/>
        </w:rPr>
        <w:t>Mancin</w:t>
      </w:r>
      <w:r w:rsidR="00754F22">
        <w:rPr>
          <w:rFonts w:ascii="Arial" w:hAnsi="Arial" w:cs="Arial"/>
        </w:rPr>
        <w:t>i</w:t>
      </w:r>
      <w:r w:rsidRPr="005F3333">
        <w:rPr>
          <w:rFonts w:ascii="Arial" w:hAnsi="Arial" w:cs="Arial"/>
        </w:rPr>
        <w:t>, L., Eslava, N., Traverso, M., and Mathieux, F. (2020)</w:t>
      </w:r>
      <w:r w:rsidR="00754F22">
        <w:rPr>
          <w:rFonts w:ascii="Arial" w:hAnsi="Arial" w:cs="Arial"/>
        </w:rPr>
        <w:t>.</w:t>
      </w:r>
      <w:r w:rsidRPr="005F3333">
        <w:rPr>
          <w:rFonts w:ascii="Arial" w:hAnsi="Arial" w:cs="Arial"/>
        </w:rPr>
        <w:t xml:space="preserve"> Responsible and sustainable sourcing of battery raw materials. JRC120422. Luxembourg: Publications Office of the European Union, 2020</w:t>
      </w:r>
      <w:r w:rsidR="00754F22">
        <w:rPr>
          <w:rFonts w:ascii="Arial" w:hAnsi="Arial" w:cs="Arial"/>
        </w:rPr>
        <w:t>.</w:t>
      </w:r>
      <w:r w:rsidRPr="005F3333">
        <w:rPr>
          <w:rFonts w:ascii="Arial" w:hAnsi="Arial" w:cs="Arial"/>
        </w:rPr>
        <w:t xml:space="preserve"> Available at: </w:t>
      </w:r>
      <w:hyperlink r:id="rId45" w:history="1">
        <w:r w:rsidR="00754F22" w:rsidRPr="00FC13C9">
          <w:rPr>
            <w:rStyle w:val="Hyperlink"/>
            <w:rFonts w:ascii="Arial" w:hAnsi="Arial" w:cs="Arial"/>
          </w:rPr>
          <w:t>https://www.researchgate.net/profile/Lucia-Mancini-3/publication/342561691_Responsible_and_sustainable_sourcing_of_battery_raw_materials/links/5efb3bca299bf18816f38efc/Responsible-and-sustainable-sourcing-of-battery-raw-materials.pdf</w:t>
        </w:r>
      </w:hyperlink>
      <w:r w:rsidR="00754F22">
        <w:rPr>
          <w:rFonts w:ascii="Arial" w:hAnsi="Arial" w:cs="Arial"/>
        </w:rPr>
        <w:t xml:space="preserve"> </w:t>
      </w:r>
      <w:r w:rsidRPr="005F3333">
        <w:rPr>
          <w:rFonts w:ascii="Arial" w:hAnsi="Arial" w:cs="Arial"/>
        </w:rPr>
        <w:t xml:space="preserve"> (Accessed: 28 November 2025).</w:t>
      </w:r>
    </w:p>
    <w:p w14:paraId="42EFB841" w14:textId="0BFA47CB" w:rsidR="00D744C9" w:rsidRDefault="00D744C9" w:rsidP="00257FE6">
      <w:pPr>
        <w:spacing w:line="360" w:lineRule="auto"/>
        <w:rPr>
          <w:rFonts w:ascii="Arial" w:hAnsi="Arial" w:cs="Arial"/>
        </w:rPr>
      </w:pPr>
      <w:r w:rsidRPr="00D744C9">
        <w:rPr>
          <w:rFonts w:ascii="Arial" w:hAnsi="Arial" w:cs="Arial"/>
        </w:rPr>
        <w:t xml:space="preserve">Miller, D., and Le Breton-Miller, I. (2025) 'The Best of Firms, the Worst of Firms: Ethical Bifurcation in Family Businesses During Crises', Journal of Business Ethics, 198, pp. 733-748. Available at:  </w:t>
      </w:r>
      <w:hyperlink r:id="rId46" w:history="1">
        <w:r w:rsidRPr="00FC13C9">
          <w:rPr>
            <w:rStyle w:val="Hyperlink"/>
            <w:rFonts w:ascii="Arial" w:hAnsi="Arial" w:cs="Arial"/>
          </w:rPr>
          <w:t>https://doi.org/10.1007/s10551-025-05939-5</w:t>
        </w:r>
      </w:hyperlink>
      <w:r>
        <w:rPr>
          <w:rFonts w:ascii="Arial" w:hAnsi="Arial" w:cs="Arial"/>
        </w:rPr>
        <w:t xml:space="preserve"> </w:t>
      </w:r>
    </w:p>
    <w:p w14:paraId="1A45A2FE" w14:textId="2118793C" w:rsidR="00BC3BF0" w:rsidRDefault="00BC3BF0" w:rsidP="00257FE6">
      <w:pPr>
        <w:spacing w:line="360" w:lineRule="auto"/>
        <w:rPr>
          <w:rFonts w:ascii="Arial" w:hAnsi="Arial" w:cs="Arial"/>
        </w:rPr>
      </w:pPr>
      <w:r w:rsidRPr="00BC3BF0">
        <w:rPr>
          <w:rFonts w:ascii="Arial" w:hAnsi="Arial" w:cs="Arial"/>
        </w:rPr>
        <w:t>Mirzaei, S., Shokouhyar, S. (2022)</w:t>
      </w:r>
      <w:bookmarkEnd w:id="54"/>
      <w:r w:rsidRPr="00BC3BF0">
        <w:rPr>
          <w:rFonts w:ascii="Arial" w:hAnsi="Arial" w:cs="Arial"/>
        </w:rPr>
        <w:t xml:space="preserve"> 'Applying a thematic analysis in identifying the role of circular economy in sustainable supply chain practices', Environment, Development and Sustainability, 25, pp. 4691–4722. Available at: </w:t>
      </w:r>
      <w:hyperlink r:id="rId47" w:history="1">
        <w:r w:rsidRPr="001B60B0">
          <w:rPr>
            <w:rStyle w:val="Hyperlink"/>
            <w:rFonts w:ascii="Arial" w:hAnsi="Arial" w:cs="Arial"/>
          </w:rPr>
          <w:t>https://doi-org.ezproxy.uwtsd.ac.uk/10.1007/s10668-022-02217-6</w:t>
        </w:r>
      </w:hyperlink>
      <w:r>
        <w:rPr>
          <w:rFonts w:ascii="Arial" w:hAnsi="Arial" w:cs="Arial"/>
        </w:rPr>
        <w:t xml:space="preserve"> </w:t>
      </w:r>
    </w:p>
    <w:p w14:paraId="34FA340C" w14:textId="5203D8BC" w:rsidR="00EE02B8" w:rsidRDefault="00EE02B8" w:rsidP="00257FE6">
      <w:pPr>
        <w:spacing w:line="360" w:lineRule="auto"/>
        <w:rPr>
          <w:rFonts w:ascii="Arial" w:hAnsi="Arial" w:cs="Arial"/>
        </w:rPr>
      </w:pPr>
      <w:r w:rsidRPr="00EE02B8">
        <w:rPr>
          <w:rFonts w:ascii="Arial" w:hAnsi="Arial" w:cs="Arial"/>
        </w:rPr>
        <w:t xml:space="preserve">Mugurusi, G., and Ahishakiye, E. (2022) 'Blockchain technology needs for sustainable mineral supply chains: A framework for responsible sourcing of Cobalt', Procedia Computer Science, 22, pp.638-647. Available at: </w:t>
      </w:r>
      <w:hyperlink r:id="rId48" w:history="1">
        <w:r w:rsidRPr="009648D8">
          <w:rPr>
            <w:rStyle w:val="Hyperlink"/>
            <w:rFonts w:ascii="Arial" w:hAnsi="Arial" w:cs="Arial"/>
          </w:rPr>
          <w:t>https://doi.org/10.1016/j.procs.2022.01.26</w:t>
        </w:r>
      </w:hyperlink>
      <w:r>
        <w:rPr>
          <w:rFonts w:ascii="Arial" w:hAnsi="Arial" w:cs="Arial"/>
        </w:rPr>
        <w:t xml:space="preserve"> </w:t>
      </w:r>
    </w:p>
    <w:p w14:paraId="5516573B" w14:textId="54AABBF9" w:rsidR="00D34471" w:rsidRDefault="00D34471" w:rsidP="00257FE6">
      <w:pPr>
        <w:spacing w:line="360" w:lineRule="auto"/>
        <w:rPr>
          <w:rFonts w:ascii="Arial" w:hAnsi="Arial" w:cs="Arial"/>
        </w:rPr>
      </w:pPr>
      <w:r w:rsidRPr="00D34471">
        <w:rPr>
          <w:rFonts w:ascii="Arial" w:hAnsi="Arial" w:cs="Arial"/>
        </w:rPr>
        <w:t xml:space="preserve">Muimba-Kankolongo, A., Lubaba Nkulu, C., Mwitwa, J., Kampemba, F., Nabuyanda, M., Haufroid, V., Smolders, E., and Nemery, B. (2021) 'Contamination of water and food crops by trace elements in the African Copperbelt: A collaborative cross-border study in Zambia and the Democratic Republic of Congo', Environmental Advances, 6, pp. 1-11. Available at: </w:t>
      </w:r>
      <w:hyperlink r:id="rId49" w:history="1">
        <w:r w:rsidRPr="00FC13C9">
          <w:rPr>
            <w:rStyle w:val="Hyperlink"/>
            <w:rFonts w:ascii="Arial" w:hAnsi="Arial" w:cs="Arial"/>
          </w:rPr>
          <w:t>https://doi.org/10.1016/j.envadv.2021.100103</w:t>
        </w:r>
      </w:hyperlink>
      <w:r>
        <w:rPr>
          <w:rFonts w:ascii="Arial" w:hAnsi="Arial" w:cs="Arial"/>
        </w:rPr>
        <w:t xml:space="preserve"> </w:t>
      </w:r>
    </w:p>
    <w:p w14:paraId="2082AD5D" w14:textId="46B62781" w:rsidR="00DD1677" w:rsidRDefault="00DD1677" w:rsidP="00257FE6">
      <w:pPr>
        <w:spacing w:line="360" w:lineRule="auto"/>
        <w:rPr>
          <w:rFonts w:ascii="Arial" w:hAnsi="Arial" w:cs="Arial"/>
        </w:rPr>
      </w:pPr>
      <w:r w:rsidRPr="00DD1677">
        <w:rPr>
          <w:rFonts w:ascii="Arial" w:hAnsi="Arial" w:cs="Arial"/>
        </w:rPr>
        <w:t xml:space="preserve">Nassar, N., Brainard, J., Gulley, A., Manley, R., Matos, G., Lederer, G., Bird, L., Pineault, D., Alonso, E., Gambogi, J., and Fortier, S. (2020) 'Evaluating the mineral commodity supply risk </w:t>
      </w:r>
      <w:r w:rsidRPr="00DD1677">
        <w:rPr>
          <w:rFonts w:ascii="Arial" w:hAnsi="Arial" w:cs="Arial"/>
        </w:rPr>
        <w:lastRenderedPageBreak/>
        <w:t xml:space="preserve">of the U.S. manufacturing sector', Economics, 6(8), pp. 1-11. Available at: </w:t>
      </w:r>
      <w:hyperlink r:id="rId50" w:history="1">
        <w:r w:rsidRPr="00FC13C9">
          <w:rPr>
            <w:rStyle w:val="Hyperlink"/>
            <w:rFonts w:ascii="Arial" w:hAnsi="Arial" w:cs="Arial"/>
          </w:rPr>
          <w:t>https://www.science.org/doi/pdf/10.1126/sciadv.aay8647</w:t>
        </w:r>
      </w:hyperlink>
      <w:r>
        <w:rPr>
          <w:rFonts w:ascii="Arial" w:hAnsi="Arial" w:cs="Arial"/>
        </w:rPr>
        <w:t xml:space="preserve"> </w:t>
      </w:r>
      <w:r w:rsidRPr="00DD1677">
        <w:rPr>
          <w:rFonts w:ascii="Arial" w:hAnsi="Arial" w:cs="Arial"/>
        </w:rPr>
        <w:t>(Accessed: 23 November 2025).</w:t>
      </w:r>
    </w:p>
    <w:p w14:paraId="062FE57F" w14:textId="72565197" w:rsidR="00501FC4" w:rsidRDefault="00501FC4" w:rsidP="00257FE6">
      <w:pPr>
        <w:spacing w:line="360" w:lineRule="auto"/>
        <w:rPr>
          <w:rFonts w:ascii="Arial" w:hAnsi="Arial" w:cs="Arial"/>
        </w:rPr>
      </w:pPr>
      <w:r w:rsidRPr="00501FC4">
        <w:rPr>
          <w:rFonts w:ascii="Arial" w:hAnsi="Arial" w:cs="Arial"/>
        </w:rPr>
        <w:t>OECD</w:t>
      </w:r>
      <w:r>
        <w:rPr>
          <w:rFonts w:ascii="Arial" w:hAnsi="Arial" w:cs="Arial"/>
        </w:rPr>
        <w:t xml:space="preserve"> (Organisation for Economic Co-operation and Development) </w:t>
      </w:r>
      <w:r w:rsidRPr="00501FC4">
        <w:rPr>
          <w:rFonts w:ascii="Arial" w:hAnsi="Arial" w:cs="Arial"/>
        </w:rPr>
        <w:t xml:space="preserve">(2016). OECD Due Diligence Guidance for Responsible Supply Chains of Minerals from Conflict-Affected and High-Risk Areas. OECD Publishing Available at: </w:t>
      </w:r>
      <w:hyperlink r:id="rId51" w:history="1">
        <w:r w:rsidRPr="00FC13C9">
          <w:rPr>
            <w:rStyle w:val="Hyperlink"/>
            <w:rFonts w:ascii="Arial" w:hAnsi="Arial" w:cs="Arial"/>
          </w:rPr>
          <w:t>https://www.oecd.org/content/dam/oecd/en/publications/reports/2016/04/oecd-due-diligence-guidance-for-responsible-supply-chains-of-minerals-from-conflict-affected-and-high-risk-areas_g1g65996/9789264252479-en.pdf</w:t>
        </w:r>
      </w:hyperlink>
      <w:r>
        <w:rPr>
          <w:rFonts w:ascii="Arial" w:hAnsi="Arial" w:cs="Arial"/>
        </w:rPr>
        <w:t xml:space="preserve"> </w:t>
      </w:r>
      <w:r w:rsidRPr="00501FC4">
        <w:rPr>
          <w:rFonts w:ascii="Arial" w:hAnsi="Arial" w:cs="Arial"/>
        </w:rPr>
        <w:t>(Accessed: 26 November 2025).</w:t>
      </w:r>
    </w:p>
    <w:p w14:paraId="0DD9315A" w14:textId="3D5F258A" w:rsidR="00A65F5D" w:rsidRDefault="00A65F5D" w:rsidP="00257FE6">
      <w:pPr>
        <w:spacing w:line="360" w:lineRule="auto"/>
        <w:rPr>
          <w:rFonts w:ascii="Arial" w:hAnsi="Arial" w:cs="Arial"/>
        </w:rPr>
      </w:pPr>
      <w:r w:rsidRPr="00A65F5D">
        <w:rPr>
          <w:rFonts w:ascii="Arial" w:hAnsi="Arial" w:cs="Arial"/>
        </w:rPr>
        <w:t xml:space="preserve">OECD </w:t>
      </w:r>
      <w:bookmarkStart w:id="58" w:name="_Hlk215311444"/>
      <w:r w:rsidRPr="00A65F5D">
        <w:rPr>
          <w:rFonts w:ascii="Arial" w:hAnsi="Arial" w:cs="Arial"/>
        </w:rPr>
        <w:t xml:space="preserve">(Organisation for Economic Co-operation and Development) </w:t>
      </w:r>
      <w:bookmarkEnd w:id="58"/>
      <w:r w:rsidRPr="00A65F5D">
        <w:rPr>
          <w:rFonts w:ascii="Arial" w:hAnsi="Arial" w:cs="Arial"/>
        </w:rPr>
        <w:t xml:space="preserve">(2019) Interconnected supply chains: a comprehensive look at due diligence challenges and opportunities sourcing cobalt and copper from the Democratic Republic of </w:t>
      </w:r>
      <w:r w:rsidR="00B96975">
        <w:rPr>
          <w:rFonts w:ascii="Arial" w:hAnsi="Arial" w:cs="Arial"/>
        </w:rPr>
        <w:t>the</w:t>
      </w:r>
      <w:r w:rsidRPr="00A65F5D">
        <w:rPr>
          <w:rFonts w:ascii="Arial" w:hAnsi="Arial" w:cs="Arial"/>
        </w:rPr>
        <w:t xml:space="preserve"> Congo. OECD Publishing, Paris, Available at: </w:t>
      </w:r>
      <w:hyperlink r:id="rId52" w:history="1">
        <w:r w:rsidRPr="00FC13C9">
          <w:rPr>
            <w:rStyle w:val="Hyperlink"/>
            <w:rFonts w:ascii="Arial" w:hAnsi="Arial" w:cs="Arial"/>
          </w:rPr>
          <w:t>https://doi.org/10.1787/576804e7-en</w:t>
        </w:r>
      </w:hyperlink>
      <w:r w:rsidRPr="00A65F5D">
        <w:rPr>
          <w:rFonts w:ascii="Arial" w:hAnsi="Arial" w:cs="Arial"/>
        </w:rPr>
        <w:t>.</w:t>
      </w:r>
      <w:r>
        <w:rPr>
          <w:rFonts w:ascii="Arial" w:hAnsi="Arial" w:cs="Arial"/>
        </w:rPr>
        <w:t xml:space="preserve"> </w:t>
      </w:r>
      <w:r w:rsidRPr="00A65F5D">
        <w:rPr>
          <w:rFonts w:ascii="Arial" w:hAnsi="Arial" w:cs="Arial"/>
        </w:rPr>
        <w:t>(Accessed: 26 November 2025).</w:t>
      </w:r>
    </w:p>
    <w:p w14:paraId="6EE75BD4" w14:textId="49CB28B3" w:rsidR="00531083" w:rsidRDefault="00531083" w:rsidP="00257FE6">
      <w:pPr>
        <w:spacing w:line="360" w:lineRule="auto"/>
        <w:rPr>
          <w:rFonts w:ascii="Arial" w:hAnsi="Arial" w:cs="Arial"/>
        </w:rPr>
      </w:pPr>
      <w:r w:rsidRPr="00531083">
        <w:rPr>
          <w:rFonts w:ascii="Arial" w:hAnsi="Arial" w:cs="Arial"/>
        </w:rPr>
        <w:t xml:space="preserve">Onuma, E. (2025) 'Multi-Tier Supplier Visibility and Ethical Sourcing: Leveraging Blockchain for Transparency in Complex Global Supply Chains', International Journal of Research Publication and Reviews, 6(3), pp.3579-3593. Available at: </w:t>
      </w:r>
      <w:hyperlink r:id="rId53" w:history="1">
        <w:r w:rsidR="0006195B" w:rsidRPr="009648D8">
          <w:rPr>
            <w:rStyle w:val="Hyperlink"/>
            <w:rFonts w:ascii="Arial" w:hAnsi="Arial" w:cs="Arial"/>
          </w:rPr>
          <w:t>https://doi.org/10.55248/gengpi.6.0325.11145</w:t>
        </w:r>
      </w:hyperlink>
      <w:r w:rsidR="0006195B">
        <w:rPr>
          <w:rFonts w:ascii="Arial" w:hAnsi="Arial" w:cs="Arial"/>
        </w:rPr>
        <w:t xml:space="preserve"> </w:t>
      </w:r>
    </w:p>
    <w:p w14:paraId="6C56158D" w14:textId="055A2919" w:rsidR="007C75C3" w:rsidRDefault="007C75C3" w:rsidP="00257FE6">
      <w:pPr>
        <w:spacing w:line="360" w:lineRule="auto"/>
        <w:rPr>
          <w:rFonts w:ascii="Arial" w:hAnsi="Arial" w:cs="Arial"/>
        </w:rPr>
      </w:pPr>
      <w:r w:rsidRPr="007C75C3">
        <w:rPr>
          <w:rFonts w:ascii="Arial" w:hAnsi="Arial" w:cs="Arial"/>
        </w:rPr>
        <w:t>Östensson, O. (2020)</w:t>
      </w:r>
      <w:r>
        <w:rPr>
          <w:rFonts w:ascii="Arial" w:hAnsi="Arial" w:cs="Arial"/>
        </w:rPr>
        <w:t>.</w:t>
      </w:r>
      <w:r w:rsidRPr="007C75C3">
        <w:rPr>
          <w:rFonts w:ascii="Arial" w:hAnsi="Arial" w:cs="Arial"/>
        </w:rPr>
        <w:t xml:space="preserve"> Transparency in extractive industry commodities trading. WIDER Working Paper No. 2020/172. The United Nations University World Institute for Development Economics Research (UNU-WIDER), Helsinki</w:t>
      </w:r>
      <w:r>
        <w:rPr>
          <w:rFonts w:ascii="Arial" w:hAnsi="Arial" w:cs="Arial"/>
        </w:rPr>
        <w:t>.</w:t>
      </w:r>
      <w:r w:rsidRPr="007C75C3">
        <w:rPr>
          <w:rFonts w:ascii="Arial" w:hAnsi="Arial" w:cs="Arial"/>
        </w:rPr>
        <w:t xml:space="preserve"> Available at: </w:t>
      </w:r>
      <w:hyperlink r:id="rId54" w:history="1">
        <w:r w:rsidRPr="00FC13C9">
          <w:rPr>
            <w:rStyle w:val="Hyperlink"/>
            <w:rFonts w:ascii="Arial" w:hAnsi="Arial" w:cs="Arial"/>
          </w:rPr>
          <w:t>https://www.econstor.eu/handle/10419/229396</w:t>
        </w:r>
      </w:hyperlink>
      <w:r>
        <w:rPr>
          <w:rFonts w:ascii="Arial" w:hAnsi="Arial" w:cs="Arial"/>
        </w:rPr>
        <w:t xml:space="preserve"> </w:t>
      </w:r>
      <w:r w:rsidRPr="007C75C3">
        <w:rPr>
          <w:rFonts w:ascii="Arial" w:hAnsi="Arial" w:cs="Arial"/>
        </w:rPr>
        <w:t>(Accessed: 27 November 2025).</w:t>
      </w:r>
    </w:p>
    <w:p w14:paraId="01910DE7" w14:textId="4BEBEA05" w:rsidR="00456FCC" w:rsidRDefault="00456FCC" w:rsidP="00257FE6">
      <w:pPr>
        <w:spacing w:line="360" w:lineRule="auto"/>
        <w:rPr>
          <w:rFonts w:ascii="Arial" w:hAnsi="Arial" w:cs="Arial"/>
        </w:rPr>
      </w:pPr>
      <w:r w:rsidRPr="00456FCC">
        <w:rPr>
          <w:rFonts w:ascii="Arial" w:hAnsi="Arial" w:cs="Arial"/>
        </w:rPr>
        <w:t xml:space="preserve">Otamonga, J., Poté, J. (2020) 'Abandoned mines and artisanal and small-scale mining in Democratic Republic of the Congo (DRC): Survey and agenda for future research', Journal of Geochemical Exploration, 208, pp.1-6. Available at: </w:t>
      </w:r>
      <w:hyperlink r:id="rId55" w:history="1">
        <w:r w:rsidRPr="00FC13C9">
          <w:rPr>
            <w:rStyle w:val="Hyperlink"/>
            <w:rFonts w:ascii="Arial" w:hAnsi="Arial" w:cs="Arial"/>
          </w:rPr>
          <w:t>https://doi-org.ezproxy.uwtsd.ac.uk/10.1016/j.gexplo.2019.106394</w:t>
        </w:r>
      </w:hyperlink>
      <w:r>
        <w:rPr>
          <w:rFonts w:ascii="Arial" w:hAnsi="Arial" w:cs="Arial"/>
        </w:rPr>
        <w:t xml:space="preserve"> </w:t>
      </w:r>
    </w:p>
    <w:p w14:paraId="0A09347C" w14:textId="32B269C9" w:rsidR="00B23310" w:rsidRDefault="00B23310" w:rsidP="00257FE6">
      <w:pPr>
        <w:spacing w:line="360" w:lineRule="auto"/>
        <w:rPr>
          <w:rFonts w:ascii="Arial" w:hAnsi="Arial" w:cs="Arial"/>
        </w:rPr>
      </w:pPr>
      <w:r w:rsidRPr="00B23310">
        <w:rPr>
          <w:rFonts w:ascii="Arial" w:hAnsi="Arial" w:cs="Arial"/>
        </w:rPr>
        <w:t xml:space="preserve">Park, H. (2023) 'Global Norm-Maker as China’s New Brand? An Analysis of the Responsible Cobalt Initiative', The Chinese Journal of International Politics, 16(2), pp. 129-156. Available at: </w:t>
      </w:r>
      <w:hyperlink r:id="rId56" w:history="1">
        <w:r w:rsidRPr="00FC13C9">
          <w:rPr>
            <w:rStyle w:val="Hyperlink"/>
            <w:rFonts w:ascii="Arial" w:hAnsi="Arial" w:cs="Arial"/>
          </w:rPr>
          <w:t>https://doi.org/10.1093/cjip/poad002</w:t>
        </w:r>
      </w:hyperlink>
      <w:r>
        <w:rPr>
          <w:rFonts w:ascii="Arial" w:hAnsi="Arial" w:cs="Arial"/>
        </w:rPr>
        <w:t xml:space="preserve"> </w:t>
      </w:r>
    </w:p>
    <w:p w14:paraId="1DE605AE" w14:textId="7935522C" w:rsidR="00DA5FA0" w:rsidRDefault="00DA5FA0" w:rsidP="00DA5FA0">
      <w:pPr>
        <w:spacing w:line="360" w:lineRule="auto"/>
        <w:rPr>
          <w:rFonts w:ascii="Arial" w:hAnsi="Arial" w:cs="Arial"/>
        </w:rPr>
      </w:pPr>
      <w:r w:rsidRPr="00DA5FA0">
        <w:rPr>
          <w:rFonts w:ascii="Arial" w:hAnsi="Arial" w:cs="Arial"/>
        </w:rPr>
        <w:lastRenderedPageBreak/>
        <w:t xml:space="preserve">Perks, R. and Schulz, K. (2020) ‘Gender in oil, gas and mining: An overview of the global state-of-play’, The extractive industries and society, 7(2), pp. 380–388. Available at: </w:t>
      </w:r>
      <w:hyperlink r:id="rId57" w:history="1">
        <w:r w:rsidR="0085730A" w:rsidRPr="00FC13C9">
          <w:rPr>
            <w:rStyle w:val="Hyperlink"/>
            <w:rFonts w:ascii="Arial" w:hAnsi="Arial" w:cs="Arial"/>
          </w:rPr>
          <w:t>https://doi.org/10.1016/j.exis.2020.04.010</w:t>
        </w:r>
      </w:hyperlink>
      <w:r w:rsidRPr="00DA5FA0">
        <w:rPr>
          <w:rFonts w:ascii="Arial" w:hAnsi="Arial" w:cs="Arial"/>
        </w:rPr>
        <w:t>.</w:t>
      </w:r>
      <w:r w:rsidR="0085730A">
        <w:rPr>
          <w:rFonts w:ascii="Arial" w:hAnsi="Arial" w:cs="Arial"/>
        </w:rPr>
        <w:t xml:space="preserve"> </w:t>
      </w:r>
    </w:p>
    <w:p w14:paraId="3D1E8E0A" w14:textId="7FEF6441" w:rsidR="003F7C77" w:rsidRDefault="003F7C77" w:rsidP="00257FE6">
      <w:pPr>
        <w:spacing w:line="360" w:lineRule="auto"/>
        <w:rPr>
          <w:rFonts w:ascii="Arial" w:hAnsi="Arial" w:cs="Arial"/>
        </w:rPr>
      </w:pPr>
      <w:r w:rsidRPr="003F7C77">
        <w:rPr>
          <w:rFonts w:ascii="Arial" w:hAnsi="Arial" w:cs="Arial"/>
        </w:rPr>
        <w:t xml:space="preserve">Pugliese, F. (2021) 'Mining companies and gender(ed) policies: The women of the Congolese Copperbelt, past and present', The Extractive Industries and Society, 8(3), pp.1-8. Available at: </w:t>
      </w:r>
      <w:hyperlink r:id="rId58" w:history="1">
        <w:r w:rsidRPr="00FC13C9">
          <w:rPr>
            <w:rStyle w:val="Hyperlink"/>
            <w:rFonts w:ascii="Arial" w:hAnsi="Arial" w:cs="Arial"/>
          </w:rPr>
          <w:t>https://doi-org.ezproxy.uwtsd.ac.uk/10.1016/j.exis.2020.08.006</w:t>
        </w:r>
      </w:hyperlink>
      <w:r>
        <w:rPr>
          <w:rFonts w:ascii="Arial" w:hAnsi="Arial" w:cs="Arial"/>
        </w:rPr>
        <w:t xml:space="preserve"> </w:t>
      </w:r>
    </w:p>
    <w:p w14:paraId="4EEBE7A9" w14:textId="6B126E4E" w:rsidR="008A5BBC" w:rsidRDefault="008A5BBC" w:rsidP="00257FE6">
      <w:pPr>
        <w:spacing w:line="360" w:lineRule="auto"/>
        <w:rPr>
          <w:rFonts w:ascii="Arial" w:hAnsi="Arial" w:cs="Arial"/>
        </w:rPr>
      </w:pPr>
      <w:r w:rsidRPr="008A5BBC">
        <w:rPr>
          <w:rFonts w:ascii="Arial" w:hAnsi="Arial" w:cs="Arial"/>
        </w:rPr>
        <w:t xml:space="preserve">Regulation (EU) 2017/821 of the European Parliament and of the Council. Available at: </w:t>
      </w:r>
      <w:hyperlink r:id="rId59" w:history="1">
        <w:r w:rsidRPr="00FC13C9">
          <w:rPr>
            <w:rStyle w:val="Hyperlink"/>
            <w:rFonts w:ascii="Arial" w:hAnsi="Arial" w:cs="Arial"/>
          </w:rPr>
          <w:t>https://www.legislation.gov.uk/eur/2017/821/body</w:t>
        </w:r>
      </w:hyperlink>
      <w:r>
        <w:rPr>
          <w:rFonts w:ascii="Arial" w:hAnsi="Arial" w:cs="Arial"/>
        </w:rPr>
        <w:t xml:space="preserve"> </w:t>
      </w:r>
      <w:r w:rsidRPr="008A5BBC">
        <w:rPr>
          <w:rFonts w:ascii="Arial" w:hAnsi="Arial" w:cs="Arial"/>
        </w:rPr>
        <w:t>(Accessed: 25 November 2025).</w:t>
      </w:r>
    </w:p>
    <w:p w14:paraId="5D5B1B2F" w14:textId="098443D7" w:rsidR="00B93E20" w:rsidRDefault="00B93E20" w:rsidP="00257FE6">
      <w:pPr>
        <w:spacing w:line="360" w:lineRule="auto"/>
        <w:rPr>
          <w:rFonts w:ascii="Arial" w:hAnsi="Arial" w:cs="Arial"/>
        </w:rPr>
      </w:pPr>
      <w:r w:rsidRPr="00B93E20">
        <w:rPr>
          <w:rFonts w:ascii="Arial" w:hAnsi="Arial" w:cs="Arial"/>
        </w:rPr>
        <w:t xml:space="preserve">Rochlin, J. (2021) 'Obstacles to mining formalization in Colombia', Resources Policy, 73, pp.1-8. Available at: </w:t>
      </w:r>
      <w:hyperlink r:id="rId60" w:history="1">
        <w:r w:rsidRPr="00FC13C9">
          <w:rPr>
            <w:rStyle w:val="Hyperlink"/>
            <w:rFonts w:ascii="Arial" w:hAnsi="Arial" w:cs="Arial"/>
          </w:rPr>
          <w:t>https://doi.org/10.1016/j.resourpol.2021.102135</w:t>
        </w:r>
      </w:hyperlink>
      <w:r>
        <w:rPr>
          <w:rFonts w:ascii="Arial" w:hAnsi="Arial" w:cs="Arial"/>
        </w:rPr>
        <w:t xml:space="preserve"> </w:t>
      </w:r>
    </w:p>
    <w:p w14:paraId="6694FEE0" w14:textId="705BEB83" w:rsidR="00F72087" w:rsidRDefault="00F72087" w:rsidP="00F72087">
      <w:pPr>
        <w:spacing w:line="360" w:lineRule="auto"/>
        <w:rPr>
          <w:rFonts w:ascii="Arial" w:hAnsi="Arial" w:cs="Arial"/>
        </w:rPr>
      </w:pPr>
      <w:r w:rsidRPr="00F72087">
        <w:rPr>
          <w:rFonts w:ascii="Arial" w:hAnsi="Arial" w:cs="Arial"/>
        </w:rPr>
        <w:t>Schleich, K. (2024) 'Unveiling the Dark Side of Innovation: Sustainability, Cobalt</w:t>
      </w:r>
      <w:r>
        <w:rPr>
          <w:rFonts w:ascii="Arial" w:hAnsi="Arial" w:cs="Arial"/>
        </w:rPr>
        <w:t xml:space="preserve"> </w:t>
      </w:r>
      <w:r w:rsidRPr="00F72087">
        <w:rPr>
          <w:rFonts w:ascii="Arial" w:hAnsi="Arial" w:cs="Arial"/>
        </w:rPr>
        <w:t xml:space="preserve">Mining, and Modern-Day Slavery', SMU Science and Technology Law Review, 27(1), pp.1-17. Available at: </w:t>
      </w:r>
      <w:hyperlink r:id="rId61" w:history="1">
        <w:r w:rsidRPr="00FC13C9">
          <w:rPr>
            <w:rStyle w:val="Hyperlink"/>
            <w:rFonts w:ascii="Arial" w:hAnsi="Arial" w:cs="Arial"/>
          </w:rPr>
          <w:t>https://scholar.smu.edu/cgi/viewcontent.cgi?article=1373&amp;context=scitech</w:t>
        </w:r>
      </w:hyperlink>
      <w:r>
        <w:rPr>
          <w:rFonts w:ascii="Arial" w:hAnsi="Arial" w:cs="Arial"/>
        </w:rPr>
        <w:t xml:space="preserve"> </w:t>
      </w:r>
      <w:r w:rsidRPr="00F72087">
        <w:rPr>
          <w:rFonts w:ascii="Arial" w:hAnsi="Arial" w:cs="Arial"/>
        </w:rPr>
        <w:t>(Accessed: 29 November 2025).</w:t>
      </w:r>
    </w:p>
    <w:p w14:paraId="3C99CFF0" w14:textId="051A8CB7" w:rsidR="00BA7124" w:rsidRDefault="00257FE6" w:rsidP="00257FE6">
      <w:pPr>
        <w:spacing w:line="360" w:lineRule="auto"/>
        <w:rPr>
          <w:rFonts w:ascii="Arial" w:hAnsi="Arial" w:cs="Arial"/>
        </w:rPr>
      </w:pPr>
      <w:r w:rsidRPr="00257FE6">
        <w:rPr>
          <w:rFonts w:ascii="Arial" w:hAnsi="Arial" w:cs="Arial"/>
        </w:rPr>
        <w:t>Schot, J., Steinmueller, W. (2018) 'Three frames for innovation policy: R&amp;D, systems of innovation and transformative change', Research Policy, 47(9), pp.1554-1567</w:t>
      </w:r>
      <w:r w:rsidR="003B5D27">
        <w:rPr>
          <w:rFonts w:ascii="Arial" w:hAnsi="Arial" w:cs="Arial"/>
        </w:rPr>
        <w:t>.</w:t>
      </w:r>
      <w:r w:rsidRPr="00257FE6">
        <w:rPr>
          <w:rFonts w:ascii="Arial" w:hAnsi="Arial" w:cs="Arial"/>
        </w:rPr>
        <w:t xml:space="preserve"> Available at: </w:t>
      </w:r>
      <w:hyperlink r:id="rId62" w:history="1">
        <w:r w:rsidRPr="001B60B0">
          <w:rPr>
            <w:rStyle w:val="Hyperlink"/>
            <w:rFonts w:ascii="Arial" w:hAnsi="Arial" w:cs="Arial"/>
          </w:rPr>
          <w:t>https://doi.org/10.1016/j.respol.2018.08.011</w:t>
        </w:r>
      </w:hyperlink>
      <w:r>
        <w:rPr>
          <w:rFonts w:ascii="Arial" w:hAnsi="Arial" w:cs="Arial"/>
        </w:rPr>
        <w:t xml:space="preserve"> </w:t>
      </w:r>
    </w:p>
    <w:p w14:paraId="20B76FCB" w14:textId="1E7413C7" w:rsidR="0027565E" w:rsidRDefault="0027565E" w:rsidP="00257FE6">
      <w:pPr>
        <w:spacing w:line="360" w:lineRule="auto"/>
        <w:rPr>
          <w:rFonts w:ascii="Arial" w:hAnsi="Arial" w:cs="Arial"/>
        </w:rPr>
      </w:pPr>
      <w:r w:rsidRPr="0027565E">
        <w:rPr>
          <w:rFonts w:ascii="Arial" w:hAnsi="Arial" w:cs="Arial"/>
        </w:rPr>
        <w:t>Schwartz, F., Lee, S., and Darrah, T. (2020) 'A Review of the Scope of Artisanal and Small</w:t>
      </w:r>
      <w:r w:rsidRPr="0027565E">
        <w:rPr>
          <w:rFonts w:ascii="Cambria Math" w:hAnsi="Cambria Math" w:cs="Cambria Math"/>
        </w:rPr>
        <w:t>‐</w:t>
      </w:r>
      <w:r w:rsidRPr="0027565E">
        <w:rPr>
          <w:rFonts w:ascii="Arial" w:hAnsi="Arial" w:cs="Arial"/>
        </w:rPr>
        <w:t xml:space="preserve">Scale Mining Worldwide, Poverty, and the Associated Health Impacts', Mining and Planetary Health, 5(1), pp. 1-15. Available at: </w:t>
      </w:r>
      <w:hyperlink r:id="rId63" w:history="1">
        <w:r w:rsidRPr="00FC13C9">
          <w:rPr>
            <w:rStyle w:val="Hyperlink"/>
            <w:rFonts w:ascii="Arial" w:hAnsi="Arial" w:cs="Arial"/>
          </w:rPr>
          <w:t>https://doi.org/10.1029/2020GH000325</w:t>
        </w:r>
      </w:hyperlink>
    </w:p>
    <w:p w14:paraId="05B80E45" w14:textId="745BDF39" w:rsidR="002D75A6" w:rsidRDefault="002D75A6" w:rsidP="00257FE6">
      <w:pPr>
        <w:spacing w:line="360" w:lineRule="auto"/>
        <w:rPr>
          <w:rFonts w:ascii="Arial" w:hAnsi="Arial" w:cs="Arial"/>
        </w:rPr>
      </w:pPr>
      <w:bookmarkStart w:id="59" w:name="_Hlk215404090"/>
      <w:r w:rsidRPr="002D75A6">
        <w:rPr>
          <w:rFonts w:ascii="Arial" w:hAnsi="Arial" w:cs="Arial"/>
        </w:rPr>
        <w:t xml:space="preserve">Smolders, E., Roels, L., Kuhangana, T., Coorevits, K., Vassilieva, E., Nemery, B., and Banza Lubaba Nkulu, C. (2019) </w:t>
      </w:r>
      <w:bookmarkEnd w:id="59"/>
      <w:r w:rsidRPr="002D75A6">
        <w:rPr>
          <w:rFonts w:ascii="Arial" w:hAnsi="Arial" w:cs="Arial"/>
        </w:rPr>
        <w:t xml:space="preserve">'Unprecedentedly High Dust Ingestion Estimates for the General Population in a Mining District of DR Congo', Environ Sci Technol, 53(13), pp. 7851-7858. Available at: </w:t>
      </w:r>
      <w:hyperlink r:id="rId64" w:history="1">
        <w:r w:rsidRPr="00FC13C9">
          <w:rPr>
            <w:rStyle w:val="Hyperlink"/>
            <w:rFonts w:ascii="Arial" w:hAnsi="Arial" w:cs="Arial"/>
          </w:rPr>
          <w:t>https://pubmed.ncbi.nlm.nih.gov/31149816/</w:t>
        </w:r>
      </w:hyperlink>
      <w:r>
        <w:rPr>
          <w:rFonts w:ascii="Arial" w:hAnsi="Arial" w:cs="Arial"/>
        </w:rPr>
        <w:t xml:space="preserve"> </w:t>
      </w:r>
      <w:r w:rsidRPr="002D75A6">
        <w:rPr>
          <w:rFonts w:ascii="Arial" w:hAnsi="Arial" w:cs="Arial"/>
        </w:rPr>
        <w:t>(Accessed: 27 November 2025).</w:t>
      </w:r>
    </w:p>
    <w:p w14:paraId="121474F7" w14:textId="2DE27CBF" w:rsidR="006A39E8" w:rsidRDefault="006A39E8" w:rsidP="006A39E8">
      <w:pPr>
        <w:spacing w:line="360" w:lineRule="auto"/>
        <w:rPr>
          <w:rFonts w:ascii="Arial" w:hAnsi="Arial" w:cs="Arial"/>
        </w:rPr>
      </w:pPr>
      <w:bookmarkStart w:id="60" w:name="_Hlk215408393"/>
      <w:r w:rsidRPr="006A39E8">
        <w:rPr>
          <w:rFonts w:ascii="Arial" w:hAnsi="Arial" w:cs="Arial"/>
        </w:rPr>
        <w:t xml:space="preserve">Sorsa, V.-P. and Fougère, M. (2021) ‘Toward Political Explanation of Change in Corporate Responsibility: Political Scholarship on CSR and the Case of Palm Oil Biofuels’, Business &amp; </w:t>
      </w:r>
      <w:r w:rsidR="0014266A">
        <w:rPr>
          <w:rFonts w:ascii="Arial" w:hAnsi="Arial" w:cs="Arial"/>
        </w:rPr>
        <w:t>Society</w:t>
      </w:r>
      <w:r w:rsidRPr="006A39E8">
        <w:rPr>
          <w:rFonts w:ascii="Arial" w:hAnsi="Arial" w:cs="Arial"/>
        </w:rPr>
        <w:t xml:space="preserve">, 60(8), pp. 1895–1923. Available at: </w:t>
      </w:r>
      <w:hyperlink r:id="rId65" w:history="1">
        <w:r w:rsidR="0014266A" w:rsidRPr="009648D8">
          <w:rPr>
            <w:rStyle w:val="Hyperlink"/>
            <w:rFonts w:ascii="Arial" w:hAnsi="Arial" w:cs="Arial"/>
          </w:rPr>
          <w:t>https://doi.org/10.1177/0007650320915919</w:t>
        </w:r>
      </w:hyperlink>
      <w:r w:rsidRPr="006A39E8">
        <w:rPr>
          <w:rFonts w:ascii="Arial" w:hAnsi="Arial" w:cs="Arial"/>
        </w:rPr>
        <w:t>.</w:t>
      </w:r>
      <w:r w:rsidR="0014266A">
        <w:rPr>
          <w:rFonts w:ascii="Arial" w:hAnsi="Arial" w:cs="Arial"/>
        </w:rPr>
        <w:t xml:space="preserve"> </w:t>
      </w:r>
    </w:p>
    <w:p w14:paraId="43C621CE" w14:textId="0A023769" w:rsidR="001812CD" w:rsidRDefault="001812CD" w:rsidP="00257FE6">
      <w:pPr>
        <w:spacing w:line="360" w:lineRule="auto"/>
        <w:rPr>
          <w:rFonts w:ascii="Arial" w:hAnsi="Arial" w:cs="Arial"/>
        </w:rPr>
      </w:pPr>
      <w:r w:rsidRPr="001812CD">
        <w:rPr>
          <w:rFonts w:ascii="Arial" w:hAnsi="Arial" w:cs="Arial"/>
        </w:rPr>
        <w:lastRenderedPageBreak/>
        <w:t>Sovacool, B. (2019)</w:t>
      </w:r>
      <w:bookmarkEnd w:id="60"/>
      <w:r w:rsidRPr="001812CD">
        <w:rPr>
          <w:rFonts w:ascii="Arial" w:hAnsi="Arial" w:cs="Arial"/>
        </w:rPr>
        <w:t xml:space="preserve"> 'The precarious political economy of cobalt: Balancing prosperity, poverty, and brutality in artisanal and industrial mining in the Democratic Republic of the Congo', The Extractive Industries and Society, 6(3), pp. 915-939. Available at: </w:t>
      </w:r>
      <w:hyperlink r:id="rId66" w:history="1">
        <w:r w:rsidRPr="00FC13C9">
          <w:rPr>
            <w:rStyle w:val="Hyperlink"/>
            <w:rFonts w:ascii="Arial" w:hAnsi="Arial" w:cs="Arial"/>
          </w:rPr>
          <w:t>https://doi.org/10.1016/j.exis.2019.05.018</w:t>
        </w:r>
      </w:hyperlink>
      <w:r>
        <w:rPr>
          <w:rFonts w:ascii="Arial" w:hAnsi="Arial" w:cs="Arial"/>
        </w:rPr>
        <w:t xml:space="preserve"> </w:t>
      </w:r>
    </w:p>
    <w:p w14:paraId="726BB767" w14:textId="0A837E01" w:rsidR="00250178" w:rsidRDefault="00250178" w:rsidP="007D7B13">
      <w:pPr>
        <w:spacing w:line="360" w:lineRule="auto"/>
        <w:rPr>
          <w:rFonts w:ascii="Arial" w:hAnsi="Arial" w:cs="Arial"/>
        </w:rPr>
      </w:pPr>
      <w:r w:rsidRPr="00250178">
        <w:rPr>
          <w:rFonts w:ascii="Arial" w:hAnsi="Arial" w:cs="Arial"/>
        </w:rPr>
        <w:t>UNICEF (2025)</w:t>
      </w:r>
      <w:r>
        <w:rPr>
          <w:rFonts w:ascii="Arial" w:hAnsi="Arial" w:cs="Arial"/>
        </w:rPr>
        <w:t>.</w:t>
      </w:r>
      <w:r w:rsidRPr="00250178">
        <w:rPr>
          <w:rFonts w:ascii="Arial" w:hAnsi="Arial" w:cs="Arial"/>
        </w:rPr>
        <w:t xml:space="preserve"> Despite progress, child labour still affects 138 million children globally – ILO, UNICEF. Available at: </w:t>
      </w:r>
      <w:hyperlink r:id="rId67" w:history="1">
        <w:r w:rsidRPr="00FC13C9">
          <w:rPr>
            <w:rStyle w:val="Hyperlink"/>
            <w:rFonts w:ascii="Arial" w:hAnsi="Arial" w:cs="Arial"/>
          </w:rPr>
          <w:t>https://www.unicef.org.uk/press-releases/despite-progress-child-labour-still-affects-138-million-children-globally-ilo-unicef/</w:t>
        </w:r>
      </w:hyperlink>
      <w:r>
        <w:rPr>
          <w:rFonts w:ascii="Arial" w:hAnsi="Arial" w:cs="Arial"/>
        </w:rPr>
        <w:t xml:space="preserve"> </w:t>
      </w:r>
      <w:r w:rsidRPr="00250178">
        <w:rPr>
          <w:rFonts w:ascii="Arial" w:hAnsi="Arial" w:cs="Arial"/>
        </w:rPr>
        <w:t>(Accessed: 27 November 2025).</w:t>
      </w:r>
    </w:p>
    <w:p w14:paraId="3F785182" w14:textId="34671A60" w:rsidR="007D7B13" w:rsidRDefault="007D7B13" w:rsidP="007D7B13">
      <w:pPr>
        <w:spacing w:line="360" w:lineRule="auto"/>
        <w:rPr>
          <w:rFonts w:ascii="Arial" w:hAnsi="Arial" w:cs="Arial"/>
        </w:rPr>
      </w:pPr>
      <w:r w:rsidRPr="007D7B13">
        <w:rPr>
          <w:rFonts w:ascii="Arial" w:hAnsi="Arial" w:cs="Arial"/>
        </w:rPr>
        <w:t>United Nations Environment Programme (2020) Guidelines for Social Life Cycle Assessment of</w:t>
      </w:r>
      <w:r>
        <w:rPr>
          <w:rFonts w:ascii="Arial" w:hAnsi="Arial" w:cs="Arial"/>
        </w:rPr>
        <w:t xml:space="preserve"> </w:t>
      </w:r>
      <w:r w:rsidRPr="007D7B13">
        <w:rPr>
          <w:rFonts w:ascii="Arial" w:hAnsi="Arial" w:cs="Arial"/>
        </w:rPr>
        <w:t xml:space="preserve">Products and Organizations 2020. United Nations Environment Programme. Available at: </w:t>
      </w:r>
      <w:hyperlink r:id="rId68" w:history="1">
        <w:r w:rsidRPr="00FC13C9">
          <w:rPr>
            <w:rStyle w:val="Hyperlink"/>
            <w:rFonts w:ascii="Arial" w:hAnsi="Arial" w:cs="Arial"/>
          </w:rPr>
          <w:t>https://www.lifecycleinitiative.org/wp-content/uploads/2021/01/Guidelines-for-Social-Life-Cycle-Assessment-of-Products-and-Organizations-2020-22.1.21sml.pdf</w:t>
        </w:r>
      </w:hyperlink>
      <w:r>
        <w:rPr>
          <w:rFonts w:ascii="Arial" w:hAnsi="Arial" w:cs="Arial"/>
        </w:rPr>
        <w:t xml:space="preserve"> </w:t>
      </w:r>
      <w:r w:rsidRPr="007D7B13">
        <w:rPr>
          <w:rFonts w:ascii="Arial" w:hAnsi="Arial" w:cs="Arial"/>
        </w:rPr>
        <w:t>(Accessed: 26 November 2025).</w:t>
      </w:r>
    </w:p>
    <w:p w14:paraId="2BC45A94" w14:textId="736D3432" w:rsidR="00CD11D9" w:rsidRDefault="00CD11D9" w:rsidP="00257FE6">
      <w:pPr>
        <w:spacing w:line="360" w:lineRule="auto"/>
        <w:rPr>
          <w:rFonts w:ascii="Arial" w:hAnsi="Arial" w:cs="Arial"/>
        </w:rPr>
      </w:pPr>
      <w:r w:rsidRPr="00CD11D9">
        <w:rPr>
          <w:rFonts w:ascii="Arial" w:hAnsi="Arial" w:cs="Arial"/>
        </w:rPr>
        <w:t xml:space="preserve">United Nations (2015), Transforming Our World: The 2030 Agenda for Sustainable Development. United Nations, Available at: </w:t>
      </w:r>
      <w:hyperlink r:id="rId69" w:history="1">
        <w:r w:rsidRPr="001B60B0">
          <w:rPr>
            <w:rStyle w:val="Hyperlink"/>
            <w:rFonts w:ascii="Arial" w:hAnsi="Arial" w:cs="Arial"/>
          </w:rPr>
          <w:t>https://sustainabledevelopment.un.org/content/documents/21252030%20Agenda%20for%20Sustainable%20Development%20web.pdf?_gl=1*ll6ekd*_ga*MTQ3MzQxNjIxMS4xNzYxNTcwODI2*_ga_TK9BQL5X7Z*czE3NjE1NzQ3NjQkbzIkZzEkdDE3NjE1NzgwNjMkajYwJGwwJGgw</w:t>
        </w:r>
      </w:hyperlink>
      <w:r>
        <w:rPr>
          <w:rFonts w:ascii="Arial" w:hAnsi="Arial" w:cs="Arial"/>
        </w:rPr>
        <w:t xml:space="preserve"> </w:t>
      </w:r>
      <w:r w:rsidRPr="00CD11D9">
        <w:rPr>
          <w:rFonts w:ascii="Arial" w:hAnsi="Arial" w:cs="Arial"/>
        </w:rPr>
        <w:t xml:space="preserve"> (Accessed: 27 October 2025).</w:t>
      </w:r>
    </w:p>
    <w:p w14:paraId="14BC33AA" w14:textId="7746B541" w:rsidR="00140DE0" w:rsidRDefault="00140DE0" w:rsidP="00FE5D69">
      <w:pPr>
        <w:spacing w:line="360" w:lineRule="auto"/>
        <w:rPr>
          <w:rFonts w:ascii="Arial" w:hAnsi="Arial" w:cs="Arial"/>
        </w:rPr>
      </w:pPr>
      <w:r w:rsidRPr="00140DE0">
        <w:rPr>
          <w:rFonts w:ascii="Arial" w:hAnsi="Arial" w:cs="Arial"/>
        </w:rPr>
        <w:t xml:space="preserve">Van Brusselen, D., Kayembe-Kitenge, T., Mbuyi-Musanzayi, S., </w:t>
      </w:r>
      <w:proofErr w:type="spellStart"/>
      <w:r w:rsidRPr="00140DE0">
        <w:rPr>
          <w:rFonts w:ascii="Arial" w:hAnsi="Arial" w:cs="Arial"/>
        </w:rPr>
        <w:t>Lubala</w:t>
      </w:r>
      <w:proofErr w:type="spellEnd"/>
      <w:r w:rsidRPr="00140DE0">
        <w:rPr>
          <w:rFonts w:ascii="Arial" w:hAnsi="Arial" w:cs="Arial"/>
        </w:rPr>
        <w:t xml:space="preserve"> </w:t>
      </w:r>
      <w:proofErr w:type="spellStart"/>
      <w:r w:rsidRPr="00140DE0">
        <w:rPr>
          <w:rFonts w:ascii="Arial" w:hAnsi="Arial" w:cs="Arial"/>
        </w:rPr>
        <w:t>Kasole</w:t>
      </w:r>
      <w:proofErr w:type="spellEnd"/>
      <w:r w:rsidRPr="00140DE0">
        <w:rPr>
          <w:rFonts w:ascii="Arial" w:hAnsi="Arial" w:cs="Arial"/>
        </w:rPr>
        <w:t xml:space="preserve">, T., Kabamba Ngombe, L., Musa Obadia, P., </w:t>
      </w:r>
      <w:proofErr w:type="spellStart"/>
      <w:r w:rsidRPr="00140DE0">
        <w:rPr>
          <w:rFonts w:ascii="Arial" w:hAnsi="Arial" w:cs="Arial"/>
        </w:rPr>
        <w:t>Kyanika</w:t>
      </w:r>
      <w:proofErr w:type="spellEnd"/>
      <w:r w:rsidRPr="00140DE0">
        <w:rPr>
          <w:rFonts w:ascii="Arial" w:hAnsi="Arial" w:cs="Arial"/>
        </w:rPr>
        <w:t xml:space="preserve"> </w:t>
      </w:r>
      <w:proofErr w:type="spellStart"/>
      <w:r w:rsidRPr="00140DE0">
        <w:rPr>
          <w:rFonts w:ascii="Arial" w:hAnsi="Arial" w:cs="Arial"/>
        </w:rPr>
        <w:t>wa</w:t>
      </w:r>
      <w:proofErr w:type="spellEnd"/>
      <w:r w:rsidRPr="00140DE0">
        <w:rPr>
          <w:rFonts w:ascii="Arial" w:hAnsi="Arial" w:cs="Arial"/>
        </w:rPr>
        <w:t xml:space="preserve"> Mukoma, D., van </w:t>
      </w:r>
      <w:proofErr w:type="spellStart"/>
      <w:r w:rsidRPr="00140DE0">
        <w:rPr>
          <w:rFonts w:ascii="Arial" w:hAnsi="Arial" w:cs="Arial"/>
        </w:rPr>
        <w:t>Herck</w:t>
      </w:r>
      <w:proofErr w:type="spellEnd"/>
      <w:r w:rsidRPr="00140DE0">
        <w:rPr>
          <w:rFonts w:ascii="Arial" w:hAnsi="Arial" w:cs="Arial"/>
        </w:rPr>
        <w:t xml:space="preserve">, K., </w:t>
      </w:r>
      <w:proofErr w:type="spellStart"/>
      <w:r w:rsidRPr="00140DE0">
        <w:rPr>
          <w:rFonts w:ascii="Arial" w:hAnsi="Arial" w:cs="Arial"/>
        </w:rPr>
        <w:t>Avonts</w:t>
      </w:r>
      <w:proofErr w:type="spellEnd"/>
      <w:r w:rsidRPr="00140DE0">
        <w:rPr>
          <w:rFonts w:ascii="Arial" w:hAnsi="Arial" w:cs="Arial"/>
        </w:rPr>
        <w:t xml:space="preserve">, D., Devriendt, K.,  Smolders, E., Banza Lubaba Nkulu, C., Nemery, B. (2020) 'Metal mining and birth defects: a case-control study in Lubumbashi, Democratic Republic of the Congo', The Lancet Planetary Health, 4(4), pp.1-10. Available at: </w:t>
      </w:r>
      <w:hyperlink r:id="rId70" w:history="1">
        <w:r w:rsidRPr="009648D8">
          <w:rPr>
            <w:rStyle w:val="Hyperlink"/>
            <w:rFonts w:ascii="Arial" w:hAnsi="Arial" w:cs="Arial"/>
          </w:rPr>
          <w:t>https://doi-org.ezproxy.uwtsd.ac.uk/10.1016/S2542-5196(20)30059-0</w:t>
        </w:r>
      </w:hyperlink>
      <w:r>
        <w:rPr>
          <w:rFonts w:ascii="Arial" w:hAnsi="Arial" w:cs="Arial"/>
        </w:rPr>
        <w:t xml:space="preserve"> </w:t>
      </w:r>
    </w:p>
    <w:p w14:paraId="789CC525" w14:textId="5E483F96" w:rsidR="00FE5D69" w:rsidRDefault="00FE5D69" w:rsidP="00FE5D69">
      <w:pPr>
        <w:spacing w:line="360" w:lineRule="auto"/>
        <w:rPr>
          <w:rFonts w:ascii="Arial" w:hAnsi="Arial" w:cs="Arial"/>
        </w:rPr>
      </w:pPr>
      <w:r w:rsidRPr="00FE5D69">
        <w:rPr>
          <w:rFonts w:ascii="Arial" w:hAnsi="Arial" w:cs="Arial"/>
        </w:rPr>
        <w:t xml:space="preserve">Virtanen, P.K., Siragusa, L. and Guttorm, H. (2020) ‘Editorial overview: Indigenous conceptualizations of “sustainability”’, Current opinion in environmental sustainability, 43, pp. A1–A2. Available at: </w:t>
      </w:r>
      <w:hyperlink r:id="rId71" w:history="1">
        <w:r w:rsidRPr="009648D8">
          <w:rPr>
            <w:rStyle w:val="Hyperlink"/>
            <w:rFonts w:ascii="Arial" w:hAnsi="Arial" w:cs="Arial"/>
          </w:rPr>
          <w:t>https://doi.org/10.1016/j.cosust.2020.04.004</w:t>
        </w:r>
      </w:hyperlink>
      <w:r w:rsidRPr="00FE5D69">
        <w:rPr>
          <w:rFonts w:ascii="Arial" w:hAnsi="Arial" w:cs="Arial"/>
        </w:rPr>
        <w:t>.</w:t>
      </w:r>
      <w:r>
        <w:rPr>
          <w:rFonts w:ascii="Arial" w:hAnsi="Arial" w:cs="Arial"/>
        </w:rPr>
        <w:t xml:space="preserve"> </w:t>
      </w:r>
    </w:p>
    <w:p w14:paraId="2A185E64" w14:textId="160929FE" w:rsidR="003B5D27" w:rsidRDefault="003B5D27" w:rsidP="00257FE6">
      <w:pPr>
        <w:spacing w:line="360" w:lineRule="auto"/>
        <w:rPr>
          <w:rFonts w:ascii="Arial" w:hAnsi="Arial" w:cs="Arial"/>
        </w:rPr>
      </w:pPr>
      <w:r w:rsidRPr="003B5D27">
        <w:rPr>
          <w:rFonts w:ascii="Arial" w:hAnsi="Arial" w:cs="Arial"/>
        </w:rPr>
        <w:t xml:space="preserve">Weber, K., Rohracher, H. (2012) 'Legitimising research, technology and innovation policies for transformative change: Combining insights from innovation systems and multi-level </w:t>
      </w:r>
      <w:r w:rsidRPr="003B5D27">
        <w:rPr>
          <w:rFonts w:ascii="Arial" w:hAnsi="Arial" w:cs="Arial"/>
        </w:rPr>
        <w:lastRenderedPageBreak/>
        <w:t xml:space="preserve">perspective in a comprehensive ‘failures’ framework', Research Policy, 41(6), pp.1037-1047.  Available at: </w:t>
      </w:r>
      <w:hyperlink r:id="rId72" w:history="1">
        <w:r w:rsidRPr="001B60B0">
          <w:rPr>
            <w:rStyle w:val="Hyperlink"/>
            <w:rFonts w:ascii="Arial" w:hAnsi="Arial" w:cs="Arial"/>
          </w:rPr>
          <w:t>https://doi-org.ezproxy.uwtsd.ac.uk/10.1016/j.respol.2011.10.015</w:t>
        </w:r>
      </w:hyperlink>
      <w:r>
        <w:rPr>
          <w:rFonts w:ascii="Arial" w:hAnsi="Arial" w:cs="Arial"/>
        </w:rPr>
        <w:t xml:space="preserve"> </w:t>
      </w:r>
      <w:r w:rsidR="008878F6">
        <w:rPr>
          <w:rFonts w:ascii="Arial" w:hAnsi="Arial" w:cs="Arial"/>
        </w:rPr>
        <w:t>7</w:t>
      </w:r>
    </w:p>
    <w:p w14:paraId="204A1487" w14:textId="110B1D1B" w:rsidR="00BB0A52" w:rsidRDefault="00BB0A52" w:rsidP="00BB0A52">
      <w:pPr>
        <w:spacing w:line="360" w:lineRule="auto"/>
        <w:rPr>
          <w:rFonts w:ascii="Arial" w:hAnsi="Arial" w:cs="Arial"/>
        </w:rPr>
      </w:pPr>
      <w:r w:rsidRPr="00BB0A52">
        <w:rPr>
          <w:rFonts w:ascii="Arial" w:hAnsi="Arial" w:cs="Arial"/>
        </w:rPr>
        <w:t>WEF (World Economic Forum) (2019) A Vision for a Sustainable Battery Value Chain in 2030</w:t>
      </w:r>
      <w:r>
        <w:rPr>
          <w:rFonts w:ascii="Arial" w:hAnsi="Arial" w:cs="Arial"/>
        </w:rPr>
        <w:t xml:space="preserve"> </w:t>
      </w:r>
      <w:r w:rsidRPr="00BB0A52">
        <w:rPr>
          <w:rFonts w:ascii="Arial" w:hAnsi="Arial" w:cs="Arial"/>
        </w:rPr>
        <w:t>Unlocking the Full Potential to Power Sustainable Development and Climate Change</w:t>
      </w:r>
      <w:r>
        <w:rPr>
          <w:rFonts w:ascii="Arial" w:hAnsi="Arial" w:cs="Arial"/>
        </w:rPr>
        <w:t xml:space="preserve"> </w:t>
      </w:r>
      <w:r w:rsidRPr="00BB0A52">
        <w:rPr>
          <w:rFonts w:ascii="Arial" w:hAnsi="Arial" w:cs="Arial"/>
        </w:rPr>
        <w:t xml:space="preserve">Mitigation. World Economic Forum or Available at: </w:t>
      </w:r>
      <w:hyperlink r:id="rId73" w:history="1">
        <w:r w:rsidRPr="00FC13C9">
          <w:rPr>
            <w:rStyle w:val="Hyperlink"/>
            <w:rFonts w:ascii="Arial" w:hAnsi="Arial" w:cs="Arial"/>
          </w:rPr>
          <w:t>https://www3.weforum.org/docs/WEF_A_Vision_for_a_Sustainable_Battery_Value_Chain_in_2030_Report.pdf</w:t>
        </w:r>
      </w:hyperlink>
      <w:r>
        <w:rPr>
          <w:rFonts w:ascii="Arial" w:hAnsi="Arial" w:cs="Arial"/>
        </w:rPr>
        <w:t xml:space="preserve"> </w:t>
      </w:r>
      <w:r w:rsidRPr="00BB0A52">
        <w:rPr>
          <w:rFonts w:ascii="Arial" w:hAnsi="Arial" w:cs="Arial"/>
        </w:rPr>
        <w:t>(Accessed: 26 November 2025).</w:t>
      </w:r>
    </w:p>
    <w:p w14:paraId="55000A54" w14:textId="720F23F1" w:rsidR="00952890" w:rsidRDefault="00952890" w:rsidP="00257FE6">
      <w:pPr>
        <w:spacing w:line="360" w:lineRule="auto"/>
        <w:rPr>
          <w:rFonts w:ascii="Arial" w:hAnsi="Arial" w:cs="Arial"/>
        </w:rPr>
      </w:pPr>
      <w:r w:rsidRPr="00952890">
        <w:rPr>
          <w:rFonts w:ascii="Arial" w:hAnsi="Arial" w:cs="Arial"/>
        </w:rPr>
        <w:t xml:space="preserve">Weng, L., Margules, C. (2022) 'Challenges with formalizing artisanal and small-scale mining in Cameroon: Understanding the role of Chinese actors', The Extractive Industries and Society, 9, pp.1-9. Available at: </w:t>
      </w:r>
      <w:hyperlink r:id="rId74" w:history="1">
        <w:r w:rsidRPr="00FC13C9">
          <w:rPr>
            <w:rStyle w:val="Hyperlink"/>
            <w:rFonts w:ascii="Arial" w:hAnsi="Arial" w:cs="Arial"/>
          </w:rPr>
          <w:t>https://doi.org/10.1016/j.exis.2022.101046</w:t>
        </w:r>
      </w:hyperlink>
      <w:r>
        <w:rPr>
          <w:rFonts w:ascii="Arial" w:hAnsi="Arial" w:cs="Arial"/>
        </w:rPr>
        <w:t xml:space="preserve"> </w:t>
      </w:r>
    </w:p>
    <w:p w14:paraId="50A773DE" w14:textId="75170A81" w:rsidR="003B4927" w:rsidRDefault="003B4927" w:rsidP="00257FE6">
      <w:pPr>
        <w:spacing w:line="360" w:lineRule="auto"/>
        <w:rPr>
          <w:rFonts w:ascii="Arial" w:hAnsi="Arial" w:cs="Arial"/>
        </w:rPr>
      </w:pPr>
      <w:r w:rsidRPr="003B4927">
        <w:rPr>
          <w:rFonts w:ascii="Arial" w:hAnsi="Arial" w:cs="Arial"/>
        </w:rPr>
        <w:t xml:space="preserve">World Economic Forum (2020). Making Mining Safe and Fair: Artisanal cobalt extraction in the Democratic Republic of </w:t>
      </w:r>
      <w:proofErr w:type="gramStart"/>
      <w:r>
        <w:rPr>
          <w:rFonts w:ascii="Arial" w:hAnsi="Arial" w:cs="Arial"/>
        </w:rPr>
        <w:t xml:space="preserve">the </w:t>
      </w:r>
      <w:r w:rsidRPr="003B4927">
        <w:rPr>
          <w:rFonts w:ascii="Arial" w:hAnsi="Arial" w:cs="Arial"/>
        </w:rPr>
        <w:t>Congo</w:t>
      </w:r>
      <w:proofErr w:type="gramEnd"/>
      <w:r w:rsidRPr="003B4927">
        <w:rPr>
          <w:rFonts w:ascii="Arial" w:hAnsi="Arial" w:cs="Arial"/>
        </w:rPr>
        <w:t xml:space="preserve">. White Paper. World Economic Forum Available at: </w:t>
      </w:r>
      <w:hyperlink r:id="rId75" w:history="1">
        <w:r w:rsidRPr="00FC13C9">
          <w:rPr>
            <w:rStyle w:val="Hyperlink"/>
            <w:rFonts w:ascii="Arial" w:hAnsi="Arial" w:cs="Arial"/>
          </w:rPr>
          <w:t>https://www3.weforum.org/docs/WEF_Making_Mining_Safe_2020.pdf</w:t>
        </w:r>
      </w:hyperlink>
      <w:r>
        <w:rPr>
          <w:rFonts w:ascii="Arial" w:hAnsi="Arial" w:cs="Arial"/>
        </w:rPr>
        <w:t xml:space="preserve"> </w:t>
      </w:r>
      <w:r w:rsidRPr="003B4927">
        <w:rPr>
          <w:rFonts w:ascii="Arial" w:hAnsi="Arial" w:cs="Arial"/>
        </w:rPr>
        <w:t>(Accessed: 27 November 2025).</w:t>
      </w:r>
    </w:p>
    <w:p w14:paraId="1964B984" w14:textId="15A406D9" w:rsidR="008878F6" w:rsidRPr="009A10D0" w:rsidRDefault="008878F6" w:rsidP="00257FE6">
      <w:pPr>
        <w:spacing w:line="360" w:lineRule="auto"/>
        <w:rPr>
          <w:rFonts w:ascii="Arial" w:hAnsi="Arial" w:cs="Arial"/>
        </w:rPr>
      </w:pPr>
      <w:r w:rsidRPr="008878F6">
        <w:rPr>
          <w:rFonts w:ascii="Arial" w:hAnsi="Arial" w:cs="Arial"/>
        </w:rPr>
        <w:t xml:space="preserve">Zvarivadza, T. (2018) 'Title of article', Artisanal and Small-Scale Mining as a challenge and possible contributor to Sustainable Development, 56, pp. 49-58. Available at: </w:t>
      </w:r>
      <w:hyperlink r:id="rId76" w:history="1">
        <w:r w:rsidRPr="00FC13C9">
          <w:rPr>
            <w:rStyle w:val="Hyperlink"/>
            <w:rFonts w:ascii="Arial" w:hAnsi="Arial" w:cs="Arial"/>
          </w:rPr>
          <w:t>https://doi.org/10.1016/j.resourpol.2018.01.009</w:t>
        </w:r>
      </w:hyperlink>
      <w:r>
        <w:rPr>
          <w:rFonts w:ascii="Arial" w:hAnsi="Arial" w:cs="Arial"/>
        </w:rPr>
        <w:t xml:space="preserve"> </w:t>
      </w:r>
    </w:p>
    <w:sectPr w:rsidR="008878F6" w:rsidRPr="009A10D0" w:rsidSect="009219FD">
      <w:headerReference w:type="default" r:id="rId77"/>
      <w:footerReference w:type="default" r:id="rId7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B4E636" w14:textId="77777777" w:rsidR="00C31588" w:rsidRDefault="00C31588" w:rsidP="009B584A">
      <w:pPr>
        <w:spacing w:after="0" w:line="240" w:lineRule="auto"/>
      </w:pPr>
      <w:r>
        <w:separator/>
      </w:r>
    </w:p>
  </w:endnote>
  <w:endnote w:type="continuationSeparator" w:id="0">
    <w:p w14:paraId="36428998" w14:textId="77777777" w:rsidR="00C31588" w:rsidRDefault="00C31588" w:rsidP="009B5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6FF122" w14:textId="62C815C2" w:rsidR="00963909" w:rsidRDefault="00000000">
    <w:pPr>
      <w:pStyle w:val="Footer"/>
    </w:pPr>
    <w:sdt>
      <w:sdtPr>
        <w:id w:val="801353008"/>
        <w:docPartObj>
          <w:docPartGallery w:val="Page Numbers (Bottom of Page)"/>
          <w:docPartUnique/>
        </w:docPartObj>
      </w:sdtPr>
      <w:sdtContent>
        <w:r w:rsidR="00584B38">
          <w:rPr>
            <w:noProof/>
          </w:rPr>
          <mc:AlternateContent>
            <mc:Choice Requires="wpg">
              <w:drawing>
                <wp:anchor distT="0" distB="0" distL="114300" distR="114300" simplePos="0" relativeHeight="251659264" behindDoc="0" locked="0" layoutInCell="0" allowOverlap="1" wp14:anchorId="1D4E8434" wp14:editId="6068953E">
                  <wp:simplePos x="0" y="0"/>
                  <wp:positionH relativeFrom="rightMargin">
                    <wp:align>right</wp:align>
                  </wp:positionH>
                  <wp:positionV relativeFrom="bottomMargin">
                    <wp:align>bottom</wp:align>
                  </wp:positionV>
                  <wp:extent cx="914400" cy="914400"/>
                  <wp:effectExtent l="11430" t="0" r="0" b="0"/>
                  <wp:wrapNone/>
                  <wp:docPr id="1631478659"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 cy="914400"/>
                            <a:chOff x="10800" y="14400"/>
                            <a:chExt cx="1440" cy="1440"/>
                          </a:xfrm>
                        </wpg:grpSpPr>
                        <wps:wsp>
                          <wps:cNvPr id="1918524464" name="Rectangle 4"/>
                          <wps:cNvSpPr>
                            <a:spLocks noChangeArrowheads="1"/>
                          </wps:cNvSpPr>
                          <wps:spPr bwMode="auto">
                            <a:xfrm>
                              <a:off x="10800" y="14400"/>
                              <a:ext cx="1440" cy="14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8327510" w14:textId="77777777" w:rsidR="00584B38" w:rsidRDefault="00584B38"/>
                            </w:txbxContent>
                          </wps:txbx>
                          <wps:bodyPr rot="0" vert="horz" wrap="square" lIns="91440" tIns="45720" rIns="91440" bIns="45720" anchor="t" anchorCtr="0" upright="1">
                            <a:noAutofit/>
                          </wps:bodyPr>
                        </wps:wsp>
                        <wps:wsp>
                          <wps:cNvPr id="1905198652" name="AutoShape 5"/>
                          <wps:cNvSpPr>
                            <a:spLocks noChangeArrowheads="1"/>
                          </wps:cNvSpPr>
                          <wps:spPr bwMode="auto">
                            <a:xfrm rot="13500000" flipH="1">
                              <a:off x="10813" y="14744"/>
                              <a:ext cx="1121" cy="495"/>
                            </a:xfrm>
                            <a:prstGeom prst="homePlate">
                              <a:avLst>
                                <a:gd name="adj" fmla="val 56616"/>
                              </a:avLst>
                            </a:prstGeom>
                            <a:noFill/>
                            <a:ln w="9525">
                              <a:solidFill>
                                <a:srgbClr val="5C83B4"/>
                              </a:solidFill>
                              <a:miter lim="800000"/>
                              <a:headEnd/>
                              <a:tailEnd/>
                            </a:ln>
                            <a:extLst>
                              <a:ext uri="{909E8E84-426E-40DD-AFC4-6F175D3DCCD1}">
                                <a14:hiddenFill xmlns:a14="http://schemas.microsoft.com/office/drawing/2010/main">
                                  <a:solidFill>
                                    <a:srgbClr val="5C83B4"/>
                                  </a:solidFill>
                                </a14:hiddenFill>
                              </a:ext>
                            </a:extLst>
                          </wps:spPr>
                          <wps:txbx>
                            <w:txbxContent>
                              <w:p w14:paraId="0FE8A2BF" w14:textId="77777777" w:rsidR="00584B38" w:rsidRDefault="00584B38">
                                <w:pPr>
                                  <w:pStyle w:val="Footer"/>
                                  <w:jc w:val="center"/>
                                </w:pPr>
                                <w:r>
                                  <w:fldChar w:fldCharType="begin"/>
                                </w:r>
                                <w:r>
                                  <w:instrText>PAGE   \* MERGEFORMAT</w:instrText>
                                </w:r>
                                <w:r>
                                  <w:fldChar w:fldCharType="separate"/>
                                </w:r>
                                <w:r>
                                  <w:t>2</w:t>
                                </w:r>
                                <w:r>
                                  <w:fldChar w:fldCharType="end"/>
                                </w:r>
                              </w:p>
                            </w:txbxContent>
                          </wps:txbx>
                          <wps:bodyPr rot="0" vert="horz" wrap="square" lIns="91440" tIns="0" rIns="91440" bIns="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D4E8434" id="Group 4" o:spid="_x0000_s1027" style="position:absolute;margin-left:20.8pt;margin-top:0;width:1in;height:1in;z-index:251659264;mso-position-horizontal:right;mso-position-horizontal-relative:right-margin-area;mso-position-vertical:bottom;mso-position-vertical-relative:bottom-margin-area" coordorigin="10800,14400" coordsize="1440,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" o:allowincell="f">
                  <v:rect id="Rectangle 4" o:spid="_x0000_s1028" style="position:absolute;left:10800;top:14400;width:1440;height: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" stroked="f">
                    <v:textbox>
                      <w:txbxContent>
                        <w:p w14:paraId="68327510" w14:textId="77777777" w:rsidR="00584B38" w:rsidRDefault="00584B38"/>
                      </w:txbxContent>
                    </v:textbox>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utoShape 5" o:spid="_x0000_s1029" type="#_x0000_t15" style="position:absolute;left:10813;top:14744;width:1121;height:495;rotation:135;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" filled="f" fillcolor="#5c83b4" strokecolor="#5c83b4">
                    <v:textbox inset=",0,,0">
                      <w:txbxContent>
                        <w:p w14:paraId="0FE8A2BF" w14:textId="77777777" w:rsidR="00584B38" w:rsidRDefault="00584B38">
                          <w:pPr>
                            <w:pStyle w:val="Footer"/>
                            <w:jc w:val="center"/>
                          </w:pPr>
                          <w:r>
                            <w:fldChar w:fldCharType="begin"/>
                          </w:r>
                          <w:r>
                            <w:instrText>PAGE   \* MERGEFORMAT</w:instrText>
                          </w:r>
                          <w:r>
                            <w:fldChar w:fldCharType="separate"/>
                          </w:r>
                          <w:r>
                            <w:t>2</w:t>
                          </w:r>
                          <w:r>
                            <w:fldChar w:fldCharType="end"/>
                          </w:r>
                        </w:p>
                      </w:txbxContent>
                    </v:textbox>
                  </v:shape>
                  <w10:wrap anchorx="margin" anchory="margin"/>
                </v:group>
              </w:pict>
            </mc:Fallback>
          </mc:AlternateContent>
        </w:r>
      </w:sdtContent>
    </w:sdt>
    <w:r w:rsidR="00C76796" w:rsidRPr="00B83481">
      <w:rPr>
        <w:rFonts w:ascii="Arial" w:hAnsi="Arial" w:cs="Arial"/>
        <w:noProof/>
      </w:rPr>
      <w:drawing>
        <wp:inline distT="0" distB="0" distL="0" distR="0" wp14:anchorId="0EA3C73D" wp14:editId="4ADA0049">
          <wp:extent cx="597188" cy="907473"/>
          <wp:effectExtent l="0" t="0" r="0" b="0"/>
          <wp:docPr id="1664519872" name="Picture 3" descr="A black and yellow shield with red lions and blue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519872" name="Picture 3" descr="A black and yellow shield with red lions and blue flowers&#10;&#10;AI-generated content may be incorrect."/>
                  <pic:cNvPicPr>
                    <a:picLocks noChangeAspect="1" noChangeArrowheads="1"/>
                  </pic:cNvPicPr>
                </pic:nvPicPr>
                <pic:blipFill>
                  <a:blip r:embed="rId1">
                    <a:alphaModFix/>
                    <a:extLst>
                      <a:ext uri="{BEBA8EAE-BF5A-486C-A8C5-ECC9F3942E4B}">
                        <a14:imgProps xmlns:a14="http://schemas.microsoft.com/office/drawing/2010/main">
                          <a14:imgLayer r:embed="rId2">
                            <a14:imgEffect>
                              <a14:saturation sat="99000"/>
                            </a14:imgEffect>
                          </a14:imgLayer>
                        </a14:imgProps>
                      </a:ext>
                      <a:ext uri="{28A0092B-C50C-407E-A947-70E740481C1C}">
                        <a14:useLocalDpi xmlns:a14="http://schemas.microsoft.com/office/drawing/2010/main" val="0"/>
                      </a:ext>
                    </a:extLst>
                  </a:blip>
                  <a:srcRect/>
                  <a:stretch>
                    <a:fillRect/>
                  </a:stretch>
                </pic:blipFill>
                <pic:spPr bwMode="auto">
                  <a:xfrm>
                    <a:off x="0" y="0"/>
                    <a:ext cx="643762" cy="978246"/>
                  </a:xfrm>
                  <a:prstGeom prst="rect">
                    <a:avLst/>
                  </a:prstGeom>
                  <a:noFill/>
                </pic:spPr>
              </pic:pic>
            </a:graphicData>
          </a:graphic>
        </wp:inline>
      </w:drawing>
    </w:r>
    <w:r w:rsidR="00505CAC" w:rsidRPr="00505CAC">
      <w:rPr>
        <w:sz w:val="14"/>
        <w:szCs w:val="14"/>
      </w:rPr>
      <w:t>University of Wales Trinity Saint David, (2012).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A2835F" w14:textId="77777777" w:rsidR="00C31588" w:rsidRDefault="00C31588" w:rsidP="009B584A">
      <w:pPr>
        <w:spacing w:after="0" w:line="240" w:lineRule="auto"/>
      </w:pPr>
      <w:r>
        <w:separator/>
      </w:r>
    </w:p>
  </w:footnote>
  <w:footnote w:type="continuationSeparator" w:id="0">
    <w:p w14:paraId="254C00FA" w14:textId="77777777" w:rsidR="00C31588" w:rsidRDefault="00C31588" w:rsidP="009B58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637085" w14:textId="3D9CCEA6" w:rsidR="009B584A" w:rsidRPr="00963909" w:rsidRDefault="009B584A">
    <w:pPr>
      <w:pStyle w:val="Header"/>
      <w:rPr>
        <w:sz w:val="16"/>
        <w:szCs w:val="16"/>
      </w:rPr>
    </w:pPr>
    <w:r>
      <w:tab/>
    </w:r>
    <w:r w:rsidR="00963909">
      <w:t xml:space="preserve">                      </w:t>
    </w:r>
    <w:r>
      <w:rPr>
        <w:noProof/>
      </w:rPr>
      <w:drawing>
        <wp:inline distT="0" distB="0" distL="0" distR="0" wp14:anchorId="5B00C6E5" wp14:editId="5B71AFCE">
          <wp:extent cx="1367851" cy="1063452"/>
          <wp:effectExtent l="0" t="0" r="3810" b="0"/>
          <wp:docPr id="15993776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75195" cy="1069161"/>
                  </a:xfrm>
                  <a:prstGeom prst="rect">
                    <a:avLst/>
                  </a:prstGeom>
                  <a:noFill/>
                </pic:spPr>
              </pic:pic>
            </a:graphicData>
          </a:graphic>
        </wp:inline>
      </w:drawing>
    </w:r>
    <w:r w:rsidR="00963909">
      <w:t xml:space="preserve"> </w:t>
    </w:r>
    <w:r w:rsidR="00963909" w:rsidRPr="00083275">
      <w:rPr>
        <w:sz w:val="14"/>
        <w:szCs w:val="14"/>
      </w:rPr>
      <w:t>Study In UK, (2025).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7059F7"/>
    <w:multiLevelType w:val="hybridMultilevel"/>
    <w:tmpl w:val="B21EC0A8"/>
    <w:lvl w:ilvl="0" w:tplc="EFECB3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8114360"/>
    <w:multiLevelType w:val="multilevel"/>
    <w:tmpl w:val="18EA15CE"/>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401761521">
    <w:abstractNumId w:val="1"/>
  </w:num>
  <w:num w:numId="2" w16cid:durableId="661003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9FD"/>
    <w:rsid w:val="00001246"/>
    <w:rsid w:val="00006EFB"/>
    <w:rsid w:val="0001505F"/>
    <w:rsid w:val="0001516F"/>
    <w:rsid w:val="00025B7A"/>
    <w:rsid w:val="0003022E"/>
    <w:rsid w:val="000408BC"/>
    <w:rsid w:val="00053773"/>
    <w:rsid w:val="00055B5D"/>
    <w:rsid w:val="0006108C"/>
    <w:rsid w:val="000613B9"/>
    <w:rsid w:val="0006195B"/>
    <w:rsid w:val="000703DC"/>
    <w:rsid w:val="00071BA7"/>
    <w:rsid w:val="00083275"/>
    <w:rsid w:val="00083B48"/>
    <w:rsid w:val="0008720F"/>
    <w:rsid w:val="000908B7"/>
    <w:rsid w:val="000A74B0"/>
    <w:rsid w:val="000C7621"/>
    <w:rsid w:val="000D5264"/>
    <w:rsid w:val="000E65C9"/>
    <w:rsid w:val="000F02C2"/>
    <w:rsid w:val="000F091D"/>
    <w:rsid w:val="000F79F3"/>
    <w:rsid w:val="0010067F"/>
    <w:rsid w:val="00113F0E"/>
    <w:rsid w:val="00123576"/>
    <w:rsid w:val="00140DE0"/>
    <w:rsid w:val="001416FD"/>
    <w:rsid w:val="0014266A"/>
    <w:rsid w:val="00142C0C"/>
    <w:rsid w:val="0015029A"/>
    <w:rsid w:val="00156145"/>
    <w:rsid w:val="0015670A"/>
    <w:rsid w:val="0016090C"/>
    <w:rsid w:val="00161514"/>
    <w:rsid w:val="00162E86"/>
    <w:rsid w:val="00165FE2"/>
    <w:rsid w:val="00170430"/>
    <w:rsid w:val="001803DA"/>
    <w:rsid w:val="001812CD"/>
    <w:rsid w:val="00183031"/>
    <w:rsid w:val="001830D7"/>
    <w:rsid w:val="001840EB"/>
    <w:rsid w:val="001908CB"/>
    <w:rsid w:val="00192B56"/>
    <w:rsid w:val="001A55CB"/>
    <w:rsid w:val="001B22E3"/>
    <w:rsid w:val="001B6918"/>
    <w:rsid w:val="001B6FCC"/>
    <w:rsid w:val="001C21C5"/>
    <w:rsid w:val="001D3258"/>
    <w:rsid w:val="001D3D03"/>
    <w:rsid w:val="001F2219"/>
    <w:rsid w:val="001F23C0"/>
    <w:rsid w:val="001F518B"/>
    <w:rsid w:val="001F779D"/>
    <w:rsid w:val="00200433"/>
    <w:rsid w:val="00211D1E"/>
    <w:rsid w:val="002133DC"/>
    <w:rsid w:val="002227F0"/>
    <w:rsid w:val="002341BF"/>
    <w:rsid w:val="002461F4"/>
    <w:rsid w:val="00250178"/>
    <w:rsid w:val="00250A67"/>
    <w:rsid w:val="00257FE6"/>
    <w:rsid w:val="00262C81"/>
    <w:rsid w:val="0026519E"/>
    <w:rsid w:val="00271263"/>
    <w:rsid w:val="00273FCC"/>
    <w:rsid w:val="0027565E"/>
    <w:rsid w:val="00282172"/>
    <w:rsid w:val="00286D8B"/>
    <w:rsid w:val="0029139A"/>
    <w:rsid w:val="00292E25"/>
    <w:rsid w:val="0029455D"/>
    <w:rsid w:val="002A231A"/>
    <w:rsid w:val="002B0CF5"/>
    <w:rsid w:val="002B1CA1"/>
    <w:rsid w:val="002B4119"/>
    <w:rsid w:val="002C00CB"/>
    <w:rsid w:val="002C0EDE"/>
    <w:rsid w:val="002C7E60"/>
    <w:rsid w:val="002D75A6"/>
    <w:rsid w:val="002F1793"/>
    <w:rsid w:val="002F4FC1"/>
    <w:rsid w:val="003067AC"/>
    <w:rsid w:val="0031240F"/>
    <w:rsid w:val="00320345"/>
    <w:rsid w:val="00322DA6"/>
    <w:rsid w:val="00324CF9"/>
    <w:rsid w:val="00326B84"/>
    <w:rsid w:val="00333185"/>
    <w:rsid w:val="00335CE3"/>
    <w:rsid w:val="00335EDB"/>
    <w:rsid w:val="00340E98"/>
    <w:rsid w:val="0034267A"/>
    <w:rsid w:val="003434C4"/>
    <w:rsid w:val="003474D5"/>
    <w:rsid w:val="00350661"/>
    <w:rsid w:val="003604F3"/>
    <w:rsid w:val="0036348F"/>
    <w:rsid w:val="0037100E"/>
    <w:rsid w:val="00371B4A"/>
    <w:rsid w:val="00373E8E"/>
    <w:rsid w:val="00377602"/>
    <w:rsid w:val="00380E7F"/>
    <w:rsid w:val="003865C4"/>
    <w:rsid w:val="0039149D"/>
    <w:rsid w:val="00391B75"/>
    <w:rsid w:val="00393C4D"/>
    <w:rsid w:val="00393EDC"/>
    <w:rsid w:val="00396878"/>
    <w:rsid w:val="003A353A"/>
    <w:rsid w:val="003B0AFF"/>
    <w:rsid w:val="003B3CB9"/>
    <w:rsid w:val="003B4927"/>
    <w:rsid w:val="003B5D27"/>
    <w:rsid w:val="003D0175"/>
    <w:rsid w:val="003D123B"/>
    <w:rsid w:val="003F7A2F"/>
    <w:rsid w:val="003F7C77"/>
    <w:rsid w:val="003F7D2C"/>
    <w:rsid w:val="0040489C"/>
    <w:rsid w:val="00404C9A"/>
    <w:rsid w:val="00413E34"/>
    <w:rsid w:val="0042332E"/>
    <w:rsid w:val="00430038"/>
    <w:rsid w:val="0043594E"/>
    <w:rsid w:val="004446C2"/>
    <w:rsid w:val="00453122"/>
    <w:rsid w:val="00456FCC"/>
    <w:rsid w:val="0046342B"/>
    <w:rsid w:val="00475740"/>
    <w:rsid w:val="00483D37"/>
    <w:rsid w:val="00486C0B"/>
    <w:rsid w:val="004A0C85"/>
    <w:rsid w:val="004A345A"/>
    <w:rsid w:val="004A7267"/>
    <w:rsid w:val="004B2B77"/>
    <w:rsid w:val="004B3A3C"/>
    <w:rsid w:val="004B3D9E"/>
    <w:rsid w:val="004B4135"/>
    <w:rsid w:val="004B4CB6"/>
    <w:rsid w:val="004B5516"/>
    <w:rsid w:val="004B6179"/>
    <w:rsid w:val="004C2AB8"/>
    <w:rsid w:val="004C65BE"/>
    <w:rsid w:val="004D31D6"/>
    <w:rsid w:val="004D3D60"/>
    <w:rsid w:val="004E2EDC"/>
    <w:rsid w:val="004F3D79"/>
    <w:rsid w:val="00501FC4"/>
    <w:rsid w:val="0050265E"/>
    <w:rsid w:val="00504173"/>
    <w:rsid w:val="00505CAC"/>
    <w:rsid w:val="005110AD"/>
    <w:rsid w:val="005125C3"/>
    <w:rsid w:val="0051443D"/>
    <w:rsid w:val="00514BFA"/>
    <w:rsid w:val="00520C07"/>
    <w:rsid w:val="00531083"/>
    <w:rsid w:val="00532CBF"/>
    <w:rsid w:val="00534CEA"/>
    <w:rsid w:val="0053525A"/>
    <w:rsid w:val="005361C2"/>
    <w:rsid w:val="00540E02"/>
    <w:rsid w:val="00543FF0"/>
    <w:rsid w:val="00552C26"/>
    <w:rsid w:val="005538A3"/>
    <w:rsid w:val="005560B1"/>
    <w:rsid w:val="005627F5"/>
    <w:rsid w:val="00563C00"/>
    <w:rsid w:val="00565935"/>
    <w:rsid w:val="00584B38"/>
    <w:rsid w:val="005863D0"/>
    <w:rsid w:val="00595FED"/>
    <w:rsid w:val="005A23C9"/>
    <w:rsid w:val="005A5F76"/>
    <w:rsid w:val="005B4D8B"/>
    <w:rsid w:val="005C3592"/>
    <w:rsid w:val="005D27E9"/>
    <w:rsid w:val="005D2FDA"/>
    <w:rsid w:val="005D4622"/>
    <w:rsid w:val="005D584B"/>
    <w:rsid w:val="005D63D1"/>
    <w:rsid w:val="005E0629"/>
    <w:rsid w:val="005F0619"/>
    <w:rsid w:val="005F1496"/>
    <w:rsid w:val="005F3333"/>
    <w:rsid w:val="00627A35"/>
    <w:rsid w:val="00631627"/>
    <w:rsid w:val="00667800"/>
    <w:rsid w:val="00673679"/>
    <w:rsid w:val="0067702E"/>
    <w:rsid w:val="00677D59"/>
    <w:rsid w:val="006800C5"/>
    <w:rsid w:val="006805FB"/>
    <w:rsid w:val="00685854"/>
    <w:rsid w:val="00696FFA"/>
    <w:rsid w:val="00697298"/>
    <w:rsid w:val="006A334D"/>
    <w:rsid w:val="006A39E8"/>
    <w:rsid w:val="006A4D1D"/>
    <w:rsid w:val="006B58FE"/>
    <w:rsid w:val="006B61CC"/>
    <w:rsid w:val="006C0763"/>
    <w:rsid w:val="006C44C9"/>
    <w:rsid w:val="006E0BDB"/>
    <w:rsid w:val="006E6379"/>
    <w:rsid w:val="006F59A5"/>
    <w:rsid w:val="00704C43"/>
    <w:rsid w:val="0070539C"/>
    <w:rsid w:val="00714048"/>
    <w:rsid w:val="007236EC"/>
    <w:rsid w:val="00725AFF"/>
    <w:rsid w:val="007364FB"/>
    <w:rsid w:val="007534EE"/>
    <w:rsid w:val="00754F22"/>
    <w:rsid w:val="00755958"/>
    <w:rsid w:val="00757982"/>
    <w:rsid w:val="00766B0D"/>
    <w:rsid w:val="00767AAF"/>
    <w:rsid w:val="007811E7"/>
    <w:rsid w:val="00795DE6"/>
    <w:rsid w:val="007A741E"/>
    <w:rsid w:val="007B177A"/>
    <w:rsid w:val="007B226E"/>
    <w:rsid w:val="007C2398"/>
    <w:rsid w:val="007C75C3"/>
    <w:rsid w:val="007C7B4F"/>
    <w:rsid w:val="007D6A50"/>
    <w:rsid w:val="007D7B13"/>
    <w:rsid w:val="007F6C39"/>
    <w:rsid w:val="00820ACF"/>
    <w:rsid w:val="00831CA6"/>
    <w:rsid w:val="008327B9"/>
    <w:rsid w:val="008412F1"/>
    <w:rsid w:val="00846504"/>
    <w:rsid w:val="0085730A"/>
    <w:rsid w:val="008740D9"/>
    <w:rsid w:val="00882E91"/>
    <w:rsid w:val="008878F6"/>
    <w:rsid w:val="008957A2"/>
    <w:rsid w:val="0089652D"/>
    <w:rsid w:val="008A022B"/>
    <w:rsid w:val="008A0997"/>
    <w:rsid w:val="008A46DB"/>
    <w:rsid w:val="008A5621"/>
    <w:rsid w:val="008A5BBC"/>
    <w:rsid w:val="008C173B"/>
    <w:rsid w:val="008D4BB4"/>
    <w:rsid w:val="008D63BE"/>
    <w:rsid w:val="008F4981"/>
    <w:rsid w:val="00910F29"/>
    <w:rsid w:val="009219FD"/>
    <w:rsid w:val="00924D78"/>
    <w:rsid w:val="00932D03"/>
    <w:rsid w:val="00936997"/>
    <w:rsid w:val="00950154"/>
    <w:rsid w:val="00952890"/>
    <w:rsid w:val="009543FD"/>
    <w:rsid w:val="00963909"/>
    <w:rsid w:val="009749EA"/>
    <w:rsid w:val="00974F89"/>
    <w:rsid w:val="0098041C"/>
    <w:rsid w:val="00980CA6"/>
    <w:rsid w:val="00980CBA"/>
    <w:rsid w:val="00981AFE"/>
    <w:rsid w:val="00985B65"/>
    <w:rsid w:val="00987C0B"/>
    <w:rsid w:val="00990F59"/>
    <w:rsid w:val="00993F62"/>
    <w:rsid w:val="009A10D0"/>
    <w:rsid w:val="009A1C60"/>
    <w:rsid w:val="009A2159"/>
    <w:rsid w:val="009A255B"/>
    <w:rsid w:val="009A7739"/>
    <w:rsid w:val="009B2907"/>
    <w:rsid w:val="009B584A"/>
    <w:rsid w:val="009B75DD"/>
    <w:rsid w:val="009C18D2"/>
    <w:rsid w:val="009C4247"/>
    <w:rsid w:val="009C4AD7"/>
    <w:rsid w:val="009C60E4"/>
    <w:rsid w:val="009D431C"/>
    <w:rsid w:val="009E16CA"/>
    <w:rsid w:val="009E2124"/>
    <w:rsid w:val="00A02285"/>
    <w:rsid w:val="00A04241"/>
    <w:rsid w:val="00A0561A"/>
    <w:rsid w:val="00A12543"/>
    <w:rsid w:val="00A24A66"/>
    <w:rsid w:val="00A24CA2"/>
    <w:rsid w:val="00A25769"/>
    <w:rsid w:val="00A37FE3"/>
    <w:rsid w:val="00A42B61"/>
    <w:rsid w:val="00A47DD5"/>
    <w:rsid w:val="00A65F5D"/>
    <w:rsid w:val="00A81720"/>
    <w:rsid w:val="00A94C09"/>
    <w:rsid w:val="00A94F4C"/>
    <w:rsid w:val="00AB00A0"/>
    <w:rsid w:val="00AB1395"/>
    <w:rsid w:val="00AB53E0"/>
    <w:rsid w:val="00AC0007"/>
    <w:rsid w:val="00AC0528"/>
    <w:rsid w:val="00AC1A0B"/>
    <w:rsid w:val="00AC254D"/>
    <w:rsid w:val="00AD0033"/>
    <w:rsid w:val="00AD10EE"/>
    <w:rsid w:val="00AD2B58"/>
    <w:rsid w:val="00AD533A"/>
    <w:rsid w:val="00AE1890"/>
    <w:rsid w:val="00AE2944"/>
    <w:rsid w:val="00AE417F"/>
    <w:rsid w:val="00AE47ED"/>
    <w:rsid w:val="00AF263D"/>
    <w:rsid w:val="00AF5AC5"/>
    <w:rsid w:val="00B023F5"/>
    <w:rsid w:val="00B108D0"/>
    <w:rsid w:val="00B11F79"/>
    <w:rsid w:val="00B1652A"/>
    <w:rsid w:val="00B23310"/>
    <w:rsid w:val="00B40044"/>
    <w:rsid w:val="00B400CD"/>
    <w:rsid w:val="00B52712"/>
    <w:rsid w:val="00B663A1"/>
    <w:rsid w:val="00B674B5"/>
    <w:rsid w:val="00B67D4A"/>
    <w:rsid w:val="00B77AAE"/>
    <w:rsid w:val="00B8204D"/>
    <w:rsid w:val="00B8479D"/>
    <w:rsid w:val="00B84FDD"/>
    <w:rsid w:val="00B857BF"/>
    <w:rsid w:val="00B927E8"/>
    <w:rsid w:val="00B93E20"/>
    <w:rsid w:val="00B96593"/>
    <w:rsid w:val="00B96975"/>
    <w:rsid w:val="00BA22B8"/>
    <w:rsid w:val="00BA2C09"/>
    <w:rsid w:val="00BA3CF4"/>
    <w:rsid w:val="00BA7124"/>
    <w:rsid w:val="00BA7445"/>
    <w:rsid w:val="00BB02AA"/>
    <w:rsid w:val="00BB0A52"/>
    <w:rsid w:val="00BB2E52"/>
    <w:rsid w:val="00BB5705"/>
    <w:rsid w:val="00BB659D"/>
    <w:rsid w:val="00BB6B1F"/>
    <w:rsid w:val="00BC0C0E"/>
    <w:rsid w:val="00BC2898"/>
    <w:rsid w:val="00BC3BF0"/>
    <w:rsid w:val="00BC73BA"/>
    <w:rsid w:val="00BD2728"/>
    <w:rsid w:val="00BD4A7D"/>
    <w:rsid w:val="00BD6039"/>
    <w:rsid w:val="00BE1BF6"/>
    <w:rsid w:val="00BE496C"/>
    <w:rsid w:val="00BE70F8"/>
    <w:rsid w:val="00BE72BB"/>
    <w:rsid w:val="00BF0236"/>
    <w:rsid w:val="00BF2AB5"/>
    <w:rsid w:val="00BF3351"/>
    <w:rsid w:val="00BF67BC"/>
    <w:rsid w:val="00C02000"/>
    <w:rsid w:val="00C06B65"/>
    <w:rsid w:val="00C12762"/>
    <w:rsid w:val="00C15757"/>
    <w:rsid w:val="00C21396"/>
    <w:rsid w:val="00C31588"/>
    <w:rsid w:val="00C33990"/>
    <w:rsid w:val="00C3648A"/>
    <w:rsid w:val="00C367AD"/>
    <w:rsid w:val="00C426EC"/>
    <w:rsid w:val="00C468EB"/>
    <w:rsid w:val="00C66C0B"/>
    <w:rsid w:val="00C74D65"/>
    <w:rsid w:val="00C76796"/>
    <w:rsid w:val="00C94E10"/>
    <w:rsid w:val="00CA0779"/>
    <w:rsid w:val="00CC444A"/>
    <w:rsid w:val="00CC539D"/>
    <w:rsid w:val="00CD11D9"/>
    <w:rsid w:val="00CE2B65"/>
    <w:rsid w:val="00D02B79"/>
    <w:rsid w:val="00D17FD8"/>
    <w:rsid w:val="00D30A43"/>
    <w:rsid w:val="00D31C7A"/>
    <w:rsid w:val="00D34471"/>
    <w:rsid w:val="00D356E7"/>
    <w:rsid w:val="00D4425F"/>
    <w:rsid w:val="00D454E8"/>
    <w:rsid w:val="00D61483"/>
    <w:rsid w:val="00D6209F"/>
    <w:rsid w:val="00D73BB4"/>
    <w:rsid w:val="00D744C9"/>
    <w:rsid w:val="00D755CA"/>
    <w:rsid w:val="00D80D05"/>
    <w:rsid w:val="00D80ECE"/>
    <w:rsid w:val="00D8395D"/>
    <w:rsid w:val="00D83D53"/>
    <w:rsid w:val="00D9139A"/>
    <w:rsid w:val="00D95102"/>
    <w:rsid w:val="00DA24D9"/>
    <w:rsid w:val="00DA3697"/>
    <w:rsid w:val="00DA5FA0"/>
    <w:rsid w:val="00DB1CD2"/>
    <w:rsid w:val="00DB5979"/>
    <w:rsid w:val="00DC520A"/>
    <w:rsid w:val="00DC5A7B"/>
    <w:rsid w:val="00DC5EE8"/>
    <w:rsid w:val="00DD1361"/>
    <w:rsid w:val="00DD1677"/>
    <w:rsid w:val="00DE08B5"/>
    <w:rsid w:val="00DE0C85"/>
    <w:rsid w:val="00DE31EE"/>
    <w:rsid w:val="00DF14BE"/>
    <w:rsid w:val="00DF4513"/>
    <w:rsid w:val="00E0138A"/>
    <w:rsid w:val="00E22FB6"/>
    <w:rsid w:val="00E265FE"/>
    <w:rsid w:val="00E50F83"/>
    <w:rsid w:val="00E65C8D"/>
    <w:rsid w:val="00E75B05"/>
    <w:rsid w:val="00E90E4D"/>
    <w:rsid w:val="00EA3347"/>
    <w:rsid w:val="00EB1249"/>
    <w:rsid w:val="00EB2A49"/>
    <w:rsid w:val="00EB510D"/>
    <w:rsid w:val="00EC6459"/>
    <w:rsid w:val="00ED2A71"/>
    <w:rsid w:val="00ED3A52"/>
    <w:rsid w:val="00EE02B8"/>
    <w:rsid w:val="00EE2EB3"/>
    <w:rsid w:val="00F0079C"/>
    <w:rsid w:val="00F24F61"/>
    <w:rsid w:val="00F27CD8"/>
    <w:rsid w:val="00F30F92"/>
    <w:rsid w:val="00F353DD"/>
    <w:rsid w:val="00F400F8"/>
    <w:rsid w:val="00F42FD1"/>
    <w:rsid w:val="00F5048E"/>
    <w:rsid w:val="00F506F3"/>
    <w:rsid w:val="00F70C41"/>
    <w:rsid w:val="00F72087"/>
    <w:rsid w:val="00F7488C"/>
    <w:rsid w:val="00F80164"/>
    <w:rsid w:val="00F83898"/>
    <w:rsid w:val="00F91051"/>
    <w:rsid w:val="00FA3191"/>
    <w:rsid w:val="00FA6E13"/>
    <w:rsid w:val="00FC1886"/>
    <w:rsid w:val="00FD545D"/>
    <w:rsid w:val="00FE34C0"/>
    <w:rsid w:val="00FE4F14"/>
    <w:rsid w:val="00FE5D69"/>
    <w:rsid w:val="00FE61D1"/>
    <w:rsid w:val="00FF0D12"/>
    <w:rsid w:val="00FF1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275C2E"/>
  <w15:chartTrackingRefBased/>
  <w15:docId w15:val="{43AB664A-482E-4F56-8B0A-34DF1C93D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9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19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219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219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19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19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19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19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19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9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19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219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219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19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19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19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19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19FD"/>
    <w:rPr>
      <w:rFonts w:eastAsiaTheme="majorEastAsia" w:cstheme="majorBidi"/>
      <w:color w:val="272727" w:themeColor="text1" w:themeTint="D8"/>
    </w:rPr>
  </w:style>
  <w:style w:type="paragraph" w:styleId="Title">
    <w:name w:val="Title"/>
    <w:basedOn w:val="Normal"/>
    <w:next w:val="Normal"/>
    <w:link w:val="TitleChar"/>
    <w:uiPriority w:val="10"/>
    <w:qFormat/>
    <w:rsid w:val="009219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19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19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19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19FD"/>
    <w:pPr>
      <w:spacing w:before="160"/>
      <w:jc w:val="center"/>
    </w:pPr>
    <w:rPr>
      <w:i/>
      <w:iCs/>
      <w:color w:val="404040" w:themeColor="text1" w:themeTint="BF"/>
    </w:rPr>
  </w:style>
  <w:style w:type="character" w:customStyle="1" w:styleId="QuoteChar">
    <w:name w:val="Quote Char"/>
    <w:basedOn w:val="DefaultParagraphFont"/>
    <w:link w:val="Quote"/>
    <w:uiPriority w:val="29"/>
    <w:rsid w:val="009219FD"/>
    <w:rPr>
      <w:i/>
      <w:iCs/>
      <w:color w:val="404040" w:themeColor="text1" w:themeTint="BF"/>
    </w:rPr>
  </w:style>
  <w:style w:type="paragraph" w:styleId="ListParagraph">
    <w:name w:val="List Paragraph"/>
    <w:basedOn w:val="Normal"/>
    <w:uiPriority w:val="34"/>
    <w:qFormat/>
    <w:rsid w:val="009219FD"/>
    <w:pPr>
      <w:ind w:left="720"/>
      <w:contextualSpacing/>
    </w:pPr>
  </w:style>
  <w:style w:type="character" w:styleId="IntenseEmphasis">
    <w:name w:val="Intense Emphasis"/>
    <w:basedOn w:val="DefaultParagraphFont"/>
    <w:uiPriority w:val="21"/>
    <w:qFormat/>
    <w:rsid w:val="009219FD"/>
    <w:rPr>
      <w:i/>
      <w:iCs/>
      <w:color w:val="0F4761" w:themeColor="accent1" w:themeShade="BF"/>
    </w:rPr>
  </w:style>
  <w:style w:type="paragraph" w:styleId="IntenseQuote">
    <w:name w:val="Intense Quote"/>
    <w:basedOn w:val="Normal"/>
    <w:next w:val="Normal"/>
    <w:link w:val="IntenseQuoteChar"/>
    <w:uiPriority w:val="30"/>
    <w:qFormat/>
    <w:rsid w:val="009219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19FD"/>
    <w:rPr>
      <w:i/>
      <w:iCs/>
      <w:color w:val="0F4761" w:themeColor="accent1" w:themeShade="BF"/>
    </w:rPr>
  </w:style>
  <w:style w:type="character" w:styleId="IntenseReference">
    <w:name w:val="Intense Reference"/>
    <w:basedOn w:val="DefaultParagraphFont"/>
    <w:uiPriority w:val="32"/>
    <w:qFormat/>
    <w:rsid w:val="009219FD"/>
    <w:rPr>
      <w:b/>
      <w:bCs/>
      <w:smallCaps/>
      <w:color w:val="0F4761" w:themeColor="accent1" w:themeShade="BF"/>
      <w:spacing w:val="5"/>
    </w:rPr>
  </w:style>
  <w:style w:type="paragraph" w:styleId="NoSpacing">
    <w:name w:val="No Spacing"/>
    <w:link w:val="NoSpacingChar"/>
    <w:uiPriority w:val="1"/>
    <w:qFormat/>
    <w:rsid w:val="009219F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219FD"/>
    <w:rPr>
      <w:rFonts w:eastAsiaTheme="minorEastAsia"/>
      <w:kern w:val="0"/>
      <w:lang w:eastAsia="en-GB"/>
      <w14:ligatures w14:val="none"/>
    </w:rPr>
  </w:style>
  <w:style w:type="paragraph" w:styleId="Header">
    <w:name w:val="header"/>
    <w:basedOn w:val="Normal"/>
    <w:link w:val="HeaderChar"/>
    <w:uiPriority w:val="99"/>
    <w:unhideWhenUsed/>
    <w:rsid w:val="009B58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84A"/>
  </w:style>
  <w:style w:type="paragraph" w:styleId="Footer">
    <w:name w:val="footer"/>
    <w:basedOn w:val="Normal"/>
    <w:link w:val="FooterChar"/>
    <w:uiPriority w:val="99"/>
    <w:unhideWhenUsed/>
    <w:rsid w:val="009B58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84A"/>
  </w:style>
  <w:style w:type="paragraph" w:styleId="TOCHeading">
    <w:name w:val="TOC Heading"/>
    <w:basedOn w:val="Heading1"/>
    <w:next w:val="Normal"/>
    <w:uiPriority w:val="39"/>
    <w:unhideWhenUsed/>
    <w:qFormat/>
    <w:rsid w:val="00380E7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80E7F"/>
    <w:pPr>
      <w:spacing w:after="100"/>
    </w:pPr>
  </w:style>
  <w:style w:type="character" w:styleId="Hyperlink">
    <w:name w:val="Hyperlink"/>
    <w:basedOn w:val="DefaultParagraphFont"/>
    <w:uiPriority w:val="99"/>
    <w:unhideWhenUsed/>
    <w:rsid w:val="00380E7F"/>
    <w:rPr>
      <w:color w:val="467886" w:themeColor="hyperlink"/>
      <w:u w:val="single"/>
    </w:rPr>
  </w:style>
  <w:style w:type="character" w:styleId="UnresolvedMention">
    <w:name w:val="Unresolved Mention"/>
    <w:basedOn w:val="DefaultParagraphFont"/>
    <w:uiPriority w:val="99"/>
    <w:semiHidden/>
    <w:unhideWhenUsed/>
    <w:rsid w:val="00257FE6"/>
    <w:rPr>
      <w:color w:val="605E5C"/>
      <w:shd w:val="clear" w:color="auto" w:fill="E1DFDD"/>
    </w:rPr>
  </w:style>
  <w:style w:type="paragraph" w:styleId="TOC2">
    <w:name w:val="toc 2"/>
    <w:basedOn w:val="Normal"/>
    <w:next w:val="Normal"/>
    <w:autoRedefine/>
    <w:uiPriority w:val="39"/>
    <w:unhideWhenUsed/>
    <w:rsid w:val="00DA3697"/>
    <w:pPr>
      <w:spacing w:after="100"/>
      <w:ind w:left="220"/>
    </w:pPr>
  </w:style>
  <w:style w:type="paragraph" w:styleId="TOC3">
    <w:name w:val="toc 3"/>
    <w:basedOn w:val="Normal"/>
    <w:next w:val="Normal"/>
    <w:autoRedefine/>
    <w:uiPriority w:val="39"/>
    <w:unhideWhenUsed/>
    <w:rsid w:val="00DA369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10551-022-05175-1" TargetMode="External"/><Relationship Id="rId21" Type="http://schemas.openxmlformats.org/officeDocument/2006/relationships/hyperlink" Target="http://hdl.handle.net/1854/LU-1863372" TargetMode="External"/><Relationship Id="rId42" Type="http://schemas.openxmlformats.org/officeDocument/2006/relationships/hyperlink" Target="https://www.securityhumanrightshub.org/media/pdf/resources/Chinese-Approaches-to-Overseas-Responsible-Business_0_1.pdf" TargetMode="External"/><Relationship Id="rId47" Type="http://schemas.openxmlformats.org/officeDocument/2006/relationships/hyperlink" Target="https://doi-org.ezproxy.uwtsd.ac.uk/10.1007/s10668-022-02217-6" TargetMode="External"/><Relationship Id="rId63" Type="http://schemas.openxmlformats.org/officeDocument/2006/relationships/hyperlink" Target="https://doi.org/10.1029/2020GH000325" TargetMode="External"/><Relationship Id="rId68" Type="http://schemas.openxmlformats.org/officeDocument/2006/relationships/hyperlink" Target="https://www.lifecycleinitiative.org/wp-content/uploads/2021/01/Guidelines-for-Social-Life-Cycle-Assessment-of-Products-and-Organizations-2020-22.1.21sml.pdf" TargetMode="External"/><Relationship Id="rId16" Type="http://schemas.openxmlformats.org/officeDocument/2006/relationships/hyperlink" Target="https://www.delvedatabase.org/uploads/resources/BGR_Cobalt_Congo_2019_en.pdf" TargetMode="External"/><Relationship Id="rId11" Type="http://schemas.openxmlformats.org/officeDocument/2006/relationships/hyperlink" Target="https://doi.org/10.1016/j.ssci.2021.105244" TargetMode="External"/><Relationship Id="rId32" Type="http://schemas.openxmlformats.org/officeDocument/2006/relationships/hyperlink" Target="https://doi.org/10.1073/pnas.1500415112" TargetMode="External"/><Relationship Id="rId37" Type="http://schemas.openxmlformats.org/officeDocument/2006/relationships/hyperlink" Target="https://shs.cairn.info/revue-politique-africaine-2010-4-page-105?lang=en" TargetMode="External"/><Relationship Id="rId53" Type="http://schemas.openxmlformats.org/officeDocument/2006/relationships/hyperlink" Target="https://doi.org/10.55248/gengpi.6.0325.11145" TargetMode="External"/><Relationship Id="rId58" Type="http://schemas.openxmlformats.org/officeDocument/2006/relationships/hyperlink" Target="https://doi-org.ezproxy.uwtsd.ac.uk/10.1016/j.exis.2020.08.006" TargetMode="External"/><Relationship Id="rId74" Type="http://schemas.openxmlformats.org/officeDocument/2006/relationships/hyperlink" Target="https://doi.org/10.1016/j.exis.2022.101046"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scholar.smu.edu/cgi/viewcontent.cgi?article=1373&amp;context=scitech" TargetMode="External"/><Relationship Id="rId19" Type="http://schemas.openxmlformats.org/officeDocument/2006/relationships/hyperlink" Target="https://doi.org/10.1016/j.exis.2021.02.004" TargetMode="External"/><Relationship Id="rId14" Type="http://schemas.openxmlformats.org/officeDocument/2006/relationships/hyperlink" Target="https://doi.org/10.1016/j.jclepro.2024.143306" TargetMode="External"/><Relationship Id="rId22" Type="http://schemas.openxmlformats.org/officeDocument/2006/relationships/hyperlink" Target="https://doi.org/10.1017/S0022278X23000022" TargetMode="External"/><Relationship Id="rId27" Type="http://schemas.openxmlformats.org/officeDocument/2006/relationships/hyperlink" Target="https://doi-org.ezproxy.uwtsd.ac.uk/10.1016/j.geoderma.2011.05.014" TargetMode="External"/><Relationship Id="rId30" Type="http://schemas.openxmlformats.org/officeDocument/2006/relationships/hyperlink" Target="https://doi.org/10.1017/CBO9780511815768.012" TargetMode="External"/><Relationship Id="rId35" Type="http://schemas.openxmlformats.org/officeDocument/2006/relationships/hyperlink" Target="https://doi.org/10.1016/j.resourpol.2021.102001" TargetMode="External"/><Relationship Id="rId43" Type="http://schemas.openxmlformats.org/officeDocument/2006/relationships/hyperlink" Target="https://www.econstor.eu/bitstream/10419/243365/1/wp2021-039.pdf" TargetMode="External"/><Relationship Id="rId48" Type="http://schemas.openxmlformats.org/officeDocument/2006/relationships/hyperlink" Target="https://doi.org/10.1016/j.procs.2022.01.26" TargetMode="External"/><Relationship Id="rId56" Type="http://schemas.openxmlformats.org/officeDocument/2006/relationships/hyperlink" Target="https://doi.org/10.1093/cjip/poad002" TargetMode="External"/><Relationship Id="rId64" Type="http://schemas.openxmlformats.org/officeDocument/2006/relationships/hyperlink" Target="https://pubmed.ncbi.nlm.nih.gov/31149816/" TargetMode="External"/><Relationship Id="rId69" Type="http://schemas.openxmlformats.org/officeDocument/2006/relationships/hyperlink" Target="https://sustainabledevelopment.un.org/content/documents/21252030%20Agenda%20for%20Sustainable%20Development%20web.pdf?_gl=1*ll6ekd*_ga*MTQ3MzQxNjIxMS4xNzYxNTcwODI2*_ga_TK9BQL5X7Z*czE3NjE1NzQ3NjQkbzIkZzEkdDE3NjE1NzgwNjMkajYwJGwwJGgw" TargetMode="External"/><Relationship Id="rId77"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www.oecd.org/content/dam/oecd/en/publications/reports/2016/04/oecd-due-diligence-guidance-for-responsible-supply-chains-of-minerals-from-conflict-affected-and-high-risk-areas_g1g65996/9789264252479-en.pdf" TargetMode="External"/><Relationship Id="rId72" Type="http://schemas.openxmlformats.org/officeDocument/2006/relationships/hyperlink" Target="https://doi-org.ezproxy.uwtsd.ac.uk/10.1016/j.respol.2011.10.015" TargetMode="External"/><Relationship Id="rId80"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hyperlink" Target="https://doi.org/10.3167/fcl.2020.072001" TargetMode="External"/><Relationship Id="rId17" Type="http://schemas.openxmlformats.org/officeDocument/2006/relationships/hyperlink" Target="https://doi.org/10.1080/23299460.2024.2440966" TargetMode="External"/><Relationship Id="rId25" Type="http://schemas.openxmlformats.org/officeDocument/2006/relationships/hyperlink" Target="https://doi.org/10.1016/j.ssci.2022.106010" TargetMode="External"/><Relationship Id="rId33" Type="http://schemas.openxmlformats.org/officeDocument/2006/relationships/hyperlink" Target="https://doi.org/10.1016/j.resourpol.2022.103007" TargetMode="External"/><Relationship Id="rId38" Type="http://schemas.openxmlformats.org/officeDocument/2006/relationships/hyperlink" Target="https://doi.org/10.1017/S0021853700031558" TargetMode="External"/><Relationship Id="rId46" Type="http://schemas.openxmlformats.org/officeDocument/2006/relationships/hyperlink" Target="https://doi.org/10.1007/s10551-025-05939-5" TargetMode="External"/><Relationship Id="rId59" Type="http://schemas.openxmlformats.org/officeDocument/2006/relationships/hyperlink" Target="https://www.legislation.gov.uk/eur/2017/821/body" TargetMode="External"/><Relationship Id="rId67" Type="http://schemas.openxmlformats.org/officeDocument/2006/relationships/hyperlink" Target="https://www.unicef.org.uk/press-releases/despite-progress-child-labour-still-affects-138-million-children-globally-ilo-unicef/" TargetMode="External"/><Relationship Id="rId20" Type="http://schemas.openxmlformats.org/officeDocument/2006/relationships/hyperlink" Target="https://doi.org/10.1016/j.resourpol.2024.105149" TargetMode="External"/><Relationship Id="rId41" Type="http://schemas.openxmlformats.org/officeDocument/2006/relationships/hyperlink" Target="https://doi-org.ezproxy.uwtsd.ac.uk/10.1016/j.gexplo.2009.12.005" TargetMode="External"/><Relationship Id="rId54" Type="http://schemas.openxmlformats.org/officeDocument/2006/relationships/hyperlink" Target="https://www.econstor.eu/handle/10419/229396" TargetMode="External"/><Relationship Id="rId62" Type="http://schemas.openxmlformats.org/officeDocument/2006/relationships/hyperlink" Target="https://doi.org/10.1016/j.respol.2018.08.011" TargetMode="External"/><Relationship Id="rId70" Type="http://schemas.openxmlformats.org/officeDocument/2006/relationships/hyperlink" Target="https://doi-org.ezproxy.uwtsd.ac.uk/10.1016/S2542-5196(20)30059-0" TargetMode="External"/><Relationship Id="rId75" Type="http://schemas.openxmlformats.org/officeDocument/2006/relationships/hyperlink" Target="https://www3.weforum.org/docs/WEF_Making_Mining_Safe_2020.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08/SCM-03-2022-0119" TargetMode="External"/><Relationship Id="rId23" Type="http://schemas.openxmlformats.org/officeDocument/2006/relationships/hyperlink" Target="https://www.followingthemoney.org/wp-content/uploads/2022/07/2021_RCI-RMI_Cobalt-Refiner-Supply-Chain-Due-Diligence-Standard-Version-2.0_E.pdf" TargetMode="External"/><Relationship Id="rId28" Type="http://schemas.openxmlformats.org/officeDocument/2006/relationships/hyperlink" Target="https://eur-lex.europa.eu/legal-content/EN/TXT/PDF/?uri=CELEX:52024DC0415" TargetMode="External"/><Relationship Id="rId36" Type="http://schemas.openxmlformats.org/officeDocument/2006/relationships/hyperlink" Target="https://doi.org/10.1016/j.resourpol.2024.105409" TargetMode="External"/><Relationship Id="rId49" Type="http://schemas.openxmlformats.org/officeDocument/2006/relationships/hyperlink" Target="https://doi.org/10.1016/j.envadv.2021.100103" TargetMode="External"/><Relationship Id="rId57" Type="http://schemas.openxmlformats.org/officeDocument/2006/relationships/hyperlink" Target="https://doi.org/10.1016/j.exis.2020.04.010" TargetMode="External"/><Relationship Id="rId10" Type="http://schemas.openxmlformats.org/officeDocument/2006/relationships/image" Target="media/image3.png"/><Relationship Id="rId31" Type="http://schemas.openxmlformats.org/officeDocument/2006/relationships/hyperlink" Target="https://doi.org/10.15126/thesis.00850789L" TargetMode="External"/><Relationship Id="rId44" Type="http://schemas.openxmlformats.org/officeDocument/2006/relationships/hyperlink" Target="https://doi.org/10.1016/j.resourpol.2021.102015" TargetMode="External"/><Relationship Id="rId52" Type="http://schemas.openxmlformats.org/officeDocument/2006/relationships/hyperlink" Target="https://doi.org/10.1787/576804e7-en" TargetMode="External"/><Relationship Id="rId60" Type="http://schemas.openxmlformats.org/officeDocument/2006/relationships/hyperlink" Target="https://doi.org/10.1016/j.resourpol.2021.102135" TargetMode="External"/><Relationship Id="rId65" Type="http://schemas.openxmlformats.org/officeDocument/2006/relationships/hyperlink" Target="https://doi.org/10.1177/0007650320915919" TargetMode="External"/><Relationship Id="rId73" Type="http://schemas.openxmlformats.org/officeDocument/2006/relationships/hyperlink" Target="https://www3.weforum.org/docs/WEF_A_Vision_for_a_Sustainable_Battery_Value_Chain_in_2030_Report.pdf" TargetMode="External"/><Relationship Id="rId78" Type="http://schemas.openxmlformats.org/officeDocument/2006/relationships/footer" Target="footer1.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1007/s11367-025-02471-6" TargetMode="External"/><Relationship Id="rId18" Type="http://schemas.openxmlformats.org/officeDocument/2006/relationships/hyperlink" Target="https://doi.org/10.1016/j.polgeo.2021.102381" TargetMode="External"/><Relationship Id="rId39" Type="http://schemas.openxmlformats.org/officeDocument/2006/relationships/hyperlink" Target="https://doi.org/10.1111/twec.13345" TargetMode="External"/><Relationship Id="rId34" Type="http://schemas.openxmlformats.org/officeDocument/2006/relationships/hyperlink" Target="https://doi.org/10.1016/j.jrurstud.2022.03.010" TargetMode="External"/><Relationship Id="rId50" Type="http://schemas.openxmlformats.org/officeDocument/2006/relationships/hyperlink" Target="https://www.science.org/doi/pdf/10.1126/sciadv.aay8647" TargetMode="External"/><Relationship Id="rId55" Type="http://schemas.openxmlformats.org/officeDocument/2006/relationships/hyperlink" Target="https://doi-org.ezproxy.uwtsd.ac.uk/10.1016/j.gexplo.2019.106394" TargetMode="External"/><Relationship Id="rId76" Type="http://schemas.openxmlformats.org/officeDocument/2006/relationships/hyperlink" Target="https://doi.org/10.1016/j.resourpol.2018.01.009" TargetMode="External"/><Relationship Id="rId7" Type="http://schemas.openxmlformats.org/officeDocument/2006/relationships/endnotes" Target="endnotes.xml"/><Relationship Id="rId71" Type="http://schemas.openxmlformats.org/officeDocument/2006/relationships/hyperlink" Target="https://doi.org/10.1016/j.cosust.2020.04.004" TargetMode="External"/><Relationship Id="rId2" Type="http://schemas.openxmlformats.org/officeDocument/2006/relationships/numbering" Target="numbering.xml"/><Relationship Id="rId29" Type="http://schemas.openxmlformats.org/officeDocument/2006/relationships/hyperlink" Target="https://www.europarl.europa.eu/cmsdata/297032/Traceability%20of%20critical%20raw%20materials.pdf" TargetMode="External"/><Relationship Id="rId24" Type="http://schemas.openxmlformats.org/officeDocument/2006/relationships/hyperlink" Target="http://securityhumanrightshub.org/media/pdf/resources/Baseline+Study+Cobalt+ASM+Mining+-+7.28.2021.pdf" TargetMode="External"/><Relationship Id="rId40" Type="http://schemas.openxmlformats.org/officeDocument/2006/relationships/hyperlink" Target="https://doi.org/10.3390/ijerph17249384" TargetMode="External"/><Relationship Id="rId45" Type="http://schemas.openxmlformats.org/officeDocument/2006/relationships/hyperlink" Target="https://www.researchgate.net/profile/Lucia-Mancini-3/publication/342561691_Responsible_and_sustainable_sourcing_of_battery_raw_materials/links/5efb3bca299bf18816f38efc/Responsible-and-sustainable-sourcing-of-battery-raw-materials.pdf" TargetMode="External"/><Relationship Id="rId66" Type="http://schemas.openxmlformats.org/officeDocument/2006/relationships/hyperlink" Target="https://doi.org/10.1016/j.exis.2019.05.018" TargetMode="External"/></Relationships>
</file>

<file path=word/_rels/footer1.xml.rels><?xml version="1.0" encoding="UTF-8" standalone="yes"?>
<Relationships xmlns="http://schemas.openxmlformats.org/package/2006/relationships"><Relationship Id="rId2" Type="http://schemas.microsoft.com/office/2007/relationships/hdphoto" Target="media/hdphoto1.wdp"/><Relationship Id="rId1"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19E38BD1F094C95BEF2E3F894A88C62"/>
        <w:category>
          <w:name w:val="General"/>
          <w:gallery w:val="placeholder"/>
        </w:category>
        <w:types>
          <w:type w:val="bbPlcHdr"/>
        </w:types>
        <w:behaviors>
          <w:behavior w:val="content"/>
        </w:behaviors>
        <w:guid w:val="{8A70C8B9-F41C-48D4-BCEC-ABF059612546}"/>
      </w:docPartPr>
      <w:docPartBody>
        <w:p w:rsidR="001C19BF" w:rsidRDefault="00927BE8" w:rsidP="00927BE8">
          <w:pPr>
            <w:pStyle w:val="619E38BD1F094C95BEF2E3F894A88C62"/>
          </w:pPr>
          <w:r>
            <w:rPr>
              <w:rFonts w:asciiTheme="majorHAnsi" w:eastAsiaTheme="majorEastAsia" w:hAnsiTheme="majorHAnsi" w:cstheme="majorBidi"/>
              <w:caps/>
              <w:color w:val="156082" w:themeColor="accent1"/>
              <w:sz w:val="80"/>
              <w:szCs w:val="80"/>
            </w:rPr>
            <w:t>[Document title]</w:t>
          </w:r>
        </w:p>
      </w:docPartBody>
    </w:docPart>
    <w:docPart>
      <w:docPartPr>
        <w:name w:val="F763D58848F84DC1BF247534C90ABB59"/>
        <w:category>
          <w:name w:val="General"/>
          <w:gallery w:val="placeholder"/>
        </w:category>
        <w:types>
          <w:type w:val="bbPlcHdr"/>
        </w:types>
        <w:behaviors>
          <w:behavior w:val="content"/>
        </w:behaviors>
        <w:guid w:val="{224F533D-B791-4D89-90B4-BD0A77C5D3D9}"/>
      </w:docPartPr>
      <w:docPartBody>
        <w:p w:rsidR="001C19BF" w:rsidRDefault="00927BE8" w:rsidP="00927BE8">
          <w:pPr>
            <w:pStyle w:val="F763D58848F84DC1BF247534C90ABB5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BE8"/>
    <w:rsid w:val="001C19BF"/>
    <w:rsid w:val="0043594E"/>
    <w:rsid w:val="006F3DA5"/>
    <w:rsid w:val="0084359A"/>
    <w:rsid w:val="00927BE8"/>
    <w:rsid w:val="00932D03"/>
    <w:rsid w:val="009E42AB"/>
    <w:rsid w:val="00AB53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9E38BD1F094C95BEF2E3F894A88C62">
    <w:name w:val="619E38BD1F094C95BEF2E3F894A88C62"/>
    <w:rsid w:val="00927BE8"/>
  </w:style>
  <w:style w:type="paragraph" w:customStyle="1" w:styleId="F763D58848F84DC1BF247534C90ABB59">
    <w:name w:val="F763D58848F84DC1BF247534C90ABB59"/>
    <w:rsid w:val="00927B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2025-11-21T00:00:00</PublishDate>
  <Abstract/>
  <CompanyAddress>Lecturer: Dr John Harris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14521</TotalTime>
  <Pages>38</Pages>
  <Words>10898</Words>
  <Characters>78248</Characters>
  <Application>Microsoft Office Word</Application>
  <DocSecurity>0</DocSecurity>
  <Lines>1222</Lines>
  <Paragraphs>325</Paragraphs>
  <ScaleCrop>false</ScaleCrop>
  <Company>STudent: Sabrina Reid mba</Company>
  <LinksUpToDate>false</LinksUpToDate>
  <CharactersWithSpaces>88821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responsible sourcing initiatives sustainability and business ethics of the democratic republic of CONGO’S Cobalt SUPPLY Chain management</dc:title>
  <dc:subject>Research Principles and Philosophy Doctor of Business Administration: LCDB 7007</dc:subject>
  <dc:creator>Sabrina Reid (1920873)</dc:creator>
  <cp:keywords/>
  <dc:description/>
  <cp:lastModifiedBy>Sabrina Reid (1920873)</cp:lastModifiedBy>
  <cp:revision>451</cp:revision>
  <dcterms:created xsi:type="dcterms:W3CDTF">2025-10-24T19:34:00Z</dcterms:created>
  <dcterms:modified xsi:type="dcterms:W3CDTF">2025-12-05T13:51:00Z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6db1ff80-d73e-46cc-bd8b-0cedd27c7956</vt:lpwstr>
  </property>
</Properties>
</file>