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charts/chart3.xml" ContentType="application/vnd.openxmlformats-officedocument.drawingml.chart+xml"/>
  <Override PartName="/word/charts/style6.xml" ContentType="application/vnd.ms-office.chartstyle+xml"/>
  <Override PartName="/word/footer1.xml" ContentType="application/vnd.openxmlformats-officedocument.wordprocessingml.footer+xml"/>
  <Override PartName="/word/numbering.xml" ContentType="application/vnd.openxmlformats-officedocument.wordprocessingml.numbering+xml"/>
  <Override PartName="/word/charts/colors3.xml" ContentType="application/vnd.ms-office.chartcolorstyle+xml"/>
  <Override PartName="/word/settings.xml" ContentType="application/vnd.openxmlformats-officedocument.wordprocessingml.settings+xml"/>
  <Override PartName="/word/charts/colors5.xml" ContentType="application/vnd.ms-office.chartcolorstyle+xml"/>
  <Override PartName="/word/charts/chart4.xml" ContentType="application/vnd.openxmlformats-officedocument.drawingml.chart+xml"/>
  <Override PartName="/word/charts/colors4.xml" ContentType="application/vnd.ms-office.chartcolorstyle+xml"/>
  <Override PartName="/word/document.xml" ContentType="application/vnd.openxmlformats-officedocument.wordprocessingml.document.main+xml"/>
  <Override PartName="/word/charts/style1.xml" ContentType="application/vnd.ms-office.chartstyle+xml"/>
  <Override PartName="/customXml/itemProps1.xml" ContentType="application/vnd.openxmlformats-officedocument.customXmlProperties+xml"/>
  <Override PartName="/word/charts/style5.xml" ContentType="application/vnd.ms-office.chartstyle+xml"/>
  <Override PartName="/word/styles.xml" ContentType="application/vnd.openxmlformats-officedocument.wordprocessingml.styles+xml"/>
  <Override PartName="/docProps/app.xml" ContentType="application/vnd.openxmlformats-officedocument.extended-properties+xml"/>
  <Override PartName="/word/charts/colors1.xml" ContentType="application/vnd.ms-office.chartcolorstyle+xml"/>
  <Override PartName="/word/fontTable.xml" ContentType="application/vnd.openxmlformats-officedocument.wordprocessingml.fontTable+xml"/>
  <Override PartName="/word/charts/chart5.xml" ContentType="application/vnd.openxmlformats-officedocument.drawingml.chart+xml"/>
  <Override PartName="/word/charts/colors6.xml" ContentType="application/vnd.ms-office.chartcolorstyle+xml"/>
  <Override PartName="/docProps/core.xml" ContentType="application/vnd.openxmlformats-package.core-properties+xml"/>
  <Override PartName="/word/charts/chart1.xml" ContentType="application/vnd.openxmlformats-officedocument.drawingml.chart+xml"/>
  <Override PartName="/word/charts/style2.xml" ContentType="application/vnd.ms-office.chartstyle+xml"/>
  <Override PartName="/word/charts/style4.xml" ContentType="application/vnd.ms-office.chartstyle+xml"/>
  <Override PartName="/docProps/custom.xml" ContentType="application/vnd.openxmlformats-officedocument.custom-properties+xml"/>
  <Override PartName="/word/charts/colors2.xml" ContentType="application/vnd.ms-office.chartcolorstyle+xml"/>
  <Override PartName="/word/charts/chart6.xml" ContentType="application/vnd.openxmlformats-officedocument.drawingml.chart+xml"/>
  <Override PartName="/word/charts/colors7.xml" ContentType="application/vnd.ms-office.chartcolorstyle+xml"/>
  <Override PartName="/word/charts/chart7.xml" ContentType="application/vnd.openxmlformats-officedocument.drawingml.chart+xml"/>
  <Override PartName="/word/charts/chart2.xml" ContentType="application/vnd.openxmlformats-officedocument.drawingml.chart+xml"/>
  <Override PartName="/word/charts/style7.xml" ContentType="application/vnd.ms-office.chartstyle+xml"/>
  <Override PartName="/word/charts/style3.xml" ContentType="application/vnd.ms-office.chartstyle+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w:cs="Arial" w:hAnsi="Arial"/>
        </w:rPr>
        <w:drawing>
          <wp:anchor distT="0" distB="0" distL="114300" distR="114300" simplePos="false" relativeHeight="2" behindDoc="false" locked="false" layoutInCell="true" allowOverlap="true">
            <wp:simplePos x="0" y="0"/>
            <wp:positionH relativeFrom="column">
              <wp:posOffset>-562610</wp:posOffset>
            </wp:positionH>
            <wp:positionV relativeFrom="paragraph">
              <wp:posOffset>-210183</wp:posOffset>
            </wp:positionV>
            <wp:extent cx="1809750" cy="723900"/>
            <wp:effectExtent l="0" t="0" r="19050" b="12065"/>
            <wp:wrapSquare wrapText="bothSides"/>
            <wp:docPr id="1026" name="Picture 9"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 cstate="print"/>
                    <a:srcRect l="0" t="0" r="0" b="0"/>
                    <a:stretch/>
                  </pic:blipFill>
                  <pic:spPr>
                    <a:xfrm rot="0">
                      <a:off x="0" y="0"/>
                      <a:ext cx="1809750" cy="723900"/>
                    </a:xfrm>
                    <a:prstGeom prst="rect"/>
                    <a:ln>
                      <a:noFill/>
                    </a:ln>
                  </pic:spPr>
                </pic:pic>
              </a:graphicData>
            </a:graphic>
          </wp:anchor>
        </w:drawing>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Programme name: Master of Business Administration</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Name and code of the module: Financial Management LCMB7002</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Name and title of the assessment item: Individual report – General Electronics</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Lecturer’s name: Patrick Yeboah (Birmingham</w:t>
      </w:r>
      <w:r>
        <w:rPr>
          <w:rFonts w:cs="Arial Bold" w:hAnsi="Arial Bold" w:hint="default"/>
          <w:b/>
          <w:bCs/>
          <w:sz w:val="24"/>
          <w:szCs w:val="24"/>
          <w:lang w:val="en-US"/>
        </w:rPr>
        <w:t>)</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cs="Arial Bold" w:hAnsi="Arial Bold" w:hint="default"/>
          <w:b/>
          <w:bCs/>
          <w:sz w:val="24"/>
          <w:szCs w:val="24"/>
          <w:lang w:val="en-US"/>
        </w:rPr>
        <w:t xml:space="preserve">Student </w:t>
      </w:r>
      <w:r>
        <w:rPr>
          <w:rFonts w:ascii="Arial Bold" w:cs="Arial Bold" w:hAnsi="Arial Bold" w:hint="default"/>
          <w:b/>
          <w:bCs/>
          <w:sz w:val="24"/>
          <w:szCs w:val="24"/>
          <w:lang w:val="en-US"/>
        </w:rPr>
        <w:t>Name</w:t>
      </w:r>
      <w:r>
        <w:rPr>
          <w:rFonts w:cs="Arial Bold" w:hAnsi="Arial Bold" w:hint="default"/>
          <w:b/>
          <w:bCs/>
          <w:sz w:val="24"/>
          <w:szCs w:val="24"/>
          <w:lang w:val="en-US"/>
        </w:rPr>
        <w:t xml:space="preserve">: Payal Odedra </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 xml:space="preserve">  student</w:t>
      </w:r>
      <w:r>
        <w:rPr>
          <w:rFonts w:cs="Arial Bold" w:hAnsi="Arial Bold" w:hint="default"/>
          <w:b/>
          <w:bCs/>
          <w:sz w:val="24"/>
          <w:szCs w:val="24"/>
          <w:lang w:val="en-US"/>
        </w:rPr>
        <w:t xml:space="preserve"> ID</w:t>
      </w:r>
      <w:r>
        <w:rPr>
          <w:rFonts w:ascii="Arial Bold" w:cs="Arial Bold" w:hAnsi="Arial Bold" w:hint="default"/>
          <w:b/>
          <w:bCs/>
          <w:sz w:val="24"/>
          <w:szCs w:val="24"/>
          <w:lang w:val="en-US"/>
        </w:rPr>
        <w:t>:</w:t>
      </w:r>
      <w:r>
        <w:rPr>
          <w:rFonts w:cs="Arial Bold" w:hAnsi="Arial Bold" w:hint="default"/>
          <w:b/>
          <w:bCs/>
          <w:sz w:val="24"/>
          <w:szCs w:val="24"/>
          <w:lang w:val="en-US"/>
        </w:rPr>
        <w:t xml:space="preserve"> 2439521</w:t>
      </w:r>
    </w:p>
    <w:p>
      <w:pPr>
        <w:pStyle w:val="style0"/>
        <w:pageBreakBefore w:val="false"/>
        <w:widowControl/>
        <w:kinsoku/>
        <w:wordWrap/>
        <w:overflowPunct/>
        <w:topLinePunct w:val="false"/>
        <w:autoSpaceDE/>
        <w:autoSpaceDN/>
        <w:bidi w:val="false"/>
        <w:adjustRightInd/>
        <w:snapToGrid/>
        <w:spacing w:lineRule="auto" w:line="360"/>
        <w:jc w:val="center"/>
        <w:rPr>
          <w:rFonts w:ascii="Arial Bold" w:cs="Arial Bold" w:hAnsi="Arial Bold" w:hint="default"/>
          <w:b/>
          <w:bCs/>
          <w:sz w:val="24"/>
          <w:szCs w:val="24"/>
          <w:lang w:val="en-US"/>
        </w:rPr>
      </w:pPr>
      <w:r>
        <w:rPr>
          <w:rFonts w:ascii="Arial Bold" w:cs="Arial Bold" w:hAnsi="Arial Bold" w:hint="default"/>
          <w:b/>
          <w:bCs/>
          <w:sz w:val="24"/>
          <w:szCs w:val="24"/>
          <w:lang w:val="en-US"/>
        </w:rPr>
        <w:t>Word count: 5,011</w:t>
      </w:r>
    </w:p>
    <w:p>
      <w:pPr>
        <w:pStyle w:val="style0"/>
        <w:pageBreakBefore w:val="false"/>
        <w:widowControl/>
        <w:kinsoku/>
        <w:wordWrap/>
        <w:overflowPunct/>
        <w:topLinePunct w:val="false"/>
        <w:autoSpaceDE/>
        <w:autoSpaceDN/>
        <w:bidi w:val="false"/>
        <w:adjustRightInd/>
        <w:snapToGrid/>
        <w:spacing w:lineRule="auto" w:line="360"/>
        <w:jc w:val="center"/>
        <w:rPr>
          <w:rFonts w:ascii="Arial Regular" w:cs="Arial Regular" w:hAnsi="Arial Regular" w:hint="default"/>
          <w:sz w:val="24"/>
          <w:szCs w:val="24"/>
          <w:lang w:val="en-US"/>
        </w:rPr>
      </w:pPr>
      <w:r>
        <w:rPr>
          <w:rFonts w:ascii="Arial Bold" w:cs="Arial Bold" w:hAnsi="Arial Bold" w:hint="default"/>
          <w:b/>
          <w:bCs/>
          <w:sz w:val="24"/>
          <w:szCs w:val="24"/>
          <w:lang w:val="en-US"/>
        </w:rPr>
        <w:t>Submission date:</w:t>
      </w:r>
      <w:r>
        <w:rPr>
          <w:rFonts w:cs="Arial Bold" w:hAnsi="Arial Bold" w:hint="default"/>
          <w:b/>
          <w:bCs/>
          <w:sz w:val="24"/>
          <w:szCs w:val="24"/>
          <w:lang w:val="en-US"/>
        </w:rPr>
        <w:t xml:space="preserve"> November 24th 2025</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b/>
          <w:bCs/>
          <w:sz w:val="24"/>
          <w:szCs w:val="24"/>
          <w:lang w:val="en-US"/>
        </w:rPr>
      </w:pPr>
      <w:r>
        <w:rPr>
          <w:rFonts w:ascii="Arial Regular" w:cs="Arial Regular" w:hAnsi="Arial Regular" w:hint="default"/>
          <w:b/>
          <w:bCs/>
          <w:sz w:val="24"/>
          <w:szCs w:val="24"/>
          <w:lang w:val="en-US"/>
        </w:rPr>
        <w:br w:type="page"/>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sz w:val="24"/>
          <w:szCs w:val="24"/>
          <w:lang w:val="en-US"/>
        </w:rPr>
        <w:t>Executive Summary</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The scope of the presented report is to analyse the financial performance and problems of a struggling company, namely General Electronics, and propose a turnaround strategy. Accordingly, the report will focus on analysing financial performance using ratios and the Altman Z-score. The report will also discuss the cash operating cycle, financial  restructuring plan, and investment appraisal techniques.</w:t>
      </w:r>
      <w:r>
        <w:rPr>
          <w:rFonts w:cs="Arial Regular" w:eastAsia="SimSun" w:hAnsi="Arial Regular" w:hint="default"/>
          <w:kern w:val="0"/>
          <w:sz w:val="24"/>
          <w:szCs w:val="24"/>
          <w:lang w:val="en-GB" w:eastAsia="zh-CN"/>
        </w:rPr>
        <w:t>The findings reveal that profitability has adversely affected financial performance over the last five years</w:t>
      </w:r>
      <w:r>
        <w:rPr>
          <w:rFonts w:ascii="Arial Regular" w:cs="Arial Regular" w:eastAsia="SimSun" w:hAnsi="Arial Regular" w:hint="default"/>
          <w:kern w:val="0"/>
          <w:sz w:val="24"/>
          <w:szCs w:val="24"/>
          <w:lang w:val="en-US" w:eastAsia="zh-CN"/>
        </w:rPr>
        <w:t>.</w:t>
      </w:r>
      <w:r>
        <w:rPr>
          <w:rFonts w:cs="Arial Regular" w:eastAsia="SimSun" w:hAnsi="Arial Regular" w:hint="default"/>
          <w:kern w:val="0"/>
          <w:sz w:val="24"/>
          <w:szCs w:val="24"/>
          <w:lang w:val="en-US" w:eastAsia="zh-CN"/>
        </w:rPr>
        <w:t xml:space="preserve"> </w:t>
      </w:r>
      <w:r>
        <w:rPr>
          <w:rFonts w:cs="Arial Regular" w:eastAsia="SimSun" w:hAnsi="Arial Regular" w:hint="default"/>
          <w:kern w:val="0"/>
          <w:sz w:val="24"/>
          <w:szCs w:val="24"/>
          <w:lang w:val="en-GB" w:eastAsia="zh-CN"/>
        </w:rPr>
        <w:t>Similarly, efficiency and gearing ratios are weak due to high inventory turnover and debt-equity ratios.</w:t>
      </w:r>
      <w:r>
        <w:rPr>
          <w:rFonts w:cs="Arial Regular" w:eastAsia="SimSun" w:hAnsi="Arial Regular" w:hint="default"/>
          <w:kern w:val="0"/>
          <w:sz w:val="24"/>
          <w:szCs w:val="24"/>
          <w:lang w:val="en-US" w:eastAsia="zh-CN"/>
        </w:rPr>
        <w:t xml:space="preserve"> </w:t>
      </w:r>
      <w:r>
        <w:rPr>
          <w:rFonts w:ascii="Arial Regular" w:cs="Arial Regular" w:eastAsia="SimSun" w:hAnsi="Arial Regular" w:hint="default"/>
          <w:kern w:val="0"/>
          <w:sz w:val="24"/>
          <w:szCs w:val="24"/>
          <w:lang w:val="en-US" w:eastAsia="zh-CN"/>
        </w:rPr>
        <w:t>Similarly, the Z-score of 2.80 reflects that the company is moving towards insolvency at a faster rate. Furthermore, the cash operating cycle also increased due to delays in collecting funds and high inventory turnover days. Effective receivables management, inventory management, streamlining payments, and other strategic measures can help the company improve the cash operating cycle. Additionally, enhancing liquidity, advancing operational efficiency, as well as optimising capital structure are some strategic parts of the financial restructuring plan. Moreover, investing in project C is highly beneficial as it has reported the highest NPV, ARR, and PI.</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br w:type="page"/>
      </w:r>
    </w:p>
    <w:p>
      <w:pPr>
        <w:pStyle w:val="style0"/>
        <w:keepNext w:val="false"/>
        <w:keepLines w:val="false"/>
        <w:pageBreakBefore w:val="false"/>
        <w:widowControl/>
        <w:kinsoku/>
        <w:wordWrap/>
        <w:overflowPunct/>
        <w:topLinePunct w:val="false"/>
        <w:autoSpaceDE/>
        <w:autoSpaceDN/>
        <w:bidi w:val="false"/>
        <w:adjustRightInd/>
        <w:snapToGrid/>
        <w:spacing w:lineRule="auto" w:line="360"/>
        <w:ind w:left="0" w:leftChars="0" w:right="0" w:rightChars="0" w:firstLine="0" w:firstLineChars="0"/>
        <w:jc w:val="both"/>
        <w:textAlignment w:val="auto"/>
        <w:rPr>
          <w:rFonts w:ascii="Arial Regular" w:cs="Arial Regular" w:hAnsi="Arial Regular" w:hint="default"/>
          <w:b/>
          <w:bCs/>
          <w:sz w:val="24"/>
          <w:szCs w:val="24"/>
          <w:lang w:val="en-US"/>
        </w:rPr>
      </w:pPr>
      <w:r>
        <w:rPr>
          <w:rFonts w:ascii="Arial Regular" w:cs="Arial Regular" w:eastAsia="SimSun" w:hAnsi="Arial Regular" w:hint="default"/>
          <w:b/>
          <w:bCs/>
          <w:sz w:val="24"/>
          <w:szCs w:val="24"/>
          <w:lang w:val="en-US"/>
        </w:rPr>
        <w:t>Table of Content</w:t>
      </w:r>
      <w:bookmarkStart w:id="0" w:name="_GoBack"/>
      <w:bookmarkEnd w:id="0"/>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 w:val="false"/>
          <w:bCs w:val="false"/>
          <w:sz w:val="24"/>
          <w:szCs w:val="24"/>
        </w:rPr>
        <w:fldChar w:fldCharType="begin"/>
      </w:r>
      <w:r>
        <w:rPr>
          <w:rFonts w:ascii="Arial Regular" w:cs="Arial Regular" w:hAnsi="Arial Regular" w:hint="default"/>
          <w:b w:val="false"/>
          <w:bCs w:val="false"/>
          <w:sz w:val="24"/>
          <w:szCs w:val="24"/>
        </w:rPr>
        <w:instrText xml:space="preserve">TOC \o "1-2" \h \u </w:instrText>
      </w:r>
      <w:r>
        <w:rPr>
          <w:rFonts w:ascii="Arial Regular" w:cs="Arial Regular" w:hAnsi="Arial Regular" w:hint="default"/>
          <w:b w:val="false"/>
          <w:bCs w:val="false"/>
          <w:sz w:val="24"/>
          <w:szCs w:val="24"/>
        </w:rPr>
        <w:fldChar w:fldCharType="separate"/>
      </w: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_Toc1321752133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1. Introduction</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_Toc1321752133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_Toc1117254763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2. Financial Health Check</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_Toc1117254763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_Toc103792373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Analysis of financial statements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_Toc103792373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_Toc681691647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Ratio Analysis including trends, strengths, and threats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_Toc681691647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_Toc366254384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Altman Z-Score</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_Toc366254384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12</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_Toc949299586 </w:instrText>
      </w:r>
      <w:r>
        <w:rPr>
          <w:rFonts w:ascii="Arial Regular" w:cs="Arial Regular" w:hAnsi="Arial Regular" w:hint="default"/>
          <w:bCs w:val="false"/>
          <w:sz w:val="24"/>
          <w:szCs w:val="24"/>
        </w:rPr>
        <w:fldChar w:fldCharType="separate"/>
      </w:r>
      <w:r>
        <w:rPr>
          <w:rFonts w:ascii="Arial Regular" w:cs="Arial Regular" w:hAnsi="Arial Regular" w:hint="default"/>
          <w:bCs/>
          <w:sz w:val="24"/>
          <w:szCs w:val="24"/>
          <w:lang w:val="en-US"/>
        </w:rPr>
        <w:t xml:space="preserve">3. </w:t>
      </w:r>
      <w:r>
        <w:rPr>
          <w:rFonts w:ascii="Arial Regular" w:cs="Arial Regular" w:hAnsi="Arial Regular" w:hint="default"/>
          <w:sz w:val="24"/>
          <w:szCs w:val="24"/>
          <w:lang w:val="en-US"/>
        </w:rPr>
        <w:t>Working Capital Management Analysis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_Toc949299586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12</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_Toc1222128339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Cash Operating Cycle</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_Toc1222128339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12</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_Toc1777393665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Recommend strategies to improve liquidity through working capital reforms </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_Toc1777393665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14</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_Toc1157797885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Compare short-term vs long-term financing options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_Toc1157797885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15</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_Toc759727728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4. Strategic Financial Restructuring Plan</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_Toc759727728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16</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_Toc1953643081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rPr>
        <w:t>Recommend financial restructuring options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_Toc1953643081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16</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_Toc2001783384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rPr>
        <w:t>Evaluate impact on shareholder value, debt structure, and operational flexibility</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_Toc2001783384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17</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_Toc1494520986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rPr>
        <w:t>International and ethical considerations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_Toc1494520986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18</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_Toc1445476390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5. Investment Appraisal and Capital Budgeting</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_Toc1445476390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19</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_Toc1786671866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Investment appraisal techniques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_Toc1786671866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19</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_Toc330215861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Final investment recommendation</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_Toc330215861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21</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20"/>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_Toc840231979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Justification for recommendation</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_Toc840231979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21</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_Toc2073892028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6. Conclusion</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_Toc2073892028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22</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_Toc96240139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7. References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_Toc96240139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23</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_Toc452829982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8. Appendices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_Toc452829982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26</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_Toc31462506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 xml:space="preserve">1. </w:t>
      </w:r>
      <w:r>
        <w:rPr>
          <w:rFonts w:ascii="Arial Regular" w:cs="Arial Regular" w:hAnsi="Arial Regular" w:hint="default"/>
          <w:bCs/>
          <w:sz w:val="24"/>
          <w:szCs w:val="24"/>
          <w:lang w:val="en-US"/>
        </w:rPr>
        <w:t>Financial Ratios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_Toc31462506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26</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_Toc509361180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 xml:space="preserve">2. </w:t>
      </w:r>
      <w:r>
        <w:rPr>
          <w:rFonts w:ascii="Arial Regular" w:cs="Arial Regular" w:hAnsi="Arial Regular" w:hint="default"/>
          <w:bCs/>
          <w:sz w:val="24"/>
          <w:szCs w:val="24"/>
          <w:lang w:val="en-US"/>
        </w:rPr>
        <w:t>Cash Operating Cycle</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_Toc509361180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28</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19"/>
        <w:keepNext w:val="false"/>
        <w:keepLines w:val="false"/>
        <w:pageBreakBefore w:val="false"/>
        <w:widowControl/>
        <w:tabs>
          <w:tab w:val="right" w:leader="dot" w:pos="8306"/>
        </w:tabs>
        <w:kinsoku/>
        <w:wordWrap/>
        <w:overflowPunct/>
        <w:topLinePunct w:val="false"/>
        <w:autoSpaceDE/>
        <w:autoSpaceDN/>
        <w:bidi w:val="false"/>
        <w:adjustRightInd/>
        <w:snapToGrid/>
        <w:spacing w:lineRule="auto" w:line="360"/>
        <w:textAlignment w:val="auto"/>
        <w:rPr>
          <w:rFonts w:ascii="Arial Regular" w:cs="Arial Regular" w:hAnsi="Arial Regular" w:hint="default"/>
          <w:sz w:val="24"/>
          <w:szCs w:val="24"/>
        </w:rPr>
      </w:pPr>
      <w:r>
        <w:rPr>
          <w:rFonts w:ascii="Arial Regular" w:cs="Arial Regular" w:hAnsi="Arial Regular" w:hint="default"/>
          <w:bCs w:val="false"/>
          <w:sz w:val="24"/>
          <w:szCs w:val="24"/>
        </w:rPr>
        <w:fldChar w:fldCharType="begin"/>
      </w:r>
      <w:r>
        <w:rPr>
          <w:rFonts w:ascii="Arial Regular" w:cs="Arial Regular" w:hAnsi="Arial Regular" w:hint="default"/>
          <w:bCs w:val="false"/>
          <w:sz w:val="24"/>
          <w:szCs w:val="24"/>
        </w:rPr>
        <w:instrText xml:space="preserve"> HYPERLINK \l _Toc963535318 </w:instrText>
      </w:r>
      <w:r>
        <w:rPr>
          <w:rFonts w:ascii="Arial Regular" w:cs="Arial Regular" w:hAnsi="Arial Regular" w:hint="default"/>
          <w:bCs w:val="false"/>
          <w:sz w:val="24"/>
          <w:szCs w:val="24"/>
        </w:rPr>
        <w:fldChar w:fldCharType="separate"/>
      </w:r>
      <w:r>
        <w:rPr>
          <w:rFonts w:ascii="Arial Regular" w:cs="Arial Regular" w:hAnsi="Arial Regular" w:hint="default"/>
          <w:sz w:val="24"/>
          <w:szCs w:val="24"/>
          <w:lang w:val="en-US"/>
        </w:rPr>
        <w:t xml:space="preserve">3. </w:t>
      </w:r>
      <w:r>
        <w:rPr>
          <w:rFonts w:ascii="Arial Regular" w:cs="Arial Regular" w:hAnsi="Arial Regular" w:hint="default"/>
          <w:bCs/>
          <w:sz w:val="24"/>
          <w:szCs w:val="24"/>
          <w:lang w:val="en-US"/>
        </w:rPr>
        <w:t>Investment Appraisal Techniques</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_Toc963535318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29</w:t>
      </w:r>
      <w:r>
        <w:rPr>
          <w:rFonts w:ascii="Arial Regular" w:cs="Arial Regular" w:hAnsi="Arial Regular" w:hint="default"/>
          <w:sz w:val="24"/>
          <w:szCs w:val="24"/>
        </w:rPr>
        <w:fldChar w:fldCharType="end"/>
      </w:r>
      <w:r>
        <w:rPr>
          <w:rFonts w:ascii="Arial Regular" w:cs="Arial Regular" w:hAnsi="Arial Regular" w:hint="default"/>
          <w:bCs w:val="false"/>
          <w:sz w:val="24"/>
          <w:szCs w:val="24"/>
        </w:rPr>
        <w:fldChar w:fldCharType="end"/>
      </w:r>
    </w:p>
    <w:p>
      <w:pPr>
        <w:pStyle w:val="style0"/>
        <w:keepNext w:val="false"/>
        <w:keepLines w:val="false"/>
        <w:pageBreakBefore w:val="false"/>
        <w:widowControl/>
        <w:kinsoku/>
        <w:wordWrap/>
        <w:overflowPunct/>
        <w:topLinePunct w:val="false"/>
        <w:autoSpaceDE/>
        <w:autoSpaceDN/>
        <w:bidi w:val="false"/>
        <w:adjustRightInd/>
        <w:snapToGrid/>
        <w:spacing w:before="0" w:after="0" w:lineRule="auto" w:line="360"/>
        <w:jc w:val="both"/>
        <w:textAlignment w:val="auto"/>
        <w:rPr>
          <w:rFonts w:ascii="Arial Regular" w:cs="Arial Regular" w:hAnsi="Arial Regular" w:hint="default"/>
          <w:b/>
          <w:sz w:val="24"/>
          <w:szCs w:val="24"/>
        </w:rPr>
      </w:pPr>
      <w:r>
        <w:rPr>
          <w:rFonts w:ascii="Arial Regular" w:cs="Arial Regular" w:hAnsi="Arial Regular" w:hint="default"/>
          <w:bCs w:val="false"/>
          <w:sz w:val="24"/>
          <w:szCs w:val="24"/>
        </w:rPr>
        <w:fldChar w:fldCharType="end"/>
      </w:r>
    </w:p>
    <w:p>
      <w:pPr>
        <w:pStyle w:val="style0"/>
        <w:keepNext w:val="false"/>
        <w:keepLines w:val="false"/>
        <w:pageBreakBefore w:val="false"/>
        <w:widowControl/>
        <w:kinsoku/>
        <w:wordWrap/>
        <w:overflowPunct/>
        <w:topLinePunct w:val="false"/>
        <w:autoSpaceDE/>
        <w:autoSpaceDN/>
        <w:bidi w:val="false"/>
        <w:adjustRightInd/>
        <w:snapToGrid/>
        <w:spacing w:before="0" w:after="0" w:lineRule="auto" w:line="360"/>
        <w:jc w:val="both"/>
        <w:textAlignment w:val="auto"/>
        <w:rPr>
          <w:rFonts w:ascii="Arial Regular" w:cs="Arial Regular" w:hAnsi="Arial Regular" w:hint="default"/>
          <w:b/>
          <w:sz w:val="24"/>
          <w:szCs w:val="24"/>
        </w:rPr>
      </w:pP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br w:type="page"/>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sz w:val="24"/>
          <w:szCs w:val="24"/>
          <w:lang w:val="en-US"/>
        </w:rPr>
        <w:t>List of Figure</w:t>
      </w:r>
      <w:r>
        <w:rPr>
          <w:rFonts w:cs="Arial Regular" w:hAnsi="Arial Regular" w:hint="default"/>
          <w:b/>
          <w:bCs/>
          <w:sz w:val="24"/>
          <w:szCs w:val="24"/>
          <w:lang w:val="en-US"/>
        </w:rPr>
        <w:t>s</w:t>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TOC \h \c "Figure"</w:instrText>
      </w:r>
      <w:r>
        <w:rPr>
          <w:rFonts w:ascii="Arial Regular" w:cs="Arial Regular" w:hAnsi="Arial Regular" w:hint="default"/>
          <w:sz w:val="24"/>
          <w:szCs w:val="24"/>
        </w:rPr>
        <w:fldChar w:fldCharType="separate"/>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_Toc2129452502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1 </w:t>
      </w:r>
      <w:r>
        <w:rPr>
          <w:rFonts w:ascii="Arial Regular" w:cs="Arial Regular" w:hAnsi="Arial Regular" w:hint="default"/>
          <w:sz w:val="24"/>
          <w:szCs w:val="24"/>
          <w:lang w:val="en-US"/>
        </w:rPr>
        <w:t>: Profitability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_Toc2129452502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_Toc148200614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2 </w:t>
      </w:r>
      <w:r>
        <w:rPr>
          <w:rFonts w:ascii="Arial Regular" w:cs="Arial Regular" w:hAnsi="Arial Regular" w:hint="default"/>
          <w:sz w:val="24"/>
          <w:szCs w:val="24"/>
          <w:lang w:val="en-US"/>
        </w:rPr>
        <w:t>: Liquidity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_Toc148200614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7</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_Toc2076657826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3 </w:t>
      </w:r>
      <w:r>
        <w:rPr>
          <w:rFonts w:ascii="Arial Regular" w:cs="Arial Regular" w:hAnsi="Arial Regular" w:hint="default"/>
          <w:sz w:val="24"/>
          <w:szCs w:val="24"/>
          <w:lang w:val="en-US"/>
        </w:rPr>
        <w:t>: Efficiency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_Toc2076657826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7</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_Toc348399555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4 </w:t>
      </w:r>
      <w:r>
        <w:rPr>
          <w:rFonts w:ascii="Arial Regular" w:cs="Arial Regular" w:hAnsi="Arial Regular" w:hint="default"/>
          <w:sz w:val="24"/>
          <w:szCs w:val="24"/>
          <w:lang w:val="en-US"/>
        </w:rPr>
        <w:t>: Gearing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_Toc348399555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8</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_Toc1835590413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5 </w:t>
      </w:r>
      <w:r>
        <w:rPr>
          <w:rFonts w:ascii="Arial Regular" w:cs="Arial Regular" w:hAnsi="Arial Regular" w:hint="default"/>
          <w:sz w:val="24"/>
          <w:szCs w:val="24"/>
          <w:lang w:val="en-US"/>
        </w:rPr>
        <w:t>: Investment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_Toc1835590413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9</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_Toc1852894043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6 </w:t>
      </w:r>
      <w:r>
        <w:rPr>
          <w:rFonts w:ascii="Arial Regular" w:cs="Arial Regular" w:hAnsi="Arial Regular" w:hint="default"/>
          <w:sz w:val="24"/>
          <w:szCs w:val="24"/>
          <w:lang w:val="en-US"/>
        </w:rPr>
        <w:t>: Cash flow ratios of General Electronics from 2020 to 2024</w:t>
      </w:r>
      <w:r>
        <w:rPr>
          <w:rFonts w:ascii="Arial Regular" w:cs="Arial Regular" w:hAnsi="Arial Regular" w:hint="default"/>
          <w:sz w:val="24"/>
          <w:szCs w:val="24"/>
        </w:rPr>
        <w:tab/>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_Toc1852894043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10</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HYPERLINK \l _Toc171516859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 xml:space="preserve">Figure 7 </w:t>
      </w:r>
      <w:r>
        <w:rPr>
          <w:rFonts w:ascii="Arial Regular" w:cs="Arial Regular" w:hAnsi="Arial Regular" w:hint="default"/>
          <w:sz w:val="24"/>
          <w:szCs w:val="24"/>
          <w:lang w:val="en-US"/>
        </w:rPr>
        <w:t>: Cash operating cycle for General Electronics from 2020 to 2024</w:t>
      </w:r>
    </w:p>
    <w:p>
      <w:pPr>
        <w:pStyle w:val="style35"/>
        <w:pageBreakBefore w:val="false"/>
        <w:widowControl/>
        <w:tabs>
          <w:tab w:val="right" w:leader="dot" w:pos="8306"/>
        </w:tabs>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PAGEREF _Toc171516859 \h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12</w:t>
      </w:r>
      <w:r>
        <w:rPr>
          <w:rFonts w:ascii="Arial Regular" w:cs="Arial Regular" w:hAnsi="Arial Regular" w:hint="default"/>
          <w:sz w:val="24"/>
          <w:szCs w:val="24"/>
        </w:rPr>
        <w:fldChar w:fldCharType="end"/>
      </w:r>
      <w:r>
        <w:rPr>
          <w:rFonts w:ascii="Arial Regular" w:cs="Arial Regular" w:hAnsi="Arial Regular" w:hint="default"/>
          <w:sz w:val="24"/>
          <w:szCs w:val="24"/>
        </w:rPr>
        <w:fldChar w:fldCharType="end"/>
      </w:r>
    </w:p>
    <w:p>
      <w:pPr>
        <w:pStyle w:val="style0"/>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rPr>
      </w:pPr>
      <w:r>
        <w:rPr>
          <w:rFonts w:ascii="Arial Regular" w:cs="Arial Regular" w:hAnsi="Arial Regular" w:hint="default"/>
          <w:sz w:val="24"/>
          <w:szCs w:val="24"/>
        </w:rPr>
        <w:fldChar w:fldCharType="end"/>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br w:type="page"/>
      </w:r>
    </w:p>
    <w:bookmarkStart w:id="1" w:name="_Toc1321752133"/>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Introduction</w:t>
      </w:r>
      <w:bookmarkEnd w:id="1"/>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General Electronics is operating in the consumer electronics industry and has  struggl</w:t>
      </w:r>
      <w:r>
        <w:rPr>
          <w:rFonts w:cs="Arial Regular" w:eastAsia="SimSun" w:hAnsi="Arial Regular" w:hint="default"/>
          <w:kern w:val="0"/>
          <w:sz w:val="24"/>
          <w:szCs w:val="24"/>
          <w:lang w:val="en-US" w:eastAsia="zh-CN"/>
        </w:rPr>
        <w:t>ed over</w:t>
      </w:r>
      <w:r>
        <w:rPr>
          <w:rFonts w:ascii="Arial Regular" w:cs="Arial Regular" w:eastAsia="SimSun" w:hAnsi="Arial Regular" w:hint="default"/>
          <w:kern w:val="0"/>
          <w:sz w:val="24"/>
          <w:szCs w:val="24"/>
          <w:lang w:val="en-US" w:eastAsia="zh-CN"/>
        </w:rPr>
        <w:t xml:space="preserve"> the </w:t>
      </w:r>
      <w:r>
        <w:rPr>
          <w:rFonts w:cs="Arial Regular" w:eastAsia="SimSun" w:hAnsi="Arial Regular" w:hint="default"/>
          <w:kern w:val="0"/>
          <w:sz w:val="24"/>
          <w:szCs w:val="24"/>
          <w:lang w:val="en-US" w:eastAsia="zh-CN"/>
        </w:rPr>
        <w:t>p</w:t>
      </w:r>
      <w:r>
        <w:rPr>
          <w:rFonts w:ascii="Arial Regular" w:cs="Arial Regular" w:eastAsia="SimSun" w:hAnsi="Arial Regular" w:hint="default"/>
          <w:kern w:val="0"/>
          <w:sz w:val="24"/>
          <w:szCs w:val="24"/>
          <w:lang w:val="en-US" w:eastAsia="zh-CN"/>
        </w:rPr>
        <w:t>ast few years. The company is facing huge financial difficulties since the last few years, marked by falling business revenues, losses, a declining value of the shareholders. The purpose of the report is to evaluate the</w:t>
      </w:r>
      <w:r>
        <w:rPr>
          <w:rFonts w:cs="Arial Regular" w:eastAsia="SimSun" w:hAnsi="Arial Regular" w:hint="default"/>
          <w:kern w:val="0"/>
          <w:sz w:val="24"/>
          <w:szCs w:val="24"/>
          <w:lang w:val="en-US" w:eastAsia="zh-CN"/>
        </w:rPr>
        <w:t xml:space="preserve"> comp</w:t>
      </w:r>
      <w:r>
        <w:rPr>
          <w:rFonts w:ascii="Arial Regular" w:cs="Arial Regular" w:eastAsia="SimSun" w:hAnsi="Arial Regular" w:hint="default"/>
          <w:kern w:val="0"/>
          <w:sz w:val="24"/>
          <w:szCs w:val="24"/>
          <w:lang w:val="en-US" w:eastAsia="zh-CN"/>
        </w:rPr>
        <w:t>any's past performance</w:t>
      </w:r>
      <w:r>
        <w:rPr>
          <w:rFonts w:cs="Arial Regular" w:eastAsia="SimSun" w:hAnsi="Arial Regular" w:hint="default"/>
          <w:kern w:val="0"/>
          <w:sz w:val="24"/>
          <w:szCs w:val="24"/>
          <w:lang w:val="en-US" w:eastAsia="zh-CN"/>
        </w:rPr>
        <w:t xml:space="preserve"> </w:t>
      </w:r>
      <w:r>
        <w:rPr>
          <w:rFonts w:ascii="Arial Regular" w:cs="Arial Regular" w:eastAsia="SimSun" w:hAnsi="Arial Regular" w:hint="default"/>
          <w:kern w:val="0"/>
          <w:sz w:val="24"/>
          <w:szCs w:val="24"/>
          <w:lang w:val="en-US" w:eastAsia="zh-CN"/>
        </w:rPr>
        <w:t>and identify the main core problems for the purpose of developing a turnaround strategy. Accordingly, the report will focus on analysing the financial performance of the company using a wide range of ratios. Similarly, the cash operating cycle will also be calculated, and several reforms will be identified for improving the liquidity of the company. Additionally, the report will also provide a strategic financial restructuring plan. Lastly, several investment appraisal techniques will be evaluated for the purpose of analysing the viability of the proposed investment.</w:t>
      </w:r>
    </w:p>
    <w:bookmarkStart w:id="2" w:name="_Toc1117254763"/>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Financial Health Check</w:t>
      </w:r>
      <w:bookmarkEnd w:id="2"/>
    </w:p>
    <w:bookmarkStart w:id="3" w:name="_Toc103792373"/>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Analysis of financial statements</w:t>
      </w:r>
      <w:bookmarkEnd w:id="3"/>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It was identified from analysis of the financial statements of the company that the sales has reduced significantly in the last 5 years. General Electronics has reported sales of £614,680 million in the year 2020, which declined to £394,879 million during 2024. Additionally, the company’s profits also declined from 2020 to 2022, and it even started generating losses from 2023 onwards. The company’s profit of £38,572 million in 2020 turned into losses of £98,238 million and £24,029 million in the years 2023 and 2024. This shows that the company’s financial performance has been adversely affected in the last 5 years. A fall in sales as well as a rise in interest expenses are some of the main causes behind the losses of the company. The below-mentioned section of ratio analysis will help in gaining a better understanding of the company’s financial situation. Different categories of ratios like profitability, liquidity, efficiency, gearing, cash, and investment will be analysed to gain a detailed understanding about the financial condition of General Electronics.</w:t>
      </w:r>
    </w:p>
    <w:bookmarkStart w:id="4" w:name="_Toc681691647"/>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Ratio Analysis including trends, strengths, and threats</w:t>
      </w:r>
      <w:bookmarkEnd w:id="4"/>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b/>
          <w:bCs/>
          <w:i/>
          <w:iCs/>
          <w:sz w:val="24"/>
          <w:szCs w:val="24"/>
          <w:lang w:val="en-US"/>
        </w:rPr>
      </w:pPr>
      <w:r>
        <w:rPr>
          <w:rFonts w:ascii="Arial Regular" w:cs="Arial Regular" w:hAnsi="Arial Regular" w:hint="default"/>
          <w:b w:val="false"/>
          <w:bCs w:val="false"/>
          <w:i w:val="false"/>
          <w:iCs w:val="false"/>
          <w:sz w:val="24"/>
          <w:szCs w:val="24"/>
          <w:lang w:val="en-US"/>
        </w:rPr>
        <w:t>(see appendix 1 for detailed calculations)</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 xml:space="preserve">Profitability </w:t>
      </w:r>
    </w:p>
    <w:p>
      <w:pPr>
        <w:pStyle w:val="style34"/>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eastAsia="SimSun" w:hAnsi="Arial Regular" w:hint="default"/>
          <w:kern w:val="0"/>
          <w:sz w:val="24"/>
          <w:szCs w:val="24"/>
          <w:lang w:val="en-US" w:eastAsia="zh-CN"/>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1</w:t>
      </w:r>
      <w:r>
        <w:rPr>
          <w:rFonts w:ascii="Arial Regular" w:cs="Arial Regular" w:hAnsi="Arial Regular" w:hint="default"/>
          <w:sz w:val="24"/>
          <w:szCs w:val="24"/>
        </w:rPr>
        <w:fldChar w:fldCharType="end"/>
      </w:r>
      <w:bookmarkStart w:id="5" w:name="_Toc2129452502"/>
      <w:r>
        <w:rPr>
          <w:rFonts w:ascii="Arial Regular" w:cs="Arial Regular" w:hAnsi="Arial Regular" w:hint="default"/>
          <w:sz w:val="24"/>
          <w:szCs w:val="24"/>
          <w:lang w:val="en-US"/>
        </w:rPr>
        <w:t>: Profitability ratios of General Electronics from 2020 to 2024</w:t>
      </w:r>
      <w:bookmarkEnd w:id="5"/>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05680" cy="2885440"/>
            <wp:effectExtent l="0" t="0" r="0" b="0"/>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r>
        <w:rPr>
          <w:rFonts w:ascii="Arial Regular" w:cs="Arial Regular" w:hAnsi="Arial Regular" w:hint="default"/>
          <w:sz w:val="24"/>
          <w:szCs w:val="24"/>
        </w:rPr>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center"/>
        <w:rPr>
          <w:rFonts w:ascii="Arial Regular" w:cs="Arial Regular" w:hAnsi="Arial Regular" w:hint="default"/>
          <w:sz w:val="24"/>
          <w:szCs w:val="24"/>
          <w:lang w:val="en-US" w:eastAsia="zh-CN"/>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Profitability ratios can be understood as a financial metric that facilitates evaluating the capability of business entities to generate profits over different variables like expenses, equity, and assets. Some of the examples of profitability ratios include gross profit ratio, net profit ratio, return on equity, and others (Wozniak, 2025). In the same context, it was found from figure 1 (column chart) that the gross profit ratio of the company has shown downwards trend from 2020 to 2023; however, the same improved from 23.20% to 28.87% in the year 2024. A rise in revenues has helped the company in improving gross profit ratio, which can be seen as one of the key strength of the company. In addition to this, the net profit ratio also shows downwards trend as the same reduced from 6.28% to -23.36% in 2023. Although it has slightly improved from -23.36% to -6.09% during 2024; however, a negative net profit ratio is still a sign of trouble for the company. General Electronics lacks in generating profits, which can create obstacles to sustaining the company in the long run. Further, Return on Equity (ROE) has also turned from positive to negative during 2023 and 2024. A slight improvement has been seen as ROE improved from -54.91% to -15.69% in 2024 due to fall in losses. This shows a lack of the company’s capability to use equity effectively to generate higher profits, which was a sign of threat for the company.</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 xml:space="preserve">Liquidity </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2</w:t>
      </w:r>
      <w:r>
        <w:rPr>
          <w:rFonts w:ascii="Arial Regular" w:cs="Arial Regular" w:hAnsi="Arial Regular" w:hint="default"/>
          <w:sz w:val="24"/>
          <w:szCs w:val="24"/>
        </w:rPr>
        <w:fldChar w:fldCharType="end"/>
      </w:r>
      <w:bookmarkStart w:id="6" w:name="_Toc148200614"/>
      <w:r>
        <w:rPr>
          <w:rFonts w:ascii="Arial Regular" w:cs="Arial Regular" w:hAnsi="Arial Regular" w:hint="default"/>
          <w:sz w:val="24"/>
          <w:szCs w:val="24"/>
          <w:lang w:val="en-US"/>
        </w:rPr>
        <w:t>: Liquidity ratios of General Electronics from 2020 to 2024</w:t>
      </w:r>
      <w:bookmarkEnd w:id="6"/>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15840" cy="2885440"/>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Pr>
          <w:rFonts w:ascii="Arial Regular" w:cs="Arial Regular" w:hAnsi="Arial Regular" w:hint="default"/>
          <w:sz w:val="24"/>
          <w:szCs w:val="24"/>
        </w:rPr>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center"/>
        <w:rPr>
          <w:rFonts w:ascii="Arial Regular" w:cs="Arial Regular" w:hAnsi="Arial Regular" w:hint="default"/>
          <w:sz w:val="24"/>
          <w:szCs w:val="24"/>
          <w:lang w:val="en-US"/>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Liquidity ratios like the current ratio and quick ratio are used for evaluating liquidity position. These ratios analyses the relationship between current or quick assets and current liabilities for determining the capability to meet current business obligations (Kimmel, Weygandt and Mitchell, 2021). Figure 2 shows that the current ratio of General Electronics reduced from 1.82 to 1.53 in the last 5 years, reflecting downwards trend. Similarly, the quick ratio also shows a downward trend as it falls from 1.15 to 1.03 during the interim. A fall in current assets was the key reason behind fall in current and quick ratios. Although liquidity ratios of the company has reduced; however, the company has also reduced the portion of current liabilities in the past. The company still has £1.53 of current assets for every £1 of current liabilities, which can be seen as a strength for the company. General Electronics has a sufficient amount of current assets to meet current obligations, which implies that the liquidity position of the company is quite well.</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Efficiency</w:t>
      </w:r>
      <w:r>
        <w:rPr>
          <w:rFonts w:ascii="Arial Regular" w:cs="Arial Regular" w:hAnsi="Arial Regular" w:hint="default"/>
          <w:sz w:val="24"/>
          <w:szCs w:val="24"/>
          <w:lang w:val="en-US"/>
        </w:rPr>
        <w:t xml:space="preserve"> </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3</w:t>
      </w:r>
      <w:r>
        <w:rPr>
          <w:rFonts w:ascii="Arial Regular" w:cs="Arial Regular" w:hAnsi="Arial Regular" w:hint="default"/>
          <w:sz w:val="24"/>
          <w:szCs w:val="24"/>
        </w:rPr>
        <w:fldChar w:fldCharType="end"/>
      </w:r>
      <w:bookmarkStart w:id="7" w:name="_Toc2076657826"/>
      <w:r>
        <w:rPr>
          <w:rFonts w:ascii="Arial Regular" w:cs="Arial Regular" w:hAnsi="Arial Regular" w:hint="default"/>
          <w:sz w:val="24"/>
          <w:szCs w:val="24"/>
          <w:lang w:val="en-US"/>
        </w:rPr>
        <w:t>: Efficiency ratios of General Electronics from 2020 to 2024</w:t>
      </w:r>
      <w:bookmarkEnd w:id="7"/>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05680" cy="2885440"/>
            <wp:effectExtent l="0" t="0" r="0" b="0"/>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ascii="Arial Regular" w:cs="Arial Regular" w:hAnsi="Arial Regular" w:hint="default"/>
          <w:sz w:val="24"/>
          <w:szCs w:val="24"/>
        </w:rPr>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center"/>
        <w:rPr>
          <w:rFonts w:ascii="Arial Regular" w:cs="Arial Regular" w:hAnsi="Arial Regular" w:hint="default"/>
          <w:sz w:val="24"/>
          <w:szCs w:val="24"/>
          <w:lang w:val="en-US" w:eastAsia="zh-CN"/>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 xml:space="preserve">Efficiency ratios are used for analysing efficiency in relation to utilisation of different business resources. Asset turnover ratio, inventory turnover ratio, and others are some examples of efficiency ratios (Johnson </w:t>
      </w:r>
      <w:r>
        <w:rPr>
          <w:rFonts w:ascii="Arial Regular" w:cs="Arial Regular" w:eastAsia="SimSun" w:hAnsi="Arial Regular" w:hint="default"/>
          <w:i/>
          <w:iCs/>
          <w:kern w:val="0"/>
          <w:sz w:val="24"/>
          <w:szCs w:val="24"/>
          <w:lang w:val="en-US" w:eastAsia="zh-CN"/>
        </w:rPr>
        <w:t xml:space="preserve">et al., </w:t>
      </w:r>
      <w:r>
        <w:rPr>
          <w:rFonts w:ascii="Arial Regular" w:cs="Arial Regular" w:eastAsia="SimSun" w:hAnsi="Arial Regular" w:hint="default"/>
          <w:kern w:val="0"/>
          <w:sz w:val="24"/>
          <w:szCs w:val="24"/>
          <w:lang w:val="en-US" w:eastAsia="zh-CN"/>
        </w:rPr>
        <w:t xml:space="preserve">2019). It was found from figure 3 (line chart) that the asset turnover ratio of the company ranges between 1.08 to 1.22, which shows the company’s strength in relation to effective use of assets to generate higher sales. However, the inventory turnover ratio of General Electronics has reduced from 3.44 to 2.83 in 2023, which indicates that the company is taking quite longer for converting inventory into sales. This is also one of the key threats to the company. However, the company has improved its inventory turnover ratio from 2.83 to 3.35, which implies that the company is taking appropriate measures to improve inventory efficiency. </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Gearing</w:t>
      </w:r>
      <w:r>
        <w:rPr>
          <w:rFonts w:ascii="Arial Regular" w:cs="Arial Regular" w:hAnsi="Arial Regular" w:hint="default"/>
          <w:sz w:val="24"/>
          <w:szCs w:val="24"/>
          <w:lang w:val="en-US"/>
        </w:rPr>
        <w:t xml:space="preserve"> </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4</w:t>
      </w:r>
      <w:r>
        <w:rPr>
          <w:rFonts w:ascii="Arial Regular" w:cs="Arial Regular" w:hAnsi="Arial Regular" w:hint="default"/>
          <w:sz w:val="24"/>
          <w:szCs w:val="24"/>
        </w:rPr>
        <w:fldChar w:fldCharType="end"/>
      </w:r>
      <w:bookmarkStart w:id="8" w:name="_Toc348399555"/>
      <w:r>
        <w:rPr>
          <w:rFonts w:ascii="Arial Regular" w:cs="Arial Regular" w:hAnsi="Arial Regular" w:hint="default"/>
          <w:sz w:val="24"/>
          <w:szCs w:val="24"/>
          <w:lang w:val="en-US"/>
        </w:rPr>
        <w:t>: Gearing ratios of General Electronics from 2020 to 2024</w:t>
      </w:r>
      <w:bookmarkEnd w:id="8"/>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05680" cy="2885440"/>
            <wp:effectExtent l="0" t="0" r="0" b="0"/>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rFonts w:ascii="Arial Regular" w:cs="Arial Regular" w:hAnsi="Arial Regular" w:hint="default"/>
          <w:sz w:val="24"/>
          <w:szCs w:val="24"/>
        </w:rPr>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center"/>
        <w:rPr>
          <w:rFonts w:ascii="Arial Regular" w:cs="Arial Regular" w:hAnsi="Arial Regular" w:hint="default"/>
          <w:sz w:val="24"/>
          <w:szCs w:val="24"/>
          <w:lang w:val="en-US" w:eastAsia="zh-CN"/>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 xml:space="preserve">Gearing ratios are used to analyse the financial leverage of financial entities. Some examples of gearing ratios includes the debt-equity ratio and interest cover ratio, which facilitate in analysing business capability to meet long-term and interest-related obligations (Lowe, 2021). The debt-equity ratio of the company shows a positive trend as the same rose from 0.63 to 1.11 in the last 5 years, which is a key threat for the company. A rise in debt and fall in equity caused a rise in the debt-equity ratio, which shows that the company can face obstacles in meeting long-term business obligations. Furthermore, interest coverage ratio also turned from positive to negative due to rise in interest and negative EBIT. This is a sign of threat for the company as it implies that General Electronics can face obstacles in meeting interest-related obligations. </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Investment</w:t>
      </w:r>
      <w:r>
        <w:rPr>
          <w:rFonts w:ascii="Arial Regular" w:cs="Arial Regular" w:hAnsi="Arial Regular" w:hint="default"/>
          <w:sz w:val="24"/>
          <w:szCs w:val="24"/>
          <w:lang w:val="en-US"/>
        </w:rPr>
        <w:t xml:space="preserve"> </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5</w:t>
      </w:r>
      <w:r>
        <w:rPr>
          <w:rFonts w:ascii="Arial Regular" w:cs="Arial Regular" w:hAnsi="Arial Regular" w:hint="default"/>
          <w:sz w:val="24"/>
          <w:szCs w:val="24"/>
        </w:rPr>
        <w:fldChar w:fldCharType="end"/>
      </w:r>
      <w:bookmarkStart w:id="9" w:name="_Toc1835590413"/>
      <w:r>
        <w:rPr>
          <w:rFonts w:ascii="Arial Regular" w:cs="Arial Regular" w:hAnsi="Arial Regular" w:hint="default"/>
          <w:sz w:val="24"/>
          <w:szCs w:val="24"/>
          <w:lang w:val="en-US"/>
        </w:rPr>
        <w:t>: Investment ratios of General Electronics from 2020 to 2024</w:t>
      </w:r>
      <w:bookmarkEnd w:id="9"/>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15840" cy="2885440"/>
            <wp:effectExtent l="0" t="0" r="0" b="0"/>
            <wp:docPr id="103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rFonts w:ascii="Arial Regular" w:cs="Arial Regular" w:hAnsi="Arial Regular" w:hint="default"/>
          <w:sz w:val="24"/>
          <w:szCs w:val="24"/>
        </w:rPr>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center"/>
        <w:rPr>
          <w:rFonts w:ascii="Arial Regular" w:cs="Arial Regular" w:hAnsi="Arial Regular" w:hint="default"/>
          <w:sz w:val="24"/>
          <w:szCs w:val="24"/>
          <w:lang w:val="en-US"/>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Book value per share and Earnings Per Share (EPS) are some investment ratios, wherein book value per share reflects net asset value that can be distributed to shareholders during liquidation and EPS is the earnings available with respect to each share (CFI, 2024). Both EPS as well as book value per share also shows a downward trend as they have declined in the last 5 years. EPS turned into negative due to losses of the company, which can be a threat for the company as it will prevent investors from investing in the company. Additionally, a reduction in book value per share also shows that the equity value of the company is gradually decreasing, making company less valuable.</w:t>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i/>
          <w:iCs/>
          <w:sz w:val="24"/>
          <w:szCs w:val="24"/>
          <w:lang w:val="en-US"/>
        </w:rPr>
        <w:t>Cash flow</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6</w:t>
      </w:r>
      <w:r>
        <w:rPr>
          <w:rFonts w:ascii="Arial Regular" w:cs="Arial Regular" w:hAnsi="Arial Regular" w:hint="default"/>
          <w:sz w:val="24"/>
          <w:szCs w:val="24"/>
        </w:rPr>
        <w:fldChar w:fldCharType="end"/>
      </w:r>
      <w:bookmarkStart w:id="10" w:name="_Toc1852894043"/>
      <w:r>
        <w:rPr>
          <w:rFonts w:ascii="Arial Regular" w:cs="Arial Regular" w:hAnsi="Arial Regular" w:hint="default"/>
          <w:sz w:val="24"/>
          <w:szCs w:val="24"/>
          <w:lang w:val="en-US"/>
        </w:rPr>
        <w:t>: Cash flow ratios of General Electronics from 2020 to 2024</w:t>
      </w:r>
      <w:bookmarkEnd w:id="10"/>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15840" cy="2885440"/>
            <wp:effectExtent l="0" t="0" r="0" b="0"/>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Arial Regular" w:cs="Arial Regular" w:hAnsi="Arial Regular" w:hint="default"/>
          <w:sz w:val="24"/>
          <w:szCs w:val="24"/>
        </w:rPr>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center"/>
        <w:rPr>
          <w:rFonts w:ascii="Arial Regular" w:cs="Arial Regular" w:hAnsi="Arial Regular" w:hint="default"/>
          <w:sz w:val="24"/>
          <w:szCs w:val="24"/>
          <w:lang w:val="en-US" w:eastAsia="zh-CN"/>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Cash flow ratios are financial metrics that can be used for measuring the capability of business entities in relation to the payment of liabilities using cash. Some examples of cash flow ratios are the cash ratio and operating cash flow ratio (Gideon, 2025). It has been found from the analysis of the above line chart that operating cash flow has downward trend. General Electronics reported an operating cash flow ratio of 0.41 during 2020, which reduced to 0.09 in the year 2024. A fall in operating cash flows can be seen as one of the key reasons behind the fall in the operating cash flow ratio. This is major threat, which implies that company does not have sufficient amount of operating cash flows to meet current obligations. Additionally, the cash ratio of General Electronics also reduced over a period of last 5 years from 0.32 to 0.17. A fall in cash is the main cause behind a fall in the cash ratio. This is also another threat as company does not have sufficient amount of cash to meet current business obligations.</w:t>
      </w:r>
      <w:r>
        <w:rPr>
          <w:rFonts w:ascii="Arial Regular" w:cs="Arial Regular" w:hAnsi="Arial Regular" w:hint="default"/>
          <w:sz w:val="24"/>
          <w:szCs w:val="24"/>
          <w:lang w:val="en-US"/>
        </w:rPr>
        <w:t xml:space="preserve"> </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Overall, it can be deduced that losses, high debt, low cash flows, and negative EPS are the main concerns for the company, which implies that the financial health of General Electronics is not well. The company is required to take strategic measures for the purpose of improving financial health as well as sustaining business in the long-term.</w:t>
      </w:r>
    </w:p>
    <w:bookmarkStart w:id="11" w:name="_Toc366254384"/>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Altman Z-Score</w:t>
      </w:r>
      <w:bookmarkEnd w:id="11"/>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Altman Z-Score refers to a financial tool that assists business entities in evaluating the possibility of bankruptcy with the help of ratios combination. A higher ratio is safer than compared to lower one. Generally, a score of less than 1.81 is considered a distress zone; whereas, a score above 2.99 is considered a safe zone. Score between 1.82 to 2.98 is under the gray zone (Corporate Finance Institute, 2024). Accordingly, the report has also used Altman Z-Score as a corporate failure prediction model to assess a company’s default risk. The calculations of the Z-score are presented hereunder:</w:t>
      </w:r>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401"/>
        <w:gridCol w:w="3540"/>
        <w:gridCol w:w="2835"/>
        <w:gridCol w:w="734"/>
      </w:tblGrid>
      <w:tr>
        <w:trPr>
          <w:trHeight w:val="351"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Altman Z-Score</w:t>
            </w:r>
          </w:p>
        </w:tc>
      </w:tr>
      <w:tr>
        <w:tblPrEx/>
        <w:trPr>
          <w:trHeight w:val="351"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Z= 1.2x1 + 1.4x2 + 3.3x3 + 0.6x4 + 1.0x5</w:t>
            </w:r>
          </w:p>
        </w:tc>
      </w:tr>
      <w:tr>
        <w:tblPrEx/>
        <w:trPr>
          <w:trHeight w:val="336" w:hRule="atLeast"/>
        </w:trPr>
        <w:tc>
          <w:tcPr>
            <w:tcW w:w="8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x1=</w:t>
            </w:r>
          </w:p>
        </w:tc>
        <w:tc>
          <w:tcPr>
            <w:tcW w:w="20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Working capital/Total assets</w:t>
            </w:r>
          </w:p>
        </w:tc>
        <w:tc>
          <w:tcPr>
            <w:tcW w:w="16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(242494-158291)/323354</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0.26 </w:t>
            </w:r>
          </w:p>
        </w:tc>
      </w:tr>
      <w:tr>
        <w:tblPrEx/>
        <w:trPr>
          <w:trHeight w:val="336" w:hRule="atLeast"/>
        </w:trPr>
        <w:tc>
          <w:tcPr>
            <w:tcW w:w="8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x2=</w:t>
            </w:r>
          </w:p>
        </w:tc>
        <w:tc>
          <w:tcPr>
            <w:tcW w:w="20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Retained earnings/total assets</w:t>
            </w:r>
          </w:p>
        </w:tc>
        <w:tc>
          <w:tcPr>
            <w:tcW w:w="16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(208431/323354)</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0.64 </w:t>
            </w:r>
          </w:p>
        </w:tc>
      </w:tr>
      <w:tr>
        <w:tblPrEx/>
        <w:trPr>
          <w:trHeight w:val="336" w:hRule="atLeast"/>
        </w:trPr>
        <w:tc>
          <w:tcPr>
            <w:tcW w:w="8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x3=</w:t>
            </w:r>
          </w:p>
        </w:tc>
        <w:tc>
          <w:tcPr>
            <w:tcW w:w="20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EBIT/total assets</w:t>
            </w:r>
          </w:p>
        </w:tc>
        <w:tc>
          <w:tcPr>
            <w:tcW w:w="16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(-15297/323354)</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-0.05 </w:t>
            </w:r>
          </w:p>
        </w:tc>
      </w:tr>
      <w:tr>
        <w:tblPrEx/>
        <w:trPr>
          <w:trHeight w:val="336" w:hRule="atLeast"/>
        </w:trPr>
        <w:tc>
          <w:tcPr>
            <w:tcW w:w="8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x4=</w:t>
            </w:r>
          </w:p>
        </w:tc>
        <w:tc>
          <w:tcPr>
            <w:tcW w:w="20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Equity/total liabilities</w:t>
            </w:r>
          </w:p>
        </w:tc>
        <w:tc>
          <w:tcPr>
            <w:tcW w:w="16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(153105/170249)</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0.90 </w:t>
            </w:r>
          </w:p>
        </w:tc>
      </w:tr>
      <w:tr>
        <w:tblPrEx/>
        <w:trPr>
          <w:trHeight w:val="336" w:hRule="atLeast"/>
        </w:trPr>
        <w:tc>
          <w:tcPr>
            <w:tcW w:w="8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x5=</w:t>
            </w:r>
          </w:p>
        </w:tc>
        <w:tc>
          <w:tcPr>
            <w:tcW w:w="20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Sales/total assets</w:t>
            </w:r>
          </w:p>
        </w:tc>
        <w:tc>
          <w:tcPr>
            <w:tcW w:w="16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(394879/323354)</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1.22 </w:t>
            </w:r>
          </w:p>
        </w:tc>
      </w:tr>
      <w:tr>
        <w:tblPrEx/>
        <w:trPr>
          <w:trHeight w:val="336"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Thus,</w:t>
            </w:r>
          </w:p>
        </w:tc>
      </w:tr>
      <w:tr>
        <w:tblPrEx/>
        <w:trPr>
          <w:trHeight w:val="336"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Z= 1.2*(0.26)+1.4*(0.64)+3.3*(-0.05)+0.6*(.90)+1*(1.22)</w:t>
            </w:r>
          </w:p>
        </w:tc>
      </w:tr>
      <w:tr>
        <w:tblPrEx/>
        <w:trPr>
          <w:trHeight w:val="336"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Z= 2.80 </w:t>
            </w:r>
          </w:p>
        </w:tc>
      </w:tr>
    </w:tbl>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The above table reflects that the company’s z-score is 2.80, which implies that General Electronics is under the gray zone. This shows that General Electronics cannot face bankruptcy presently; however, in case if the company continues generating losses, then it can move faster towards bankruptcy or insolvency.</w:t>
      </w:r>
    </w:p>
    <w:bookmarkStart w:id="12" w:name="_Toc949299586"/>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b/>
          <w:bCs/>
          <w:sz w:val="24"/>
          <w:szCs w:val="24"/>
          <w:lang w:val="en-US"/>
        </w:rPr>
      </w:pPr>
      <w:r>
        <w:rPr>
          <w:rFonts w:ascii="Arial Regular" w:cs="Arial Regular" w:hAnsi="Arial Regular" w:hint="default"/>
          <w:sz w:val="24"/>
          <w:szCs w:val="24"/>
          <w:lang w:val="en-US"/>
        </w:rPr>
        <w:t>Working Capital Management Analysis</w:t>
      </w:r>
      <w:bookmarkEnd w:id="12"/>
    </w:p>
    <w:bookmarkStart w:id="13" w:name="_Toc1222128339"/>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b/>
          <w:bCs/>
          <w:sz w:val="24"/>
          <w:szCs w:val="24"/>
          <w:lang w:val="en-US"/>
        </w:rPr>
      </w:pPr>
      <w:r>
        <w:rPr>
          <w:rFonts w:ascii="Arial Regular" w:cs="Arial Regular" w:hAnsi="Arial Regular" w:hint="default"/>
          <w:sz w:val="24"/>
          <w:szCs w:val="24"/>
          <w:lang w:val="en-US"/>
        </w:rPr>
        <w:t>Cash Operating Cycle</w:t>
      </w:r>
      <w:bookmarkEnd w:id="13"/>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b w:val="false"/>
          <w:bCs w:val="false"/>
          <w:sz w:val="24"/>
          <w:szCs w:val="24"/>
          <w:lang w:val="en-US"/>
        </w:rPr>
      </w:pPr>
      <w:r>
        <w:rPr>
          <w:rFonts w:ascii="Arial Regular" w:cs="Arial Regular" w:hAnsi="Arial Regular" w:hint="default"/>
          <w:b w:val="false"/>
          <w:bCs w:val="false"/>
          <w:sz w:val="24"/>
          <w:szCs w:val="24"/>
          <w:lang w:val="en-US"/>
        </w:rPr>
        <w:t>(see appendix 2 for detailed calculations)</w:t>
      </w:r>
    </w:p>
    <w:p>
      <w:pPr>
        <w:pStyle w:val="style34"/>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b w:val="false"/>
          <w:bCs w:val="false"/>
          <w:sz w:val="24"/>
          <w:szCs w:val="24"/>
          <w:lang w:val="en-US"/>
        </w:rPr>
      </w:pPr>
      <w:r>
        <w:rPr>
          <w:rFonts w:ascii="Arial Regular" w:cs="Arial Regular" w:hAnsi="Arial Regular" w:hint="default"/>
          <w:sz w:val="24"/>
          <w:szCs w:val="24"/>
        </w:rPr>
        <w:t xml:space="preserve">Figure </w:t>
      </w:r>
      <w:r>
        <w:rPr>
          <w:rFonts w:ascii="Arial Regular" w:cs="Arial Regular" w:hAnsi="Arial Regular" w:hint="default"/>
          <w:sz w:val="24"/>
          <w:szCs w:val="24"/>
        </w:rPr>
        <w:fldChar w:fldCharType="begin"/>
      </w:r>
      <w:r>
        <w:rPr>
          <w:rFonts w:ascii="Arial Regular" w:cs="Arial Regular" w:hAnsi="Arial Regular" w:hint="default"/>
          <w:sz w:val="24"/>
          <w:szCs w:val="24"/>
        </w:rPr>
        <w:instrText xml:space="preserve"> SEQ Figure \* ARABIC </w:instrText>
      </w:r>
      <w:r>
        <w:rPr>
          <w:rFonts w:ascii="Arial Regular" w:cs="Arial Regular" w:hAnsi="Arial Regular" w:hint="default"/>
          <w:sz w:val="24"/>
          <w:szCs w:val="24"/>
        </w:rPr>
        <w:fldChar w:fldCharType="separate"/>
      </w:r>
      <w:r>
        <w:rPr>
          <w:rFonts w:ascii="Arial Regular" w:cs="Arial Regular" w:hAnsi="Arial Regular" w:hint="default"/>
          <w:sz w:val="24"/>
          <w:szCs w:val="24"/>
        </w:rPr>
        <w:t>7</w:t>
      </w:r>
      <w:r>
        <w:rPr>
          <w:rFonts w:ascii="Arial Regular" w:cs="Arial Regular" w:hAnsi="Arial Regular" w:hint="default"/>
          <w:sz w:val="24"/>
          <w:szCs w:val="24"/>
        </w:rPr>
        <w:fldChar w:fldCharType="end"/>
      </w:r>
      <w:bookmarkStart w:id="14" w:name="_Toc171516859"/>
      <w:r>
        <w:rPr>
          <w:rFonts w:ascii="Arial Regular" w:cs="Arial Regular" w:hAnsi="Arial Regular" w:hint="default"/>
          <w:sz w:val="24"/>
          <w:szCs w:val="24"/>
          <w:lang w:val="en-US"/>
        </w:rPr>
        <w:t>: Cash operating cycle for General Electronics from 2020 to 2024</w:t>
      </w:r>
      <w:bookmarkEnd w:id="14"/>
    </w:p>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rPr>
      </w:pP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r>
      <w:r>
        <w:rPr>
          <w:rFonts w:ascii="Arial Regular" w:cs="Arial Regular" w:hAnsi="Arial Regular" w:hint="default"/>
          <w:sz w:val="24"/>
          <w:szCs w:val="24"/>
        </w:rPr>
        <w:drawing>
          <wp:inline distL="114300" distT="0" distB="0" distR="114300">
            <wp:extent cx="4815840" cy="2885440"/>
            <wp:effectExtent l="0" t="0" r="0" b="0"/>
            <wp:docPr id="104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Arial Regular" w:cs="Arial Regular" w:hAnsi="Arial Regular" w:hint="default"/>
          <w:sz w:val="24"/>
          <w:szCs w:val="24"/>
        </w:rPr>
      </w:r>
    </w:p>
    <w:p>
      <w:pPr>
        <w:pStyle w:val="style0"/>
        <w:pageBreakBefore w:val="false"/>
        <w:widowControl/>
        <w:numPr>
          <w:ilvl w:val="0"/>
          <w:numId w:val="0"/>
        </w:numPr>
        <w:kinsoku/>
        <w:wordWrap/>
        <w:overflowPunct/>
        <w:topLinePunct w:val="false"/>
        <w:autoSpaceDE/>
        <w:autoSpaceDN/>
        <w:bidi w:val="false"/>
        <w:adjustRightInd/>
        <w:snapToGrid/>
        <w:spacing w:lineRule="auto" w:line="360"/>
        <w:jc w:val="center"/>
        <w:rPr>
          <w:rFonts w:ascii="Arial Regular" w:cs="Arial Regular" w:hAnsi="Arial Regular" w:hint="default"/>
          <w:sz w:val="24"/>
          <w:szCs w:val="24"/>
          <w:lang w:val="en-US"/>
        </w:rPr>
      </w:pPr>
      <w:r>
        <w:rPr>
          <w:rFonts w:ascii="Arial Regular" w:cs="Arial Regular" w:hAnsi="Arial Regular" w:hint="default"/>
          <w:sz w:val="24"/>
          <w:szCs w:val="24"/>
          <w:lang w:val="en-US"/>
        </w:rPr>
        <w:t>(Source: Self-made)</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Cash operating cycle is also one of the financial metrics, which reflects the time period that business entities take from converting inventory into sales and receiving from debtors. In simple terms, it shows the length of time from cash paid to cash received. Cash operating cycle mainly covers three components, namely inventory days, receivable days, and payable days (CFA, 2019). Cash operating cycle is calculated by adding inventory days and receivable days and deducting payable days. In the same context, it was found from the analysis of the above figure 7 (line chart) that the cash operating cycle of General Electronics has increased from 114 to 162 in the year 2023, but it reduced to 121 during 2024. There are several reasons behind the rise in the cash operating cycle from 2020 to 2023. For instance, inventory days have increased the cash operating cycle of the company. During 2020, inventory days was just 106, which increased to 129 in the year 2024. This reflects that the company is taking quite longer to convert its inventory into sales.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b w:val="false"/>
          <w:bCs w:val="false"/>
          <w:sz w:val="24"/>
          <w:szCs w:val="24"/>
          <w:lang w:val="en-US"/>
        </w:rPr>
      </w:pPr>
      <w:r>
        <w:rPr>
          <w:rFonts w:ascii="Arial Regular" w:cs="Arial Regular" w:eastAsia="SimSun" w:hAnsi="Arial Regular" w:hint="default"/>
          <w:kern w:val="0"/>
          <w:sz w:val="24"/>
          <w:szCs w:val="24"/>
          <w:lang w:val="en-US" w:eastAsia="zh-CN"/>
        </w:rPr>
        <w:t>Similarly, receivable days also caused a rise in the cash operating cycle. General Electronics reported receivable days of 77 in the year 2020, which rose to 106 in the year 2024. A rise in receivable days shows that the company is taking longer to collect funds from debtors. Such delay in receiving payments from debtors has reduced the cash flows of the company significantly in the last few years and also affected the cash operating cycle. On the other hand, a fall in payable days is also another reason for a rise in the cash operating cycle. The company reported payable days of 69 during 2020; however, the same reduced to 64 in the year 2023. A fall in payable days shows that the company is frequently paying creditors, which can also be seen as a sign of liquidity distress. Overall, it can be deduced that General Electronics is taking much longer for converting inventory and receiving from debtors. Similarly, it is paying creditors at a faster rate, which has caused a rise in the cash operating cycle in the last 5 years.</w:t>
      </w:r>
    </w:p>
    <w:bookmarkStart w:id="15" w:name="_Toc1777393665"/>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b/>
          <w:bCs/>
          <w:sz w:val="24"/>
          <w:szCs w:val="24"/>
          <w:lang w:val="en-US"/>
        </w:rPr>
      </w:pPr>
      <w:r>
        <w:rPr>
          <w:rFonts w:ascii="Arial Regular" w:cs="Arial Regular" w:hAnsi="Arial Regular" w:hint="default"/>
          <w:sz w:val="24"/>
          <w:szCs w:val="24"/>
          <w:lang w:val="en-US"/>
        </w:rPr>
        <w:t>Recommend strategies to improve liquidity through working capital reforms </w:t>
      </w:r>
      <w:bookmarkEnd w:id="15"/>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Several working capital reforms can be introduced for the purpose of improving liquidity, and the same are discussed hereunder:</w:t>
      </w:r>
    </w:p>
    <w:p>
      <w:pPr>
        <w:pStyle w:val="style0"/>
        <w:keepNext w:val="false"/>
        <w:keepLines w:val="false"/>
        <w:pageBreakBefore w:val="false"/>
        <w:widowControl/>
        <w:numPr>
          <w:ilvl w:val="0"/>
          <w:numId w:val="2"/>
        </w:numPr>
        <w:suppressLineNumbers w:val="false"/>
        <w:kinsoku/>
        <w:wordWrap/>
        <w:overflowPunct/>
        <w:topLinePunct w:val="false"/>
        <w:autoSpaceDE/>
        <w:autoSpaceDN/>
        <w:bidi w:val="false"/>
        <w:adjustRightInd/>
        <w:snapToGrid/>
        <w:spacing w:beforeAutospacing="false" w:afterAutospacing="false" w:lineRule="auto" w:line="360"/>
        <w:ind w:left="420" w:leftChars="0" w:hanging="420" w:firstLineChars="0"/>
        <w:jc w:val="both"/>
        <w:rPr>
          <w:rFonts w:ascii="Arial Regular" w:cs="Arial Regular" w:hAnsi="Arial Regular" w:hint="default"/>
          <w:sz w:val="24"/>
          <w:szCs w:val="24"/>
        </w:rPr>
      </w:pPr>
      <w:r>
        <w:rPr>
          <w:rFonts w:ascii="Arial Regular" w:cs="Arial Regular" w:eastAsia="SimSun" w:hAnsi="Arial Regular" w:hint="default"/>
          <w:b/>
          <w:bCs/>
          <w:kern w:val="0"/>
          <w:sz w:val="24"/>
          <w:szCs w:val="24"/>
          <w:lang w:val="en-US" w:eastAsia="zh-CN"/>
        </w:rPr>
        <w:t>Inventory management</w:t>
      </w:r>
      <w:r>
        <w:rPr>
          <w:rFonts w:ascii="Arial Regular" w:cs="Arial Regular" w:eastAsia="SimSun" w:hAnsi="Arial Regular" w:hint="default"/>
          <w:kern w:val="0"/>
          <w:sz w:val="24"/>
          <w:szCs w:val="24"/>
          <w:lang w:val="en-US" w:eastAsia="zh-CN"/>
        </w:rPr>
        <w:t>: Liquidity can be improved through improving inventory management. The effective use of inventory can help the business in improving liquidity. For example, the use of Just-In-Time (JIT) can be an effective tool, wherein businesses can order inventory as per requirements (Taulia, 2023). This can help in improving cash flows and liquidity.</w:t>
      </w:r>
    </w:p>
    <w:p>
      <w:pPr>
        <w:pStyle w:val="style0"/>
        <w:keepNext w:val="false"/>
        <w:keepLines w:val="false"/>
        <w:pageBreakBefore w:val="false"/>
        <w:widowControl/>
        <w:numPr>
          <w:ilvl w:val="0"/>
          <w:numId w:val="2"/>
        </w:numPr>
        <w:suppressLineNumbers w:val="false"/>
        <w:kinsoku/>
        <w:wordWrap/>
        <w:overflowPunct/>
        <w:topLinePunct w:val="false"/>
        <w:autoSpaceDE/>
        <w:autoSpaceDN/>
        <w:bidi w:val="false"/>
        <w:adjustRightInd/>
        <w:snapToGrid/>
        <w:spacing w:beforeAutospacing="false" w:afterAutospacing="false" w:lineRule="auto" w:line="360"/>
        <w:ind w:left="420" w:leftChars="0" w:hanging="420" w:firstLineChars="0"/>
        <w:jc w:val="both"/>
        <w:rPr>
          <w:rFonts w:ascii="Arial Regular" w:cs="Arial Regular" w:hAnsi="Arial Regular" w:hint="default"/>
          <w:sz w:val="24"/>
          <w:szCs w:val="24"/>
        </w:rPr>
      </w:pPr>
      <w:r>
        <w:rPr>
          <w:rFonts w:ascii="Arial Regular" w:cs="Arial Regular" w:eastAsia="SimSun" w:hAnsi="Arial Regular" w:hint="default"/>
          <w:b/>
          <w:bCs/>
          <w:kern w:val="0"/>
          <w:sz w:val="24"/>
          <w:szCs w:val="24"/>
          <w:lang w:val="en-US" w:eastAsia="zh-CN"/>
        </w:rPr>
        <w:t>Streamlining payable</w:t>
      </w:r>
      <w:r>
        <w:rPr>
          <w:rFonts w:ascii="Arial Regular" w:cs="Arial Regular" w:eastAsia="SimSun" w:hAnsi="Arial Regular" w:hint="default"/>
          <w:kern w:val="0"/>
          <w:sz w:val="24"/>
          <w:szCs w:val="24"/>
          <w:lang w:val="en-US" w:eastAsia="zh-CN"/>
        </w:rPr>
        <w:t>: The automation of the payable process can also assist in improving liquidity. Reducing payment times can be an effective solution for improving liquidity, but it might also damage reputation and brand image. Accordingly, automating payable, negotiating with suppliers, and asking for early payment discounts are some of the effective reforms to improve liquidity (Stevens and Somani, 2023).</w:t>
      </w:r>
    </w:p>
    <w:p>
      <w:pPr>
        <w:pStyle w:val="style0"/>
        <w:keepNext w:val="false"/>
        <w:keepLines w:val="false"/>
        <w:pageBreakBefore w:val="false"/>
        <w:widowControl/>
        <w:numPr>
          <w:ilvl w:val="0"/>
          <w:numId w:val="2"/>
        </w:numPr>
        <w:suppressLineNumbers w:val="false"/>
        <w:kinsoku/>
        <w:wordWrap/>
        <w:overflowPunct/>
        <w:topLinePunct w:val="false"/>
        <w:autoSpaceDE/>
        <w:autoSpaceDN/>
        <w:bidi w:val="false"/>
        <w:adjustRightInd/>
        <w:snapToGrid/>
        <w:spacing w:beforeAutospacing="false" w:afterAutospacing="false" w:lineRule="auto" w:line="360"/>
        <w:ind w:left="420" w:leftChars="0" w:hanging="420" w:firstLineChars="0"/>
        <w:jc w:val="both"/>
        <w:rPr>
          <w:rFonts w:ascii="Arial Regular" w:cs="Arial Regular" w:hAnsi="Arial Regular" w:hint="default"/>
          <w:sz w:val="24"/>
          <w:szCs w:val="24"/>
        </w:rPr>
      </w:pPr>
      <w:r>
        <w:rPr>
          <w:rFonts w:ascii="Arial Regular" w:cs="Arial Regular" w:eastAsia="SimSun" w:hAnsi="Arial Regular" w:hint="default"/>
          <w:b/>
          <w:bCs/>
          <w:kern w:val="0"/>
          <w:sz w:val="24"/>
          <w:szCs w:val="24"/>
          <w:lang w:val="en-US" w:eastAsia="zh-CN"/>
        </w:rPr>
        <w:t>Receivables management</w:t>
      </w:r>
      <w:r>
        <w:rPr>
          <w:rFonts w:ascii="Arial Regular" w:cs="Arial Regular" w:eastAsia="SimSun" w:hAnsi="Arial Regular" w:hint="default"/>
          <w:kern w:val="0"/>
          <w:sz w:val="24"/>
          <w:szCs w:val="24"/>
          <w:lang w:val="en-US" w:eastAsia="zh-CN"/>
        </w:rPr>
        <w:t>: The change in payment terms with debtors, as well as offering early payment discounts to debtors, is also the best option for improving liquidity. Early payment discounts can help businesses get cash from receivables, which can improve cash flows and thereby enhance liquidity effectively.</w:t>
      </w:r>
    </w:p>
    <w:p>
      <w:pPr>
        <w:pStyle w:val="style0"/>
        <w:keepNext w:val="false"/>
        <w:keepLines w:val="false"/>
        <w:pageBreakBefore w:val="false"/>
        <w:widowControl/>
        <w:numPr>
          <w:ilvl w:val="0"/>
          <w:numId w:val="2"/>
        </w:numPr>
        <w:suppressLineNumbers w:val="false"/>
        <w:kinsoku/>
        <w:wordWrap/>
        <w:overflowPunct/>
        <w:topLinePunct w:val="false"/>
        <w:autoSpaceDE/>
        <w:autoSpaceDN/>
        <w:bidi w:val="false"/>
        <w:adjustRightInd/>
        <w:snapToGrid/>
        <w:spacing w:beforeAutospacing="false" w:afterAutospacing="false" w:lineRule="auto" w:line="360"/>
        <w:ind w:left="420" w:leftChars="0" w:hanging="420" w:firstLineChars="0"/>
        <w:jc w:val="both"/>
        <w:rPr>
          <w:rFonts w:ascii="Arial Regular" w:cs="Arial Regular" w:hAnsi="Arial Regular" w:hint="default"/>
          <w:sz w:val="24"/>
          <w:szCs w:val="24"/>
        </w:rPr>
      </w:pPr>
      <w:r>
        <w:rPr>
          <w:rFonts w:ascii="Arial Regular" w:cs="Arial Regular" w:eastAsia="SimSun" w:hAnsi="Arial Regular" w:hint="default"/>
          <w:b/>
          <w:bCs/>
          <w:kern w:val="0"/>
          <w:sz w:val="24"/>
          <w:szCs w:val="24"/>
          <w:lang w:val="en-US" w:eastAsia="zh-CN"/>
        </w:rPr>
        <w:t>Refinancing</w:t>
      </w:r>
      <w:r>
        <w:rPr>
          <w:rFonts w:ascii="Arial Regular" w:cs="Arial Regular" w:eastAsia="SimSun" w:hAnsi="Arial Regular" w:hint="default"/>
          <w:kern w:val="0"/>
          <w:sz w:val="24"/>
          <w:szCs w:val="24"/>
          <w:lang w:val="en-US" w:eastAsia="zh-CN"/>
        </w:rPr>
        <w:t>: Refinancing can also be seen as another reform to improve liquidity. Conversion of short-term loans into long-term loans can help in reducing short-term obligations and improving liquidity. Long-term debt can increase cash flows and assist in improving liquidity in the short run.</w:t>
      </w:r>
    </w:p>
    <w:p>
      <w:pPr>
        <w:pStyle w:val="style0"/>
        <w:keepNext w:val="false"/>
        <w:keepLines w:val="false"/>
        <w:pageBreakBefore w:val="false"/>
        <w:widowControl/>
        <w:numPr>
          <w:ilvl w:val="0"/>
          <w:numId w:val="2"/>
        </w:numPr>
        <w:suppressLineNumbers w:val="false"/>
        <w:kinsoku/>
        <w:wordWrap/>
        <w:overflowPunct/>
        <w:topLinePunct w:val="false"/>
        <w:autoSpaceDE/>
        <w:autoSpaceDN/>
        <w:bidi w:val="false"/>
        <w:adjustRightInd/>
        <w:snapToGrid/>
        <w:spacing w:beforeAutospacing="false" w:afterAutospacing="false" w:lineRule="auto" w:line="360"/>
        <w:ind w:left="420" w:leftChars="0" w:hanging="420" w:firstLineChars="0"/>
        <w:jc w:val="both"/>
        <w:rPr>
          <w:rFonts w:ascii="Arial Regular" w:cs="Arial Regular" w:hAnsi="Arial Regular" w:hint="default"/>
          <w:sz w:val="24"/>
          <w:szCs w:val="24"/>
        </w:rPr>
      </w:pPr>
      <w:r>
        <w:rPr>
          <w:rFonts w:ascii="Arial Regular" w:cs="Arial Regular" w:eastAsia="SimSun" w:hAnsi="Arial Regular" w:hint="default"/>
          <w:b/>
          <w:bCs/>
          <w:kern w:val="0"/>
          <w:sz w:val="24"/>
          <w:szCs w:val="24"/>
          <w:lang w:val="en-US" w:eastAsia="zh-CN"/>
        </w:rPr>
        <w:t>Others</w:t>
      </w:r>
      <w:r>
        <w:rPr>
          <w:rFonts w:ascii="Arial Regular" w:cs="Arial Regular" w:eastAsia="SimSun" w:hAnsi="Arial Regular" w:hint="default"/>
          <w:kern w:val="0"/>
          <w:sz w:val="24"/>
          <w:szCs w:val="24"/>
          <w:lang w:val="en-US" w:eastAsia="zh-CN"/>
        </w:rPr>
        <w:t>: Continuous monitoring of cash flows, reducing overstocking, reducing unnecessary expenses as well as selling of unwanted assets are also some of the strategic measures that can be adopted for increasing current assets and reducing current liabilities (Beaver, 2025).</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Thus, it can be stated that the above-discussed working capital reforms can prove to be helpful for the company in relation to the improvement of liquidity.</w:t>
      </w:r>
    </w:p>
    <w:bookmarkStart w:id="16" w:name="_Toc1157797885"/>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Compare short-term vs long-term financing options</w:t>
      </w:r>
      <w:bookmarkEnd w:id="16"/>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There can be several short as well as long-term financing options available for businesses. Some examples of short-term finance are bank overdraft, short-term loans, cash credit, and others. Bank overdraft is a source, wherein businesses can withdraw funds above set limits from their accounts. It is a flexible and faster way to collect funds. However, overdrafts have a higher interest rate, which can be expensive for businesses. Additionally, a short-term loan is another short-term financing option, wherein funds can be borrowed from banks for a short period. It is a cheaper source of finance and there is no requirement of collateral, which are key advantages of a short-term loan. However, key drawback is that it creates fixed obligation (King, Harrison and Milner, 2022). On the other hand, cash credit is another option, wherein an agreement is made between the bank and business for funding to meet business requirements; however, banks can refuse cash credit during financial hardship of the business (Gupta, 2022).</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In addition to this, Equity financing and debt financing are some long-term financing options available for businesses. Equity financing is a source of finance, wherein funds can be collected through issuing shares in the market. On the other hand, debt financing refers to borrowing funds from banks for long-term in consideration of interest charges (Sharma, 2020). Both equity and debt financing have different advantages and disadvantages. For instance, equity financing has no obligation and is a good option for business with less creditworthiness; however, the lack of ownership and the sharing of profit in terms of dividend are the main disadvantages of equity financing (The Hartford, n.d.). On the other hand, debt financing is a cheaper financing option due to the low cost of debt, and it also provides a tax shield on interest payments. The key disadvantages of debt financing are increased obligation as well as a high debt-equity ratio (Wilcox, 2024). Accordingly, it can be stated that the use of trade credit can be helpful for improving working capital and cash operating cycle in short-term. For the long run, the company can use a mix of debt and equity for improving liquidity, bettering financial performance, gain investor confidence, and maximising shareholder value.</w:t>
      </w:r>
    </w:p>
    <w:bookmarkStart w:id="17" w:name="_Toc759727728"/>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Strategic Financial Restructuring Plan</w:t>
      </w:r>
      <w:bookmarkEnd w:id="17"/>
    </w:p>
    <w:bookmarkStart w:id="18" w:name="_Toc1953643081"/>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eastAsia="Times New Roman" w:hAnsi="Arial Regular" w:hint="default"/>
          <w:b/>
          <w:i/>
          <w:sz w:val="24"/>
          <w:szCs w:val="24"/>
        </w:rPr>
      </w:pPr>
      <w:r>
        <w:rPr>
          <w:rFonts w:ascii="Arial Regular" w:cs="Arial Regular" w:hAnsi="Arial Regular" w:hint="default"/>
          <w:sz w:val="24"/>
          <w:szCs w:val="24"/>
        </w:rPr>
        <w:t>Recommend financial restructuring options</w:t>
      </w:r>
      <w:bookmarkEnd w:id="18"/>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eastAsia="Times New Roman" w:hAnsi="Arial Regular" w:hint="default"/>
          <w:sz w:val="24"/>
          <w:szCs w:val="24"/>
        </w:rPr>
      </w:pPr>
      <w:r>
        <w:rPr>
          <w:rFonts w:ascii="Arial Regular" w:cs="Arial Regular" w:eastAsia="Times New Roman" w:hAnsi="Arial Regular" w:hint="default"/>
          <w:sz w:val="24"/>
          <w:szCs w:val="24"/>
        </w:rPr>
        <w:t>Based on the regular decline in G</w:t>
      </w:r>
      <w:r>
        <w:rPr>
          <w:rFonts w:ascii="Arial Regular" w:cs="Arial Regular" w:eastAsia="Times New Roman" w:hAnsi="Arial Regular" w:hint="default"/>
          <w:sz w:val="24"/>
          <w:szCs w:val="24"/>
          <w:lang w:val="en-US"/>
        </w:rPr>
        <w:t>eneral Electronics</w:t>
      </w:r>
      <w:r>
        <w:rPr>
          <w:rFonts w:ascii="Arial Regular" w:cs="Arial Regular" w:eastAsia="Times New Roman" w:hAnsi="Arial Regular" w:hint="default"/>
          <w:sz w:val="24"/>
          <w:szCs w:val="24"/>
        </w:rPr>
        <w:t>’s revenue position, inverse profitability, greater level of leverage, and liquidity constraints, a substantial financial restructuring plan is important for restoring solvency, advancing performance, and regaining shareholder confidence. In this relation, the primary strategic recommendation is to diversify Non-Core Assets. The company must consider selling non-core or underperforming business units to decrease debt liabilities and fetch immediate liquidity. Moreover, divestiture lets management target on core customer segments with robust margins and market potential (Vidal, 2021). Hence, the proceeds could be utilized to repay high-interest loans that will eventually advance the debt-to-equity ratio and decrease interest expenses. Another recommendation is to raise fresh equity through joint ventures or strategic investors who can strengthen the capital base of the company. Partnering with worldwide technology giants can offer financial stability, along with bringing digital expertise, innovation, and new product segments (Prange and Mayrhofer, 2015). An injection of equity will increase shareholder confidence and advance leverage ratios to reduce overall dependency on debt financing.</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eastAsia="Times New Roman" w:hAnsi="Arial Regular" w:hint="default"/>
          <w:sz w:val="24"/>
          <w:szCs w:val="24"/>
        </w:rPr>
      </w:pPr>
      <w:r>
        <w:rPr>
          <w:rFonts w:ascii="Arial Regular" w:cs="Arial Regular" w:eastAsia="Times New Roman" w:hAnsi="Arial Regular" w:hint="default"/>
          <w:sz w:val="24"/>
          <w:szCs w:val="24"/>
        </w:rPr>
        <w:t>Further, the current gearing ratio of the company shows a greater reliance on debt sources. This needs negotiating with debtors to extend repayment contracts, lower the rate of interest, or change short-period debt into long-period liabilities, which can ease liquidity pressure. In addition, partial conversion of debt-to-equity can further increase financial stability and overall solvency. Besides, exploring mergers with complementary companies in the emerging markets may offer economies of scale, access to innovative technologies, and expanding customer bases (Gomes, 2020). The company can also streamline operational expenses through supply chain optimization, automation, and workforce restructuring to improve efficiency. Moreover, outsourcing non-essential work and using digital technologies can further assist sustainable profitability. Hence, collectively, such restructuring approaches target to stabilize overall cash flows, balancing the capital structure of the company and positioning the company for long-period financial growth and stability in the future.</w:t>
      </w:r>
    </w:p>
    <w:bookmarkStart w:id="19" w:name="_Toc2001783384"/>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eastAsia="Times New Roman" w:hAnsi="Arial Regular" w:hint="default"/>
          <w:b/>
          <w:i/>
          <w:sz w:val="24"/>
          <w:szCs w:val="24"/>
        </w:rPr>
      </w:pPr>
      <w:r>
        <w:rPr>
          <w:rFonts w:ascii="Arial Regular" w:cs="Arial Regular" w:hAnsi="Arial Regular" w:hint="default"/>
          <w:sz w:val="24"/>
          <w:szCs w:val="24"/>
        </w:rPr>
        <w:t>Evaluate impact on shareholder value, debt structure, and operational flexibility</w:t>
      </w:r>
      <w:bookmarkEnd w:id="19"/>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eastAsia="Times New Roman" w:hAnsi="Arial Regular" w:hint="default"/>
          <w:sz w:val="24"/>
          <w:szCs w:val="24"/>
        </w:rPr>
      </w:pPr>
      <w:r>
        <w:rPr>
          <w:rFonts w:ascii="Arial Regular" w:cs="Arial Regular" w:eastAsia="Times New Roman" w:hAnsi="Arial Regular" w:hint="default"/>
          <w:sz w:val="24"/>
          <w:szCs w:val="24"/>
        </w:rPr>
        <w:t>The recommended financial restructuring approaches are anticipated to fetch both short-period and long-period benefits for the company by restoring market confidence and advancing capital efficiency. In relation to impact on shareholder value, the integration of divestiture and injection of equity is predicted to increase shareholder value by advancing profitability and overall market valuation (Akhtar et al., 2016). Further, selling non-core assets will liberate tied-up capital that could be reinvested in high-return investments, thereby strengthening EPS over time. In addition, the injection of equity through strategic investors could signal confidence in the future of the company, thereby prompting a possible increase in share prices. However, short-period dilution of ownership may happen, but the complete improvement in innovation, financial stability, and operational efficiency will enhance intrinsic value and shareholder return in long-period.</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eastAsia="Times New Roman" w:hAnsi="Arial Regular" w:hint="default"/>
          <w:sz w:val="24"/>
          <w:szCs w:val="24"/>
        </w:rPr>
      </w:pPr>
      <w:r>
        <w:rPr>
          <w:rFonts w:ascii="Arial Regular" w:cs="Arial Regular" w:eastAsia="Times New Roman" w:hAnsi="Arial Regular" w:hint="default"/>
          <w:sz w:val="24"/>
          <w:szCs w:val="24"/>
          <w:lang w:val="en-US"/>
        </w:rPr>
        <w:t>Additionally</w:t>
      </w:r>
      <w:r>
        <w:rPr>
          <w:rFonts w:ascii="Arial Regular" w:cs="Arial Regular" w:eastAsia="Times New Roman" w:hAnsi="Arial Regular" w:hint="default"/>
          <w:sz w:val="24"/>
          <w:szCs w:val="24"/>
        </w:rPr>
        <w:t>, debt refinancing and restructuring will considerably advance the leverage position of the company. Moreover, converting high-cost short-period debt into long-period liabilities will ease the pressure of repayment and stabilize cash flows. The recommended partial debt-to-equity ratio conversion will decrease the debt-to-equity ratio, which will decrease interest expenses and improve interest coverage (Utama et al., 2023). Enhanced liquidity will also let the company fulfill working capital needs more efficiently. A healthier capital structure with maintained equity and debt will advance credit ratings, along with attracting new investors. Besides, cost rationalization, operational restructuring, and alliances or mergers will increase adaptability and flexibility to changing market dynamics. Moreover, by automating production mechanisms, streamlining the supply chain, and outsourcing non-primary functions, the company can accomplish lean operations and rapid decision-making. Strategic mergers and alliances will offer access to innovative technologies and markets that enable resilience and diversification against market fluctuations (Yousuf et al., 2021). Hence, the restructuring plan is anticipated to increase financial stability, foster sustainable growth, and improve competitiveness, thereby laying the base for long-period stakeholder value creation.</w:t>
      </w:r>
    </w:p>
    <w:bookmarkStart w:id="20" w:name="_Toc1494520986"/>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eastAsia="Times New Roman" w:hAnsi="Arial Regular" w:hint="default"/>
          <w:b/>
          <w:i/>
          <w:sz w:val="24"/>
          <w:szCs w:val="24"/>
        </w:rPr>
      </w:pPr>
      <w:r>
        <w:rPr>
          <w:rFonts w:ascii="Arial Regular" w:cs="Arial Regular" w:hAnsi="Arial Regular" w:hint="default"/>
          <w:sz w:val="24"/>
          <w:szCs w:val="24"/>
        </w:rPr>
        <w:t>International and ethical considerations</w:t>
      </w:r>
      <w:bookmarkEnd w:id="20"/>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eastAsia="Times New Roman" w:hAnsi="Arial Regular" w:hint="default"/>
          <w:sz w:val="24"/>
          <w:szCs w:val="24"/>
        </w:rPr>
      </w:pPr>
      <w:r>
        <w:rPr>
          <w:rFonts w:ascii="Arial Regular" w:cs="Arial Regular" w:eastAsia="Times New Roman" w:hAnsi="Arial Regular" w:hint="default"/>
          <w:sz w:val="24"/>
          <w:szCs w:val="24"/>
        </w:rPr>
        <w:t>When applying the recommended final restructuring, the company should carefully analyze multiple global and ethical considerations that directly impact its corporate reputation and financial sustainability. In relation to taxation, any restructuring decision, like mergers, equity assurance, and diversification, will have considerable tax implications. Moreover, selling non-core assets may fetch capital gains tax liabilities, whereas joint ventures or mergers across jurisdictions may include complex transfer pricing regulations and tax treaties (Sidik and Indonesia, 2021). Thus, the company must align efficient tax planning approaches, involving reinvestment of sales proceeds into measurable assets, to decrease tax exposure. The alignment with worldwide tax compliance standards will make sure ethical tax practices and transparency, thereby reinforcing investor confidence. In relation to currency risk, it will have a direct impact on valuation and profitability. Changes in exchange rates can impact the export revenues, cost of imports, and the overall value of foreign-dominated debt (Eyinade et al., 2022). In order to mitigate the risks, the company must employ hedging strategies like currency swaps through local sourcing.</w:t>
      </w:r>
    </w:p>
    <w:p>
      <w:pPr>
        <w:pStyle w:val="style0"/>
        <w:pageBreakBefore w:val="false"/>
        <w:widowControl/>
        <w:numPr>
          <w:ilvl w:val="0"/>
          <w:numId w:val="0"/>
        </w:numPr>
        <w:kinsoku/>
        <w:wordWrap/>
        <w:overflowPunct/>
        <w:topLinePunct w:val="false"/>
        <w:autoSpaceDE/>
        <w:autoSpaceDN/>
        <w:bidi w:val="false"/>
        <w:adjustRightInd/>
        <w:snapToGrid/>
        <w:spacing w:lineRule="auto" w:line="360"/>
        <w:ind w:leftChars="0"/>
        <w:jc w:val="both"/>
        <w:rPr>
          <w:rFonts w:ascii="Arial Regular" w:cs="Arial Regular" w:hAnsi="Arial Regular" w:hint="default"/>
          <w:sz w:val="24"/>
          <w:szCs w:val="24"/>
          <w:lang w:val="en-US"/>
        </w:rPr>
      </w:pPr>
      <w:r>
        <w:rPr>
          <w:rFonts w:ascii="Arial Regular" w:cs="Arial Regular" w:eastAsia="Times New Roman" w:hAnsi="Arial Regular" w:hint="default"/>
          <w:sz w:val="24"/>
          <w:szCs w:val="24"/>
        </w:rPr>
        <w:t>Further, in relation to inflation, increasing inflation across worldwide markets enhances borrowing rates, operational expenses, and pricing pressures. Moreover, the restructuring plan must involve cost control mechanisms, Inflation-adjusted budgeting, and dynamic pricing approaches to balance profitability. In addition, investing in supply chain efficiency and automation can also offset inflationary pressures by decreasing dependency on manual labor and volatile raw material prices. Considering CSR, ethical restructuring should prioritize the interests of employees, the environment, and communities (Hong, 2024). Hence, job cuts must be balanced with fair packages and retention initiatives. The company must continue to invest in sustainable production practices, community, and carbon reduction initiatives. Balancing ethical responsibility in the entire restructuring procedure will not just conserve corporate reputation but also boost long-period trust among the stakeholders.</w:t>
      </w:r>
    </w:p>
    <w:bookmarkStart w:id="21" w:name="_Toc1445476390"/>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Investment Appraisal and Capital Budgeting</w:t>
      </w:r>
      <w:bookmarkEnd w:id="21"/>
    </w:p>
    <w:bookmarkStart w:id="22" w:name="_Toc1786671866"/>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Investment appraisal techniques</w:t>
      </w:r>
      <w:bookmarkEnd w:id="22"/>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Investment appraisal techniques refer to techniques that facilitate project managers in analysing the viability of an investment. There are several techniques that can be used for making capital budgeting decisions, and the same are discussed in the next section.</w:t>
      </w:r>
    </w:p>
    <w:tbl>
      <w:tblPr>
        <w:tblStyle w:val="style105"/>
        <w:tblW w:w="4998"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2264"/>
        <w:gridCol w:w="2088"/>
        <w:gridCol w:w="2078"/>
        <w:gridCol w:w="2089"/>
      </w:tblGrid>
      <w:tr>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Particulars</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Payback Period</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3.4</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3.6</w:t>
            </w:r>
          </w:p>
        </w:tc>
      </w:tr>
      <w:tr>
        <w:tblPrEx/>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ARR</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r>
      <w:tr>
        <w:tblPrEx/>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NPV</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£1.32 million</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-£7.26 million</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£4.23 million</w:t>
            </w:r>
          </w:p>
        </w:tc>
      </w:tr>
      <w:tr>
        <w:tblPrEx/>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PI</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1.03</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0.76</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1.08</w:t>
            </w:r>
          </w:p>
        </w:tc>
      </w:tr>
      <w:tr>
        <w:tblPrEx/>
        <w:trPr>
          <w:trHeight w:val="336" w:hRule="atLeast"/>
        </w:trPr>
        <w:tc>
          <w:tcPr>
            <w:tcW w:w="132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IRR</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11.33%</w:t>
            </w:r>
          </w:p>
        </w:tc>
        <w:tc>
          <w:tcPr>
            <w:tcW w:w="12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12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pageBreakBefore w:val="false"/>
              <w:widowControl/>
              <w:suppressLineNumbers w:val="false"/>
              <w:kinsoku/>
              <w:wordWrap/>
              <w:overflowPunct/>
              <w:topLinePunct w:val="false"/>
              <w:autoSpaceDE/>
              <w:autoSpaceDN/>
              <w:bidi w:val="false"/>
              <w:adjustRightInd/>
              <w:snapToGrid/>
              <w:spacing w:lineRule="auto" w:line="360"/>
              <w:jc w:val="both"/>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12.72%</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ind w:left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(see appendix 3 for detailed calculations)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b/>
          <w:bCs/>
          <w:i/>
          <w:iCs/>
          <w:kern w:val="0"/>
          <w:sz w:val="24"/>
          <w:szCs w:val="24"/>
          <w:lang w:val="en-US" w:eastAsia="zh-CN"/>
        </w:rPr>
        <w:t>Payback Period</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Payback period refers to the technique that can be used for the purpose of evaluating the time to recoup the investment. In other words, the payback period helps in calculating the total time that the project takes to cover the initial investment. The use of payback period is quite easy, and it also considers liquidity, which can be seen as the main advantage of payback period; however, a lack in considering the time value concept as well as after payback period cash flows, are some of the key drawbacks of payback period (David Lee et al., 2022). It was found that project A has generated the lowest payback period of 3.4; whereas, project B has reported the highest payback period of 5 years. Thus, based on payback period, investing in project A  is feasible as it will take short time to recoup initial investment.</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b/>
          <w:bCs/>
          <w:i/>
          <w:iCs/>
          <w:kern w:val="0"/>
          <w:sz w:val="24"/>
          <w:szCs w:val="24"/>
          <w:lang w:val="en-US" w:eastAsia="zh-CN"/>
        </w:rPr>
        <w:t>Accounting Rate of return (ARR)</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Accounting Rate of Return (ARR) is a technique, which is used for the purpose of calculation of profits of an investment. It assists in determining the average profits generated by the company on investment value. It is the only technique that considers profits instead of cash flows. However, it also lacks in considering the time value of money concept, which can be seen as a key disadvantage of ARR (Birt et al., 2020). ARR of project A, B, and C is 7%, 0% and 10%, which implies that project A will generate 7% profits and project C will generate 10% profits on investment value. This implies that investing in Project C is more feasible for General Electronics.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b/>
          <w:bCs/>
          <w:i/>
          <w:iCs/>
          <w:kern w:val="0"/>
          <w:sz w:val="24"/>
          <w:szCs w:val="24"/>
          <w:lang w:val="en-US" w:eastAsia="zh-CN"/>
        </w:rPr>
        <w:t>Net Present Value (NPV)</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Net Present Value (NPV) is used for the purpose of determining the value of an investment. It uses the hurdle rate to determine the present value of future cash flows. It is calculated by deducting the present value of future cash flows from cash outflows. Positive NPV shows that investing in the project is viable and helps in creating value addition. On the contrary, negative NPV implies that investing in the project is not feasible. There are several advantages and disadvantages of NPV. For instance, the consideration of the time value of money concept as well as the entire life cash flows, are some of the key advantages of NPV. Similarly, estimation of cash flows as well as hurdle rate are some of the key disadvantages, as wrong estimation might provide inaccurate results (Wiley, 2022). Project A has generated an NPV of £1.32 million; whereas project B has generated a negative NPV of £7.26 million. Similarly, project C has generated the highest NPV of £4.23 million, which shows that investing in project C is highly beneficial for the company.</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b/>
          <w:bCs/>
          <w:i/>
          <w:iCs/>
          <w:kern w:val="0"/>
          <w:sz w:val="24"/>
          <w:szCs w:val="24"/>
          <w:lang w:val="en-US" w:eastAsia="zh-CN"/>
        </w:rPr>
        <w:t>Profitability Index (PI)</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kern w:val="0"/>
          <w:sz w:val="24"/>
          <w:szCs w:val="24"/>
          <w:lang w:val="en-US" w:eastAsia="zh-CN"/>
        </w:rPr>
        <w:t>Profitability Index (PI) is another investment appraisal technique, which is used for analysing investment attractiveness with the help of comparing present cash flows with the investment value. PI higher than 1 is considered feasible; whereas, investing in a project with a PI lower than 1 is not feasible. It is quite easy to calculate and beneficial for making capital rationing decisions; however, one of the key drawbacks of PI is that it can provide wrong results when comparing mutually exclusive projects (Lee et al., 2022). PI of project A, B, and C is 1.03, 0.76, and 1.08. Project C has reported the highest PI, which implies that it is a highly profitable project compared to other projects, namely A and B.</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rPr>
      </w:pPr>
      <w:r>
        <w:rPr>
          <w:rFonts w:ascii="Arial Regular" w:cs="Arial Regular" w:eastAsia="SimSun" w:hAnsi="Arial Regular" w:hint="default"/>
          <w:b/>
          <w:bCs/>
          <w:i/>
          <w:iCs/>
          <w:kern w:val="0"/>
          <w:sz w:val="24"/>
          <w:szCs w:val="24"/>
          <w:lang w:val="en-US" w:eastAsia="zh-CN"/>
        </w:rPr>
        <w:t>Internal Rate of Return (IRR)</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Internal rate of return (IRR) is a technique that is used for evaluating the profitability of a potential investment. In other words, it assists in calculating the discount rate at which NPV reaches to zero. Both cash inflows as well as cash outflows becomes zero at IRR. IRR is mainly related to NPV and helps in making identical decisions to NPV; however, IRR can provide inaccurate results while comparing mutually exclusive projects (Hillier, 2021). Project A has reported an IRR of 11.33% and Project C has reported an IRR of 12.72%. The IRR of both projects has exceed the discount rate, which implies investing in both project A and C is feasible for the company.</w:t>
      </w:r>
    </w:p>
    <w:bookmarkStart w:id="23" w:name="_Toc330215861"/>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b/>
          <w:bCs/>
          <w:sz w:val="24"/>
          <w:szCs w:val="24"/>
          <w:lang w:val="en-US"/>
        </w:rPr>
      </w:pPr>
      <w:r>
        <w:rPr>
          <w:rFonts w:ascii="Arial Regular" w:cs="Arial Regular" w:hAnsi="Arial Regular" w:hint="default"/>
          <w:sz w:val="24"/>
          <w:szCs w:val="24"/>
          <w:lang w:val="en-US"/>
        </w:rPr>
        <w:t>Final investment recommendation</w:t>
      </w:r>
      <w:bookmarkEnd w:id="23"/>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It can be recommended that investing in project B is not worthwhile, as it has generated a negative NPV, which will not assist in creating value addition. Similarly, the profitability index can be used for making a final investment recommendation, wherein project C has generated the highest rank and project A has generated the second rank. Thus, investing in both projects can be feasible as both projects has PI higher than 1. Similarly, both projects has generated positive NPV and also reported a higher IRR than the cost of capital or discount rate. In addition to this, if the company has only £60 million of funds, then it is feasible to invest in project C as it has generated the highest NPV and ARR. The company cannot invest additional funds worth £10 million in project A as it requires a total investment of £40 million. Thus, based on capital rationing, it can be recommended that best turnaround strategy for the company is to invest in project C only as it has generated highest NPV of £4.23 million. This will assist General Electronics in creating value addition and maximising value for the shareholders.</w:t>
      </w:r>
    </w:p>
    <w:bookmarkStart w:id="24" w:name="_Toc840231979"/>
    <w:p>
      <w:pPr>
        <w:pStyle w:val="style2"/>
        <w:pageBreakBefore w:val="false"/>
        <w:widowControl/>
        <w:kinsoku/>
        <w:wordWrap/>
        <w:overflowPunct/>
        <w:topLinePunct w:val="false"/>
        <w:autoSpaceDE/>
        <w:autoSpaceDN/>
        <w:bidi w:val="false"/>
        <w:adjustRightInd/>
        <w:snapToGrid/>
        <w:spacing w:before="0" w:after="0" w:lineRule="auto" w:line="360"/>
        <w:jc w:val="both"/>
        <w:rPr>
          <w:rFonts w:ascii="Arial Regular" w:cs="Arial Regular" w:hAnsi="Arial Regular" w:hint="default"/>
          <w:sz w:val="24"/>
          <w:szCs w:val="24"/>
          <w:lang w:val="en-US"/>
        </w:rPr>
      </w:pPr>
      <w:r>
        <w:rPr>
          <w:rFonts w:ascii="Arial Regular" w:cs="Arial Regular" w:hAnsi="Arial Regular" w:hint="default"/>
          <w:sz w:val="24"/>
          <w:szCs w:val="24"/>
          <w:lang w:val="en-US"/>
        </w:rPr>
        <w:t>Justification for recommendation</w:t>
      </w:r>
      <w:bookmarkEnd w:id="24"/>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Investing in project C is feasible because it has generated the highest NPV, ARR, and PI as compared to other projects. This will also help in generating strong returns for the shareholders. Additionally, it was also noticed that the company’s current financial performance is not strong. The company has reported losses and has a huge amount of debt. It is crucial for the company to improve future financial performance, and thus investing in project C can help in improving financial performance, as it has generated the highest PI. On the other hand, the key project risk characteristic is the dependency of project C’s cash flows on future years, which is susceptible to risk. Similarly, project A is also highly volatile, but it will generate cash flows earlier. A high NPV as well as IRR outweighs project risks. A high IRR and NPV show that the company can manage cost overruns and become profitable in the short run.</w:t>
      </w:r>
    </w:p>
    <w:bookmarkStart w:id="25" w:name="_Toc2073892028"/>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Conclusion</w:t>
      </w:r>
      <w:bookmarkEnd w:id="25"/>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Autospacing="false" w:afterAutospacing="false" w:lineRule="auto" w:line="360"/>
        <w:jc w:val="both"/>
        <w:rPr>
          <w:rFonts w:ascii="Arial Regular" w:cs="Arial Regular" w:hAnsi="Arial Regular" w:hint="default"/>
          <w:sz w:val="24"/>
          <w:szCs w:val="24"/>
          <w:lang w:val="en-US"/>
        </w:rPr>
      </w:pPr>
      <w:r>
        <w:rPr>
          <w:rFonts w:ascii="Arial Regular" w:cs="Arial Regular" w:eastAsia="SimSun" w:hAnsi="Arial Regular" w:hint="default"/>
          <w:kern w:val="0"/>
          <w:sz w:val="24"/>
          <w:szCs w:val="24"/>
          <w:lang w:val="en-US" w:eastAsia="zh-CN"/>
        </w:rPr>
        <w:t xml:space="preserve">It can be concluded from the analysis of the above report that the current financial performance of General Electronics is not well. The company has reported losses during recent years, and profitability ratios are also turned from positive to negative. The company is also not efficient in managing inventory effectively to generate higher sales. Similarly, the financial leverage of General Electronics is also not sound due to increased dependency on debt. Low investment and cash flow ratios also reflect that the company’s financial condition is not good. Cash operating cycle also increased in the last few years, which shows late collection of funds from debtors and a delay in converting inventory. The company needs to make strategic measures like negotiations, early payment discounts, and others to improve the cash flow cycle. Additionally, </w:t>
      </w:r>
      <w:r>
        <w:rPr>
          <w:rFonts w:ascii="Arial Regular" w:cs="Arial Regular" w:eastAsia="Times New Roman" w:hAnsi="Arial Regular" w:hint="default"/>
          <w:sz w:val="24"/>
          <w:szCs w:val="24"/>
        </w:rPr>
        <w:t>the recommended financial restructuring plan targets to restore the company’s financial stability by enhancing liquidity, optimizing capital structure, and advancing operational efficiency while making sure worldwide compliance, ethical integrity, and long-period stakeholder value formation.</w:t>
      </w:r>
      <w:r>
        <w:rPr>
          <w:rFonts w:ascii="Arial Regular" w:cs="Arial Regular" w:eastAsia="Times New Roman" w:hAnsi="Arial Regular" w:hint="default"/>
          <w:sz w:val="24"/>
          <w:szCs w:val="24"/>
          <w:lang w:val="en-US"/>
        </w:rPr>
        <w:t xml:space="preserve"> </w:t>
      </w:r>
      <w:r>
        <w:rPr>
          <w:rFonts w:ascii="Arial Regular" w:cs="Arial Regular" w:eastAsia="SimSun" w:hAnsi="Arial Regular" w:hint="default"/>
          <w:kern w:val="0"/>
          <w:sz w:val="24"/>
          <w:szCs w:val="24"/>
          <w:lang w:val="en-US" w:eastAsia="zh-CN"/>
        </w:rPr>
        <w:t>Further, investing in project C is more feasible as compared to other projects namely project A and project B, even in case the company has limited funds of £60 million. This is because project C has reported the highest NPV, PI, and ARR as compared to project A; whereas, project B has reported negative NPV. This indicates that the investment in project C will create value addition and help in improving the financial health of the company.</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sz w:val="24"/>
          <w:szCs w:val="24"/>
          <w:lang w:val="en-US"/>
        </w:rPr>
        <w:br w:type="page"/>
      </w:r>
    </w:p>
    <w:bookmarkStart w:id="26" w:name="_Toc96240139"/>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References</w:t>
      </w:r>
      <w:bookmarkEnd w:id="26"/>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rPr>
      </w:pPr>
      <w:r>
        <w:rPr>
          <w:rFonts w:ascii="Arial Regular" w:cs="Arial Regular" w:hAnsi="Arial Regular" w:hint="default"/>
          <w:sz w:val="24"/>
          <w:szCs w:val="24"/>
        </w:rPr>
        <w:t xml:space="preserve">Akhtar, M.W., Khan, F.A., Shahid, A. and Ahmad, J. 2016. Effects of Debt on Value of a Firm. </w:t>
      </w:r>
      <w:r>
        <w:rPr>
          <w:rFonts w:ascii="Arial Regular" w:cs="Arial Regular" w:hAnsi="Arial Regular" w:hint="default"/>
          <w:i/>
          <w:sz w:val="24"/>
          <w:szCs w:val="24"/>
        </w:rPr>
        <w:t>Journal of Accounting &amp; Marketing</w:t>
      </w:r>
      <w:r>
        <w:rPr>
          <w:rFonts w:ascii="Arial Regular" w:cs="Arial Regular" w:hAnsi="Arial Regular" w:hint="default"/>
          <w:sz w:val="24"/>
          <w:szCs w:val="24"/>
        </w:rPr>
        <w:t xml:space="preserve"> 5(4), pp. 1-4.</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Beaver, S. 2025. What Is Working Capital? How to Calculate and Why It’s Important.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"https://www.netsuite.com/portal/resource/articles/financial-management/working-capital.shtml"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https://www.netsuite.com/portal/resource/articles/financial-management/working-capital.shtml</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Birt, J., Chalmers, K., Maloney, S., Brooks, A., Oliver, J. and Bond, D. 2020. </w:t>
      </w:r>
      <w:r>
        <w:rPr>
          <w:rFonts w:ascii="Arial Regular" w:cs="Arial Regular" w:eastAsia="SimSun" w:hAnsi="Arial Regular" w:hint="default"/>
          <w:i/>
          <w:iCs/>
          <w:caps w:val="false"/>
          <w:color w:val="222222"/>
          <w:spacing w:val="0"/>
          <w:kern w:val="0"/>
          <w:sz w:val="24"/>
          <w:szCs w:val="24"/>
          <w:shd w:val="clear" w:color="auto" w:fill="ffffff"/>
          <w:lang w:val="en-US" w:eastAsia="zh-CN"/>
        </w:rPr>
        <w:t>Accounting: Business reporting for decision making</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New Jersey: John Wiley &amp; Sons.</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CFA. 2019. </w:t>
      </w:r>
      <w:r>
        <w:rPr>
          <w:rFonts w:ascii="Arial Regular" w:cs="Arial Regular" w:hAnsi="Arial Regular" w:hint="default"/>
          <w:i/>
          <w:iCs/>
          <w:sz w:val="24"/>
          <w:szCs w:val="24"/>
          <w:lang w:val="en-US"/>
        </w:rPr>
        <w:t>CFA Program Curriculum 2020 Level I Volumes 1-6 Box Set</w:t>
      </w:r>
      <w:r>
        <w:rPr>
          <w:rFonts w:ascii="Arial Regular" w:cs="Arial Regular" w:hAnsi="Arial Regular" w:hint="default"/>
          <w:sz w:val="24"/>
          <w:szCs w:val="24"/>
          <w:lang w:val="en-US"/>
        </w:rPr>
        <w:t>. New Jersey: John Wiley &amp; Sons.</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CFI. 2024. Financial Ratios: Definition, Types, and Examples.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"https://corporatefinanceinstitute.com/resources/accounting/financial-ratios/"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https://corporatefinanceinstitute.com/resources/accounting/financial-ratios/</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Corporate Finance Institute. 2025. Altman’s Z-Score Model.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"https://corporatefinanceinstitute.com/resources/commercial-lending/altmans-z-score-model/"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https://corporatefinanceinstitute.com/resources/commercial-lending/altmans-z-score-model/</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David Lee, K.C., Joseph, L., Phoon, K.F. and Wang, Y. 2022. Fintech for Finance Professionals.Singapore: World Scientific.</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rPr>
      </w:pPr>
      <w:r>
        <w:rPr>
          <w:rFonts w:ascii="Arial Regular" w:cs="Arial Regular" w:hAnsi="Arial Regular" w:hint="default"/>
          <w:sz w:val="24"/>
          <w:szCs w:val="24"/>
        </w:rPr>
        <w:t>Eyinade, W., Ezeilo, O.J. and Ogundeji, I.A. 2022. A Framework for Managing Currency Risk and Exchange Rate Exposure in International Energy Investment Portfolios</w:t>
      </w:r>
      <w:r>
        <w:rPr>
          <w:rFonts w:ascii="Arial Regular" w:cs="Arial Regular" w:hAnsi="Arial Regular" w:hint="default"/>
          <w:i/>
          <w:sz w:val="24"/>
          <w:szCs w:val="24"/>
        </w:rPr>
        <w:t xml:space="preserve">. International Journal of Scientific Research in Civil Engineering </w:t>
      </w:r>
      <w:r>
        <w:rPr>
          <w:rFonts w:ascii="Arial Regular" w:cs="Arial Regular" w:hAnsi="Arial Regular" w:hint="default"/>
          <w:sz w:val="24"/>
          <w:szCs w:val="24"/>
        </w:rPr>
        <w:t xml:space="preserve"> 6(6), pp. 218-230.</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Gideon, F. 2025. </w:t>
      </w:r>
      <w:r>
        <w:rPr>
          <w:rFonts w:ascii="Arial Regular" w:cs="Arial Regular" w:hAnsi="Arial Regular" w:hint="default"/>
          <w:i/>
          <w:iCs/>
          <w:sz w:val="24"/>
          <w:szCs w:val="24"/>
          <w:lang w:val="en-US"/>
        </w:rPr>
        <w:t>Fund Math</w:t>
      </w:r>
      <w:r>
        <w:rPr>
          <w:rFonts w:ascii="Arial Regular" w:cs="Arial Regular" w:hAnsi="Arial Regular" w:hint="default"/>
          <w:sz w:val="24"/>
          <w:szCs w:val="24"/>
          <w:lang w:val="en-US"/>
        </w:rPr>
        <w:t>. Pubifye Publishers.</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w:cs="Arial" w:hAnsi="Arial" w:hint="default"/>
          <w:b w:val="false"/>
          <w:bCs/>
          <w:sz w:val="24"/>
          <w:szCs w:val="24"/>
        </w:rPr>
      </w:pPr>
      <w:r>
        <w:rPr>
          <w:rFonts w:ascii="Arial Regular" w:cs="Arial Regular" w:hAnsi="Arial Regular" w:hint="default"/>
          <w:sz w:val="24"/>
          <w:szCs w:val="24"/>
        </w:rPr>
        <w:t xml:space="preserve">Gomes, E. 2020. Mergers, acquisitions, and strategic alliances as collaborative methods of strategic development and change. </w:t>
      </w:r>
      <w:r>
        <w:rPr>
          <w:rFonts w:ascii="Arial" w:cs="Arial" w:hAnsi="Arial" w:hint="default"/>
          <w:b w:val="false"/>
          <w:bCs/>
          <w:sz w:val="24"/>
          <w:szCs w:val="24"/>
        </w:rPr>
        <w:t>Strategic Change 29(2), pp. 145-148.</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Gupta, O.P. 2022. </w:t>
      </w:r>
      <w:r>
        <w:rPr>
          <w:rFonts w:ascii="Arial Regular" w:cs="Arial Regular" w:hAnsi="Arial Regular" w:hint="default"/>
          <w:i/>
          <w:iCs/>
          <w:sz w:val="24"/>
          <w:szCs w:val="24"/>
          <w:lang w:val="en-US"/>
        </w:rPr>
        <w:t>Business Organisation And Management</w:t>
      </w:r>
      <w:r>
        <w:rPr>
          <w:rFonts w:ascii="Arial Regular" w:cs="Arial Regular" w:hAnsi="Arial Regular" w:hint="default"/>
          <w:sz w:val="24"/>
          <w:szCs w:val="24"/>
          <w:lang w:val="en-US"/>
        </w:rPr>
        <w:t>. ND: SBPD Publications.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Hillier, D. 2021. </w:t>
      </w:r>
      <w:r>
        <w:rPr>
          <w:rFonts w:ascii="Arial Regular" w:cs="Arial Regular" w:eastAsia="SimSun" w:hAnsi="Arial Regular" w:hint="default"/>
          <w:i/>
          <w:iCs/>
          <w:caps w:val="false"/>
          <w:color w:val="222222"/>
          <w:spacing w:val="0"/>
          <w:kern w:val="0"/>
          <w:sz w:val="24"/>
          <w:szCs w:val="24"/>
          <w:shd w:val="clear" w:color="auto" w:fill="ffffff"/>
          <w:lang w:val="en-US" w:eastAsia="zh-CN"/>
        </w:rPr>
        <w:t>eBook Fundamentals of Corporate Finance 4e</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New York: McGraw Hill.</w:t>
      </w:r>
    </w:p>
    <w:p>
      <w:pPr>
        <w:pStyle w:val="style0"/>
        <w:keepNext w:val="false"/>
        <w:keepLines w:val="false"/>
        <w:pageBreakBefore w:val="false"/>
        <w:widowControl/>
        <w:numPr>
          <w:ilvl w:val="0"/>
          <w:numId w:val="0"/>
        </w:numPr>
        <w:kinsoku/>
        <w:wordWrap/>
        <w:overflowPunct/>
        <w:topLinePunct w:val="false"/>
        <w:autoSpaceDE/>
        <w:autoSpaceDN/>
        <w:bidi w:val="false"/>
        <w:adjustRightInd/>
        <w:snapToGrid/>
        <w:spacing w:before="361" w:beforeLines="100" w:after="361" w:afterLines="100" w:lineRule="auto" w:line="360"/>
        <w:ind w:leftChars="0"/>
        <w:jc w:val="both"/>
        <w:textAlignment w:val="auto"/>
        <w:rPr>
          <w:rFonts w:ascii="Arial Regular" w:cs="Arial Regular" w:hAnsi="Arial Regular" w:hint="default"/>
          <w:sz w:val="24"/>
          <w:szCs w:val="24"/>
          <w:lang w:val="en-US"/>
        </w:rPr>
      </w:pPr>
      <w:r>
        <w:rPr>
          <w:rFonts w:ascii="Arial Regular" w:cs="Arial Regular" w:hAnsi="Arial Regular" w:hint="default"/>
          <w:color w:val="222222"/>
          <w:sz w:val="24"/>
          <w:szCs w:val="24"/>
          <w:shd w:val="clear" w:color="auto" w:fill="ffffff"/>
        </w:rPr>
        <w:t>Hong, T.K. 2024. Balancing Act: Navigating Ethical Dilemmas in Strategic Corporate Restructuring.</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Johnson, R.N., Wiley, L.D., Moroney, R., Campbell, F. and Hamilton, J. 2019. </w:t>
      </w:r>
      <w:r>
        <w:rPr>
          <w:rFonts w:ascii="Arial Regular" w:cs="Arial Regular" w:hAnsi="Arial Regular" w:hint="default"/>
          <w:i/>
          <w:iCs/>
          <w:sz w:val="24"/>
          <w:szCs w:val="24"/>
          <w:lang w:val="en-US"/>
        </w:rPr>
        <w:t>Auditing: A practical approach with data analytics</w:t>
      </w:r>
      <w:r>
        <w:rPr>
          <w:rFonts w:ascii="Arial Regular" w:cs="Arial Regular" w:hAnsi="Arial Regular" w:hint="default"/>
          <w:sz w:val="24"/>
          <w:szCs w:val="24"/>
          <w:lang w:val="en-US"/>
        </w:rPr>
        <w:t>. New Jersey: John Wiley &amp; Sons.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Kimmel, P.D., Weygandt, J.J. and Mitchell, J.E. 2021. </w:t>
      </w:r>
      <w:r>
        <w:rPr>
          <w:rFonts w:ascii="Arial Regular" w:cs="Arial Regular" w:eastAsia="SimSun" w:hAnsi="Arial Regular" w:hint="default"/>
          <w:i/>
          <w:iCs/>
          <w:caps w:val="false"/>
          <w:color w:val="222222"/>
          <w:spacing w:val="0"/>
          <w:kern w:val="0"/>
          <w:sz w:val="24"/>
          <w:szCs w:val="24"/>
          <w:shd w:val="clear" w:color="auto" w:fill="ffffff"/>
          <w:lang w:val="en-US" w:eastAsia="zh-CN"/>
        </w:rPr>
        <w:t>Financial Accounting: Tools for Business Decision Making</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New Jersey: John Wiley &amp; Sons.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King, J., Harrison, S. and Milner, D. 2022. </w:t>
      </w:r>
      <w:r>
        <w:rPr>
          <w:rFonts w:ascii="Arial Regular" w:cs="Arial Regular" w:eastAsia="SimSun" w:hAnsi="Arial Regular" w:hint="default"/>
          <w:i/>
          <w:iCs/>
          <w:caps w:val="false"/>
          <w:color w:val="222222"/>
          <w:spacing w:val="0"/>
          <w:kern w:val="0"/>
          <w:sz w:val="24"/>
          <w:szCs w:val="24"/>
          <w:shd w:val="clear" w:color="auto" w:fill="ffffff"/>
          <w:lang w:val="en-US" w:eastAsia="zh-CN"/>
        </w:rPr>
        <w:t>Cambridge International AS/a Level Physics Study and Revision Guide Third Edition</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xml:space="preserve">. UK: </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Hachette</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xml:space="preserve">Lowe, M. 2021. </w:t>
      </w:r>
      <w:r>
        <w:rPr>
          <w:rFonts w:ascii="Arial Regular" w:cs="Arial Regular" w:eastAsia="SimSun" w:hAnsi="Arial Regular" w:hint="default"/>
          <w:i/>
          <w:iCs/>
          <w:caps w:val="false"/>
          <w:color w:val="222222"/>
          <w:spacing w:val="0"/>
          <w:kern w:val="0"/>
          <w:sz w:val="24"/>
          <w:szCs w:val="24"/>
          <w:shd w:val="clear" w:color="auto" w:fill="ffffff"/>
          <w:lang w:val="en-US" w:eastAsia="zh-CN"/>
        </w:rPr>
        <w:t>Dividend Investing: Simplified - The Step-by-Step Guide to Make Money and Create Passive Income in the Stock Market with Dividend Stocks</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Delaware: Alakai Publishing LLC.</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color w:val="222222"/>
          <w:sz w:val="24"/>
          <w:szCs w:val="24"/>
          <w:shd w:val="clear" w:color="auto" w:fill="ffffff"/>
        </w:rPr>
      </w:pPr>
      <w:r>
        <w:rPr>
          <w:rFonts w:ascii="Arial Regular" w:cs="Arial Regular" w:hAnsi="Arial Regular" w:hint="default"/>
          <w:color w:val="222222"/>
          <w:sz w:val="24"/>
          <w:szCs w:val="24"/>
          <w:shd w:val="clear" w:color="auto" w:fill="ffffff"/>
        </w:rPr>
        <w:t>Prange, C. and Mayrhofer, U.,2015. Alliances and joint ventures. </w:t>
      </w:r>
      <w:r>
        <w:rPr>
          <w:rFonts w:ascii="Arial Regular" w:cs="Arial Regular" w:hAnsi="Arial Regular" w:hint="default"/>
          <w:i/>
          <w:iCs/>
          <w:color w:val="222222"/>
          <w:sz w:val="24"/>
          <w:szCs w:val="24"/>
          <w:shd w:val="clear" w:color="auto" w:fill="ffffff"/>
        </w:rPr>
        <w:t>International management</w:t>
      </w:r>
      <w:r>
        <w:rPr>
          <w:rFonts w:ascii="Arial Regular" w:cs="Arial Regular" w:hAnsi="Arial Regular" w:hint="default"/>
          <w:color w:val="222222"/>
          <w:sz w:val="24"/>
          <w:szCs w:val="24"/>
          <w:shd w:val="clear" w:color="auto" w:fill="ffffff"/>
        </w:rPr>
        <w:t> </w:t>
      </w:r>
      <w:r>
        <w:rPr>
          <w:rFonts w:ascii="Arial Regular" w:cs="Arial Regular" w:hAnsi="Arial Regular" w:hint="default"/>
          <w:iCs/>
          <w:color w:val="222222"/>
          <w:sz w:val="24"/>
          <w:szCs w:val="24"/>
          <w:shd w:val="clear" w:color="auto" w:fill="ffffff"/>
        </w:rPr>
        <w:t>6</w:t>
      </w:r>
      <w:r>
        <w:rPr>
          <w:rFonts w:ascii="Arial Regular" w:cs="Arial Regular" w:hAnsi="Arial Regular" w:hint="default"/>
          <w:color w:val="222222"/>
          <w:sz w:val="24"/>
          <w:szCs w:val="24"/>
          <w:shd w:val="clear" w:color="auto" w:fill="ffffff"/>
        </w:rPr>
        <w:t>.</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Sharma, F.C. 2020. </w:t>
      </w:r>
      <w:r>
        <w:rPr>
          <w:rFonts w:ascii="Arial Regular" w:cs="Arial Regular" w:hAnsi="Arial Regular" w:hint="default"/>
          <w:i/>
          <w:iCs/>
          <w:sz w:val="24"/>
          <w:szCs w:val="24"/>
          <w:lang w:val="en-US"/>
        </w:rPr>
        <w:t>Business Finance (ebook)</w:t>
      </w:r>
      <w:r>
        <w:rPr>
          <w:rFonts w:ascii="Arial Regular" w:cs="Arial Regular" w:hAnsi="Arial Regular" w:hint="default"/>
          <w:sz w:val="24"/>
          <w:szCs w:val="24"/>
          <w:lang w:val="en-US"/>
        </w:rPr>
        <w:t>. ND: SBPD Publications.</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rPr>
      </w:pPr>
      <w:r>
        <w:rPr>
          <w:rFonts w:ascii="Arial Regular" w:cs="Arial Regular" w:hAnsi="Arial Regular" w:hint="default"/>
          <w:sz w:val="24"/>
          <w:szCs w:val="24"/>
        </w:rPr>
        <w:t xml:space="preserve">Sidik, M. and Indonesia, S.T.P. 2021. Transfer Pricing and Taxation Dispute Resolution. </w:t>
      </w:r>
      <w:r>
        <w:rPr>
          <w:rFonts w:ascii="Arial Regular" w:cs="Arial Regular" w:hAnsi="Arial Regular" w:hint="default"/>
          <w:i/>
          <w:sz w:val="24"/>
          <w:szCs w:val="24"/>
        </w:rPr>
        <w:t>Jurnal Pajak Dan Bisnis (Journal of Tax and Business</w:t>
      </w:r>
      <w:r>
        <w:rPr>
          <w:rFonts w:ascii="Arial Regular" w:cs="Arial Regular" w:hAnsi="Arial Regular" w:hint="default"/>
          <w:sz w:val="24"/>
          <w:szCs w:val="24"/>
        </w:rPr>
        <w:t>) 2(2).</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Stevens, J. and Somani, F. 2023. How to optimize working capital in accounts payable.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"https://www.jpmorgan.com/insights/payments/trade-and-working-capital/working-capital-optimization-in-accounts-payables"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https://www.jpmorgan.com/insights/payments/trade-and-working-capital/working-capital-optimization-in-accounts-payables</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Taulia. 2023. Creating a more effective working capital strategy.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"https://taulia.com/resources/blog/creating-a-more-effective-working-capital-strategy/"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https://taulia.com/resources/creating-a-more-effective-working-capital-strategy/</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The Hartford. n.d. Advantages vs. Disadvantages of Equity Financing.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"https://www.thehartford.com/business-insurance/strategy/business-financing/equity-financing"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https://www.thehartford.com/business-insurance/strategy/business-financing/equity-financing</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rPr>
      </w:pPr>
      <w:r>
        <w:rPr>
          <w:rFonts w:ascii="Arial Regular" w:cs="Arial Regular" w:hAnsi="Arial Regular" w:hint="default"/>
          <w:sz w:val="24"/>
          <w:szCs w:val="24"/>
        </w:rPr>
        <w:t xml:space="preserve">Utama, S., Purmono, B.B., Malini, H., Mustarudin, M. and Wendy, W. 2023. The influence of debt equity ratio and times interest earned ratio through return on assets on banking companies’ share price. </w:t>
      </w:r>
      <w:r>
        <w:rPr>
          <w:rFonts w:ascii="Arial Regular" w:cs="Arial Regular" w:hAnsi="Arial Regular" w:hint="default"/>
          <w:i/>
          <w:sz w:val="24"/>
          <w:szCs w:val="24"/>
        </w:rPr>
        <w:t>International Journal of Applied Finance and Business Studies</w:t>
      </w:r>
      <w:r>
        <w:rPr>
          <w:rFonts w:ascii="Arial Regular" w:cs="Arial Regular" w:hAnsi="Arial Regular" w:hint="default"/>
          <w:sz w:val="24"/>
          <w:szCs w:val="24"/>
        </w:rPr>
        <w:t xml:space="preserve"> 11(3), pp. 418-429.</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color w:val="222222"/>
          <w:sz w:val="24"/>
          <w:szCs w:val="24"/>
          <w:shd w:val="clear" w:color="auto" w:fill="ffffff"/>
        </w:rPr>
      </w:pPr>
      <w:r>
        <w:rPr>
          <w:rFonts w:ascii="Arial Regular" w:cs="Arial Regular" w:hAnsi="Arial Regular" w:hint="default"/>
          <w:color w:val="222222"/>
          <w:sz w:val="24"/>
          <w:szCs w:val="24"/>
          <w:shd w:val="clear" w:color="auto" w:fill="ffffff"/>
        </w:rPr>
        <w:t>Vidal, E. 2021. Divestitures, value creation, and corporate scope. </w:t>
      </w:r>
      <w:r>
        <w:rPr>
          <w:rFonts w:ascii="Arial Regular" w:cs="Arial Regular" w:hAnsi="Arial Regular" w:hint="default"/>
          <w:i/>
          <w:iCs/>
          <w:color w:val="222222"/>
          <w:sz w:val="24"/>
          <w:szCs w:val="24"/>
          <w:shd w:val="clear" w:color="auto" w:fill="ffffff"/>
        </w:rPr>
        <w:t>Strategic Management Review</w:t>
      </w:r>
      <w:r>
        <w:rPr>
          <w:rFonts w:ascii="Arial Regular" w:cs="Arial Regular" w:hAnsi="Arial Regular" w:hint="default"/>
          <w:color w:val="222222"/>
          <w:sz w:val="24"/>
          <w:szCs w:val="24"/>
          <w:shd w:val="clear" w:color="auto" w:fill="ffffff"/>
        </w:rPr>
        <w:t xml:space="preserve"> </w:t>
      </w:r>
      <w:r>
        <w:rPr>
          <w:rFonts w:ascii="Arial Regular" w:cs="Arial Regular" w:hAnsi="Arial Regular" w:hint="default"/>
          <w:i/>
          <w:color w:val="222222"/>
          <w:sz w:val="24"/>
          <w:szCs w:val="24"/>
          <w:shd w:val="clear" w:color="auto" w:fill="ffffff"/>
        </w:rPr>
        <w:t>2</w:t>
      </w:r>
      <w:r>
        <w:rPr>
          <w:rFonts w:ascii="Arial Regular" w:cs="Arial Regular" w:hAnsi="Arial Regular" w:hint="default"/>
          <w:color w:val="222222"/>
          <w:sz w:val="24"/>
          <w:szCs w:val="24"/>
          <w:shd w:val="clear" w:color="auto" w:fill="ffffff"/>
        </w:rPr>
        <w:t>(2), pp. 413-435.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Wilcox. 2024. Advantages vs. Disadvantages of Debt Financing. [Online]. Available at: </w:t>
      </w:r>
      <w:r>
        <w:rPr>
          <w:rFonts w:ascii="Arial Regular" w:cs="Arial Regular" w:hAnsi="Arial Regular" w:hint="default"/>
          <w:sz w:val="24"/>
          <w:szCs w:val="24"/>
          <w:lang w:val="en-US"/>
        </w:rPr>
        <w:fldChar w:fldCharType="begin"/>
      </w:r>
      <w:r>
        <w:rPr>
          <w:rFonts w:ascii="Arial Regular" w:cs="Arial Regular" w:hAnsi="Arial Regular" w:hint="default"/>
          <w:sz w:val="24"/>
          <w:szCs w:val="24"/>
          <w:lang w:val="en-US"/>
        </w:rPr>
        <w:instrText xml:space="preserve"> HYPERLINK "https://www.wilcoxinvestmentbankers.com/advantages-vs-disadvantages-of-debt-financing/" </w:instrText>
      </w:r>
      <w:r>
        <w:rPr>
          <w:rFonts w:ascii="Arial Regular" w:cs="Arial Regular" w:hAnsi="Arial Regular" w:hint="default"/>
          <w:sz w:val="24"/>
          <w:szCs w:val="24"/>
          <w:lang w:val="en-US"/>
        </w:rPr>
        <w:fldChar w:fldCharType="separate"/>
      </w:r>
      <w:r>
        <w:rPr>
          <w:rStyle w:val="style85"/>
          <w:rFonts w:ascii="Arial Regular" w:cs="Arial Regular" w:hAnsi="Arial Regular" w:hint="default"/>
          <w:sz w:val="24"/>
          <w:szCs w:val="24"/>
          <w:lang w:val="en-US"/>
        </w:rPr>
        <w:t>https://www.wilcoxinvestmentbankers.com/advantages-vs-disadvantages-of-debt-financing/</w:t>
      </w:r>
      <w:r>
        <w:rPr>
          <w:rFonts w:ascii="Arial Regular" w:cs="Arial Regular" w:hAnsi="Arial Regular" w:hint="default"/>
          <w:sz w:val="24"/>
          <w:szCs w:val="24"/>
          <w:lang w:val="en-US"/>
        </w:rPr>
        <w:fldChar w:fldCharType="end"/>
      </w:r>
      <w:r>
        <w:rPr>
          <w:rFonts w:ascii="Arial Regular" w:cs="Arial Regular" w:hAnsi="Arial Regular" w:hint="default"/>
          <w:sz w:val="24"/>
          <w:szCs w:val="24"/>
          <w:lang w:val="en-US"/>
        </w:rPr>
        <w:t xml:space="preserve"> [Accessed on: 17 October 2025].</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sz w:val="24"/>
          <w:szCs w:val="24"/>
          <w:lang w:val="en-US"/>
        </w:rPr>
      </w:pPr>
      <w:r>
        <w:rPr>
          <w:rFonts w:ascii="Arial Regular" w:cs="Arial Regular" w:hAnsi="Arial Regular" w:hint="default"/>
          <w:sz w:val="24"/>
          <w:szCs w:val="24"/>
          <w:lang w:val="en-US"/>
        </w:rPr>
        <w:t xml:space="preserve">Wiley. 2022. </w:t>
      </w:r>
      <w:r>
        <w:rPr>
          <w:rFonts w:ascii="Arial Regular" w:cs="Arial Regular" w:hAnsi="Arial Regular" w:hint="default"/>
          <w:i/>
          <w:iCs/>
          <w:sz w:val="24"/>
          <w:szCs w:val="24"/>
          <w:lang w:val="en-US"/>
        </w:rPr>
        <w:t>Wiley's CPA 2023 Study Guide: Business Environment and Concepts</w:t>
      </w:r>
      <w:r>
        <w:rPr>
          <w:rFonts w:ascii="Arial Regular" w:cs="Arial Regular" w:hAnsi="Arial Regular" w:hint="default"/>
          <w:sz w:val="24"/>
          <w:szCs w:val="24"/>
          <w:lang w:val="en-US"/>
        </w:rPr>
        <w:t>. New Jersey: John Wiley &amp; Sons.</w:t>
      </w:r>
    </w:p>
    <w:p>
      <w:pPr>
        <w:pStyle w:val="style0"/>
        <w:keepNext w:val="false"/>
        <w:keepLines w:val="false"/>
        <w:pageBreakBefore w:val="false"/>
        <w:widowControl/>
        <w:suppressLineNumbers w:val="false"/>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pP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xml:space="preserve">Wozniak, A. 2025. </w:t>
      </w:r>
      <w:r>
        <w:rPr>
          <w:rFonts w:ascii="Arial Regular" w:cs="Arial Regular" w:eastAsia="SimSun" w:hAnsi="Arial Regular" w:hint="default"/>
          <w:i/>
          <w:iCs/>
          <w:caps w:val="false"/>
          <w:color w:val="222222"/>
          <w:spacing w:val="0"/>
          <w:kern w:val="0"/>
          <w:sz w:val="24"/>
          <w:szCs w:val="24"/>
          <w:shd w:val="clear" w:color="auto" w:fill="ffffff"/>
          <w:lang w:val="en-US" w:eastAsia="zh-CN"/>
        </w:rPr>
        <w:t>The Small Business Big Exit: How to Build a Healthy Small Business and Exit BIG</w:t>
      </w:r>
      <w:r>
        <w:rPr>
          <w:rFonts w:ascii="Arial Regular" w:cs="Arial Regular" w:eastAsia="SimSun" w:hAnsi="Arial Regular" w:hint="default"/>
          <w:i w:val="false"/>
          <w:iCs w:val="false"/>
          <w:caps w:val="false"/>
          <w:color w:val="222222"/>
          <w:spacing w:val="0"/>
          <w:kern w:val="0"/>
          <w:sz w:val="24"/>
          <w:szCs w:val="24"/>
          <w:shd w:val="clear" w:color="auto" w:fill="ffffff"/>
          <w:lang w:val="en-US" w:eastAsia="zh-CN"/>
        </w:rPr>
        <w:t>. Alan Wozniak Publishers.</w:t>
      </w:r>
    </w:p>
    <w:p>
      <w:pPr>
        <w:pStyle w:val="style0"/>
        <w:keepNext w:val="false"/>
        <w:keepLines w:val="false"/>
        <w:pageBreakBefore w:val="false"/>
        <w:widowControl/>
        <w:kinsoku/>
        <w:wordWrap/>
        <w:overflowPunct/>
        <w:topLinePunct w:val="false"/>
        <w:autoSpaceDE/>
        <w:autoSpaceDN/>
        <w:bidi w:val="false"/>
        <w:adjustRightInd/>
        <w:snapToGrid/>
        <w:spacing w:before="361" w:beforeLines="100" w:after="361" w:afterLines="100" w:lineRule="auto" w:line="360"/>
        <w:jc w:val="both"/>
        <w:textAlignment w:val="auto"/>
        <w:rPr>
          <w:rFonts w:ascii="Arial Regular" w:cs="Arial Regular" w:hAnsi="Arial Regular" w:hint="default"/>
          <w:color w:val="222222"/>
          <w:sz w:val="24"/>
          <w:szCs w:val="24"/>
          <w:shd w:val="clear" w:color="auto" w:fill="ffffff"/>
        </w:rPr>
      </w:pPr>
      <w:r>
        <w:rPr>
          <w:rFonts w:ascii="Arial Regular" w:cs="Arial Regular" w:hAnsi="Arial Regular" w:hint="default"/>
          <w:color w:val="222222"/>
          <w:sz w:val="24"/>
          <w:szCs w:val="24"/>
          <w:shd w:val="clear" w:color="auto" w:fill="ffffff"/>
        </w:rPr>
        <w:t>Yousuf, A. et al. 2021. Companies performance management: the role of operational flexibility.</w:t>
      </w:r>
    </w:p>
    <w:p>
      <w:pPr>
        <w:pStyle w:val="style0"/>
        <w:pageBreakBefore w:val="false"/>
        <w:widowControl/>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r>
        <w:rPr>
          <w:rFonts w:ascii="Arial Regular" w:cs="Arial Regular" w:hAnsi="Arial Regular" w:hint="default"/>
          <w:b/>
          <w:bCs/>
          <w:sz w:val="24"/>
          <w:szCs w:val="24"/>
          <w:lang w:val="en-US"/>
        </w:rPr>
        <w:br w:type="page"/>
      </w:r>
    </w:p>
    <w:bookmarkStart w:id="27" w:name="_Toc452829982"/>
    <w:p>
      <w:pPr>
        <w:pStyle w:val="style1"/>
        <w:pageBreakBefore w:val="false"/>
        <w:widowControl/>
        <w:numPr>
          <w:ilvl w:val="0"/>
          <w:numId w:val="1"/>
        </w:numPr>
        <w:kinsoku/>
        <w:wordWrap/>
        <w:overflowPunct/>
        <w:topLinePunct w:val="false"/>
        <w:autoSpaceDE/>
        <w:autoSpaceDN/>
        <w:bidi w:val="false"/>
        <w:adjustRightInd/>
        <w:snapToGrid/>
        <w:spacing w:before="0" w:after="0" w:lineRule="auto" w:line="360"/>
        <w:ind w:left="0" w:leftChars="0" w:firstLine="0" w:firstLineChars="0"/>
        <w:jc w:val="both"/>
        <w:rPr>
          <w:rFonts w:ascii="Arial Regular" w:cs="Arial Regular" w:hAnsi="Arial Regular" w:hint="default"/>
          <w:sz w:val="24"/>
          <w:szCs w:val="24"/>
          <w:lang w:val="en-US"/>
        </w:rPr>
      </w:pPr>
      <w:r>
        <w:rPr>
          <w:rFonts w:ascii="Arial Regular" w:cs="Arial Regular" w:hAnsi="Arial Regular" w:hint="default"/>
          <w:sz w:val="24"/>
          <w:szCs w:val="24"/>
          <w:lang w:val="en-US"/>
        </w:rPr>
        <w:t>Appendices</w:t>
      </w:r>
      <w:bookmarkEnd w:id="27"/>
    </w:p>
    <w:bookmarkStart w:id="28" w:name="_Toc31462506"/>
    <w:p>
      <w:pPr>
        <w:pStyle w:val="style0"/>
        <w:pageBreakBefore w:val="false"/>
        <w:widowControl/>
        <w:numPr>
          <w:ilvl w:val="0"/>
          <w:numId w:val="3"/>
        </w:numPr>
        <w:kinsoku/>
        <w:wordWrap/>
        <w:overflowPunct/>
        <w:topLinePunct w:val="false"/>
        <w:autoSpaceDE/>
        <w:autoSpaceDN/>
        <w:bidi w:val="false"/>
        <w:adjustRightInd/>
        <w:snapToGrid/>
        <w:spacing w:lineRule="auto" w:line="360"/>
        <w:ind w:leftChars="0"/>
        <w:jc w:val="both"/>
        <w:outlineLvl w:val="0"/>
        <w:rPr>
          <w:rFonts w:ascii="Arial Regular" w:cs="Arial Regular" w:hAnsi="Arial Regular" w:hint="default"/>
          <w:sz w:val="24"/>
          <w:szCs w:val="24"/>
          <w:lang w:val="en-US"/>
        </w:rPr>
      </w:pPr>
      <w:r>
        <w:rPr>
          <w:rFonts w:ascii="Arial Regular" w:cs="Arial Regular" w:hAnsi="Arial Regular" w:hint="default"/>
          <w:b/>
          <w:bCs/>
          <w:sz w:val="24"/>
          <w:szCs w:val="24"/>
          <w:lang w:val="en-US"/>
        </w:rPr>
        <w:t>Financial Ratios</w:t>
      </w:r>
      <w:bookmarkEnd w:id="28"/>
    </w:p>
    <w:tbl>
      <w:tblPr>
        <w:tblStyle w:val="style105"/>
        <w:tblW w:w="4997"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2940"/>
        <w:gridCol w:w="1070"/>
        <w:gridCol w:w="1070"/>
        <w:gridCol w:w="1278"/>
        <w:gridCol w:w="1070"/>
        <w:gridCol w:w="1070"/>
      </w:tblGrid>
      <w:tr>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Profitability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Gross profit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176,256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173,016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152,292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97,560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113,994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614,680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601,602</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542,751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420,457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394,879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Gross profit ratio </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28.67%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28.76%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28.06%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23.20%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28.87%</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(Gross profit)/sales*100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Net profit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38,572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5,301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-98,238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-24,029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614,680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601,602</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542,751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420,457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394,879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Net profit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6.28%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0.88%</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-23.36%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-6.09%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(Net profit/sales)*100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Net profit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38,572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5,301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-98,238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-24,029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313,301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275,949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268,406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178,920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153,105</w:t>
            </w:r>
          </w:p>
        </w:tc>
      </w:tr>
      <w:tr>
        <w:tblPrEx/>
        <w:trPr>
          <w:trHeight w:val="366"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Return on 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12.31%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1.92%</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0.15%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-54.91%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-15.69%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(Net profit/ 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Liquidity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assets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326,843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337,146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338,040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258,851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242,494</w:t>
            </w:r>
          </w:p>
        </w:tc>
      </w:tr>
      <w:tr>
        <w:tblPrEx/>
        <w:trPr>
          <w:trHeight w:val="336"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179,510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216,787</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216,473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161,148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158,291</w:t>
            </w:r>
          </w:p>
        </w:tc>
      </w:tr>
      <w:tr>
        <w:tblPrEx/>
        <w:trPr>
          <w:trHeight w:val="336"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Current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1.82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1.56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1.56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1.61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1.53</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(CA/CL)</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assets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326,843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337,146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338,040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258,851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242,494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Inventory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120,430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134,469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140,181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88,273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79,355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179,510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216,787</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216,473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161,148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158,291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Quick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0.93</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0.91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1.03</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(CA- inventory)/ CL</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Efficiency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614,680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601,602</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542,751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420,457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394,879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Total assets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510,290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510,348</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504,163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355,872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323,354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Asset turnover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1.18</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1.22</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 Total assets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COGS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438,424</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428,586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390,459</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322,897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280,885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Average inventory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127,450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127,450</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137,325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114,227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83,814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Inventory turnover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3.44</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3.36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2.84</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2.83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3.35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(COGS/ average inventory)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Gearing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Debt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196,989</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234,399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235,757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176,952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170,249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313,301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275,949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268,406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178,920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153,105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Debt-equity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0.63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0.85</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0.88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0.99</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(Debt/equity)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EBIT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37,267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23,253</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14,548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-85,301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-15,297</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Interest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566</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2,200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4,332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3,361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Interest coverage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26.21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41.08</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6.61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-19.69</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-4.55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EBIT/ interest</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Investment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Earnings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38,572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5,301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-98,238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-24,029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Outstanding shares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13,893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13,465</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12,703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12,855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12,959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EPS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2.78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0.39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-7.64</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-1.85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(Earnings/ outstanding shares)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Equity</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313,301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275,949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268,406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178,920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153,105</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Number of shares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13,893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13,465</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12,703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12,855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12,959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Book value per share</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22.55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20.49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21.13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13.92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11.81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Equity/ Number of outstanding shares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36" w:hRule="atLeast"/>
        </w:trPr>
        <w:tc>
          <w:tcPr>
            <w:tcW w:w="2033"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nil"/>
              <w:left w:val="nil"/>
              <w:bottom w:val="nil"/>
              <w:right w:val="nil"/>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36"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 Ratios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36"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Operating cash flow</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73,392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40,283</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10,926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25,190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14,822</w:t>
            </w:r>
          </w:p>
        </w:tc>
      </w:tr>
      <w:tr>
        <w:tblPrEx/>
        <w:trPr>
          <w:trHeight w:val="355"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179,510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216,787</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216,473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161,148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158,291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Operating cash flow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0.41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0.19</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0.05</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0.16</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0.09</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(Operating cash flow/ 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575"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Cash</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57,153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60,813</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66,740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42,751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26,783</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179,510</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216,787</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216,473</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161,148</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158,291</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ratio</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0.32</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0.28</w:t>
            </w: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0.31</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0.27</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0.17</w:t>
            </w:r>
          </w:p>
        </w:tc>
      </w:tr>
      <w:tr>
        <w:tblPrEx/>
        <w:trPr>
          <w:trHeight w:val="351" w:hRule="atLeast"/>
        </w:trPr>
        <w:tc>
          <w:tcPr>
            <w:tcW w:w="2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(Cash flow/ current liabilities)</w:t>
            </w: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bookmarkStart w:id="29" w:name="_Toc509361180"/>
    <w:p>
      <w:pPr>
        <w:pStyle w:val="style0"/>
        <w:pageBreakBefore w:val="false"/>
        <w:widowControl/>
        <w:numPr>
          <w:ilvl w:val="0"/>
          <w:numId w:val="3"/>
        </w:numPr>
        <w:kinsoku/>
        <w:wordWrap/>
        <w:overflowPunct/>
        <w:topLinePunct w:val="false"/>
        <w:autoSpaceDE/>
        <w:autoSpaceDN/>
        <w:bidi w:val="false"/>
        <w:adjustRightInd/>
        <w:snapToGrid/>
        <w:spacing w:lineRule="auto" w:line="360"/>
        <w:ind w:leftChars="0"/>
        <w:jc w:val="both"/>
        <w:outlineLvl w:val="0"/>
        <w:rPr>
          <w:rFonts w:ascii="Arial Regular" w:cs="Arial Regular" w:hAnsi="Arial Regular" w:hint="default"/>
          <w:sz w:val="24"/>
          <w:szCs w:val="24"/>
          <w:lang w:val="en-US"/>
        </w:rPr>
      </w:pPr>
      <w:r>
        <w:rPr>
          <w:rFonts w:ascii="Arial Regular" w:cs="Arial Regular" w:hAnsi="Arial Regular" w:hint="default"/>
          <w:b/>
          <w:bCs/>
          <w:sz w:val="24"/>
          <w:szCs w:val="24"/>
          <w:lang w:val="en-US"/>
        </w:rPr>
        <w:t>Cash Operating Cycle</w:t>
      </w:r>
      <w:bookmarkEnd w:id="29"/>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149"/>
        <w:gridCol w:w="1070"/>
        <w:gridCol w:w="1070"/>
        <w:gridCol w:w="1070"/>
        <w:gridCol w:w="1070"/>
        <w:gridCol w:w="1070"/>
      </w:tblGrid>
      <w:tr>
        <w:trPr>
          <w:trHeight w:val="351" w:hRule="atLeast"/>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Calculation of Cash Operating Cycle</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2020</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2021</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2022</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2023</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2024</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Average inventory</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127,450</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127,450</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137,325</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114,227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83,814</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COGS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438,424</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428,586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390,459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322,897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280,885</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Inventory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109</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(Average inventory/COGS)*365</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Receivables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614,680</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601,602</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542,751</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420,457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394,879</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Sales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129,433</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129,215</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112,346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112,596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114,182</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Receivable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98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106</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(Receivables/Sales)*365</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Payables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83,229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92,707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71,373</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57,033</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pStyle w:val="style0"/>
              <w:keepNext w:val="false"/>
              <w:keepLines w:val="false"/>
              <w:widowControl/>
              <w:suppressLineNumbers w:val="false"/>
              <w:jc w:val="right"/>
              <w:textAlignment w:val="bottom"/>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72,031</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COGS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438,424</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428,586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390,459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322,897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280,885</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Payable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64</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94</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(Payables/ COGS)*365</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Inventory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109</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Receivable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76</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106</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Payable days</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79</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64</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94</w:t>
            </w:r>
          </w:p>
        </w:tc>
      </w:tr>
      <w:tr>
        <w:tblPrEx/>
        <w:trPr>
          <w:trHeight w:val="351" w:hRule="atLeast"/>
        </w:trPr>
        <w:tc>
          <w:tcPr>
            <w:tcW w:w="24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Operating Cycle</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114</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108</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137</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162</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121</w:t>
            </w:r>
          </w:p>
        </w:tc>
      </w:tr>
      <w:tr>
        <w:tblPrEx/>
        <w:trPr>
          <w:trHeight w:val="575" w:hRule="atLeast"/>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(Inventory days+receivable days-payable days)</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bookmarkStart w:id="30" w:name="_Toc963535318"/>
    <w:p>
      <w:pPr>
        <w:pStyle w:val="style0"/>
        <w:pageBreakBefore w:val="false"/>
        <w:widowControl/>
        <w:numPr>
          <w:ilvl w:val="0"/>
          <w:numId w:val="3"/>
        </w:numPr>
        <w:kinsoku/>
        <w:wordWrap/>
        <w:overflowPunct/>
        <w:topLinePunct w:val="false"/>
        <w:autoSpaceDE/>
        <w:autoSpaceDN/>
        <w:bidi w:val="false"/>
        <w:adjustRightInd/>
        <w:snapToGrid/>
        <w:spacing w:lineRule="auto" w:line="360"/>
        <w:ind w:leftChars="0"/>
        <w:jc w:val="both"/>
        <w:outlineLvl w:val="0"/>
        <w:rPr>
          <w:rFonts w:ascii="Arial Regular" w:cs="Arial Regular" w:hAnsi="Arial Regular" w:hint="default"/>
          <w:sz w:val="24"/>
          <w:szCs w:val="24"/>
          <w:lang w:val="en-US"/>
        </w:rPr>
      </w:pPr>
      <w:r>
        <w:rPr>
          <w:rFonts w:ascii="Arial Regular" w:cs="Arial Regular" w:hAnsi="Arial Regular" w:hint="default"/>
          <w:b/>
          <w:bCs/>
          <w:sz w:val="24"/>
          <w:szCs w:val="24"/>
          <w:lang w:val="en-US"/>
        </w:rPr>
        <w:t>Investment Appraisal Techniques</w:t>
      </w:r>
      <w:bookmarkEnd w:id="30"/>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191"/>
        <w:gridCol w:w="1004"/>
        <w:gridCol w:w="1438"/>
        <w:gridCol w:w="1004"/>
        <w:gridCol w:w="1438"/>
        <w:gridCol w:w="1004"/>
        <w:gridCol w:w="1438"/>
      </w:tblGrid>
      <w:tr>
        <w:trPr>
          <w:trHeight w:val="336" w:hRule="atLeast"/>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Calculation of payback period</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Projects</w:t>
            </w:r>
          </w:p>
        </w:tc>
        <w:tc>
          <w:tcPr>
            <w:tcW w:w="140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140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1406"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Year</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Cumulative</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Cumulative</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Cumulative</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-24</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-45</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-18</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-18</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-35</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36" w:hRule="atLeast"/>
        </w:trPr>
        <w:tc>
          <w:tcPr>
            <w:tcW w:w="7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Payback Period</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3.40 </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5.00 </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5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3.60 </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073"/>
        <w:gridCol w:w="650"/>
        <w:gridCol w:w="1144"/>
        <w:gridCol w:w="657"/>
        <w:gridCol w:w="650"/>
        <w:gridCol w:w="1144"/>
        <w:gridCol w:w="657"/>
        <w:gridCol w:w="650"/>
        <w:gridCol w:w="1144"/>
        <w:gridCol w:w="749"/>
      </w:tblGrid>
      <w:tr>
        <w:trPr>
          <w:trHeight w:val="336" w:hRule="atLeast"/>
        </w:trPr>
        <w:tc>
          <w:tcPr>
            <w:tcW w:w="5000" w:type="pct"/>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Calculation of Accounting rate of return</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Projects</w:t>
            </w:r>
          </w:p>
        </w:tc>
        <w:tc>
          <w:tcPr>
            <w:tcW w:w="1376"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1376"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141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Year</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Less: Depreciation</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Profit</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Less: Depreciation</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Profit</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Less: Depreciation</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Profit</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Average profit</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2.8</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Investment</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ARR</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7.00%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0.00%</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10.00%</w:t>
            </w:r>
          </w:p>
        </w:tc>
      </w:tr>
      <w:tr>
        <w:tblPrEx/>
        <w:trPr>
          <w:trHeight w:val="336" w:hRule="atLeast"/>
        </w:trPr>
        <w:tc>
          <w:tcPr>
            <w:tcW w:w="8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(Average profits/ investment)</w:t>
            </w: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5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6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c>
          <w:tcPr>
            <w:tcW w:w="2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i w:val="false"/>
                <w:iCs w:val="false"/>
                <w:color w:val="000000"/>
                <w:sz w:val="24"/>
                <w:szCs w:val="24"/>
                <w:u w:val="none"/>
              </w:rPr>
            </w:pP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118"/>
        <w:gridCol w:w="1725"/>
        <w:gridCol w:w="1285"/>
        <w:gridCol w:w="816"/>
        <w:gridCol w:w="1005"/>
        <w:gridCol w:w="746"/>
        <w:gridCol w:w="1005"/>
        <w:gridCol w:w="816"/>
      </w:tblGrid>
      <w:tr>
        <w:trPr>
          <w:trHeight w:val="336" w:hRule="atLeast"/>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Calculation of Net Present Value</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Projects</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1281"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1059"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1060"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Year</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Discount factor @ 10%</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PV (£M)</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PV (£M)</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PV (£M)</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0.90</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9.09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5.45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4.55 </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0.82</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9.92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4.96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8.26 </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0.75</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10.52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4.51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20</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15.03 </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eastAsia="SimSun" w:hAnsi="Arial Regular" w:hint="default"/>
                <w:i w:val="false"/>
                <w:iCs w:val="false"/>
                <w:color w:val="000000"/>
                <w:kern w:val="0"/>
                <w:sz w:val="24"/>
                <w:szCs w:val="24"/>
                <w:u w:val="none"/>
                <w:lang w:val="en-US" w:eastAsia="zh-CN"/>
              </w:rPr>
            </w:pPr>
            <w:r>
              <w:rPr>
                <w:rFonts w:ascii="Arial Regular" w:cs="Arial Regular" w:eastAsia="SimSun" w:hAnsi="Arial Regular" w:hint="default"/>
                <w:i w:val="false"/>
                <w:iCs w:val="false"/>
                <w:color w:val="000000"/>
                <w:kern w:val="0"/>
                <w:sz w:val="24"/>
                <w:szCs w:val="24"/>
                <w:u w:val="none"/>
                <w:lang w:val="en-US" w:eastAsia="zh-CN"/>
              </w:rPr>
              <w:t>0.68</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6.83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4.10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17.08 </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0.62</w:t>
            </w: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4.97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3.73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 xml:space="preserve">9.31 </w:t>
            </w:r>
          </w:p>
        </w:tc>
      </w:tr>
      <w:tr>
        <w:tblPrEx/>
        <w:trPr>
          <w:trHeight w:val="336" w:hRule="atLeast"/>
        </w:trPr>
        <w:tc>
          <w:tcPr>
            <w:tcW w:w="4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NPV</w:t>
            </w:r>
          </w:p>
        </w:tc>
        <w:tc>
          <w:tcPr>
            <w:tcW w:w="11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8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1.32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-7.26 </w:t>
            </w:r>
          </w:p>
        </w:tc>
        <w:tc>
          <w:tcPr>
            <w:tcW w:w="6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4.23 </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797"/>
        <w:gridCol w:w="1570"/>
        <w:gridCol w:w="1570"/>
        <w:gridCol w:w="1571"/>
      </w:tblGrid>
      <w:tr>
        <w:trPr>
          <w:trHeight w:val="336"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Profitability Index</w:t>
            </w:r>
          </w:p>
        </w:tc>
      </w:tr>
      <w:tr>
        <w:tblPrEx/>
        <w:trPr>
          <w:trHeight w:val="336" w:hRule="atLeast"/>
        </w:trPr>
        <w:tc>
          <w:tcPr>
            <w:tcW w:w="22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rPr>
                <w:rFonts w:ascii="Arial Regular" w:cs="Arial Regular" w:hAnsi="Arial Regular" w:hint="default"/>
                <w:b/>
                <w:bCs/>
                <w:i w:val="false"/>
                <w:iCs w:val="false"/>
                <w:color w:val="000000"/>
                <w:sz w:val="24"/>
                <w:szCs w:val="24"/>
                <w:u w:val="none"/>
              </w:rPr>
            </w:pP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9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22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PV of cash flows</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41.32</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22.74</w:t>
            </w:r>
          </w:p>
        </w:tc>
        <w:tc>
          <w:tcPr>
            <w:tcW w:w="9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54.23</w:t>
            </w:r>
          </w:p>
        </w:tc>
      </w:tr>
      <w:tr>
        <w:tblPrEx/>
        <w:trPr>
          <w:trHeight w:val="336" w:hRule="atLeast"/>
        </w:trPr>
        <w:tc>
          <w:tcPr>
            <w:tcW w:w="22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Investment</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9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r>
      <w:tr>
        <w:tblPrEx/>
        <w:trPr>
          <w:trHeight w:val="336" w:hRule="atLeast"/>
        </w:trPr>
        <w:tc>
          <w:tcPr>
            <w:tcW w:w="22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PI</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1.03 </w:t>
            </w:r>
          </w:p>
        </w:tc>
        <w:tc>
          <w:tcPr>
            <w:tcW w:w="9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0.76 </w:t>
            </w:r>
          </w:p>
        </w:tc>
        <w:tc>
          <w:tcPr>
            <w:tcW w:w="9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 xml:space="preserve">1.08 </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tbl>
      <w:tblPr>
        <w:tblStyle w:val="style105"/>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341"/>
        <w:gridCol w:w="2392"/>
        <w:gridCol w:w="2392"/>
        <w:gridCol w:w="2392"/>
      </w:tblGrid>
      <w:tr>
        <w:trPr>
          <w:trHeight w:val="336" w:hRule="atLeast"/>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center"/>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Calculation of Internal rate of return</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Projects</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A</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B</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Year</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Cash Flows (£M)</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-50</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12</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3</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14</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20</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4</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25</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5</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8</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6</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i w:val="false"/>
                <w:iCs w:val="false"/>
                <w:color w:val="000000"/>
                <w:sz w:val="24"/>
                <w:szCs w:val="24"/>
                <w:u w:val="none"/>
              </w:rPr>
            </w:pPr>
            <w:r>
              <w:rPr>
                <w:rFonts w:ascii="Arial Regular" w:cs="Arial Regular" w:eastAsia="SimSun" w:hAnsi="Arial Regular" w:hint="default"/>
                <w:i w:val="false"/>
                <w:iCs w:val="false"/>
                <w:color w:val="000000"/>
                <w:kern w:val="0"/>
                <w:sz w:val="24"/>
                <w:szCs w:val="24"/>
                <w:u w:val="none"/>
                <w:lang w:val="en-US" w:eastAsia="zh-CN"/>
              </w:rPr>
              <w:t>15</w:t>
            </w:r>
          </w:p>
        </w:tc>
      </w:tr>
      <w:tr>
        <w:tblPrEx/>
        <w:trPr>
          <w:trHeight w:val="336" w:hRule="atLeast"/>
        </w:trPr>
        <w:tc>
          <w:tcPr>
            <w:tcW w:w="7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lef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IRR</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11.33%</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0.00%</w:t>
            </w:r>
          </w:p>
        </w:tc>
        <w:tc>
          <w:tcPr>
            <w:tcW w:w="140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pStyle w:val="style0"/>
              <w:keepNext w:val="false"/>
              <w:keepLines w:val="false"/>
              <w:widowControl/>
              <w:suppressLineNumbers w:val="false"/>
              <w:jc w:val="right"/>
              <w:textAlignment w:val="center"/>
              <w:rPr>
                <w:rFonts w:ascii="Arial Regular" w:cs="Arial Regular" w:hAnsi="Arial Regular" w:hint="default"/>
                <w:b/>
                <w:bCs/>
                <w:i w:val="false"/>
                <w:iCs w:val="false"/>
                <w:color w:val="000000"/>
                <w:sz w:val="24"/>
                <w:szCs w:val="24"/>
                <w:u w:val="none"/>
              </w:rPr>
            </w:pPr>
            <w:r>
              <w:rPr>
                <w:rFonts w:ascii="Arial Regular" w:cs="Arial Regular" w:eastAsia="SimSun" w:hAnsi="Arial Regular" w:hint="default"/>
                <w:b/>
                <w:bCs/>
                <w:i w:val="false"/>
                <w:iCs w:val="false"/>
                <w:color w:val="000000"/>
                <w:kern w:val="0"/>
                <w:sz w:val="24"/>
                <w:szCs w:val="24"/>
                <w:u w:val="none"/>
                <w:lang w:val="en-US" w:eastAsia="zh-CN"/>
              </w:rPr>
              <w:t>12.72%</w:t>
            </w:r>
          </w:p>
        </w:tc>
      </w:tr>
    </w:tbl>
    <w:p>
      <w:pPr>
        <w:pStyle w:val="style0"/>
        <w:pageBreakBefore w:val="false"/>
        <w:widowControl/>
        <w:numPr>
          <w:ilvl w:val="0"/>
          <w:numId w:val="0"/>
        </w:numPr>
        <w:kinsoku/>
        <w:wordWrap/>
        <w:overflowPunct/>
        <w:topLinePunct w:val="false"/>
        <w:autoSpaceDE/>
        <w:autoSpaceDN/>
        <w:bidi w:val="false"/>
        <w:adjustRightInd/>
        <w:snapToGrid/>
        <w:spacing w:lineRule="auto" w:line="360"/>
        <w:jc w:val="both"/>
        <w:rPr>
          <w:rFonts w:ascii="Arial Regular" w:cs="Arial Regular" w:hAnsi="Arial Regular" w:hint="default"/>
          <w:sz w:val="24"/>
          <w:szCs w:val="24"/>
          <w:lang w:val="en-US"/>
        </w:rPr>
      </w:pPr>
    </w:p>
    <w:sectPr>
      <w:footerReference w:type="default" r:id="rId10"/>
      <w:pgSz w:w="11906" w:h="16838" w:orient="portrait"/>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503050000090304"/>
    <w:charset w:val="86"/>
    <w:family w:val="auto"/>
    <w:pitch w:val="default"/>
    <w:sig w:usb0="E0000AFF" w:usb1="00007843" w:usb2="00000001" w:usb3="00000000" w:csb0="400001BF" w:csb1="DFF70000"/>
  </w:font>
  <w:font w:name="宋体">
    <w:altName w:val="SimSun"/>
    <w:panose1 w:val="02010600030000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altName w:val="Arial"/>
    <w:panose1 w:val="020b0604020000090204"/>
    <w:charset w:val="00"/>
    <w:family w:val="swiss"/>
    <w:pitch w:val="default"/>
    <w:sig w:usb0="E0000AFF" w:usb1="00007843" w:usb2="00000001" w:usb3="00000000" w:csb0="400001BF" w:csb1="DFF70000"/>
  </w:font>
  <w:font w:name="SimHei">
    <w:altName w:val="黑体-简"/>
    <w:panose1 w:val="02010600030000010101"/>
    <w:charset w:val="00"/>
    <w:family w:val="auto"/>
    <w:pitch w:val="default"/>
    <w:sig w:usb0="00000001" w:usb1="080E0000" w:usb2="00000010" w:usb3="00000000" w:csb0="00040000" w:csb1="00000000"/>
  </w:font>
  <w:font w:name="Courier New">
    <w:altName w:val="Courier New"/>
    <w:panose1 w:val="02070409020000090404"/>
    <w:charset w:val="00"/>
    <w:family w:val="modern"/>
    <w:pitch w:val="default"/>
    <w:sig w:usb0="E0000AFF" w:usb1="40007843" w:usb2="00000001" w:usb3="00000000" w:csb0="400001BF" w:csb1="DFF70000"/>
  </w:font>
  <w:font w:name="Wingdings">
    <w:altName w:val="Wingdings"/>
    <w:panose1 w:val="05000000000000000000"/>
    <w:charset w:val="00"/>
    <w:family w:val="auto"/>
    <w:pitch w:val="default"/>
    <w:sig w:usb0="00000000" w:usb1="00000000" w:usb2="00000000" w:usb3="00000000" w:csb0="80000000" w:csb1="00000000"/>
  </w:font>
  <w:font w:name="Calibri">
    <w:altName w:val="Helvetica Neue"/>
    <w:panose1 w:val="020f0502020000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rial Regular">
    <w:altName w:val="Arial Regular"/>
    <w:panose1 w:val="020b0604020000090204"/>
    <w:charset w:val="00"/>
    <w:family w:val="auto"/>
    <w:pitch w:val="default"/>
    <w:sig w:usb0="E0000AFF" w:usb1="00007843" w:usb2="00000001" w:usb3="00000000" w:csb0="400001BF" w:csb1="DFF70000"/>
  </w:font>
  <w:font w:name="Arial Bold">
    <w:altName w:val="Arial Bold"/>
    <w:panose1 w:val="020b0604020000090204"/>
    <w:charset w:val="00"/>
    <w:family w:val="auto"/>
    <w:pitch w:val="default"/>
    <w:sig w:usb0="E0000AFF" w:usb1="00007843" w:usb2="00000001" w:usb3="00000000" w:csb0="400001BF" w:csb1="DFF70000"/>
  </w:font>
  <w:font w:name="宋体-简">
    <w:altName w:val="宋体-简"/>
    <w:panose1 w:val="02010800040000010101"/>
    <w:charset w:val="86"/>
    <w:family w:val="auto"/>
    <w:pitch w:val="default"/>
    <w:sig w:usb0="00000001" w:usb1="080F0000" w:usb2="00000000" w:usb3="00000000" w:csb0="00040000" w:csb1="00000000"/>
  </w:font>
  <w:font w:name="Helvetica Neue">
    <w:altName w:val="Helvetica Neue"/>
    <w:panose1 w:val="02000503000000020004"/>
    <w:charset w:val="00"/>
    <w:family w:val="auto"/>
    <w:pitch w:val="default"/>
    <w:sig w:usb0="E50002FF" w:usb1="500079DB" w:usb2="00000010" w:usb3="00000000" w:csb0="00000000" w:csb1="00000000"/>
  </w:font>
  <w:font w:name="Hiragino Sans GB">
    <w:altName w:val="Hiragino Sans GB"/>
    <w:panose1 w:val="020b0300000000000000"/>
    <w:charset w:val="86"/>
    <w:family w:val="auto"/>
    <w:pitch w:val="default"/>
    <w:sig w:usb0="A00002BF" w:usb1="1ACF7CFA" w:usb2="00000016" w:usb3="00000000" w:csb0="00060007" w:csb1="00000000"/>
  </w:font>
  <w:font w:name="黑体-简">
    <w:altName w:val="黑体-简"/>
    <w:panose1 w:val="02000000000000000000"/>
    <w:charset w:val="86"/>
    <w:family w:val="auto"/>
    <w:pitch w:val="default"/>
    <w:sig w:usb0="8000002F" w:usb1="0800004A" w:usb2="00000000" w:usb3="00000000" w:csb0="203E000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sz w:val="18"/>
      </w:rPr>
      <w:object>
        <v:rect id="4097" filled="f" stroked="f" style="position:absolute;margin-left:0.0pt;margin-top:0.0pt;width:144.0pt;height:144.0pt;z-index:2;mso-position-horizontal:right;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pPr>
                  <w:pStyle w:val="style32"/>
                  <w:rPr/>
                </w:pPr>
                <w:r>
                  <w:rPr/>
                  <w:fldChar w:fldCharType="begin"/>
                </w:r>
                <w:r>
                  <w:instrText xml:space="preserve"> PAGE  \* MERGEFORMAT </w:instrText>
                </w:r>
                <w:r>
                  <w:rPr/>
                  <w:fldChar w:fldCharType="separate"/>
                </w:r>
                <w:r>
                  <w:t>1</w:t>
                </w:r>
                <w:r>
                  <w:rPr/>
                  <w:fldChar w:fldCharType="end"/>
                </w:r>
              </w:p>
            </w:txbxContent>
          </v:textbox>
        </v:rect>
      </w:obje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B7775EE5"/>
    <w:lvl w:ilvl="0">
      <w:start w:val="1"/>
      <w:numFmt w:val="decimal"/>
      <w:suff w:val="space"/>
      <w:lvlText w:val="%1."/>
      <w:lvlJc w:val="left"/>
      <w:pPr/>
    </w:lvl>
  </w:abstractNum>
  <w:abstractNum w:abstractNumId="1">
    <w:nsid w:val="00000001"/>
    <w:multiLevelType w:val="singleLevel"/>
    <w:tmpl w:val="F36F7323"/>
    <w:lvl w:ilvl="0">
      <w:start w:val="1"/>
      <w:numFmt w:val="decimal"/>
      <w:suff w:val="space"/>
      <w:lvlText w:val="%1."/>
      <w:lvlJc w:val="left"/>
      <w:pPr/>
    </w:lvl>
  </w:abstractNum>
  <w:abstractNum w:abstractNumId="2">
    <w:nsid w:val="00000002"/>
    <w:multiLevelType w:val="singleLevel"/>
    <w:tmpl w:val="FF969E1A"/>
    <w:lvl w:ilvl="0">
      <w:start w:val="1"/>
      <w:numFmt w:val="bullet"/>
      <w:lvlText w:val=""/>
      <w:lvlJc w:val="left"/>
      <w:pPr>
        <w:tabs>
          <w:tab w:val="left" w:leader="none" w:pos="420"/>
        </w:tabs>
        <w:ind w:left="420" w:leftChars="0" w:hanging="420" w:firstLineChars="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44"/>
  <w:embedSystem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VerticalSpacing w:val="156"/>
  <w:displayHorizontalDrawingGridEvery w:val="1"/>
  <w:displayVerticalDrawingGridEvery w:val="1"/>
  <w:noPunctuationKerning/>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rPr>
    </w:rPrDefault>
    <w:pPrDefault>
      <w:pPr/>
    </w:pPrDefault>
  </w:docDefaults>
  <w:style w:type="paragraph" w:default="1" w:styleId="style0">
    <w:name w:val="Normal"/>
    <w:next w:val="style0"/>
    <w:qFormat/>
    <w:uiPriority w:val="0"/>
    <w:pPr/>
    <w:rPr>
      <w:rFonts w:ascii="Calibri" w:cs="宋体" w:eastAsia="等线" w:hAnsi="Calibri"/>
      <w:lang w:val="en-US" w:bidi="ar-SA" w:eastAsia="zh-CN"/>
    </w:rPr>
  </w:style>
  <w:style w:type="paragraph" w:styleId="style1">
    <w:name w:val="heading 1"/>
    <w:basedOn w:val="style0"/>
    <w:next w:val="style0"/>
    <w:qFormat/>
    <w:uiPriority w:val="0"/>
    <w:pPr>
      <w:keepNext/>
      <w:keepLines/>
      <w:spacing w:before="340" w:after="330" w:lineRule="auto" w:line="578"/>
      <w:outlineLvl w:val="0"/>
    </w:pPr>
    <w:rPr>
      <w:b/>
      <w:bCs/>
      <w:kern w:val="44"/>
      <w:sz w:val="44"/>
      <w:szCs w:val="44"/>
    </w:rPr>
  </w:style>
  <w:style w:type="paragraph" w:styleId="style2">
    <w:name w:val="heading 2"/>
    <w:basedOn w:val="style0"/>
    <w:next w:val="style0"/>
    <w:qFormat/>
    <w:uiPriority w:val="0"/>
    <w:pPr>
      <w:keepNext/>
      <w:keepLines/>
      <w:spacing w:before="260" w:after="260" w:lineRule="auto" w:line="416"/>
      <w:outlineLvl w:val="1"/>
    </w:pPr>
    <w:rPr>
      <w:b/>
      <w:bCs/>
      <w:sz w:val="32"/>
      <w:szCs w:val="32"/>
    </w:rPr>
  </w:style>
  <w:style w:type="character" w:default="1" w:styleId="style65">
    <w:name w:val="Default Paragraph Font"/>
    <w:next w:val="style65"/>
    <w:uiPriority w:val="0"/>
  </w:style>
  <w:style w:type="table" w:default="1" w:styleId="style105">
    <w:name w:val="Normal Table"/>
    <w:next w:val="style105"/>
    <w:uiPriority w:val="0"/>
    <w:pPr/>
    <w:rPr/>
    <w:tblPr>
      <w:tblCellMar>
        <w:top w:w="0" w:type="dxa"/>
        <w:left w:w="108" w:type="dxa"/>
        <w:bottom w:w="0" w:type="dxa"/>
        <w:right w:w="108" w:type="dxa"/>
      </w:tblCellMar>
    </w:tblPr>
    <w:tcPr>
      <w:tcBorders/>
    </w:tcPr>
  </w:style>
  <w:style w:type="paragraph" w:styleId="style34">
    <w:name w:val="caption"/>
    <w:basedOn w:val="style0"/>
    <w:next w:val="style0"/>
    <w:qFormat/>
    <w:uiPriority w:val="0"/>
    <w:pPr/>
    <w:rPr>
      <w:rFonts w:ascii="Arial" w:cs="Arial" w:eastAsia="SimHei" w:hAnsi="Arial"/>
      <w:sz w:val="20"/>
    </w:rPr>
  </w:style>
  <w:style w:type="paragraph" w:styleId="style32">
    <w:name w:val="footer"/>
    <w:basedOn w:val="style0"/>
    <w:next w:val="style32"/>
    <w:uiPriority w:val="0"/>
    <w:pPr>
      <w:tabs>
        <w:tab w:val="center" w:leader="none" w:pos="4153"/>
        <w:tab w:val="right" w:leader="none" w:pos="8306"/>
      </w:tabs>
      <w:snapToGrid w:val="false"/>
      <w:jc w:val="left"/>
    </w:pPr>
    <w:rPr>
      <w:sz w:val="18"/>
      <w:szCs w:val="18"/>
    </w:rPr>
  </w:style>
  <w:style w:type="paragraph" w:styleId="style31">
    <w:name w:val="header"/>
    <w:basedOn w:val="style0"/>
    <w:next w:val="style31"/>
    <w:uiPriority w:val="0"/>
    <w:pPr>
      <w:tabs>
        <w:tab w:val="center" w:leader="none" w:pos="4153"/>
        <w:tab w:val="right" w:leader="none" w:pos="8306"/>
      </w:tabs>
      <w:snapToGrid w:val="false"/>
    </w:pPr>
    <w:rPr>
      <w:sz w:val="18"/>
      <w:szCs w:val="18"/>
    </w:rPr>
  </w:style>
  <w:style w:type="character" w:styleId="style85">
    <w:name w:val="Hyperlink"/>
    <w:basedOn w:val="style65"/>
    <w:next w:val="style85"/>
    <w:uiPriority w:val="0"/>
    <w:rPr>
      <w:color w:val="0000ff"/>
      <w:u w:val="single"/>
    </w:rPr>
  </w:style>
  <w:style w:type="paragraph" w:styleId="style35">
    <w:name w:val="table of figures"/>
    <w:basedOn w:val="style0"/>
    <w:next w:val="style0"/>
    <w:uiPriority w:val="0"/>
    <w:pPr>
      <w:ind w:leftChars="200" w:hanging="200" w:hangingChars="200"/>
    </w:pPr>
    <w:rPr/>
  </w:style>
  <w:style w:type="paragraph" w:styleId="style19">
    <w:name w:val="toc 1"/>
    <w:basedOn w:val="style0"/>
    <w:next w:val="style0"/>
    <w:uiPriority w:val="0"/>
    <w:pPr/>
  </w:style>
  <w:style w:type="paragraph" w:styleId="style20">
    <w:name w:val="toc 2"/>
    <w:basedOn w:val="style0"/>
    <w:next w:val="style0"/>
    <w:uiPriority w:val="0"/>
    <w:pPr>
      <w:ind w:left="420" w:leftChars="200"/>
    </w:pPr>
    <w:rPr/>
  </w:style>
  <w:style w:type="paragraph" w:styleId="style179">
    <w:name w:val="List Paragraph"/>
    <w:basedOn w:val="style0"/>
    <w:next w:val="style179"/>
    <w:qFormat/>
    <w:uiPriority w:val="1"/>
    <w:pPr>
      <w:ind w:left="720"/>
      <w:contextualSpacing/>
    </w:pPr>
    <w:rPr/>
  </w:style>
  <w:style w:type="paragraph" w:customStyle="1" w:styleId="style4097">
    <w:name w:val="WPSOffice手动目录 1"/>
    <w:next w:val="style4097"/>
    <w:uiPriority w:val="0"/>
    <w:pPr>
      <w:ind w:leftChars="0"/>
    </w:pPr>
    <w:rPr>
      <w:rFonts w:ascii="Times New Roman" w:cs="Times New Roman" w:eastAsia="SimSun" w:hAnsi="Times New Roman"/>
      <w:sz w:val="20"/>
      <w:szCs w:val="20"/>
    </w:rPr>
  </w:style>
  <w:style w:type="paragraph" w:customStyle="1" w:styleId="style4098">
    <w:name w:val="WPSOffice手动目录 2"/>
    <w:next w:val="style4098"/>
    <w:uiPriority w:val="0"/>
    <w:pPr>
      <w:ind w:leftChars="200"/>
    </w:pPr>
    <w:rPr>
      <w:rFonts w:ascii="Times New Roman" w:cs="Times New Roman" w:eastAsia="SimSun" w:hAnsi="Times New Roman"/>
      <w:sz w:val="20"/>
      <w:szCs w:val="20"/>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footer" Target="footer1.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chart" Target="charts/chart1.xml"/><Relationship Id="rId4" Type="http://schemas.openxmlformats.org/officeDocument/2006/relationships/chart" Target="charts/chart2.xml"/><Relationship Id="rId9" Type="http://schemas.openxmlformats.org/officeDocument/2006/relationships/chart" Target="charts/chart7.xml"/><Relationship Id="rId15" Type="http://schemas.openxmlformats.org/officeDocument/2006/relationships/customXml" Target="../customXml/item1.xml"/><Relationship Id="rId14" Type="http://schemas.openxmlformats.org/officeDocument/2006/relationships/theme" Target="theme/theme1.xml"/><Relationship Id="rId5" Type="http://schemas.openxmlformats.org/officeDocument/2006/relationships/chart" Target="charts/chart3.xml"/><Relationship Id="rId6" Type="http://schemas.openxmlformats.org/officeDocument/2006/relationships/chart" Target="charts/chart4.xml"/><Relationship Id="rId7" Type="http://schemas.openxmlformats.org/officeDocument/2006/relationships/chart" Target="charts/chart5.xml"/><Relationship Id="rId8" Type="http://schemas.openxmlformats.org/officeDocument/2006/relationships/chart" Target="charts/chart6.xml"/></Relationships>
</file>

<file path=word/charts/_rels/chart1.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4.xml"/><Relationship Id="rId3" Type="http://schemas.microsoft.com/office/2011/relationships/chartColorStyle" Target="colors4.xml"/></Relationships>
</file>

<file path=word/charts/_rels/chart2.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6.xml"/><Relationship Id="rId3" Type="http://schemas.microsoft.com/office/2011/relationships/chartColorStyle" Target="colors6.xml"/></Relationships>
</file>

<file path=word/charts/_rels/chart3.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2.xml"/><Relationship Id="rId3" Type="http://schemas.microsoft.com/office/2011/relationships/chartColorStyle" Target="colors2.xml"/></Relationships>
</file>

<file path=word/charts/_rels/chart4.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3.xml"/><Relationship Id="rId3" Type="http://schemas.microsoft.com/office/2011/relationships/chartColorStyle" Target="colors3.xml"/></Relationships>
</file>

<file path=word/charts/_rels/chart5.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7.xml"/><Relationship Id="rId3" Type="http://schemas.microsoft.com/office/2011/relationships/chartColorStyle" Target="colors7.xml"/></Relationships>
</file>

<file path=word/charts/_rels/chart6.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5.xml"/><Relationship Id="rId3" Type="http://schemas.microsoft.com/office/2011/relationships/chartColorStyle" Target="colors5.xml"/></Relationships>
</file>

<file path=word/charts/_rels/chart7.xml.rels><?xml version="1.0" encoding="UTF-8"?>
<Relationships xmlns="http://schemas.openxmlformats.org/package/2006/relationships"><Relationship Id="rId1" Type="http://schemas.openxmlformats.org/officeDocument/2006/relationships/oleObject" TargetMode="External" Target="/Users/vineet/Documents/CB/D2530964V1/181025.xlsx"/><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Profitability Ratios</a:t>
            </a:r>
          </a:p>
        </c:rich>
      </c:tx>
      <c:layout/>
      <c:overlay val="0"/>
      <c:spPr>
        <a:noFill/>
        <a:ln>
          <a:noFill/>
        </a:ln>
        <a:effectLst/>
      </c:spPr>
    </c:title>
    <c:autoTitleDeleted val="0"/>
    <c:plotArea>
      <c:layout/>
      <c:barChart>
        <c:barDir val="col"/>
        <c:grouping val="clustered"/>
        <c:varyColors val="0"/>
        <c:ser>
          <c:idx val="0"/>
          <c:order val="0"/>
          <c:tx>
            <c:strRef>
              <c:f>[181025.xlsx]Charts!$B$3</c:f>
              <c:strCache>
                <c:ptCount val="1"/>
                <c:pt idx="0">
                  <c:v>Gross profit ratio </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[181025.xlsx]Charts!$C$2:$G$2</c:f>
              <c:numCache>
                <c:formatCode>General</c:formatCode>
                <c:ptCount val="5"/>
                <c:pt idx="0">
                  <c:v>2020.0</c:v>
                </c:pt>
                <c:pt idx="1">
                  <c:v>2021.0</c:v>
                </c:pt>
                <c:pt idx="2">
                  <c:v>2022.0</c:v>
                </c:pt>
                <c:pt idx="3">
                  <c:v>2023.0</c:v>
                </c:pt>
                <c:pt idx="4">
                  <c:v>2024.0</c:v>
                </c:pt>
              </c:numCache>
            </c:numRef>
          </c:cat>
          <c:val>
            <c:numRef>
              <c:f>[181025.xlsx]Charts!$C$3:$G$3</c:f>
              <c:numCache>
                <c:formatCode>0.00%</c:formatCode>
                <c:ptCount val="5"/>
                <c:pt idx="0">
                  <c:v>0.286744322248975</c:v>
                </c:pt>
                <c:pt idx="1">
                  <c:v>0.287592129015529</c:v>
                </c:pt>
                <c:pt idx="2">
                  <c:v>0.280592758005052</c:v>
                </c:pt>
                <c:pt idx="3">
                  <c:v>0.232033240022166</c:v>
                </c:pt>
                <c:pt idx="4">
                  <c:v>0.288680836408115</c:v>
                </c:pt>
              </c:numCache>
            </c:numRef>
          </c:val>
        </c:ser>
        <c:ser>
          <c:idx val="1"/>
          <c:order val="1"/>
          <c:tx>
            <c:strRef>
              <c:f>[181025.xlsx]Charts!$B$4</c:f>
              <c:strCache>
                <c:ptCount val="1"/>
                <c:pt idx="0">
                  <c:v>Net profit ratio</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[181025.xlsx]Charts!$C$2:$G$2</c:f>
              <c:numCache>
                <c:formatCode>General</c:formatCode>
                <c:ptCount val="5"/>
                <c:pt idx="0">
                  <c:v>2020.0</c:v>
                </c:pt>
                <c:pt idx="1">
                  <c:v>2021.0</c:v>
                </c:pt>
                <c:pt idx="2">
                  <c:v>2022.0</c:v>
                </c:pt>
                <c:pt idx="3">
                  <c:v>2023.0</c:v>
                </c:pt>
                <c:pt idx="4">
                  <c:v>2024.0</c:v>
                </c:pt>
              </c:numCache>
            </c:numRef>
          </c:cat>
          <c:val>
            <c:numRef>
              <c:f>[181025.xlsx]Charts!$C$4:$G$4</c:f>
              <c:numCache>
                <c:formatCode>0.00%</c:formatCode>
                <c:ptCount val="5"/>
                <c:pt idx="0">
                  <c:v>0.062751350296089</c:v>
                </c:pt>
                <c:pt idx="1">
                  <c:v>0.00881147336611248</c:v>
                </c:pt>
                <c:pt idx="2">
                  <c:v>0.000749883464056262</c:v>
                </c:pt>
                <c:pt idx="3">
                  <c:v>-0.233645771149012</c:v>
                </c:pt>
                <c:pt idx="4">
                  <c:v>-0.0608515519944084</c:v>
                </c:pt>
              </c:numCache>
            </c:numRef>
          </c:val>
        </c:ser>
        <c:ser>
          <c:idx val="2"/>
          <c:order val="2"/>
          <c:tx>
            <c:strRef>
              <c:f>[181025.xlsx]Charts!$B$5</c:f>
              <c:strCache>
                <c:ptCount val="1"/>
                <c:pt idx="0">
                  <c:v>Return on Equity</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[181025.xlsx]Charts!$C$2:$G$2</c:f>
              <c:numCache>
                <c:formatCode>General</c:formatCode>
                <c:ptCount val="5"/>
                <c:pt idx="0">
                  <c:v>2020.0</c:v>
                </c:pt>
                <c:pt idx="1">
                  <c:v>2021.0</c:v>
                </c:pt>
                <c:pt idx="2">
                  <c:v>2022.0</c:v>
                </c:pt>
                <c:pt idx="3">
                  <c:v>2023.0</c:v>
                </c:pt>
                <c:pt idx="4">
                  <c:v>2024.0</c:v>
                </c:pt>
              </c:numCache>
            </c:numRef>
          </c:cat>
          <c:val>
            <c:numRef>
              <c:f>[181025.xlsx]Charts!$C$5:$G$5</c:f>
              <c:numCache>
                <c:formatCode>0.00%</c:formatCode>
                <c:ptCount val="5"/>
                <c:pt idx="0">
                  <c:v>0.123114832062458</c:v>
                </c:pt>
                <c:pt idx="1">
                  <c:v>0.0192100714262418</c:v>
                </c:pt>
                <c:pt idx="2">
                  <c:v>0.00151635954486859</c:v>
                </c:pt>
                <c:pt idx="3">
                  <c:v>-0.54906103286385</c:v>
                </c:pt>
                <c:pt idx="4">
                  <c:v>-0.156944580516639</c:v>
                </c:pt>
              </c:numCache>
            </c:numRef>
          </c:val>
        </c:ser>
        <c:dLbls>
          <c:showLegendKey val="0"/>
          <c:showVal val="1"/>
          <c:showCatName val="0"/>
          <c:showSerName val="0"/>
          <c:showPercent val="0"/>
          <c:showBubbleSize val="0"/>
        </c:dLbls>
        <c:gapWidth val="260"/>
        <c:overlap val="-32"/>
        <c:axId val="44862268"/>
        <c:axId val="338596808"/>
      </c:barChart>
      <c:catAx>
        <c:axId val="448622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38596808"/>
        <c:crosses val="autoZero"/>
        <c:auto val="1"/>
        <c:lblAlgn val="ctr"/>
        <c:lblOffset val="100"/>
        <c:noMultiLvlLbl val="0"/>
      </c:catAx>
      <c:valAx>
        <c:axId val="338596808"/>
        <c:scaling>
          <c:orientation val="minMax"/>
        </c:scaling>
        <c:delete val="1"/>
        <c:axPos val="l"/>
        <c:numFmt formatCode="0.00%"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4862268"/>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Liquidity Ratios</a:t>
            </a:r>
          </a:p>
        </c:rich>
      </c:tx>
      <c:layout/>
      <c:overlay val="0"/>
      <c:spPr>
        <a:noFill/>
        <a:ln>
          <a:noFill/>
        </a:ln>
        <a:effectLst/>
      </c:spPr>
    </c:title>
    <c:autoTitleDeleted val="0"/>
    <c:plotArea>
      <c:layout/>
      <c:barChart>
        <c:barDir val="col"/>
        <c:grouping val="stacked"/>
        <c:varyColors val="0"/>
        <c:ser>
          <c:idx val="0"/>
          <c:order val="0"/>
          <c:tx>
            <c:strRef>
              <c:f>[181025.xlsx]Charts!$B$8</c:f>
              <c:strCache>
                <c:ptCount val="1"/>
                <c:pt idx="0">
                  <c:v>Current ratio</c:v>
                </c:pt>
              </c:strCache>
            </c:strRef>
          </c:tx>
          <c:spPr>
            <a:solidFill>
              <a:schemeClr val="accent1"/>
            </a:solidFill>
            <a:ln>
              <a:solidFill>
                <a:schemeClr val="bg1"/>
              </a:solidFill>
            </a:ln>
            <a:effectLst/>
          </c:spPr>
          <c:invertIfNegative val="0"/>
          <c:dLbls>
            <c:delete val="1"/>
          </c:dLbls>
          <c:cat>
            <c:numRef>
              <c:f>[181025.xlsx]Charts!$C$7:$G$7</c:f>
              <c:numCache>
                <c:formatCode>General</c:formatCode>
                <c:ptCount val="5"/>
                <c:pt idx="0">
                  <c:v>2020.0</c:v>
                </c:pt>
                <c:pt idx="1">
                  <c:v>2021.0</c:v>
                </c:pt>
                <c:pt idx="2">
                  <c:v>2022.0</c:v>
                </c:pt>
                <c:pt idx="3">
                  <c:v>2023.0</c:v>
                </c:pt>
                <c:pt idx="4">
                  <c:v>2024.0</c:v>
                </c:pt>
              </c:numCache>
            </c:numRef>
          </c:cat>
          <c:val>
            <c:numRef>
              <c:f>[181025.xlsx]Charts!$C$8:$G$8</c:f>
              <c:numCache>
                <c:formatCode>0.00_ </c:formatCode>
                <c:ptCount val="5"/>
                <c:pt idx="0">
                  <c:v>1.82075093309565</c:v>
                </c:pt>
                <c:pt idx="1">
                  <c:v>1.55519473031132</c:v>
                </c:pt>
                <c:pt idx="2">
                  <c:v>1.56158042804414</c:v>
                </c:pt>
                <c:pt idx="3">
                  <c:v>1.60629359346688</c:v>
                </c:pt>
                <c:pt idx="4">
                  <c:v>1.53195064785743</c:v>
                </c:pt>
              </c:numCache>
            </c:numRef>
          </c:val>
        </c:ser>
        <c:ser>
          <c:idx val="1"/>
          <c:order val="1"/>
          <c:tx>
            <c:strRef>
              <c:f>[181025.xlsx]Charts!$B$9</c:f>
              <c:strCache>
                <c:ptCount val="1"/>
                <c:pt idx="0">
                  <c:v>Quick ratio</c:v>
                </c:pt>
              </c:strCache>
            </c:strRef>
          </c:tx>
          <c:spPr>
            <a:solidFill>
              <a:schemeClr val="accent2"/>
            </a:solidFill>
            <a:ln>
              <a:solidFill>
                <a:schemeClr val="bg1"/>
              </a:solidFill>
            </a:ln>
            <a:effectLst/>
          </c:spPr>
          <c:invertIfNegative val="0"/>
          <c:dLbls>
            <c:delete val="1"/>
          </c:dLbls>
          <c:cat>
            <c:numRef>
              <c:f>[181025.xlsx]Charts!$C$7:$G$7</c:f>
              <c:numCache>
                <c:formatCode>General</c:formatCode>
                <c:ptCount val="5"/>
                <c:pt idx="0">
                  <c:v>2020.0</c:v>
                </c:pt>
                <c:pt idx="1">
                  <c:v>2021.0</c:v>
                </c:pt>
                <c:pt idx="2">
                  <c:v>2022.0</c:v>
                </c:pt>
                <c:pt idx="3">
                  <c:v>2023.0</c:v>
                </c:pt>
                <c:pt idx="4">
                  <c:v>2024.0</c:v>
                </c:pt>
              </c:numCache>
            </c:numRef>
          </c:cat>
          <c:val>
            <c:numRef>
              <c:f>[181025.xlsx]Charts!$C$9:$G$9</c:f>
              <c:numCache>
                <c:formatCode>0.00_ </c:formatCode>
                <c:ptCount val="5"/>
                <c:pt idx="0">
                  <c:v>1.14986908807309</c:v>
                </c:pt>
                <c:pt idx="1">
                  <c:v>0.934913071355755</c:v>
                </c:pt>
                <c:pt idx="2">
                  <c:v>0.914012371057822</c:v>
                </c:pt>
                <c:pt idx="3">
                  <c:v>1.05851763596197</c:v>
                </c:pt>
                <c:pt idx="4">
                  <c:v>1.03062713609744</c:v>
                </c:pt>
              </c:numCache>
            </c:numRef>
          </c:val>
        </c:ser>
        <c:dLbls>
          <c:showLegendKey val="0"/>
          <c:showVal val="0"/>
          <c:showCatName val="0"/>
          <c:showSerName val="0"/>
          <c:showPercent val="0"/>
          <c:showBubbleSize val="0"/>
        </c:dLbls>
        <c:gapWidth val="216"/>
        <c:overlap val="100"/>
        <c:axId val="364412653"/>
        <c:axId val="909446647"/>
      </c:barChart>
      <c:catAx>
        <c:axId val="36441265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909446647"/>
        <c:crosses val="autoZero"/>
        <c:auto val="1"/>
        <c:lblAlgn val="ctr"/>
        <c:lblOffset val="100"/>
        <c:noMultiLvlLbl val="0"/>
      </c:catAx>
      <c:valAx>
        <c:axId val="909446647"/>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6441265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Efficiency Ratios</a:t>
            </a:r>
          </a:p>
        </c:rich>
      </c:tx>
      <c:layout/>
      <c:overlay val="0"/>
      <c:spPr>
        <a:noFill/>
        <a:ln>
          <a:noFill/>
        </a:ln>
        <a:effectLst/>
      </c:spPr>
    </c:title>
    <c:autoTitleDeleted val="0"/>
    <c:plotArea>
      <c:layout/>
      <c:lineChart>
        <c:grouping val="stacked"/>
        <c:varyColors val="0"/>
        <c:ser>
          <c:idx val="0"/>
          <c:order val="0"/>
          <c:tx>
            <c:strRef>
              <c:f>[181025.xlsx]Charts!$B$12</c:f>
              <c:strCache>
                <c:ptCount val="1"/>
                <c:pt idx="0">
                  <c:v>Asset turnover ratio</c:v>
                </c:pt>
              </c:strCache>
            </c:strRef>
          </c:tx>
          <c:spPr>
            <a:ln w="28575" cap="rnd">
              <a:solidFill>
                <a:schemeClr val="accent1"/>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[181025.xlsx]Charts!$C$11:$G$11</c:f>
              <c:numCache>
                <c:formatCode>General</c:formatCode>
                <c:ptCount val="5"/>
                <c:pt idx="0">
                  <c:v>2020.0</c:v>
                </c:pt>
                <c:pt idx="1">
                  <c:v>2021.0</c:v>
                </c:pt>
                <c:pt idx="2">
                  <c:v>2022.0</c:v>
                </c:pt>
                <c:pt idx="3">
                  <c:v>2023.0</c:v>
                </c:pt>
                <c:pt idx="4">
                  <c:v>2024.0</c:v>
                </c:pt>
              </c:numCache>
            </c:numRef>
          </c:cat>
          <c:val>
            <c:numRef>
              <c:f>[181025.xlsx]Charts!$C$12:$G$12</c:f>
              <c:numCache>
                <c:formatCode>0.00_ </c:formatCode>
                <c:ptCount val="5"/>
                <c:pt idx="0">
                  <c:v>1.20456995042035</c:v>
                </c:pt>
                <c:pt idx="1">
                  <c:v>1.17880740200804</c:v>
                </c:pt>
                <c:pt idx="2">
                  <c:v>1.07653873846355</c:v>
                </c:pt>
                <c:pt idx="3">
                  <c:v>1.18148379192519</c:v>
                </c:pt>
                <c:pt idx="4">
                  <c:v>1.22119720182834</c:v>
                </c:pt>
              </c:numCache>
            </c:numRef>
          </c:val>
          <c:smooth val="0"/>
        </c:ser>
        <c:ser>
          <c:idx val="1"/>
          <c:order val="1"/>
          <c:tx>
            <c:strRef>
              <c:f>[181025.xlsx]Charts!$B$13</c:f>
              <c:strCache>
                <c:ptCount val="1"/>
                <c:pt idx="0">
                  <c:v>Inventory turnover ratio</c:v>
                </c:pt>
              </c:strCache>
            </c:strRef>
          </c:tx>
          <c:spPr>
            <a:ln w="28575" cap="rnd">
              <a:solidFill>
                <a:schemeClr val="accent2"/>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[181025.xlsx]Charts!$C$11:$G$11</c:f>
              <c:numCache>
                <c:formatCode>General</c:formatCode>
                <c:ptCount val="5"/>
                <c:pt idx="0">
                  <c:v>2020.0</c:v>
                </c:pt>
                <c:pt idx="1">
                  <c:v>2021.0</c:v>
                </c:pt>
                <c:pt idx="2">
                  <c:v>2022.0</c:v>
                </c:pt>
                <c:pt idx="3">
                  <c:v>2023.0</c:v>
                </c:pt>
                <c:pt idx="4">
                  <c:v>2024.0</c:v>
                </c:pt>
              </c:numCache>
            </c:numRef>
          </c:cat>
          <c:val>
            <c:numRef>
              <c:f>[181025.xlsx]Charts!$C$13:$G$13</c:f>
              <c:numCache>
                <c:formatCode>0.00_ </c:formatCode>
                <c:ptCount val="5"/>
                <c:pt idx="0">
                  <c:v>3.44</c:v>
                </c:pt>
                <c:pt idx="1">
                  <c:v>3.36279075241566</c:v>
                </c:pt>
                <c:pt idx="2">
                  <c:v>2.84332058984162</c:v>
                </c:pt>
                <c:pt idx="3">
                  <c:v>2.82680101902352</c:v>
                </c:pt>
                <c:pt idx="4">
                  <c:v>3.35128976066051</c:v>
                </c:pt>
              </c:numCache>
            </c:numRef>
          </c:val>
          <c:smooth val="0"/>
        </c:ser>
        <c:dLbls>
          <c:showLegendKey val="0"/>
          <c:showVal val="1"/>
          <c:showCatName val="0"/>
          <c:showSerName val="0"/>
          <c:showPercent val="0"/>
          <c:showBubbleSize val="0"/>
        </c:dLbls>
        <c:marker val="0"/>
        <c:smooth val="0"/>
        <c:axId val="404311014"/>
        <c:axId val="157173667"/>
      </c:lineChart>
      <c:catAx>
        <c:axId val="40431101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57173667"/>
        <c:crosses val="autoZero"/>
        <c:auto val="1"/>
        <c:lblAlgn val="ctr"/>
        <c:lblOffset val="100"/>
        <c:noMultiLvlLbl val="0"/>
      </c:catAx>
      <c:valAx>
        <c:axId val="157173667"/>
        <c:scaling>
          <c:orientation val="minMax"/>
        </c:scaling>
        <c:delete val="1"/>
        <c:axPos val="l"/>
        <c:numFmt formatCode="0.00_ "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04311014"/>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Gearing Ratios</a:t>
            </a:r>
          </a:p>
        </c:rich>
      </c:tx>
      <c:layout/>
      <c:overlay val="0"/>
      <c:spPr>
        <a:noFill/>
        <a:ln>
          <a:noFill/>
        </a:ln>
        <a:effectLst/>
      </c:spPr>
    </c:title>
    <c:autoTitleDeleted val="0"/>
    <c:plotArea>
      <c:layout/>
      <c:barChart>
        <c:barDir val="col"/>
        <c:grouping val="clustered"/>
        <c:varyColors val="0"/>
        <c:ser>
          <c:idx val="0"/>
          <c:order val="0"/>
          <c:tx>
            <c:strRef>
              <c:f>[181025.xlsx]Charts!$B$16</c:f>
              <c:strCache>
                <c:ptCount val="1"/>
                <c:pt idx="0">
                  <c:v>Debt-equity ratio</c:v>
                </c:pt>
              </c:strCache>
            </c:strRef>
          </c:tx>
          <c:spPr>
            <a:solidFill>
              <a:schemeClr val="accent1"/>
            </a:solidFill>
            <a:ln>
              <a:noFill/>
            </a:ln>
            <a:effectLst/>
          </c:spPr>
          <c:invertIfNegative val="0"/>
          <c:dLbls>
            <c:delete val="1"/>
          </c:dLbls>
          <c:cat>
            <c:numRef>
              <c:f>[181025.xlsx]Charts!$C$15:$G$15</c:f>
              <c:numCache>
                <c:formatCode>General</c:formatCode>
                <c:ptCount val="5"/>
                <c:pt idx="0">
                  <c:v>2020.0</c:v>
                </c:pt>
                <c:pt idx="1">
                  <c:v>2021.0</c:v>
                </c:pt>
                <c:pt idx="2">
                  <c:v>2022.0</c:v>
                </c:pt>
                <c:pt idx="3">
                  <c:v>2023.0</c:v>
                </c:pt>
                <c:pt idx="4">
                  <c:v>2024.0</c:v>
                </c:pt>
              </c:numCache>
            </c:numRef>
          </c:cat>
          <c:val>
            <c:numRef>
              <c:f>[181025.xlsx]Charts!$C$16:$G$16</c:f>
              <c:numCache>
                <c:formatCode>0.00_ </c:formatCode>
                <c:ptCount val="5"/>
                <c:pt idx="0">
                  <c:v>0.62875317984941</c:v>
                </c:pt>
                <c:pt idx="1">
                  <c:v>0.849428698781297</c:v>
                </c:pt>
                <c:pt idx="2">
                  <c:v>0.87835964918817</c:v>
                </c:pt>
                <c:pt idx="3">
                  <c:v>0.989000670690812</c:v>
                </c:pt>
                <c:pt idx="4">
                  <c:v>1.11197544169034</c:v>
                </c:pt>
              </c:numCache>
            </c:numRef>
          </c:val>
        </c:ser>
        <c:ser>
          <c:idx val="1"/>
          <c:order val="1"/>
          <c:tx>
            <c:strRef>
              <c:f>[181025.xlsx]Charts!$B$17</c:f>
              <c:strCache>
                <c:ptCount val="1"/>
                <c:pt idx="0">
                  <c:v>Interest coverage ratio</c:v>
                </c:pt>
              </c:strCache>
            </c:strRef>
          </c:tx>
          <c:spPr>
            <a:solidFill>
              <a:schemeClr val="accent2"/>
            </a:solidFill>
            <a:ln>
              <a:noFill/>
            </a:ln>
            <a:effectLst/>
          </c:spPr>
          <c:invertIfNegative val="0"/>
          <c:dLbls>
            <c:delete val="1"/>
          </c:dLbls>
          <c:cat>
            <c:numRef>
              <c:f>[181025.xlsx]Charts!$C$15:$G$15</c:f>
              <c:numCache>
                <c:formatCode>General</c:formatCode>
                <c:ptCount val="5"/>
                <c:pt idx="0">
                  <c:v>2020.0</c:v>
                </c:pt>
                <c:pt idx="1">
                  <c:v>2021.0</c:v>
                </c:pt>
                <c:pt idx="2">
                  <c:v>2022.0</c:v>
                </c:pt>
                <c:pt idx="3">
                  <c:v>2023.0</c:v>
                </c:pt>
                <c:pt idx="4">
                  <c:v>2024.0</c:v>
                </c:pt>
              </c:numCache>
            </c:numRef>
          </c:cat>
          <c:val>
            <c:numRef>
              <c:f>[181025.xlsx]Charts!$C$17:$G$17</c:f>
              <c:numCache>
                <c:formatCode>0.00_ </c:formatCode>
                <c:ptCount val="5"/>
                <c:pt idx="0">
                  <c:v>26.2074542897328</c:v>
                </c:pt>
                <c:pt idx="1">
                  <c:v>41.0830388692579</c:v>
                </c:pt>
                <c:pt idx="2">
                  <c:v>6.61272727272727</c:v>
                </c:pt>
                <c:pt idx="3">
                  <c:v>-19.6909048938135</c:v>
                </c:pt>
                <c:pt idx="4">
                  <c:v>-4.5513240107111</c:v>
                </c:pt>
              </c:numCache>
            </c:numRef>
          </c:val>
        </c:ser>
        <c:dLbls>
          <c:showLegendKey val="0"/>
          <c:showVal val="0"/>
          <c:showCatName val="0"/>
          <c:showSerName val="0"/>
          <c:showPercent val="0"/>
          <c:showBubbleSize val="0"/>
        </c:dLbls>
        <c:gapWidth val="216"/>
        <c:overlap val="-32"/>
        <c:axId val="496298627"/>
        <c:axId val="769976008"/>
      </c:barChart>
      <c:catAx>
        <c:axId val="49629862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69976008"/>
        <c:crosses val="autoZero"/>
        <c:auto val="1"/>
        <c:lblAlgn val="ctr"/>
        <c:lblOffset val="100"/>
        <c:noMultiLvlLbl val="0"/>
      </c:catAx>
      <c:valAx>
        <c:axId val="769976008"/>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962986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Investment Ratios</a:t>
            </a:r>
          </a:p>
        </c:rich>
      </c:tx>
      <c:layout/>
      <c:overlay val="0"/>
      <c:spPr>
        <a:noFill/>
        <a:ln>
          <a:noFill/>
        </a:ln>
        <a:effectLst/>
      </c:spPr>
    </c:title>
    <c:autoTitleDeleted val="0"/>
    <c:plotArea>
      <c:layout/>
      <c:barChart>
        <c:barDir val="col"/>
        <c:grouping val="clustered"/>
        <c:varyColors val="0"/>
        <c:ser>
          <c:idx val="0"/>
          <c:order val="0"/>
          <c:tx>
            <c:strRef>
              <c:f>[181025.xlsx]Charts!$B$20</c:f>
              <c:strCache>
                <c:ptCount val="1"/>
                <c:pt idx="0">
                  <c:v>EPS</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[181025.xlsx]Charts!$C$19:$G$19</c:f>
              <c:numCache>
                <c:formatCode>General</c:formatCode>
                <c:ptCount val="5"/>
                <c:pt idx="0">
                  <c:v>2020.0</c:v>
                </c:pt>
                <c:pt idx="1">
                  <c:v>2021.0</c:v>
                </c:pt>
                <c:pt idx="2">
                  <c:v>2022.0</c:v>
                </c:pt>
                <c:pt idx="3">
                  <c:v>2023.0</c:v>
                </c:pt>
                <c:pt idx="4">
                  <c:v>2024.0</c:v>
                </c:pt>
              </c:numCache>
            </c:numRef>
          </c:cat>
          <c:val>
            <c:numRef>
              <c:f>[181025.xlsx]Charts!$C$20:$G$20</c:f>
              <c:numCache>
                <c:formatCode>0.00_ </c:formatCode>
                <c:ptCount val="5"/>
                <c:pt idx="0">
                  <c:v>2.77636219678975</c:v>
                </c:pt>
                <c:pt idx="1">
                  <c:v>0.393687337541775</c:v>
                </c:pt>
                <c:pt idx="2">
                  <c:v>0.0320396756671652</c:v>
                </c:pt>
                <c:pt idx="3">
                  <c:v>-7.64200700116686</c:v>
                </c:pt>
                <c:pt idx="4">
                  <c:v>-1.85423257967436</c:v>
                </c:pt>
              </c:numCache>
            </c:numRef>
          </c:val>
        </c:ser>
        <c:ser>
          <c:idx val="1"/>
          <c:order val="1"/>
          <c:tx>
            <c:strRef>
              <c:f>[181025.xlsx]Charts!$B$21</c:f>
              <c:strCache>
                <c:ptCount val="1"/>
                <c:pt idx="0">
                  <c:v>Book value per share</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[181025.xlsx]Charts!$C$19:$G$19</c:f>
              <c:numCache>
                <c:formatCode>General</c:formatCode>
                <c:ptCount val="5"/>
                <c:pt idx="0">
                  <c:v>2020.0</c:v>
                </c:pt>
                <c:pt idx="1">
                  <c:v>2021.0</c:v>
                </c:pt>
                <c:pt idx="2">
                  <c:v>2022.0</c:v>
                </c:pt>
                <c:pt idx="3">
                  <c:v>2023.0</c:v>
                </c:pt>
                <c:pt idx="4">
                  <c:v>2024.0</c:v>
                </c:pt>
              </c:numCache>
            </c:numRef>
          </c:cat>
          <c:val>
            <c:numRef>
              <c:f>[181025.xlsx]Charts!$C$21:$G$21</c:f>
              <c:numCache>
                <c:formatCode>0.00_ </c:formatCode>
                <c:ptCount val="5"/>
                <c:pt idx="0">
                  <c:v>22.5509969049161</c:v>
                </c:pt>
                <c:pt idx="1">
                  <c:v>20.4937987374675</c:v>
                </c:pt>
                <c:pt idx="2">
                  <c:v>21.1293395260962</c:v>
                </c:pt>
                <c:pt idx="3">
                  <c:v>13.9183197199533</c:v>
                </c:pt>
                <c:pt idx="4">
                  <c:v>11.8145690253878</c:v>
                </c:pt>
              </c:numCache>
            </c:numRef>
          </c:val>
        </c:ser>
        <c:dLbls>
          <c:showLegendKey val="0"/>
          <c:showVal val="1"/>
          <c:showCatName val="0"/>
          <c:showSerName val="0"/>
          <c:showPercent val="0"/>
          <c:showBubbleSize val="0"/>
        </c:dLbls>
        <c:gapWidth val="260"/>
        <c:overlap val="-32"/>
        <c:axId val="935788234"/>
        <c:axId val="830649360"/>
      </c:barChart>
      <c:catAx>
        <c:axId val="93578823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830649360"/>
        <c:crosses val="autoZero"/>
        <c:auto val="1"/>
        <c:lblAlgn val="ctr"/>
        <c:lblOffset val="100"/>
        <c:noMultiLvlLbl val="0"/>
      </c:catAx>
      <c:valAx>
        <c:axId val="830649360"/>
        <c:scaling>
          <c:orientation val="minMax"/>
        </c:scaling>
        <c:delete val="1"/>
        <c:axPos val="l"/>
        <c:numFmt formatCode="0.00_ "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935788234"/>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Cash Flow Ratios</a:t>
            </a:r>
          </a:p>
        </c:rich>
      </c:tx>
      <c:layout/>
      <c:overlay val="0"/>
      <c:spPr>
        <a:noFill/>
        <a:ln>
          <a:noFill/>
        </a:ln>
        <a:effectLst/>
      </c:spPr>
    </c:title>
    <c:autoTitleDeleted val="0"/>
    <c:plotArea>
      <c:layout/>
      <c:lineChart>
        <c:grouping val="stacked"/>
        <c:varyColors val="0"/>
        <c:ser>
          <c:idx val="0"/>
          <c:order val="0"/>
          <c:tx>
            <c:strRef>
              <c:f>[181025.xlsx]Charts!$B$24</c:f>
              <c:strCache>
                <c:ptCount val="1"/>
                <c:pt idx="0">
                  <c:v>Operating cash flow ratio</c:v>
                </c:pt>
              </c:strCache>
            </c:strRef>
          </c:tx>
          <c:spPr>
            <a:ln w="28575" cap="rnd">
              <a:solidFill>
                <a:schemeClr val="accent1"/>
              </a:solidFill>
              <a:round/>
            </a:ln>
            <a:effectLst/>
          </c:spPr>
          <c:marker>
            <c:symbol val="none"/>
          </c:marker>
          <c:dLbls>
            <c:delete val="1"/>
          </c:dLbls>
          <c:cat>
            <c:numRef>
              <c:f>[181025.xlsx]Charts!$C$23:$G$23</c:f>
              <c:numCache>
                <c:formatCode>General</c:formatCode>
                <c:ptCount val="5"/>
                <c:pt idx="0">
                  <c:v>2020.0</c:v>
                </c:pt>
                <c:pt idx="1">
                  <c:v>2021.0</c:v>
                </c:pt>
                <c:pt idx="2">
                  <c:v>2022.0</c:v>
                </c:pt>
                <c:pt idx="3">
                  <c:v>2023.0</c:v>
                </c:pt>
                <c:pt idx="4">
                  <c:v>2024.0</c:v>
                </c:pt>
              </c:numCache>
            </c:numRef>
          </c:cat>
          <c:val>
            <c:numRef>
              <c:f>[181025.xlsx]Charts!$C$24:$G$24</c:f>
              <c:numCache>
                <c:formatCode>0.00_ </c:formatCode>
                <c:ptCount val="5"/>
                <c:pt idx="0">
                  <c:v>0.408846303827085</c:v>
                </c:pt>
                <c:pt idx="1">
                  <c:v>0.185818337815459</c:v>
                </c:pt>
                <c:pt idx="2">
                  <c:v>0.0504728072323107</c:v>
                </c:pt>
                <c:pt idx="3">
                  <c:v>0.156315933179438</c:v>
                </c:pt>
                <c:pt idx="4">
                  <c:v>0.0936376673342136</c:v>
                </c:pt>
              </c:numCache>
            </c:numRef>
          </c:val>
          <c:smooth val="0"/>
        </c:ser>
        <c:ser>
          <c:idx val="1"/>
          <c:order val="1"/>
          <c:tx>
            <c:strRef>
              <c:f>[181025.xlsx]Charts!$B$25</c:f>
              <c:strCache>
                <c:ptCount val="1"/>
                <c:pt idx="0">
                  <c:v>Cash ratio</c:v>
                </c:pt>
              </c:strCache>
            </c:strRef>
          </c:tx>
          <c:spPr>
            <a:ln w="28575" cap="rnd">
              <a:solidFill>
                <a:schemeClr val="accent2"/>
              </a:solidFill>
              <a:round/>
            </a:ln>
            <a:effectLst/>
          </c:spPr>
          <c:marker>
            <c:symbol val="none"/>
          </c:marker>
          <c:dLbls>
            <c:delete val="1"/>
          </c:dLbls>
          <c:cat>
            <c:numRef>
              <c:f>[181025.xlsx]Charts!$C$23:$G$23</c:f>
              <c:numCache>
                <c:formatCode>General</c:formatCode>
                <c:ptCount val="5"/>
                <c:pt idx="0">
                  <c:v>2020.0</c:v>
                </c:pt>
                <c:pt idx="1">
                  <c:v>2021.0</c:v>
                </c:pt>
                <c:pt idx="2">
                  <c:v>2022.0</c:v>
                </c:pt>
                <c:pt idx="3">
                  <c:v>2023.0</c:v>
                </c:pt>
                <c:pt idx="4">
                  <c:v>2024.0</c:v>
                </c:pt>
              </c:numCache>
            </c:numRef>
          </c:cat>
          <c:val>
            <c:numRef>
              <c:f>[181025.xlsx]Charts!$C$25:$G$25</c:f>
              <c:numCache>
                <c:formatCode>0.00_ </c:formatCode>
                <c:ptCount val="5"/>
                <c:pt idx="0">
                  <c:v>0.318383376970642</c:v>
                </c:pt>
                <c:pt idx="1">
                  <c:v>0.2805195883517</c:v>
                </c:pt>
                <c:pt idx="2">
                  <c:v>0.308306347673844</c:v>
                </c:pt>
                <c:pt idx="3">
                  <c:v>0.265290292153797</c:v>
                </c:pt>
                <c:pt idx="4">
                  <c:v>0.169201028485511</c:v>
                </c:pt>
              </c:numCache>
            </c:numRef>
          </c:val>
          <c:smooth val="0"/>
        </c:ser>
        <c:dLbls>
          <c:showLegendKey val="0"/>
          <c:showVal val="0"/>
          <c:showCatName val="0"/>
          <c:showSerName val="0"/>
          <c:showPercent val="0"/>
          <c:showBubbleSize val="0"/>
        </c:dLbls>
        <c:marker val="0"/>
        <c:smooth val="0"/>
        <c:axId val="747977570"/>
        <c:axId val="63502542"/>
      </c:lineChart>
      <c:catAx>
        <c:axId val="74797757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3502542"/>
        <c:crosses val="autoZero"/>
        <c:auto val="1"/>
        <c:lblAlgn val="ctr"/>
        <c:lblOffset val="100"/>
        <c:noMultiLvlLbl val="0"/>
      </c:catAx>
      <c:valAx>
        <c:axId val="63502542"/>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4797757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t>Cash Operating Cycle</a:t>
            </a:r>
          </a:p>
        </c:rich>
      </c:tx>
      <c:layout/>
      <c:overlay val="0"/>
      <c:spPr>
        <a:noFill/>
        <a:ln>
          <a:noFill/>
        </a:ln>
        <a:effectLst/>
      </c:spPr>
    </c:title>
    <c:autoTitleDeleted val="0"/>
    <c:plotArea>
      <c:layout/>
      <c:lineChart>
        <c:grouping val="stacked"/>
        <c:varyColors val="0"/>
        <c:ser>
          <c:idx val="0"/>
          <c:order val="0"/>
          <c:tx>
            <c:strRef>
              <c:f>[181025.xlsx]Charts!$B$28</c:f>
              <c:strCache>
                <c:ptCount val="1"/>
                <c:pt idx="0">
                  <c:v>Inventory days</c:v>
                </c:pt>
              </c:strCache>
            </c:strRef>
          </c:tx>
          <c:spPr>
            <a:ln w="28575" cap="rnd">
              <a:solidFill>
                <a:schemeClr val="accent1"/>
              </a:solidFill>
              <a:round/>
            </a:ln>
            <a:effectLst>
              <a:outerShdw blurRad="50800" dist="25400" dir="5400000" algn="t" rotWithShape="0">
                <a:schemeClr val="accent1">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[181025.xlsx]Charts!$C$27:$G$27</c:f>
              <c:numCache>
                <c:formatCode>General</c:formatCode>
                <c:ptCount val="5"/>
                <c:pt idx="0">
                  <c:v>2020.0</c:v>
                </c:pt>
                <c:pt idx="1">
                  <c:v>2021.0</c:v>
                </c:pt>
                <c:pt idx="2">
                  <c:v>2022.0</c:v>
                </c:pt>
                <c:pt idx="3">
                  <c:v>2023.0</c:v>
                </c:pt>
                <c:pt idx="4">
                  <c:v>2024.0</c:v>
                </c:pt>
              </c:numCache>
            </c:numRef>
          </c:cat>
          <c:val>
            <c:numRef>
              <c:f>[181025.xlsx]Charts!$C$28:$G$28</c:f>
              <c:numCache>
                <c:formatCode>0_ </c:formatCode>
                <c:ptCount val="5"/>
                <c:pt idx="0">
                  <c:v>106.105202954218</c:v>
                </c:pt>
                <c:pt idx="1">
                  <c:v>108.540800446118</c:v>
                </c:pt>
                <c:pt idx="2">
                  <c:v>128.371032553994</c:v>
                </c:pt>
                <c:pt idx="3">
                  <c:v>129.121221318253</c:v>
                </c:pt>
                <c:pt idx="4">
                  <c:v>108.913291916621</c:v>
                </c:pt>
              </c:numCache>
            </c:numRef>
          </c:val>
          <c:smooth val="0"/>
        </c:ser>
        <c:ser>
          <c:idx val="1"/>
          <c:order val="1"/>
          <c:tx>
            <c:strRef>
              <c:f>[181025.xlsx]Charts!$B$29</c:f>
              <c:strCache>
                <c:ptCount val="1"/>
                <c:pt idx="0">
                  <c:v>Receivable days</c:v>
                </c:pt>
              </c:strCache>
            </c:strRef>
          </c:tx>
          <c:spPr>
            <a:ln w="28575" cap="rnd">
              <a:solidFill>
                <a:schemeClr val="accent2"/>
              </a:solidFill>
              <a:round/>
            </a:ln>
            <a:effectLst>
              <a:outerShdw blurRad="50800" dist="25400" dir="5400000" algn="t" rotWithShape="0">
                <a:schemeClr val="accent2">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[181025.xlsx]Charts!$C$27:$G$27</c:f>
              <c:numCache>
                <c:formatCode>General</c:formatCode>
                <c:ptCount val="5"/>
                <c:pt idx="0">
                  <c:v>2020.0</c:v>
                </c:pt>
                <c:pt idx="1">
                  <c:v>2021.0</c:v>
                </c:pt>
                <c:pt idx="2">
                  <c:v>2022.0</c:v>
                </c:pt>
                <c:pt idx="3">
                  <c:v>2023.0</c:v>
                </c:pt>
                <c:pt idx="4">
                  <c:v>2024.0</c:v>
                </c:pt>
              </c:numCache>
            </c:numRef>
          </c:cat>
          <c:val>
            <c:numRef>
              <c:f>[181025.xlsx]Charts!$C$29:$G$29</c:f>
              <c:numCache>
                <c:formatCode>0_ </c:formatCode>
                <c:ptCount val="5"/>
                <c:pt idx="0">
                  <c:v>76.8579504782977</c:v>
                </c:pt>
                <c:pt idx="1">
                  <c:v>78.3964730835336</c:v>
                </c:pt>
                <c:pt idx="2">
                  <c:v>75.5526751678025</c:v>
                </c:pt>
                <c:pt idx="3">
                  <c:v>97.7449299214902</c:v>
                </c:pt>
                <c:pt idx="4">
                  <c:v>105.542280040215</c:v>
                </c:pt>
              </c:numCache>
            </c:numRef>
          </c:val>
          <c:smooth val="0"/>
        </c:ser>
        <c:ser>
          <c:idx val="2"/>
          <c:order val="2"/>
          <c:tx>
            <c:strRef>
              <c:f>[181025.xlsx]Charts!$B$30</c:f>
              <c:strCache>
                <c:ptCount val="1"/>
                <c:pt idx="0">
                  <c:v>Payable days</c:v>
                </c:pt>
              </c:strCache>
            </c:strRef>
          </c:tx>
          <c:spPr>
            <a:ln w="28575" cap="rnd">
              <a:solidFill>
                <a:schemeClr val="accent3"/>
              </a:solidFill>
              <a:round/>
            </a:ln>
            <a:effectLst>
              <a:outerShdw blurRad="50800" dist="25400" dir="5400000" algn="t" rotWithShape="0">
                <a:schemeClr val="accent3">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[181025.xlsx]Charts!$C$27:$G$27</c:f>
              <c:numCache>
                <c:formatCode>General</c:formatCode>
                <c:ptCount val="5"/>
                <c:pt idx="0">
                  <c:v>2020.0</c:v>
                </c:pt>
                <c:pt idx="1">
                  <c:v>2021.0</c:v>
                </c:pt>
                <c:pt idx="2">
                  <c:v>2022.0</c:v>
                </c:pt>
                <c:pt idx="3">
                  <c:v>2023.0</c:v>
                </c:pt>
                <c:pt idx="4">
                  <c:v>2024.0</c:v>
                </c:pt>
              </c:numCache>
            </c:numRef>
          </c:cat>
          <c:val>
            <c:numRef>
              <c:f>[181025.xlsx]Charts!$C$30:$G$30</c:f>
              <c:numCache>
                <c:formatCode>0_ </c:formatCode>
                <c:ptCount val="5"/>
                <c:pt idx="0">
                  <c:v>69.2904243380837</c:v>
                </c:pt>
                <c:pt idx="1">
                  <c:v>78.9527772722394</c:v>
                </c:pt>
                <c:pt idx="2">
                  <c:v>66.7192842270251</c:v>
                </c:pt>
                <c:pt idx="3">
                  <c:v>64.4696141494037</c:v>
                </c:pt>
                <c:pt idx="4">
                  <c:v>93.601705324243</c:v>
                </c:pt>
              </c:numCache>
            </c:numRef>
          </c:val>
          <c:smooth val="0"/>
        </c:ser>
        <c:ser>
          <c:idx val="3"/>
          <c:order val="3"/>
          <c:tx>
            <c:strRef>
              <c:f>[181025.xlsx]Charts!$B$31</c:f>
              <c:strCache>
                <c:ptCount val="1"/>
                <c:pt idx="0">
                  <c:v>Cash Operating Cycle</c:v>
                </c:pt>
              </c:strCache>
            </c:strRef>
          </c:tx>
          <c:spPr>
            <a:ln w="28575" cap="rnd">
              <a:solidFill>
                <a:schemeClr val="accent4"/>
              </a:solidFill>
              <a:round/>
            </a:ln>
            <a:effectLst>
              <a:outerShdw blurRad="50800" dist="25400" dir="5400000" algn="t" rotWithShape="0">
                <a:schemeClr val="accent4">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[181025.xlsx]Charts!$C$27:$G$27</c:f>
              <c:numCache>
                <c:formatCode>General</c:formatCode>
                <c:ptCount val="5"/>
                <c:pt idx="0">
                  <c:v>2020.0</c:v>
                </c:pt>
                <c:pt idx="1">
                  <c:v>2021.0</c:v>
                </c:pt>
                <c:pt idx="2">
                  <c:v>2022.0</c:v>
                </c:pt>
                <c:pt idx="3">
                  <c:v>2023.0</c:v>
                </c:pt>
                <c:pt idx="4">
                  <c:v>2024.0</c:v>
                </c:pt>
              </c:numCache>
            </c:numRef>
          </c:cat>
          <c:val>
            <c:numRef>
              <c:f>[181025.xlsx]Charts!$C$31:$G$31</c:f>
              <c:numCache>
                <c:formatCode>0_ </c:formatCode>
                <c:ptCount val="5"/>
                <c:pt idx="0">
                  <c:v>113.672729094432</c:v>
                </c:pt>
                <c:pt idx="1">
                  <c:v>107.984496257412</c:v>
                </c:pt>
                <c:pt idx="2">
                  <c:v>137.204423494772</c:v>
                </c:pt>
                <c:pt idx="3">
                  <c:v>162.39653709034</c:v>
                </c:pt>
                <c:pt idx="4">
                  <c:v>120.853866632593</c:v>
                </c:pt>
              </c:numCache>
            </c:numRef>
          </c:val>
          <c:smooth val="0"/>
        </c:ser>
        <c:dLbls>
          <c:showLegendKey val="0"/>
          <c:showVal val="1"/>
          <c:showCatName val="0"/>
          <c:showSerName val="0"/>
          <c:showPercent val="0"/>
          <c:showBubbleSize val="0"/>
        </c:dLbls>
        <c:marker val="0"/>
        <c:smooth val="0"/>
        <c:axId val="86225359"/>
        <c:axId val="615025436"/>
      </c:lineChart>
      <c:catAx>
        <c:axId val="86225359"/>
        <c:scaling>
          <c:orientation val="minMax"/>
        </c:scaling>
        <c:delete val="0"/>
        <c:axPos val="b"/>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615025436"/>
        <c:crosses val="autoZero"/>
        <c:auto val="1"/>
        <c:lblAlgn val="ctr"/>
        <c:lblOffset val="100"/>
        <c:noMultiLvlLbl val="0"/>
      </c:catAx>
      <c:valAx>
        <c:axId val="615025436"/>
        <c:scaling>
          <c:orientation val="minMax"/>
        </c:scaling>
        <c:delete val="1"/>
        <c:axPos val="l"/>
        <c:numFmt formatCode="0_ "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86225359"/>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legend>
    <c:plotVisOnly val="1"/>
    <c:dispBlanksAs val="zero"/>
    <c:showDLblsOverMax val="0"/>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44">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styleClr val="auto"/>
    </cs:effectRef>
    <cs:fontRef idx="minor">
      <a:schemeClr val="dk1"/>
    </cs:fontRef>
    <cs:spPr>
      <a:ln w="28575" cap="rnd">
        <a:solidFill>
          <a:schemeClr val="phClr"/>
        </a:solidFill>
        <a:round/>
      </a:ln>
      <a:effectLst>
        <a:outerShdw blurRad="50800" dist="25400" dir="5400000" algn="t" rotWithShape="0">
          <a:schemeClr val="phClr">
            <a:lumMod val="50000"/>
            <a:alpha val="30000"/>
          </a:schemeClr>
        </a:outerShdw>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3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3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1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0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6806</Words>
  <Pages>30</Pages>
  <Characters>37762</Characters>
  <Application>WPS Office</Application>
  <DocSecurity>0</DocSecurity>
  <Paragraphs>1257</Paragraphs>
  <ScaleCrop>false</ScaleCrop>
  <LinksUpToDate>false</LinksUpToDate>
  <CharactersWithSpaces>43773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2025-10-17T05:24:00Z</dcterms:created>
  <dc:creator>google1582520940</dc:creator>
  <lastModifiedBy>CPH2665</lastModifiedBy>
  <dcterms:modified xsi:type="dcterms:W3CDTF">2025-11-23T17:32:54Z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1033-12.1.22554.22554</vt:lpwstr>
  </property>
  <property fmtid="{D5CDD505-2E9C-101B-9397-08002B2CF9AE}" pid="3" name="ICV">
    <vt:lpwstr>78d5dd0309f84f79951146ac07c8855a</vt:lpwstr>
  </property>
</Properties>
</file>