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207D0" w:rsidRDefault="008C4A82" w:rsidP="008C4A82">
      <w:pPr>
        <w:jc w:val="center"/>
        <w:rPr>
          <w:rFonts w:ascii="Times New Roman" w:hAnsi="Times New Roman" w:cs="Times New Roman"/>
          <w:b/>
          <w:sz w:val="36"/>
          <w:u w:val="single"/>
        </w:rPr>
      </w:pPr>
      <w:r>
        <w:rPr>
          <w:rFonts w:ascii="Times New Roman" w:hAnsi="Times New Roman" w:cs="Times New Roman"/>
          <w:b/>
          <w:sz w:val="36"/>
          <w:u w:val="single"/>
        </w:rPr>
        <w:t>What Challenges faced the British State when confronted with the rise of a more militant women’s Suffrage movement in the early years of the twentieth century, and how effective was the response?</w:t>
      </w:r>
    </w:p>
    <w:p w:rsidR="00A9300E" w:rsidRDefault="00A9300E" w:rsidP="008C4A82">
      <w:pPr>
        <w:jc w:val="center"/>
        <w:rPr>
          <w:rFonts w:ascii="Times New Roman" w:hAnsi="Times New Roman" w:cs="Times New Roman"/>
          <w:b/>
          <w:sz w:val="36"/>
          <w:u w:val="single"/>
        </w:rPr>
      </w:pPr>
    </w:p>
    <w:p w:rsidR="00A9300E" w:rsidRDefault="00705740" w:rsidP="00A9300E">
      <w:pPr>
        <w:jc w:val="both"/>
        <w:rPr>
          <w:rFonts w:ascii="Times New Roman" w:hAnsi="Times New Roman" w:cs="Times New Roman"/>
        </w:rPr>
      </w:pPr>
      <w:r>
        <w:rPr>
          <w:rFonts w:ascii="Times New Roman" w:hAnsi="Times New Roman" w:cs="Times New Roman"/>
        </w:rPr>
        <w:t xml:space="preserve">In 1903 Christabel, Sylvia and Adela Pankhurst founded the Women’s Social and Political Union (WSPU) which would be known as the most militant of the </w:t>
      </w:r>
      <w:r w:rsidR="007719B3">
        <w:rPr>
          <w:rFonts w:ascii="Times New Roman" w:hAnsi="Times New Roman" w:cs="Times New Roman"/>
        </w:rPr>
        <w:t>S</w:t>
      </w:r>
      <w:r>
        <w:rPr>
          <w:rFonts w:ascii="Times New Roman" w:hAnsi="Times New Roman" w:cs="Times New Roman"/>
        </w:rPr>
        <w:t xml:space="preserve">uffrage </w:t>
      </w:r>
      <w:r w:rsidR="007719B3">
        <w:rPr>
          <w:rFonts w:ascii="Times New Roman" w:hAnsi="Times New Roman" w:cs="Times New Roman"/>
        </w:rPr>
        <w:t>m</w:t>
      </w:r>
      <w:r>
        <w:rPr>
          <w:rFonts w:ascii="Times New Roman" w:hAnsi="Times New Roman" w:cs="Times New Roman"/>
        </w:rPr>
        <w:t>ovements.</w:t>
      </w:r>
      <w:r>
        <w:rPr>
          <w:rStyle w:val="FootnoteReference"/>
          <w:rFonts w:ascii="Times New Roman" w:hAnsi="Times New Roman" w:cs="Times New Roman"/>
        </w:rPr>
        <w:footnoteReference w:id="1"/>
      </w:r>
      <w:r w:rsidR="00B24222">
        <w:rPr>
          <w:rFonts w:ascii="Times New Roman" w:hAnsi="Times New Roman" w:cs="Times New Roman"/>
        </w:rPr>
        <w:t xml:space="preserve"> </w:t>
      </w:r>
      <w:r w:rsidR="00860A57">
        <w:rPr>
          <w:rFonts w:ascii="Times New Roman" w:hAnsi="Times New Roman" w:cs="Times New Roman"/>
        </w:rPr>
        <w:t xml:space="preserve">This movement would later become the Women’s Freedom League </w:t>
      </w:r>
      <w:r w:rsidR="007B4D06">
        <w:rPr>
          <w:rFonts w:ascii="Times New Roman" w:hAnsi="Times New Roman" w:cs="Times New Roman"/>
        </w:rPr>
        <w:t xml:space="preserve">(WFL) </w:t>
      </w:r>
      <w:r w:rsidR="00860A57">
        <w:rPr>
          <w:rFonts w:ascii="Times New Roman" w:hAnsi="Times New Roman" w:cs="Times New Roman"/>
        </w:rPr>
        <w:t xml:space="preserve">in November 1907 after issues regarding how the more militant suffrage supporters should </w:t>
      </w:r>
      <w:r w:rsidR="00A52781">
        <w:rPr>
          <w:rFonts w:ascii="Times New Roman" w:hAnsi="Times New Roman" w:cs="Times New Roman"/>
        </w:rPr>
        <w:t>operate.</w:t>
      </w:r>
      <w:r w:rsidR="00A52781">
        <w:rPr>
          <w:rStyle w:val="FootnoteReference"/>
          <w:rFonts w:ascii="Times New Roman" w:hAnsi="Times New Roman" w:cs="Times New Roman"/>
        </w:rPr>
        <w:footnoteReference w:id="2"/>
      </w:r>
      <w:r w:rsidR="00A52781">
        <w:rPr>
          <w:rFonts w:ascii="Times New Roman" w:hAnsi="Times New Roman" w:cs="Times New Roman"/>
        </w:rPr>
        <w:t xml:space="preserve"> </w:t>
      </w:r>
      <w:r w:rsidR="00F23134">
        <w:rPr>
          <w:rFonts w:ascii="Times New Roman" w:hAnsi="Times New Roman" w:cs="Times New Roman"/>
        </w:rPr>
        <w:t>Whi</w:t>
      </w:r>
      <w:r w:rsidR="007B4D06">
        <w:rPr>
          <w:rFonts w:ascii="Times New Roman" w:hAnsi="Times New Roman" w:cs="Times New Roman"/>
        </w:rPr>
        <w:t>le</w:t>
      </w:r>
      <w:r w:rsidR="00F23134">
        <w:rPr>
          <w:rFonts w:ascii="Times New Roman" w:hAnsi="Times New Roman" w:cs="Times New Roman"/>
        </w:rPr>
        <w:t xml:space="preserve"> both </w:t>
      </w:r>
      <w:r w:rsidR="007B4D06">
        <w:rPr>
          <w:rFonts w:ascii="Times New Roman" w:hAnsi="Times New Roman" w:cs="Times New Roman"/>
        </w:rPr>
        <w:t xml:space="preserve">organisations used militancy to work to their goal, it would be the WFL which would escalate the frequency and severity of militant acts. </w:t>
      </w:r>
      <w:r w:rsidR="002A7B26">
        <w:rPr>
          <w:rFonts w:ascii="Times New Roman" w:hAnsi="Times New Roman" w:cs="Times New Roman"/>
        </w:rPr>
        <w:t xml:space="preserve">The reason for this new strategy of militancy can be best summarised by Teresa Billington-Greig </w:t>
      </w:r>
      <w:r w:rsidR="008C4815">
        <w:rPr>
          <w:rFonts w:ascii="Times New Roman" w:hAnsi="Times New Roman" w:cs="Times New Roman"/>
        </w:rPr>
        <w:t>who said ‘To so be shut out from the rights and privileges of law is to be an outlaw. An outlaw must be either a rebel or a willing serf. Anyone who believes in human liberty and self-government is forced to rebel</w:t>
      </w:r>
      <w:r w:rsidR="00D86ADE">
        <w:rPr>
          <w:rFonts w:ascii="Times New Roman" w:hAnsi="Times New Roman" w:cs="Times New Roman"/>
        </w:rPr>
        <w:t>. There is no other way. It is either servile submission to tyranny or rebellion against it’.</w:t>
      </w:r>
      <w:r w:rsidR="00D86ADE">
        <w:rPr>
          <w:rStyle w:val="FootnoteReference"/>
          <w:rFonts w:ascii="Times New Roman" w:hAnsi="Times New Roman" w:cs="Times New Roman"/>
        </w:rPr>
        <w:footnoteReference w:id="3"/>
      </w:r>
      <w:r w:rsidR="00860A57">
        <w:rPr>
          <w:rFonts w:ascii="Times New Roman" w:hAnsi="Times New Roman" w:cs="Times New Roman"/>
        </w:rPr>
        <w:t xml:space="preserve"> </w:t>
      </w:r>
      <w:r w:rsidR="00BE2F29">
        <w:rPr>
          <w:rFonts w:ascii="Times New Roman" w:hAnsi="Times New Roman" w:cs="Times New Roman"/>
        </w:rPr>
        <w:t xml:space="preserve">This new wave of more militant action began on 2 February 1904 in Manchester </w:t>
      </w:r>
      <w:r w:rsidR="002E2787">
        <w:rPr>
          <w:rFonts w:ascii="Times New Roman" w:hAnsi="Times New Roman" w:cs="Times New Roman"/>
        </w:rPr>
        <w:t>when</w:t>
      </w:r>
      <w:r w:rsidR="00BE2F29">
        <w:rPr>
          <w:rFonts w:ascii="Times New Roman" w:hAnsi="Times New Roman" w:cs="Times New Roman"/>
        </w:rPr>
        <w:t xml:space="preserve"> </w:t>
      </w:r>
      <w:r w:rsidR="00F622F9">
        <w:rPr>
          <w:rFonts w:ascii="Times New Roman" w:hAnsi="Times New Roman" w:cs="Times New Roman"/>
        </w:rPr>
        <w:t>Christabel Pankhurst attempted to move an amendment regarding Woman Suffrage at the Free Trade Hall meeting, but it was denied by the speaker.</w:t>
      </w:r>
      <w:r w:rsidR="00C52062">
        <w:rPr>
          <w:rStyle w:val="FootnoteReference"/>
          <w:rFonts w:ascii="Times New Roman" w:hAnsi="Times New Roman" w:cs="Times New Roman"/>
        </w:rPr>
        <w:footnoteReference w:id="4"/>
      </w:r>
      <w:r w:rsidR="00F622F9">
        <w:rPr>
          <w:rFonts w:ascii="Times New Roman" w:hAnsi="Times New Roman" w:cs="Times New Roman"/>
        </w:rPr>
        <w:t xml:space="preserve"> </w:t>
      </w:r>
      <w:r w:rsidR="00860A57">
        <w:rPr>
          <w:rFonts w:ascii="Times New Roman" w:hAnsi="Times New Roman" w:cs="Times New Roman"/>
        </w:rPr>
        <w:t>This new strategy of militancy would</w:t>
      </w:r>
      <w:r w:rsidR="00F622F9">
        <w:rPr>
          <w:rFonts w:ascii="Times New Roman" w:hAnsi="Times New Roman" w:cs="Times New Roman"/>
        </w:rPr>
        <w:t xml:space="preserve"> grow to be more violent and </w:t>
      </w:r>
      <w:r w:rsidR="00860A57">
        <w:rPr>
          <w:rFonts w:ascii="Times New Roman" w:hAnsi="Times New Roman" w:cs="Times New Roman"/>
        </w:rPr>
        <w:t xml:space="preserve">prove difficult for the British State to </w:t>
      </w:r>
      <w:r w:rsidR="00BE2F29">
        <w:rPr>
          <w:rFonts w:ascii="Times New Roman" w:hAnsi="Times New Roman" w:cs="Times New Roman"/>
        </w:rPr>
        <w:t>combat, as any action they made could potentially play into the Suffragettes favour.</w:t>
      </w:r>
      <w:r w:rsidR="00C52062">
        <w:rPr>
          <w:rFonts w:ascii="Times New Roman" w:hAnsi="Times New Roman" w:cs="Times New Roman"/>
        </w:rPr>
        <w:t xml:space="preserve"> This led to an era of bad decisions and militant acts </w:t>
      </w:r>
      <w:r w:rsidR="00096F15">
        <w:rPr>
          <w:rFonts w:ascii="Times New Roman" w:hAnsi="Times New Roman" w:cs="Times New Roman"/>
        </w:rPr>
        <w:t xml:space="preserve">by both sides </w:t>
      </w:r>
      <w:r w:rsidR="00C52062">
        <w:rPr>
          <w:rFonts w:ascii="Times New Roman" w:hAnsi="Times New Roman" w:cs="Times New Roman"/>
        </w:rPr>
        <w:t xml:space="preserve">which would shape the Suffragette </w:t>
      </w:r>
      <w:r w:rsidR="00957A7E">
        <w:rPr>
          <w:rFonts w:ascii="Times New Roman" w:hAnsi="Times New Roman" w:cs="Times New Roman"/>
        </w:rPr>
        <w:t>M</w:t>
      </w:r>
      <w:r w:rsidR="00C52062">
        <w:rPr>
          <w:rFonts w:ascii="Times New Roman" w:hAnsi="Times New Roman" w:cs="Times New Roman"/>
        </w:rPr>
        <w:t xml:space="preserve">ovement and aid it in achieving its goal of the vote for women. To best understand how the British State combated the more militant Suffragette </w:t>
      </w:r>
      <w:r w:rsidR="008C1FA6">
        <w:rPr>
          <w:rFonts w:ascii="Times New Roman" w:hAnsi="Times New Roman" w:cs="Times New Roman"/>
        </w:rPr>
        <w:t>M</w:t>
      </w:r>
      <w:r w:rsidR="00C52062">
        <w:rPr>
          <w:rFonts w:ascii="Times New Roman" w:hAnsi="Times New Roman" w:cs="Times New Roman"/>
        </w:rPr>
        <w:t xml:space="preserve">ovement, specific examples of the </w:t>
      </w:r>
      <w:r w:rsidR="007C590C">
        <w:rPr>
          <w:rFonts w:ascii="Times New Roman" w:hAnsi="Times New Roman" w:cs="Times New Roman"/>
        </w:rPr>
        <w:t xml:space="preserve">Women’s Suffrage </w:t>
      </w:r>
      <w:r w:rsidR="008C1FA6">
        <w:rPr>
          <w:rFonts w:ascii="Times New Roman" w:hAnsi="Times New Roman" w:cs="Times New Roman"/>
        </w:rPr>
        <w:t>M</w:t>
      </w:r>
      <w:r w:rsidR="007C590C">
        <w:rPr>
          <w:rFonts w:ascii="Times New Roman" w:hAnsi="Times New Roman" w:cs="Times New Roman"/>
        </w:rPr>
        <w:t>ovement’s militancy will be looked at as well as how it challenged the British State and how they reacted to it.</w:t>
      </w:r>
    </w:p>
    <w:p w:rsidR="0059464F" w:rsidRDefault="006C49E2" w:rsidP="00A9300E">
      <w:pPr>
        <w:jc w:val="both"/>
        <w:rPr>
          <w:rFonts w:ascii="Times New Roman" w:hAnsi="Times New Roman" w:cs="Times New Roman"/>
        </w:rPr>
      </w:pPr>
      <w:r>
        <w:rPr>
          <w:rFonts w:ascii="Times New Roman" w:hAnsi="Times New Roman" w:cs="Times New Roman"/>
        </w:rPr>
        <w:t>The t</w:t>
      </w:r>
      <w:r w:rsidR="005B79F2">
        <w:rPr>
          <w:rFonts w:ascii="Times New Roman" w:hAnsi="Times New Roman" w:cs="Times New Roman"/>
        </w:rPr>
        <w:t>hree</w:t>
      </w:r>
      <w:r>
        <w:rPr>
          <w:rFonts w:ascii="Times New Roman" w:hAnsi="Times New Roman" w:cs="Times New Roman"/>
        </w:rPr>
        <w:t xml:space="preserve"> </w:t>
      </w:r>
      <w:r w:rsidR="0059464F">
        <w:rPr>
          <w:rFonts w:ascii="Times New Roman" w:hAnsi="Times New Roman" w:cs="Times New Roman"/>
        </w:rPr>
        <w:t>bigges</w:t>
      </w:r>
      <w:r w:rsidR="00BE05AB">
        <w:rPr>
          <w:rFonts w:ascii="Times New Roman" w:hAnsi="Times New Roman" w:cs="Times New Roman"/>
        </w:rPr>
        <w:t xml:space="preserve">t challenges faced by the British State against the more militant Suffrage </w:t>
      </w:r>
      <w:r w:rsidR="00757F63">
        <w:rPr>
          <w:rFonts w:ascii="Times New Roman" w:hAnsi="Times New Roman" w:cs="Times New Roman"/>
        </w:rPr>
        <w:t>M</w:t>
      </w:r>
      <w:r w:rsidR="00BE05AB">
        <w:rPr>
          <w:rFonts w:ascii="Times New Roman" w:hAnsi="Times New Roman" w:cs="Times New Roman"/>
        </w:rPr>
        <w:t>ovement w</w:t>
      </w:r>
      <w:r>
        <w:rPr>
          <w:rFonts w:ascii="Times New Roman" w:hAnsi="Times New Roman" w:cs="Times New Roman"/>
        </w:rPr>
        <w:t xml:space="preserve">ere issues regarding </w:t>
      </w:r>
      <w:r w:rsidR="00BE05AB">
        <w:rPr>
          <w:rFonts w:ascii="Times New Roman" w:hAnsi="Times New Roman" w:cs="Times New Roman"/>
        </w:rPr>
        <w:t>public opinion</w:t>
      </w:r>
      <w:r w:rsidR="005B79F2">
        <w:rPr>
          <w:rFonts w:ascii="Times New Roman" w:hAnsi="Times New Roman" w:cs="Times New Roman"/>
        </w:rPr>
        <w:t xml:space="preserve">, </w:t>
      </w:r>
      <w:r>
        <w:rPr>
          <w:rFonts w:ascii="Times New Roman" w:hAnsi="Times New Roman" w:cs="Times New Roman"/>
        </w:rPr>
        <w:t xml:space="preserve">combating the new strategies of a more radical Suffrage </w:t>
      </w:r>
      <w:r w:rsidR="00757F63">
        <w:rPr>
          <w:rFonts w:ascii="Times New Roman" w:hAnsi="Times New Roman" w:cs="Times New Roman"/>
        </w:rPr>
        <w:t>M</w:t>
      </w:r>
      <w:r>
        <w:rPr>
          <w:rFonts w:ascii="Times New Roman" w:hAnsi="Times New Roman" w:cs="Times New Roman"/>
        </w:rPr>
        <w:t>ovement</w:t>
      </w:r>
      <w:r w:rsidR="005B79F2">
        <w:rPr>
          <w:rFonts w:ascii="Times New Roman" w:hAnsi="Times New Roman" w:cs="Times New Roman"/>
        </w:rPr>
        <w:t xml:space="preserve"> and their actions backfiring on them and only proving to aid the Suffrag</w:t>
      </w:r>
      <w:r w:rsidR="00D3128A">
        <w:rPr>
          <w:rFonts w:ascii="Times New Roman" w:hAnsi="Times New Roman" w:cs="Times New Roman"/>
        </w:rPr>
        <w:t>ettes</w:t>
      </w:r>
      <w:r w:rsidR="00BE05AB">
        <w:rPr>
          <w:rFonts w:ascii="Times New Roman" w:hAnsi="Times New Roman" w:cs="Times New Roman"/>
        </w:rPr>
        <w:t>.</w:t>
      </w:r>
      <w:r w:rsidR="00096F15">
        <w:rPr>
          <w:rFonts w:ascii="Times New Roman" w:hAnsi="Times New Roman" w:cs="Times New Roman"/>
        </w:rPr>
        <w:t xml:space="preserve"> </w:t>
      </w:r>
      <w:r>
        <w:rPr>
          <w:rFonts w:ascii="Times New Roman" w:hAnsi="Times New Roman" w:cs="Times New Roman"/>
        </w:rPr>
        <w:t>Public opinion was important as a</w:t>
      </w:r>
      <w:r w:rsidR="00096F15">
        <w:rPr>
          <w:rFonts w:ascii="Times New Roman" w:hAnsi="Times New Roman" w:cs="Times New Roman"/>
        </w:rPr>
        <w:t xml:space="preserve">ctions by either side could potentially play into the others favour as public opinion </w:t>
      </w:r>
      <w:r w:rsidR="0051415B">
        <w:rPr>
          <w:rFonts w:ascii="Times New Roman" w:hAnsi="Times New Roman" w:cs="Times New Roman"/>
        </w:rPr>
        <w:t>could be a</w:t>
      </w:r>
      <w:r w:rsidR="00096F15">
        <w:rPr>
          <w:rFonts w:ascii="Times New Roman" w:hAnsi="Times New Roman" w:cs="Times New Roman"/>
        </w:rPr>
        <w:t xml:space="preserve"> heavy influence on both the British State and the Suffragettes. </w:t>
      </w:r>
      <w:r w:rsidR="00DB01C3">
        <w:rPr>
          <w:rFonts w:ascii="Times New Roman" w:hAnsi="Times New Roman" w:cs="Times New Roman"/>
        </w:rPr>
        <w:t xml:space="preserve">However, one advantage the Suffragettes had is that negative public support of their actions and ideas </w:t>
      </w:r>
      <w:r w:rsidR="00BD630A">
        <w:rPr>
          <w:rFonts w:ascii="Times New Roman" w:hAnsi="Times New Roman" w:cs="Times New Roman"/>
        </w:rPr>
        <w:t xml:space="preserve">could have </w:t>
      </w:r>
      <w:r w:rsidR="00D276C6">
        <w:rPr>
          <w:rFonts w:ascii="Times New Roman" w:hAnsi="Times New Roman" w:cs="Times New Roman"/>
        </w:rPr>
        <w:t>negligible effect</w:t>
      </w:r>
      <w:r w:rsidR="00DB01C3">
        <w:rPr>
          <w:rFonts w:ascii="Times New Roman" w:hAnsi="Times New Roman" w:cs="Times New Roman"/>
        </w:rPr>
        <w:t xml:space="preserve"> on them</w:t>
      </w:r>
      <w:r w:rsidR="003454AE">
        <w:rPr>
          <w:rFonts w:ascii="Times New Roman" w:hAnsi="Times New Roman" w:cs="Times New Roman"/>
        </w:rPr>
        <w:t>, a</w:t>
      </w:r>
      <w:r w:rsidR="00BD630A">
        <w:rPr>
          <w:rFonts w:ascii="Times New Roman" w:hAnsi="Times New Roman" w:cs="Times New Roman"/>
        </w:rPr>
        <w:t>s they</w:t>
      </w:r>
      <w:r w:rsidR="003454AE">
        <w:rPr>
          <w:rFonts w:ascii="Times New Roman" w:hAnsi="Times New Roman" w:cs="Times New Roman"/>
        </w:rPr>
        <w:t xml:space="preserve"> would even work into deliberately antagonising the public to highlight the failure of the British State to stop them</w:t>
      </w:r>
      <w:r w:rsidR="00DB01C3">
        <w:rPr>
          <w:rFonts w:ascii="Times New Roman" w:hAnsi="Times New Roman" w:cs="Times New Roman"/>
        </w:rPr>
        <w:t xml:space="preserve">. </w:t>
      </w:r>
      <w:r w:rsidR="00D276C6">
        <w:rPr>
          <w:rFonts w:ascii="Times New Roman" w:hAnsi="Times New Roman" w:cs="Times New Roman"/>
        </w:rPr>
        <w:t>Emmeline Pankhurst expressed this view when she said</w:t>
      </w:r>
      <w:r w:rsidR="003454AE">
        <w:rPr>
          <w:rFonts w:ascii="Times New Roman" w:hAnsi="Times New Roman" w:cs="Times New Roman"/>
        </w:rPr>
        <w:t xml:space="preserve"> ‘We are not destroying Orchid houses, breaking windows, cutting telegraph wires, injuring golf greens, to win the approval of people who we attacked. If the general public were pleased with what we were doing, that would be a proof that our warfare is ineffective.</w:t>
      </w:r>
      <w:r w:rsidR="00E0439F">
        <w:rPr>
          <w:rFonts w:ascii="Times New Roman" w:hAnsi="Times New Roman" w:cs="Times New Roman"/>
        </w:rPr>
        <w:t xml:space="preserve"> </w:t>
      </w:r>
      <w:r w:rsidR="003454AE">
        <w:rPr>
          <w:rFonts w:ascii="Times New Roman" w:hAnsi="Times New Roman" w:cs="Times New Roman"/>
        </w:rPr>
        <w:t>We don’t intend that you should be pleased’.</w:t>
      </w:r>
      <w:r w:rsidR="00E0439F">
        <w:rPr>
          <w:rStyle w:val="FootnoteReference"/>
          <w:rFonts w:ascii="Times New Roman" w:hAnsi="Times New Roman" w:cs="Times New Roman"/>
        </w:rPr>
        <w:footnoteReference w:id="5"/>
      </w:r>
      <w:r w:rsidR="003454AE">
        <w:rPr>
          <w:rFonts w:ascii="Times New Roman" w:hAnsi="Times New Roman" w:cs="Times New Roman"/>
        </w:rPr>
        <w:t xml:space="preserve"> </w:t>
      </w:r>
      <w:r w:rsidR="000177FE">
        <w:rPr>
          <w:rFonts w:ascii="Times New Roman" w:hAnsi="Times New Roman" w:cs="Times New Roman"/>
        </w:rPr>
        <w:t>Two</w:t>
      </w:r>
      <w:r w:rsidR="00096F15">
        <w:rPr>
          <w:rFonts w:ascii="Times New Roman" w:hAnsi="Times New Roman" w:cs="Times New Roman"/>
        </w:rPr>
        <w:t xml:space="preserve"> example</w:t>
      </w:r>
      <w:r w:rsidR="000177FE">
        <w:rPr>
          <w:rFonts w:ascii="Times New Roman" w:hAnsi="Times New Roman" w:cs="Times New Roman"/>
        </w:rPr>
        <w:t>s</w:t>
      </w:r>
      <w:r w:rsidR="00096F15">
        <w:rPr>
          <w:rFonts w:ascii="Times New Roman" w:hAnsi="Times New Roman" w:cs="Times New Roman"/>
        </w:rPr>
        <w:t xml:space="preserve"> of the challenges public opinion </w:t>
      </w:r>
      <w:r w:rsidR="005C5D1B">
        <w:rPr>
          <w:rFonts w:ascii="Times New Roman" w:hAnsi="Times New Roman" w:cs="Times New Roman"/>
        </w:rPr>
        <w:t xml:space="preserve">and the change in Suffrage strategy </w:t>
      </w:r>
      <w:r w:rsidR="00096F15">
        <w:rPr>
          <w:rFonts w:ascii="Times New Roman" w:hAnsi="Times New Roman" w:cs="Times New Roman"/>
        </w:rPr>
        <w:t xml:space="preserve">brought can be seen </w:t>
      </w:r>
      <w:r w:rsidR="00DB01C3">
        <w:rPr>
          <w:rFonts w:ascii="Times New Roman" w:hAnsi="Times New Roman" w:cs="Times New Roman"/>
        </w:rPr>
        <w:t xml:space="preserve">with </w:t>
      </w:r>
      <w:r w:rsidR="003454AE">
        <w:rPr>
          <w:rFonts w:ascii="Times New Roman" w:hAnsi="Times New Roman" w:cs="Times New Roman"/>
        </w:rPr>
        <w:t xml:space="preserve">the </w:t>
      </w:r>
      <w:r w:rsidR="005C5D1B">
        <w:rPr>
          <w:rFonts w:ascii="Times New Roman" w:hAnsi="Times New Roman" w:cs="Times New Roman"/>
        </w:rPr>
        <w:t>level of property damage caused by the Suffragettes</w:t>
      </w:r>
      <w:r w:rsidR="000177FE">
        <w:rPr>
          <w:rFonts w:ascii="Times New Roman" w:hAnsi="Times New Roman" w:cs="Times New Roman"/>
        </w:rPr>
        <w:t xml:space="preserve"> and the frequency in which they attempted to interrupt important meetings</w:t>
      </w:r>
      <w:r w:rsidR="005C5D1B">
        <w:rPr>
          <w:rFonts w:ascii="Times New Roman" w:hAnsi="Times New Roman" w:cs="Times New Roman"/>
        </w:rPr>
        <w:t>.</w:t>
      </w:r>
      <w:r w:rsidR="00644D87">
        <w:rPr>
          <w:rFonts w:ascii="Times New Roman" w:hAnsi="Times New Roman" w:cs="Times New Roman"/>
        </w:rPr>
        <w:t xml:space="preserve"> There are many examples of property damage caused by the Suffrage </w:t>
      </w:r>
      <w:r w:rsidR="00757F63">
        <w:rPr>
          <w:rFonts w:ascii="Times New Roman" w:hAnsi="Times New Roman" w:cs="Times New Roman"/>
        </w:rPr>
        <w:lastRenderedPageBreak/>
        <w:t>M</w:t>
      </w:r>
      <w:r w:rsidR="00644D87">
        <w:rPr>
          <w:rFonts w:ascii="Times New Roman" w:hAnsi="Times New Roman" w:cs="Times New Roman"/>
        </w:rPr>
        <w:t xml:space="preserve">ovement such as on </w:t>
      </w:r>
      <w:r w:rsidR="0044642D">
        <w:rPr>
          <w:rFonts w:ascii="Times New Roman" w:hAnsi="Times New Roman" w:cs="Times New Roman"/>
        </w:rPr>
        <w:t xml:space="preserve">30 </w:t>
      </w:r>
      <w:r w:rsidR="003559CA">
        <w:rPr>
          <w:rFonts w:ascii="Times New Roman" w:hAnsi="Times New Roman" w:cs="Times New Roman"/>
        </w:rPr>
        <w:t>June 190</w:t>
      </w:r>
      <w:r w:rsidR="0070707B">
        <w:rPr>
          <w:rFonts w:ascii="Times New Roman" w:hAnsi="Times New Roman" w:cs="Times New Roman"/>
        </w:rPr>
        <w:t>8</w:t>
      </w:r>
      <w:r w:rsidR="003559CA">
        <w:rPr>
          <w:rFonts w:ascii="Times New Roman" w:hAnsi="Times New Roman" w:cs="Times New Roman"/>
        </w:rPr>
        <w:t xml:space="preserve">, </w:t>
      </w:r>
      <w:r w:rsidR="008B79DF">
        <w:rPr>
          <w:rFonts w:ascii="Times New Roman" w:hAnsi="Times New Roman" w:cs="Times New Roman"/>
        </w:rPr>
        <w:t>when</w:t>
      </w:r>
      <w:r w:rsidR="003559CA">
        <w:rPr>
          <w:rFonts w:ascii="Times New Roman" w:hAnsi="Times New Roman" w:cs="Times New Roman"/>
        </w:rPr>
        <w:t xml:space="preserve"> two WSPU members, Mary Leigh and Edith New, took a cab to 10 Downing Street and smashed Asquith’s windows commenting ‘It will be a bomb next time’.</w:t>
      </w:r>
      <w:r w:rsidR="003559CA">
        <w:rPr>
          <w:rStyle w:val="FootnoteReference"/>
          <w:rFonts w:ascii="Times New Roman" w:hAnsi="Times New Roman" w:cs="Times New Roman"/>
        </w:rPr>
        <w:footnoteReference w:id="6"/>
      </w:r>
      <w:r w:rsidR="003559CA">
        <w:rPr>
          <w:rFonts w:ascii="Times New Roman" w:hAnsi="Times New Roman" w:cs="Times New Roman"/>
        </w:rPr>
        <w:t xml:space="preserve"> This was one of many militant attacks which marked the increase in the number and severity of other militant actions.</w:t>
      </w:r>
      <w:r w:rsidR="00AD4889">
        <w:rPr>
          <w:rFonts w:ascii="Times New Roman" w:hAnsi="Times New Roman" w:cs="Times New Roman"/>
        </w:rPr>
        <w:t xml:space="preserve"> </w:t>
      </w:r>
      <w:r w:rsidR="0070707B">
        <w:rPr>
          <w:rFonts w:ascii="Times New Roman" w:hAnsi="Times New Roman" w:cs="Times New Roman"/>
        </w:rPr>
        <w:t xml:space="preserve">The significant increase of these attacks was marked at the end of the ‘rush the Commons’ incident which took place on the 12 October 1908, </w:t>
      </w:r>
      <w:r w:rsidR="00DB6CFE">
        <w:rPr>
          <w:rFonts w:ascii="Times New Roman" w:hAnsi="Times New Roman" w:cs="Times New Roman"/>
        </w:rPr>
        <w:t>and</w:t>
      </w:r>
      <w:r w:rsidR="0070707B">
        <w:rPr>
          <w:rFonts w:ascii="Times New Roman" w:hAnsi="Times New Roman" w:cs="Times New Roman"/>
        </w:rPr>
        <w:t xml:space="preserve"> highlights </w:t>
      </w:r>
      <w:r w:rsidR="00DB6CFE">
        <w:rPr>
          <w:rFonts w:ascii="Times New Roman" w:hAnsi="Times New Roman" w:cs="Times New Roman"/>
        </w:rPr>
        <w:t xml:space="preserve">how the Suffrage </w:t>
      </w:r>
      <w:r w:rsidR="007719B3">
        <w:rPr>
          <w:rFonts w:ascii="Times New Roman" w:hAnsi="Times New Roman" w:cs="Times New Roman"/>
        </w:rPr>
        <w:t>M</w:t>
      </w:r>
      <w:r w:rsidR="00DB6CFE">
        <w:rPr>
          <w:rFonts w:ascii="Times New Roman" w:hAnsi="Times New Roman" w:cs="Times New Roman"/>
        </w:rPr>
        <w:t>ovement could use public support to challenge the British State.</w:t>
      </w:r>
      <w:r w:rsidR="00DB6CFE">
        <w:rPr>
          <w:rStyle w:val="FootnoteReference"/>
          <w:rFonts w:ascii="Times New Roman" w:hAnsi="Times New Roman" w:cs="Times New Roman"/>
        </w:rPr>
        <w:footnoteReference w:id="7"/>
      </w:r>
      <w:r w:rsidR="00DB6CFE">
        <w:rPr>
          <w:rFonts w:ascii="Times New Roman" w:hAnsi="Times New Roman" w:cs="Times New Roman"/>
        </w:rPr>
        <w:t xml:space="preserve"> </w:t>
      </w:r>
      <w:r w:rsidR="00A9727C">
        <w:rPr>
          <w:rFonts w:ascii="Times New Roman" w:hAnsi="Times New Roman" w:cs="Times New Roman"/>
        </w:rPr>
        <w:t>On the day, the WSPU had printed and handed out thousands of handbills calling on both men and women to ‘rush the House of Commons’</w:t>
      </w:r>
      <w:r w:rsidR="00C91052">
        <w:rPr>
          <w:rFonts w:ascii="Times New Roman" w:hAnsi="Times New Roman" w:cs="Times New Roman"/>
        </w:rPr>
        <w:t>, which was deliberately done to get arrested.</w:t>
      </w:r>
      <w:r w:rsidR="00C91052">
        <w:rPr>
          <w:rStyle w:val="FootnoteReference"/>
          <w:rFonts w:ascii="Times New Roman" w:hAnsi="Times New Roman" w:cs="Times New Roman"/>
        </w:rPr>
        <w:footnoteReference w:id="8"/>
      </w:r>
      <w:r w:rsidR="00E63121">
        <w:rPr>
          <w:rFonts w:ascii="Times New Roman" w:hAnsi="Times New Roman" w:cs="Times New Roman"/>
        </w:rPr>
        <w:t xml:space="preserve"> The arrest warrant for Christabel, Mrs Pankhurst and Mrs Drummond was eventually issued and they turned themselves in, but what is interesting about this event is that a crowd of sixty thousand assembled near Parliament</w:t>
      </w:r>
      <w:r w:rsidR="00F0098B">
        <w:rPr>
          <w:rFonts w:ascii="Times New Roman" w:hAnsi="Times New Roman" w:cs="Times New Roman"/>
        </w:rPr>
        <w:t xml:space="preserve"> and was</w:t>
      </w:r>
      <w:r w:rsidR="00E63121">
        <w:rPr>
          <w:rFonts w:ascii="Times New Roman" w:hAnsi="Times New Roman" w:cs="Times New Roman"/>
        </w:rPr>
        <w:t xml:space="preserve"> challenged by </w:t>
      </w:r>
      <w:r w:rsidR="00F0098B">
        <w:rPr>
          <w:rFonts w:ascii="Times New Roman" w:hAnsi="Times New Roman" w:cs="Times New Roman"/>
        </w:rPr>
        <w:t xml:space="preserve">five thousand police. </w:t>
      </w:r>
      <w:r w:rsidR="00CA302A">
        <w:rPr>
          <w:rFonts w:ascii="Times New Roman" w:hAnsi="Times New Roman" w:cs="Times New Roman"/>
        </w:rPr>
        <w:t xml:space="preserve">Despite the attempts made by the crowd to get into the House of Commons failing, </w:t>
      </w:r>
      <w:r w:rsidR="00D467E5">
        <w:rPr>
          <w:rFonts w:ascii="Times New Roman" w:hAnsi="Times New Roman" w:cs="Times New Roman"/>
        </w:rPr>
        <w:t xml:space="preserve">the event still proved to be more successful for them than it did for the British State as they achieved their goal of getting arrested, while the British State fell for their trick. </w:t>
      </w:r>
      <w:r w:rsidR="00F0098B">
        <w:rPr>
          <w:rFonts w:ascii="Times New Roman" w:hAnsi="Times New Roman" w:cs="Times New Roman"/>
        </w:rPr>
        <w:t>Not only does this show the Suffragettes ability to trick the British State into getting what they want, but also the massive amount of public support</w:t>
      </w:r>
      <w:r w:rsidR="00094133">
        <w:rPr>
          <w:rFonts w:ascii="Times New Roman" w:hAnsi="Times New Roman" w:cs="Times New Roman"/>
        </w:rPr>
        <w:t xml:space="preserve">, or at least </w:t>
      </w:r>
      <w:r w:rsidR="003779FF">
        <w:rPr>
          <w:rFonts w:ascii="Times New Roman" w:hAnsi="Times New Roman" w:cs="Times New Roman"/>
        </w:rPr>
        <w:t>public interest</w:t>
      </w:r>
      <w:r w:rsidR="00F0098B">
        <w:rPr>
          <w:rFonts w:ascii="Times New Roman" w:hAnsi="Times New Roman" w:cs="Times New Roman"/>
        </w:rPr>
        <w:t xml:space="preserve"> they had</w:t>
      </w:r>
      <w:r w:rsidR="0061058F">
        <w:rPr>
          <w:rFonts w:ascii="Times New Roman" w:hAnsi="Times New Roman" w:cs="Times New Roman"/>
        </w:rPr>
        <w:t xml:space="preserve"> for their movement.</w:t>
      </w:r>
      <w:r w:rsidR="001A32AF">
        <w:rPr>
          <w:rFonts w:ascii="Times New Roman" w:hAnsi="Times New Roman" w:cs="Times New Roman"/>
        </w:rPr>
        <w:t xml:space="preserve"> </w:t>
      </w:r>
      <w:r w:rsidR="004B64E7">
        <w:rPr>
          <w:rFonts w:ascii="Times New Roman" w:hAnsi="Times New Roman" w:cs="Times New Roman"/>
        </w:rPr>
        <w:t>This can also be seen on Sunday 21 June in which a Women’s Parliament was held at Hyd</w:t>
      </w:r>
      <w:r w:rsidR="000952ED">
        <w:rPr>
          <w:rFonts w:ascii="Times New Roman" w:hAnsi="Times New Roman" w:cs="Times New Roman"/>
        </w:rPr>
        <w:t>e Park and attracted somewhere between 250,000 and 500,000 people showed up and was described as ‘a beacon day in the Women’s movement’.</w:t>
      </w:r>
      <w:r w:rsidR="00DF5444">
        <w:rPr>
          <w:rStyle w:val="FootnoteReference"/>
          <w:rFonts w:ascii="Times New Roman" w:hAnsi="Times New Roman" w:cs="Times New Roman"/>
        </w:rPr>
        <w:footnoteReference w:id="9"/>
      </w:r>
      <w:r w:rsidR="000952ED">
        <w:rPr>
          <w:rFonts w:ascii="Times New Roman" w:hAnsi="Times New Roman" w:cs="Times New Roman"/>
        </w:rPr>
        <w:t xml:space="preserve"> </w:t>
      </w:r>
      <w:r w:rsidR="00DF5444">
        <w:rPr>
          <w:rFonts w:ascii="Times New Roman" w:hAnsi="Times New Roman" w:cs="Times New Roman"/>
        </w:rPr>
        <w:t>This strategy of using property damage and rushing important meeting to gain support proved difficult for the British State to combat, as the arrest and imprisonment of Suffrage campaigners only proved to further the</w:t>
      </w:r>
      <w:r w:rsidR="00D467E5">
        <w:rPr>
          <w:rFonts w:ascii="Times New Roman" w:hAnsi="Times New Roman" w:cs="Times New Roman"/>
        </w:rPr>
        <w:t xml:space="preserve"> Suffrage </w:t>
      </w:r>
      <w:r w:rsidR="007719B3">
        <w:rPr>
          <w:rFonts w:ascii="Times New Roman" w:hAnsi="Times New Roman" w:cs="Times New Roman"/>
        </w:rPr>
        <w:t>M</w:t>
      </w:r>
      <w:r w:rsidR="00D467E5">
        <w:rPr>
          <w:rFonts w:ascii="Times New Roman" w:hAnsi="Times New Roman" w:cs="Times New Roman"/>
        </w:rPr>
        <w:t>ovement</w:t>
      </w:r>
      <w:r w:rsidR="00DF5444">
        <w:rPr>
          <w:rFonts w:ascii="Times New Roman" w:hAnsi="Times New Roman" w:cs="Times New Roman"/>
        </w:rPr>
        <w:t xml:space="preserve"> in other ways. </w:t>
      </w:r>
      <w:r w:rsidR="001A32AF">
        <w:rPr>
          <w:rFonts w:ascii="Times New Roman" w:hAnsi="Times New Roman" w:cs="Times New Roman"/>
        </w:rPr>
        <w:t xml:space="preserve">Perhaps the most famous incident of property damage caused by the Suffragettes was the bombing of David Lloyd George’s home on </w:t>
      </w:r>
      <w:r w:rsidR="00CE6CB6">
        <w:rPr>
          <w:rFonts w:ascii="Times New Roman" w:hAnsi="Times New Roman" w:cs="Times New Roman"/>
        </w:rPr>
        <w:t>19 February 1913 in which £500 worth of damage was caused by Mrs Emmeline Pankhurst, who later confessed at a meeting Cory Hall in Cardiff ‘We have blown up the Chancellor of Exchequer’s house’ and ‘</w:t>
      </w:r>
      <w:r w:rsidR="00B05D06">
        <w:rPr>
          <w:rFonts w:ascii="Times New Roman" w:hAnsi="Times New Roman" w:cs="Times New Roman"/>
        </w:rPr>
        <w:t>for all that has been done in the past I accept responsibility. I have advised, I have incited, I have conspired’.</w:t>
      </w:r>
      <w:r w:rsidR="00DE19AD">
        <w:rPr>
          <w:rStyle w:val="FootnoteReference"/>
          <w:rFonts w:ascii="Times New Roman" w:hAnsi="Times New Roman" w:cs="Times New Roman"/>
        </w:rPr>
        <w:footnoteReference w:id="10"/>
      </w:r>
      <w:r w:rsidR="00324A60">
        <w:rPr>
          <w:rFonts w:ascii="Times New Roman" w:hAnsi="Times New Roman" w:cs="Times New Roman"/>
        </w:rPr>
        <w:t xml:space="preserve"> The British State had been waiting for a moment like this for some time as most Suffragette speeches had been transcribed, with phrases being underlined and prospects of prosecution </w:t>
      </w:r>
      <w:r w:rsidR="00AE12EC">
        <w:rPr>
          <w:rFonts w:ascii="Times New Roman" w:hAnsi="Times New Roman" w:cs="Times New Roman"/>
        </w:rPr>
        <w:t>carefully considered in the hope of instigating legal action against members of the WSPU.</w:t>
      </w:r>
      <w:r w:rsidR="00AE12EC">
        <w:rPr>
          <w:rStyle w:val="FootnoteReference"/>
          <w:rFonts w:ascii="Times New Roman" w:hAnsi="Times New Roman" w:cs="Times New Roman"/>
        </w:rPr>
        <w:footnoteReference w:id="11"/>
      </w:r>
      <w:r w:rsidR="0015632E">
        <w:rPr>
          <w:rFonts w:ascii="Times New Roman" w:hAnsi="Times New Roman" w:cs="Times New Roman"/>
        </w:rPr>
        <w:t xml:space="preserve"> This admittance to the crime streamlined the process of prosecution for the British State</w:t>
      </w:r>
      <w:r w:rsidR="00112E5E">
        <w:rPr>
          <w:rFonts w:ascii="Times New Roman" w:hAnsi="Times New Roman" w:cs="Times New Roman"/>
        </w:rPr>
        <w:t xml:space="preserve"> and reduced pressure on the Home Office to bring the real culprit to justice, so Mrs Pankhurst was arrested on 25 February and sentenced</w:t>
      </w:r>
      <w:r w:rsidR="00673F53">
        <w:rPr>
          <w:rFonts w:ascii="Times New Roman" w:hAnsi="Times New Roman" w:cs="Times New Roman"/>
        </w:rPr>
        <w:t xml:space="preserve"> to three years penal servitude, in which she immediately went on hunger strike.</w:t>
      </w:r>
      <w:r w:rsidR="00673F53">
        <w:rPr>
          <w:rStyle w:val="FootnoteReference"/>
          <w:rFonts w:ascii="Times New Roman" w:hAnsi="Times New Roman" w:cs="Times New Roman"/>
        </w:rPr>
        <w:footnoteReference w:id="12"/>
      </w:r>
      <w:r w:rsidR="005F41CC">
        <w:rPr>
          <w:rFonts w:ascii="Times New Roman" w:hAnsi="Times New Roman" w:cs="Times New Roman"/>
        </w:rPr>
        <w:t xml:space="preserve"> </w:t>
      </w:r>
      <w:r w:rsidR="00E643DA">
        <w:rPr>
          <w:rFonts w:ascii="Times New Roman" w:hAnsi="Times New Roman" w:cs="Times New Roman"/>
        </w:rPr>
        <w:t xml:space="preserve">This admittance to the crime and immediate response of going on hunger strike shows that the Suffrage Movement had adapted to the responses of the British State and in no way affected by the arrest of their members and in fact used it to their advantage, as they knew the law could do little else against them. While public opinion on this case was divided, what was not doubtable was the amount of public interest they had gained, which spread their message and would assist in recruiting new members, and by being arrested and going instantly on hunger strike </w:t>
      </w:r>
      <w:r w:rsidR="00A8334D">
        <w:rPr>
          <w:rFonts w:ascii="Times New Roman" w:hAnsi="Times New Roman" w:cs="Times New Roman"/>
        </w:rPr>
        <w:t>creates the image of Mrs Emmeline Pankhurst as a hero of the cause.</w:t>
      </w:r>
      <w:r w:rsidR="00EF0560">
        <w:rPr>
          <w:rFonts w:ascii="Times New Roman" w:hAnsi="Times New Roman" w:cs="Times New Roman"/>
        </w:rPr>
        <w:t xml:space="preserve"> This proved difficult for the British State to challenge as they could not stop public interest in the Suffrage Movement. However</w:t>
      </w:r>
      <w:r w:rsidR="00234275">
        <w:rPr>
          <w:rFonts w:ascii="Times New Roman" w:hAnsi="Times New Roman" w:cs="Times New Roman"/>
        </w:rPr>
        <w:t>,</w:t>
      </w:r>
      <w:r w:rsidR="00EF0560">
        <w:rPr>
          <w:rFonts w:ascii="Times New Roman" w:hAnsi="Times New Roman" w:cs="Times New Roman"/>
        </w:rPr>
        <w:t xml:space="preserve"> what they did use to their advantage was the destruction of ‘money, property and pleasure’ by the Suffrage Movement as while the Suffragettes cared little for what the public thought of their destruction of places like golf courses, schools and even churches, it still </w:t>
      </w:r>
      <w:r w:rsidR="00EF0560">
        <w:rPr>
          <w:rFonts w:ascii="Times New Roman" w:hAnsi="Times New Roman" w:cs="Times New Roman"/>
        </w:rPr>
        <w:lastRenderedPageBreak/>
        <w:t>affected their image, which the British State would not hesitate</w:t>
      </w:r>
      <w:r w:rsidR="00E431B5">
        <w:rPr>
          <w:rFonts w:ascii="Times New Roman" w:hAnsi="Times New Roman" w:cs="Times New Roman"/>
        </w:rPr>
        <w:t xml:space="preserve"> to use against them.</w:t>
      </w:r>
      <w:r w:rsidR="00E431B5">
        <w:rPr>
          <w:rStyle w:val="FootnoteReference"/>
          <w:rFonts w:ascii="Times New Roman" w:hAnsi="Times New Roman" w:cs="Times New Roman"/>
        </w:rPr>
        <w:footnoteReference w:id="13"/>
      </w:r>
      <w:r w:rsidR="005141DC">
        <w:rPr>
          <w:rFonts w:ascii="Times New Roman" w:hAnsi="Times New Roman" w:cs="Times New Roman"/>
        </w:rPr>
        <w:t xml:space="preserve"> The British State had a campaign of propaganda used to challenge the Suffrage Movement, some of which criticised their actions while some mocked their appearance or other personal things.</w:t>
      </w:r>
      <w:r w:rsidR="008C1214">
        <w:rPr>
          <w:rFonts w:ascii="Times New Roman" w:hAnsi="Times New Roman" w:cs="Times New Roman"/>
        </w:rPr>
        <w:t xml:space="preserve"> For example, </w:t>
      </w:r>
      <w:r w:rsidR="007979B4">
        <w:rPr>
          <w:rFonts w:ascii="Times New Roman" w:hAnsi="Times New Roman" w:cs="Times New Roman"/>
        </w:rPr>
        <w:t xml:space="preserve">one poster shows a group of Suffragettes attacking a police officer </w:t>
      </w:r>
      <w:r w:rsidR="00A54780">
        <w:rPr>
          <w:rFonts w:ascii="Times New Roman" w:hAnsi="Times New Roman" w:cs="Times New Roman"/>
        </w:rPr>
        <w:t>stating,</w:t>
      </w:r>
      <w:r w:rsidR="007979B4">
        <w:rPr>
          <w:rFonts w:ascii="Times New Roman" w:hAnsi="Times New Roman" w:cs="Times New Roman"/>
        </w:rPr>
        <w:t xml:space="preserve"> ‘Jump on him, he is only a mere man’ which refers to several cases in which police officers were attacked by Suffragettes.</w:t>
      </w:r>
      <w:r w:rsidR="007979B4">
        <w:rPr>
          <w:rStyle w:val="FootnoteReference"/>
          <w:rFonts w:ascii="Times New Roman" w:hAnsi="Times New Roman" w:cs="Times New Roman"/>
        </w:rPr>
        <w:footnoteReference w:id="14"/>
      </w:r>
      <w:r w:rsidR="009B0051">
        <w:rPr>
          <w:rFonts w:ascii="Times New Roman" w:hAnsi="Times New Roman" w:cs="Times New Roman"/>
        </w:rPr>
        <w:t xml:space="preserve"> These posters proved to have mixed results as</w:t>
      </w:r>
      <w:r w:rsidR="007446A0">
        <w:rPr>
          <w:rFonts w:ascii="Times New Roman" w:hAnsi="Times New Roman" w:cs="Times New Roman"/>
        </w:rPr>
        <w:t xml:space="preserve"> some people were sympathetic to the Suffrage Movement and the movement had its own propaganda which worked against that of the British State. Overall, the new strategies of militancy proved difficult for the British State to counter. Public interest in the Suffrage Movement actions only worked to spread their message, and their attacks on property were unpredictable with the arrest of those responsible having </w:t>
      </w:r>
      <w:r w:rsidR="00290C6F">
        <w:rPr>
          <w:rFonts w:ascii="Times New Roman" w:hAnsi="Times New Roman" w:cs="Times New Roman"/>
        </w:rPr>
        <w:t>minimal</w:t>
      </w:r>
      <w:r w:rsidR="007446A0">
        <w:rPr>
          <w:rFonts w:ascii="Times New Roman" w:hAnsi="Times New Roman" w:cs="Times New Roman"/>
        </w:rPr>
        <w:t xml:space="preserve"> effect other than causing further problems. While anti-Suffrage propaganda </w:t>
      </w:r>
      <w:r w:rsidR="00290C6F">
        <w:rPr>
          <w:rFonts w:ascii="Times New Roman" w:hAnsi="Times New Roman" w:cs="Times New Roman"/>
        </w:rPr>
        <w:t>proved effective in tarnishing their image, the Suffrage Movement not only cared little for their image, but also responded with their own propaganda.</w:t>
      </w:r>
    </w:p>
    <w:p w:rsidR="005D63C2" w:rsidRDefault="002C58C5" w:rsidP="00A9300E">
      <w:pPr>
        <w:jc w:val="both"/>
        <w:rPr>
          <w:rFonts w:ascii="Times New Roman" w:hAnsi="Times New Roman" w:cs="Times New Roman"/>
        </w:rPr>
      </w:pPr>
      <w:r>
        <w:rPr>
          <w:rFonts w:ascii="Times New Roman" w:hAnsi="Times New Roman" w:cs="Times New Roman"/>
        </w:rPr>
        <w:t xml:space="preserve">As previously mentioned, the imprisonment of Suffrage campaigners </w:t>
      </w:r>
      <w:r w:rsidR="00B56E24">
        <w:rPr>
          <w:rFonts w:ascii="Times New Roman" w:hAnsi="Times New Roman" w:cs="Times New Roman"/>
        </w:rPr>
        <w:t>did little to affect the movement. While there are numerous reasons for this, one large mistake the British State made regarding imprisonment of Suffrage campaigners was their treatment in prison.</w:t>
      </w:r>
      <w:r w:rsidR="00047BB4">
        <w:rPr>
          <w:rFonts w:ascii="Times New Roman" w:hAnsi="Times New Roman" w:cs="Times New Roman"/>
        </w:rPr>
        <w:t xml:space="preserve"> Th</w:t>
      </w:r>
      <w:r w:rsidR="00E81731">
        <w:rPr>
          <w:rFonts w:ascii="Times New Roman" w:hAnsi="Times New Roman" w:cs="Times New Roman"/>
        </w:rPr>
        <w:t>e British State resorting to force feeding and poor treatment of prisoners would prove to be their greatest mistake during the Suffrage campaign.</w:t>
      </w:r>
      <w:r w:rsidR="00001F63">
        <w:rPr>
          <w:rFonts w:ascii="Times New Roman" w:hAnsi="Times New Roman" w:cs="Times New Roman"/>
        </w:rPr>
        <w:t xml:space="preserve"> Hunger strikes were done as a means of protest while in prison as Suffrage members believed that there was little that the prison staff could do to stop it. There are numerous cases of force feeding being used against members of the Suffrage Movement</w:t>
      </w:r>
      <w:r w:rsidR="003B5F02">
        <w:rPr>
          <w:rFonts w:ascii="Times New Roman" w:hAnsi="Times New Roman" w:cs="Times New Roman"/>
        </w:rPr>
        <w:t>, the first case being</w:t>
      </w:r>
      <w:r w:rsidR="00001F63">
        <w:rPr>
          <w:rFonts w:ascii="Times New Roman" w:hAnsi="Times New Roman" w:cs="Times New Roman"/>
        </w:rPr>
        <w:t xml:space="preserve"> Mary Leigh who </w:t>
      </w:r>
      <w:r w:rsidR="003B5F02">
        <w:rPr>
          <w:rFonts w:ascii="Times New Roman" w:hAnsi="Times New Roman" w:cs="Times New Roman"/>
        </w:rPr>
        <w:t>was arrested on 17 September 1909 for throwing rocks onto Bingley hall where the Prime Minister was</w:t>
      </w:r>
      <w:r w:rsidR="009B22C5">
        <w:rPr>
          <w:rFonts w:ascii="Times New Roman" w:hAnsi="Times New Roman" w:cs="Times New Roman"/>
        </w:rPr>
        <w:t xml:space="preserve"> speaking, and she </w:t>
      </w:r>
      <w:r w:rsidR="00001F63">
        <w:rPr>
          <w:rFonts w:ascii="Times New Roman" w:hAnsi="Times New Roman" w:cs="Times New Roman"/>
        </w:rPr>
        <w:t xml:space="preserve">described it as ‘most painful- the drums of the ears seem to be bursting, a horrible pain in the throat </w:t>
      </w:r>
      <w:r w:rsidR="003B5F02">
        <w:rPr>
          <w:rFonts w:ascii="Times New Roman" w:hAnsi="Times New Roman" w:cs="Times New Roman"/>
        </w:rPr>
        <w:t xml:space="preserve">and breast. The tube is pushed down 20 inches. I </w:t>
      </w:r>
      <w:proofErr w:type="gramStart"/>
      <w:r w:rsidR="003B5F02">
        <w:rPr>
          <w:rFonts w:ascii="Times New Roman" w:hAnsi="Times New Roman" w:cs="Times New Roman"/>
        </w:rPr>
        <w:t>have to</w:t>
      </w:r>
      <w:proofErr w:type="gramEnd"/>
      <w:r w:rsidR="003B5F02">
        <w:rPr>
          <w:rFonts w:ascii="Times New Roman" w:hAnsi="Times New Roman" w:cs="Times New Roman"/>
        </w:rPr>
        <w:t xml:space="preserve"> lie on a bed, pinned down by the wardresses, one doctor stands up on a chair holding the funnel at arm’s length, so as to have the funnel end above the level, and then the other doctor, who is behind, forces the other end up the nostrils… I have used no violence, thought having provocation </w:t>
      </w:r>
      <w:r w:rsidR="009B22C5">
        <w:rPr>
          <w:rFonts w:ascii="Times New Roman" w:hAnsi="Times New Roman" w:cs="Times New Roman"/>
        </w:rPr>
        <w:t>in being fed by force. I resist and am overcome by weight of numbers. If the doctor doesn’t think the fluid is going down sufficiently swiftly he pinches my nose with the tube in it and my throat, causing me increased pain’.</w:t>
      </w:r>
      <w:r w:rsidR="009B22C5">
        <w:rPr>
          <w:rStyle w:val="FootnoteReference"/>
          <w:rFonts w:ascii="Times New Roman" w:hAnsi="Times New Roman" w:cs="Times New Roman"/>
        </w:rPr>
        <w:footnoteReference w:id="15"/>
      </w:r>
      <w:r w:rsidR="00217F33">
        <w:rPr>
          <w:rFonts w:ascii="Times New Roman" w:hAnsi="Times New Roman" w:cs="Times New Roman"/>
        </w:rPr>
        <w:t xml:space="preserve"> This sparked a great deal of backlash from members of the Suffrage Movement not just because of the horrific nature of the incident, but also because Constantine Lytton, another WSPU member was never subjected to force feeding, which </w:t>
      </w:r>
      <w:r w:rsidR="00B34A07">
        <w:rPr>
          <w:rFonts w:ascii="Times New Roman" w:hAnsi="Times New Roman" w:cs="Times New Roman"/>
        </w:rPr>
        <w:t>was interpreted by the WSPU as a clear indication that more working-class women were force fed than middle class women</w:t>
      </w:r>
      <w:r w:rsidR="000D4781">
        <w:rPr>
          <w:rFonts w:ascii="Times New Roman" w:hAnsi="Times New Roman" w:cs="Times New Roman"/>
        </w:rPr>
        <w:t>.</w:t>
      </w:r>
      <w:r w:rsidR="000D4781">
        <w:rPr>
          <w:rStyle w:val="FootnoteReference"/>
          <w:rFonts w:ascii="Times New Roman" w:hAnsi="Times New Roman" w:cs="Times New Roman"/>
        </w:rPr>
        <w:footnoteReference w:id="16"/>
      </w:r>
      <w:r w:rsidR="000D4781">
        <w:rPr>
          <w:rFonts w:ascii="Times New Roman" w:hAnsi="Times New Roman" w:cs="Times New Roman"/>
        </w:rPr>
        <w:t xml:space="preserve"> To test this</w:t>
      </w:r>
      <w:r w:rsidR="00217F33">
        <w:rPr>
          <w:rFonts w:ascii="Times New Roman" w:hAnsi="Times New Roman" w:cs="Times New Roman"/>
        </w:rPr>
        <w:t xml:space="preserve"> </w:t>
      </w:r>
      <w:r w:rsidR="000D4781">
        <w:rPr>
          <w:rFonts w:ascii="Times New Roman" w:hAnsi="Times New Roman" w:cs="Times New Roman"/>
        </w:rPr>
        <w:t xml:space="preserve">theory, </w:t>
      </w:r>
      <w:r w:rsidR="005D28FC">
        <w:rPr>
          <w:rFonts w:ascii="Times New Roman" w:hAnsi="Times New Roman" w:cs="Times New Roman"/>
        </w:rPr>
        <w:t>Constantine Lytton disguised herself as a working-class women and after being arrested, was forcibly fed eight times with no checks to her heart as had been done the previous times she had been imprisoned.</w:t>
      </w:r>
      <w:r w:rsidR="00CB78DC">
        <w:rPr>
          <w:rStyle w:val="FootnoteReference"/>
          <w:rFonts w:ascii="Times New Roman" w:hAnsi="Times New Roman" w:cs="Times New Roman"/>
        </w:rPr>
        <w:footnoteReference w:id="17"/>
      </w:r>
      <w:r w:rsidR="00CE7A42">
        <w:rPr>
          <w:rFonts w:ascii="Times New Roman" w:hAnsi="Times New Roman" w:cs="Times New Roman"/>
        </w:rPr>
        <w:t xml:space="preserve"> So, not only did this anger members of the </w:t>
      </w:r>
      <w:r w:rsidR="005D63C2">
        <w:rPr>
          <w:rFonts w:ascii="Times New Roman" w:hAnsi="Times New Roman" w:cs="Times New Roman"/>
        </w:rPr>
        <w:t xml:space="preserve">Suffrage Movement, but also members of </w:t>
      </w:r>
      <w:r w:rsidR="0071452A">
        <w:rPr>
          <w:rFonts w:ascii="Times New Roman" w:hAnsi="Times New Roman" w:cs="Times New Roman"/>
        </w:rPr>
        <w:t xml:space="preserve">the Labour party, which </w:t>
      </w:r>
      <w:r w:rsidR="009903DB">
        <w:rPr>
          <w:rFonts w:ascii="Times New Roman" w:hAnsi="Times New Roman" w:cs="Times New Roman"/>
        </w:rPr>
        <w:t>had a lot of sympathisers to the Suffrage Movement, but would</w:t>
      </w:r>
      <w:r w:rsidR="0071452A">
        <w:rPr>
          <w:rFonts w:ascii="Times New Roman" w:hAnsi="Times New Roman" w:cs="Times New Roman"/>
        </w:rPr>
        <w:t xml:space="preserve"> not be officially allied with </w:t>
      </w:r>
      <w:r w:rsidR="009903DB">
        <w:rPr>
          <w:rFonts w:ascii="Times New Roman" w:hAnsi="Times New Roman" w:cs="Times New Roman"/>
        </w:rPr>
        <w:t>it until January 1912 when Labour announced that any progress made with man’s vote would include women.</w:t>
      </w:r>
      <w:r w:rsidR="009903DB">
        <w:rPr>
          <w:rStyle w:val="FootnoteReference"/>
          <w:rFonts w:ascii="Times New Roman" w:hAnsi="Times New Roman" w:cs="Times New Roman"/>
        </w:rPr>
        <w:footnoteReference w:id="18"/>
      </w:r>
      <w:r w:rsidR="002D7017">
        <w:rPr>
          <w:rFonts w:ascii="Times New Roman" w:hAnsi="Times New Roman" w:cs="Times New Roman"/>
        </w:rPr>
        <w:t xml:space="preserve"> This mistake by the British State angered both the Suffrage and Labour Movement, but despite the horrific nature of the incident and the clear class discrimination that took place, in court the verdict ruled against Mary Leigh</w:t>
      </w:r>
      <w:r w:rsidR="00FC7DEC">
        <w:rPr>
          <w:rFonts w:ascii="Times New Roman" w:hAnsi="Times New Roman" w:cs="Times New Roman"/>
        </w:rPr>
        <w:t xml:space="preserve"> and upheld the defences claim that the minimum force to preserve her life had been used.</w:t>
      </w:r>
      <w:r w:rsidR="00FC7DEC">
        <w:rPr>
          <w:rStyle w:val="FootnoteReference"/>
          <w:rFonts w:ascii="Times New Roman" w:hAnsi="Times New Roman" w:cs="Times New Roman"/>
        </w:rPr>
        <w:footnoteReference w:id="19"/>
      </w:r>
      <w:r w:rsidR="00C16B65">
        <w:rPr>
          <w:rFonts w:ascii="Times New Roman" w:hAnsi="Times New Roman" w:cs="Times New Roman"/>
        </w:rPr>
        <w:t xml:space="preserve"> Not only does this show the relative powerlessness of the Suffrage Movement against the law, but it also set a precedent for the force feeding of other Suffrage members in the following years.</w:t>
      </w:r>
      <w:r w:rsidR="0013160B">
        <w:rPr>
          <w:rStyle w:val="FootnoteReference"/>
          <w:rFonts w:ascii="Times New Roman" w:hAnsi="Times New Roman" w:cs="Times New Roman"/>
        </w:rPr>
        <w:footnoteReference w:id="20"/>
      </w:r>
      <w:r w:rsidR="002B6318">
        <w:rPr>
          <w:rFonts w:ascii="Times New Roman" w:hAnsi="Times New Roman" w:cs="Times New Roman"/>
        </w:rPr>
        <w:t xml:space="preserve"> </w:t>
      </w:r>
      <w:r w:rsidR="00613213">
        <w:rPr>
          <w:rFonts w:ascii="Times New Roman" w:hAnsi="Times New Roman" w:cs="Times New Roman"/>
        </w:rPr>
        <w:t xml:space="preserve">This case received </w:t>
      </w:r>
      <w:r w:rsidR="00613213">
        <w:rPr>
          <w:rFonts w:ascii="Times New Roman" w:hAnsi="Times New Roman" w:cs="Times New Roman"/>
        </w:rPr>
        <w:lastRenderedPageBreak/>
        <w:t xml:space="preserve">a great deal of coverage, with newspapers like </w:t>
      </w:r>
      <w:r w:rsidR="00613213">
        <w:rPr>
          <w:rFonts w:ascii="Times New Roman" w:hAnsi="Times New Roman" w:cs="Times New Roman"/>
          <w:i/>
        </w:rPr>
        <w:t>The Times</w:t>
      </w:r>
      <w:r w:rsidR="00613213">
        <w:rPr>
          <w:rFonts w:ascii="Times New Roman" w:hAnsi="Times New Roman" w:cs="Times New Roman"/>
        </w:rPr>
        <w:t xml:space="preserve"> stating they ‘deserved’ this treatment, but despite the negativity from the press, the whole incident brought a great deal of public interest and sympathy to the Suffrage Movement, to the extent that medical professionals and even people vehemently against women’s suffrage were outraged by this, which was fuelled even further when Mary Leigh published her account of the incident.</w:t>
      </w:r>
      <w:r w:rsidR="00613213">
        <w:rPr>
          <w:rStyle w:val="FootnoteReference"/>
          <w:rFonts w:ascii="Times New Roman" w:hAnsi="Times New Roman" w:cs="Times New Roman"/>
        </w:rPr>
        <w:footnoteReference w:id="21"/>
      </w:r>
      <w:r w:rsidR="00E75B9F">
        <w:rPr>
          <w:rFonts w:ascii="Times New Roman" w:hAnsi="Times New Roman" w:cs="Times New Roman"/>
        </w:rPr>
        <w:t xml:space="preserve"> Between 1909 and 1910, 4,459 new paid-up members </w:t>
      </w:r>
      <w:r w:rsidR="00BB2EA2">
        <w:rPr>
          <w:rFonts w:ascii="Times New Roman" w:hAnsi="Times New Roman" w:cs="Times New Roman"/>
        </w:rPr>
        <w:t xml:space="preserve">joined the WSPU and while this does not guarantee a link between the two, </w:t>
      </w:r>
      <w:r w:rsidR="00270764">
        <w:rPr>
          <w:rFonts w:ascii="Times New Roman" w:hAnsi="Times New Roman" w:cs="Times New Roman"/>
        </w:rPr>
        <w:t xml:space="preserve">the case gave the Suffrage Movement a great deal of publicity, so </w:t>
      </w:r>
      <w:r w:rsidR="00BB2EA2">
        <w:rPr>
          <w:rFonts w:ascii="Times New Roman" w:hAnsi="Times New Roman" w:cs="Times New Roman"/>
        </w:rPr>
        <w:t xml:space="preserve">it is possible that this case did </w:t>
      </w:r>
      <w:r w:rsidR="00270764">
        <w:rPr>
          <w:rFonts w:ascii="Times New Roman" w:hAnsi="Times New Roman" w:cs="Times New Roman"/>
        </w:rPr>
        <w:t>boost recruitment.</w:t>
      </w:r>
      <w:r w:rsidR="005A21C5">
        <w:rPr>
          <w:rStyle w:val="FootnoteReference"/>
          <w:rFonts w:ascii="Times New Roman" w:hAnsi="Times New Roman" w:cs="Times New Roman"/>
        </w:rPr>
        <w:footnoteReference w:id="22"/>
      </w:r>
      <w:r w:rsidR="002A6CB1">
        <w:rPr>
          <w:rFonts w:ascii="Times New Roman" w:hAnsi="Times New Roman" w:cs="Times New Roman"/>
        </w:rPr>
        <w:t xml:space="preserve"> Overall, while the British State won the case with little difficulty and continued to use force feeding, they had sown the seeds for problems in the future. While challenging the response to force feeding had proved easy</w:t>
      </w:r>
      <w:r w:rsidR="009B3C1A">
        <w:rPr>
          <w:rFonts w:ascii="Times New Roman" w:hAnsi="Times New Roman" w:cs="Times New Roman"/>
        </w:rPr>
        <w:t xml:space="preserve">, using force feeding as a response to increased militancy by the Suffrage Movement would only increase the number of challenges later. </w:t>
      </w:r>
      <w:r w:rsidR="00430103">
        <w:rPr>
          <w:rFonts w:ascii="Times New Roman" w:hAnsi="Times New Roman" w:cs="Times New Roman"/>
        </w:rPr>
        <w:t>In this one example they angered both the Suffrage Movement and the Labour party, while giving them publicity which increases their members and make people critical of the actions of the state.</w:t>
      </w:r>
    </w:p>
    <w:p w:rsidR="00427B1E" w:rsidRDefault="00427B1E" w:rsidP="00A9300E">
      <w:pPr>
        <w:jc w:val="both"/>
        <w:rPr>
          <w:rFonts w:ascii="Times New Roman" w:hAnsi="Times New Roman" w:cs="Times New Roman"/>
        </w:rPr>
      </w:pPr>
      <w:r>
        <w:rPr>
          <w:rFonts w:ascii="Times New Roman" w:hAnsi="Times New Roman" w:cs="Times New Roman"/>
        </w:rPr>
        <w:t>The most infamous example of force feeding and poor treatment while in prison is that of Emily Davison.</w:t>
      </w:r>
      <w:r w:rsidR="009663BE">
        <w:rPr>
          <w:rFonts w:ascii="Times New Roman" w:hAnsi="Times New Roman" w:cs="Times New Roman"/>
        </w:rPr>
        <w:t xml:space="preserve"> </w:t>
      </w:r>
      <w:r w:rsidR="00417CCC">
        <w:rPr>
          <w:rFonts w:ascii="Times New Roman" w:hAnsi="Times New Roman" w:cs="Times New Roman"/>
        </w:rPr>
        <w:t xml:space="preserve">She was arrested on 21 October </w:t>
      </w:r>
      <w:r w:rsidR="003F53E4">
        <w:rPr>
          <w:rFonts w:ascii="Times New Roman" w:hAnsi="Times New Roman" w:cs="Times New Roman"/>
        </w:rPr>
        <w:t xml:space="preserve">1909 for throwing stones at cabinet minister Sir Walter Runciman </w:t>
      </w:r>
      <w:r w:rsidR="00417CCC">
        <w:rPr>
          <w:rFonts w:ascii="Times New Roman" w:hAnsi="Times New Roman" w:cs="Times New Roman"/>
        </w:rPr>
        <w:t>and n</w:t>
      </w:r>
      <w:r w:rsidR="009663BE">
        <w:rPr>
          <w:rFonts w:ascii="Times New Roman" w:hAnsi="Times New Roman" w:cs="Times New Roman"/>
        </w:rPr>
        <w:t xml:space="preserve">ot only was she subjected to force feeding, but also to other forms of cruel treatment, which she </w:t>
      </w:r>
      <w:r w:rsidR="009A4AA5">
        <w:rPr>
          <w:rFonts w:ascii="Times New Roman" w:hAnsi="Times New Roman" w:cs="Times New Roman"/>
        </w:rPr>
        <w:t xml:space="preserve">later </w:t>
      </w:r>
      <w:r w:rsidR="009663BE">
        <w:rPr>
          <w:rFonts w:ascii="Times New Roman" w:hAnsi="Times New Roman" w:cs="Times New Roman"/>
        </w:rPr>
        <w:t>described how ‘The scene</w:t>
      </w:r>
      <w:r w:rsidR="009A4AA5">
        <w:rPr>
          <w:rFonts w:ascii="Times New Roman" w:hAnsi="Times New Roman" w:cs="Times New Roman"/>
        </w:rPr>
        <w:t xml:space="preserve"> which followed will haunt me with its horror all my life and is almost indescribable’.</w:t>
      </w:r>
      <w:r w:rsidR="009A4AA5">
        <w:rPr>
          <w:rStyle w:val="FootnoteReference"/>
          <w:rFonts w:ascii="Times New Roman" w:hAnsi="Times New Roman" w:cs="Times New Roman"/>
        </w:rPr>
        <w:footnoteReference w:id="23"/>
      </w:r>
      <w:r w:rsidR="00450679">
        <w:rPr>
          <w:rFonts w:ascii="Times New Roman" w:hAnsi="Times New Roman" w:cs="Times New Roman"/>
        </w:rPr>
        <w:t xml:space="preserve"> One such incident started when </w:t>
      </w:r>
      <w:r w:rsidR="00417CCC">
        <w:rPr>
          <w:rFonts w:ascii="Times New Roman" w:hAnsi="Times New Roman" w:cs="Times New Roman"/>
        </w:rPr>
        <w:t xml:space="preserve">Emily Davison was locked in a cell where there were two bed planks, which she used with other items to barricade the door </w:t>
      </w:r>
      <w:r w:rsidR="009D1A6D">
        <w:rPr>
          <w:rFonts w:ascii="Times New Roman" w:hAnsi="Times New Roman" w:cs="Times New Roman"/>
        </w:rPr>
        <w:t>to stop the wardress from entering.</w:t>
      </w:r>
      <w:r w:rsidR="009D1A6D">
        <w:rPr>
          <w:rStyle w:val="FootnoteReference"/>
          <w:rFonts w:ascii="Times New Roman" w:hAnsi="Times New Roman" w:cs="Times New Roman"/>
        </w:rPr>
        <w:footnoteReference w:id="24"/>
      </w:r>
      <w:r w:rsidR="00F26DF1">
        <w:rPr>
          <w:rFonts w:ascii="Times New Roman" w:hAnsi="Times New Roman" w:cs="Times New Roman"/>
        </w:rPr>
        <w:t xml:space="preserve"> After some time of attempting to open the door, the hospital staff broke her window and stuck</w:t>
      </w:r>
      <w:r w:rsidR="00D603A2">
        <w:rPr>
          <w:rFonts w:ascii="Times New Roman" w:hAnsi="Times New Roman" w:cs="Times New Roman"/>
        </w:rPr>
        <w:t xml:space="preserve"> the nozzle of a hose pipe through the window and turned it on her until the door was taken of its hinges, after which six inches of water poured from the room, where Emily Davison was both freezing and starving.</w:t>
      </w:r>
      <w:r w:rsidR="00D603A2">
        <w:rPr>
          <w:rStyle w:val="FootnoteReference"/>
          <w:rFonts w:ascii="Times New Roman" w:hAnsi="Times New Roman" w:cs="Times New Roman"/>
        </w:rPr>
        <w:footnoteReference w:id="25"/>
      </w:r>
      <w:r w:rsidR="00D603A2">
        <w:rPr>
          <w:rFonts w:ascii="Times New Roman" w:hAnsi="Times New Roman" w:cs="Times New Roman"/>
        </w:rPr>
        <w:t xml:space="preserve"> She was wrapped in blankets and force fed until she was later released early.</w:t>
      </w:r>
      <w:r w:rsidR="00D603A2">
        <w:rPr>
          <w:rStyle w:val="FootnoteReference"/>
          <w:rFonts w:ascii="Times New Roman" w:hAnsi="Times New Roman" w:cs="Times New Roman"/>
        </w:rPr>
        <w:footnoteReference w:id="26"/>
      </w:r>
      <w:r w:rsidR="005517B4">
        <w:rPr>
          <w:rFonts w:ascii="Times New Roman" w:hAnsi="Times New Roman" w:cs="Times New Roman"/>
        </w:rPr>
        <w:t xml:space="preserve"> This response by the British State caused a great deal of </w:t>
      </w:r>
      <w:r w:rsidR="00D26DDB">
        <w:rPr>
          <w:rFonts w:ascii="Times New Roman" w:hAnsi="Times New Roman" w:cs="Times New Roman"/>
        </w:rPr>
        <w:t>backlash from the country</w:t>
      </w:r>
      <w:r w:rsidR="007F3C1A">
        <w:rPr>
          <w:rFonts w:ascii="Times New Roman" w:hAnsi="Times New Roman" w:cs="Times New Roman"/>
        </w:rPr>
        <w:t xml:space="preserve"> such as Kier Hardy, a Labour MP questioned the decision to do this and said he was ‘horrified at the levity displayed by a large section of the members of the House. Had I </w:t>
      </w:r>
      <w:r w:rsidR="00224F14">
        <w:rPr>
          <w:rFonts w:ascii="Times New Roman" w:hAnsi="Times New Roman" w:cs="Times New Roman"/>
        </w:rPr>
        <w:t>not heard it, I could not have believed that a body of gentlemen could have found reason for mirth and applause in a scene which… has no parallel in…recent history’.</w:t>
      </w:r>
      <w:r w:rsidR="00224F14">
        <w:rPr>
          <w:rStyle w:val="FootnoteReference"/>
          <w:rFonts w:ascii="Times New Roman" w:hAnsi="Times New Roman" w:cs="Times New Roman"/>
        </w:rPr>
        <w:footnoteReference w:id="27"/>
      </w:r>
      <w:r w:rsidR="004B2D4C">
        <w:rPr>
          <w:rFonts w:ascii="Times New Roman" w:hAnsi="Times New Roman" w:cs="Times New Roman"/>
        </w:rPr>
        <w:t xml:space="preserve"> Even Gladstone admitted that those who ordered this action were at fault, but he would later</w:t>
      </w:r>
      <w:r w:rsidR="00D34523">
        <w:rPr>
          <w:rFonts w:ascii="Times New Roman" w:hAnsi="Times New Roman" w:cs="Times New Roman"/>
        </w:rPr>
        <w:t xml:space="preserve"> express his appreciation of the way the medical officers carried out their duties.</w:t>
      </w:r>
      <w:r w:rsidR="00D34523">
        <w:rPr>
          <w:rStyle w:val="FootnoteReference"/>
          <w:rFonts w:ascii="Times New Roman" w:hAnsi="Times New Roman" w:cs="Times New Roman"/>
        </w:rPr>
        <w:footnoteReference w:id="28"/>
      </w:r>
      <w:r w:rsidR="00D677BE">
        <w:rPr>
          <w:rFonts w:ascii="Times New Roman" w:hAnsi="Times New Roman" w:cs="Times New Roman"/>
        </w:rPr>
        <w:t xml:space="preserve"> Opinion against the treatment of Suffrage prisoners was had been gaining strength for some time as in September the same year 116 doctors signed a memorial condemning force feeding and at the same Henry Woodd Nevinson and Henry Brailsford resigned from the </w:t>
      </w:r>
      <w:r w:rsidR="00D677BE">
        <w:rPr>
          <w:rFonts w:ascii="Times New Roman" w:hAnsi="Times New Roman" w:cs="Times New Roman"/>
          <w:i/>
        </w:rPr>
        <w:t xml:space="preserve">Daily News </w:t>
      </w:r>
      <w:r w:rsidR="00D677BE">
        <w:rPr>
          <w:rFonts w:ascii="Times New Roman" w:hAnsi="Times New Roman" w:cs="Times New Roman"/>
        </w:rPr>
        <w:t>because the editor supported the actions of the prison authorities.</w:t>
      </w:r>
      <w:r w:rsidR="00D677BE">
        <w:rPr>
          <w:rStyle w:val="FootnoteReference"/>
          <w:rFonts w:ascii="Times New Roman" w:hAnsi="Times New Roman" w:cs="Times New Roman"/>
        </w:rPr>
        <w:footnoteReference w:id="29"/>
      </w:r>
      <w:r w:rsidR="008201D1">
        <w:rPr>
          <w:rFonts w:ascii="Times New Roman" w:hAnsi="Times New Roman" w:cs="Times New Roman"/>
        </w:rPr>
        <w:t>While the British State response of force feeding had proved disastrous, their response to the backlash from this would prove</w:t>
      </w:r>
      <w:r w:rsidR="00BC4614">
        <w:rPr>
          <w:rFonts w:ascii="Times New Roman" w:hAnsi="Times New Roman" w:cs="Times New Roman"/>
        </w:rPr>
        <w:t xml:space="preserve"> effective, but somehow more controversial</w:t>
      </w:r>
      <w:r w:rsidR="008201D1">
        <w:rPr>
          <w:rFonts w:ascii="Times New Roman" w:hAnsi="Times New Roman" w:cs="Times New Roman"/>
        </w:rPr>
        <w:t>.</w:t>
      </w:r>
    </w:p>
    <w:p w:rsidR="005872F2" w:rsidRDefault="00BC4614" w:rsidP="00A9300E">
      <w:pPr>
        <w:jc w:val="both"/>
        <w:rPr>
          <w:rFonts w:ascii="Times New Roman" w:hAnsi="Times New Roman" w:cs="Times New Roman"/>
        </w:rPr>
      </w:pPr>
      <w:r>
        <w:rPr>
          <w:rFonts w:ascii="Times New Roman" w:hAnsi="Times New Roman" w:cs="Times New Roman"/>
        </w:rPr>
        <w:t xml:space="preserve">The Prisoners’ Temporary Discharge for </w:t>
      </w:r>
      <w:r w:rsidR="00C61A9C">
        <w:rPr>
          <w:rFonts w:ascii="Times New Roman" w:hAnsi="Times New Roman" w:cs="Times New Roman"/>
        </w:rPr>
        <w:t>Ill-Health Act was issued on 25 April 1913, which allowed prisoners who had damaged their health through their own conduct to be temporarily released into the community and then, once healthy, would be arrested again to continue their sentence.</w:t>
      </w:r>
      <w:r w:rsidR="00C61A9C">
        <w:rPr>
          <w:rStyle w:val="FootnoteReference"/>
          <w:rFonts w:ascii="Times New Roman" w:hAnsi="Times New Roman" w:cs="Times New Roman"/>
        </w:rPr>
        <w:footnoteReference w:id="30"/>
      </w:r>
      <w:r w:rsidR="00C61A9C">
        <w:rPr>
          <w:rFonts w:ascii="Times New Roman" w:hAnsi="Times New Roman" w:cs="Times New Roman"/>
        </w:rPr>
        <w:t xml:space="preserve"> It also allowed </w:t>
      </w:r>
      <w:r w:rsidR="00C61A9C">
        <w:rPr>
          <w:rFonts w:ascii="Times New Roman" w:hAnsi="Times New Roman" w:cs="Times New Roman"/>
        </w:rPr>
        <w:lastRenderedPageBreak/>
        <w:t>for their constant surveillance while outside of prison.</w:t>
      </w:r>
      <w:r w:rsidR="00C61A9C">
        <w:rPr>
          <w:rStyle w:val="FootnoteReference"/>
          <w:rFonts w:ascii="Times New Roman" w:hAnsi="Times New Roman" w:cs="Times New Roman"/>
        </w:rPr>
        <w:footnoteReference w:id="31"/>
      </w:r>
      <w:r w:rsidR="00C61A9C">
        <w:rPr>
          <w:rFonts w:ascii="Times New Roman" w:hAnsi="Times New Roman" w:cs="Times New Roman"/>
        </w:rPr>
        <w:t xml:space="preserve"> This became known as the ‘Cat and Mouse Act’ </w:t>
      </w:r>
      <w:r w:rsidR="00E274D3">
        <w:rPr>
          <w:rFonts w:ascii="Times New Roman" w:hAnsi="Times New Roman" w:cs="Times New Roman"/>
        </w:rPr>
        <w:t xml:space="preserve">because </w:t>
      </w:r>
      <w:r w:rsidR="006328AD">
        <w:rPr>
          <w:rFonts w:ascii="Times New Roman" w:hAnsi="Times New Roman" w:cs="Times New Roman"/>
        </w:rPr>
        <w:t>the forcibly fed militants (Mice) could be temporarily released and then ‘clawed’ back by the State (Cat) at their convenience.</w:t>
      </w:r>
      <w:r w:rsidR="00FE0EAC">
        <w:rPr>
          <w:rStyle w:val="FootnoteReference"/>
          <w:rFonts w:ascii="Times New Roman" w:hAnsi="Times New Roman" w:cs="Times New Roman"/>
        </w:rPr>
        <w:footnoteReference w:id="32"/>
      </w:r>
      <w:r w:rsidR="00C67E2B">
        <w:rPr>
          <w:rFonts w:ascii="Times New Roman" w:hAnsi="Times New Roman" w:cs="Times New Roman"/>
        </w:rPr>
        <w:t xml:space="preserve"> Suffrage reaction to this was strongly negative,</w:t>
      </w:r>
      <w:r w:rsidR="00CA2513">
        <w:rPr>
          <w:rFonts w:ascii="Times New Roman" w:hAnsi="Times New Roman" w:cs="Times New Roman"/>
        </w:rPr>
        <w:t xml:space="preserve"> to the extent that Christabel Pankhurst said ‘in fighting against evil, the few are stronger than the many, women stronger than men’ and when Emmeline Pankhurst was sentenced on 3 April 1913 to three years penal servitude, WSPU members worried that she would die as she would refuse food but not be force fed.</w:t>
      </w:r>
      <w:r w:rsidR="00CA2513">
        <w:rPr>
          <w:rStyle w:val="FootnoteReference"/>
          <w:rFonts w:ascii="Times New Roman" w:hAnsi="Times New Roman" w:cs="Times New Roman"/>
        </w:rPr>
        <w:footnoteReference w:id="33"/>
      </w:r>
      <w:r w:rsidR="00CA2513">
        <w:rPr>
          <w:rFonts w:ascii="Times New Roman" w:hAnsi="Times New Roman" w:cs="Times New Roman"/>
        </w:rPr>
        <w:t xml:space="preserve"> When she was released on 12 April on a licence, she was in such a poor state Christabel Pankhurst condemned the State saying ‘</w:t>
      </w:r>
      <w:r w:rsidR="007473EB">
        <w:rPr>
          <w:rFonts w:ascii="Times New Roman" w:hAnsi="Times New Roman" w:cs="Times New Roman"/>
        </w:rPr>
        <w:t>how ludicrous and contemptible and undignified and cruel the other sex can be at their worst’.</w:t>
      </w:r>
      <w:r w:rsidR="00682AC2">
        <w:rPr>
          <w:rStyle w:val="FootnoteReference"/>
          <w:rFonts w:ascii="Times New Roman" w:hAnsi="Times New Roman" w:cs="Times New Roman"/>
        </w:rPr>
        <w:footnoteReference w:id="34"/>
      </w:r>
      <w:r w:rsidR="00682AC2">
        <w:rPr>
          <w:rFonts w:ascii="Times New Roman" w:hAnsi="Times New Roman" w:cs="Times New Roman"/>
        </w:rPr>
        <w:t xml:space="preserve"> Public reaction to this was not much better, as most saw it as a way of prolonging the suffering of the prisoner and in fact only changed the nature of the torture.</w:t>
      </w:r>
      <w:r w:rsidR="00A6211D">
        <w:rPr>
          <w:rFonts w:ascii="Times New Roman" w:hAnsi="Times New Roman" w:cs="Times New Roman"/>
        </w:rPr>
        <w:t xml:space="preserve"> Despite the cruelty of the act, it did little to deter the activities of the militant Suffrage members, with the violent actions of the Suffragettes only ending at the outbreak of the First World War.</w:t>
      </w:r>
      <w:r w:rsidR="00A6211D">
        <w:rPr>
          <w:rStyle w:val="FootnoteReference"/>
          <w:rFonts w:ascii="Times New Roman" w:hAnsi="Times New Roman" w:cs="Times New Roman"/>
        </w:rPr>
        <w:footnoteReference w:id="35"/>
      </w:r>
      <w:r w:rsidR="00A6211D">
        <w:rPr>
          <w:rFonts w:ascii="Times New Roman" w:hAnsi="Times New Roman" w:cs="Times New Roman"/>
        </w:rPr>
        <w:t xml:space="preserve"> Due to the start of the war, the full effect of the ‘Cat and Mouse’ act was never seen, so concluding the overall effect it had is vague.</w:t>
      </w:r>
      <w:r w:rsidR="00A6211D">
        <w:rPr>
          <w:rStyle w:val="FootnoteReference"/>
          <w:rFonts w:ascii="Times New Roman" w:hAnsi="Times New Roman" w:cs="Times New Roman"/>
        </w:rPr>
        <w:footnoteReference w:id="36"/>
      </w:r>
      <w:r w:rsidR="00A6211D">
        <w:rPr>
          <w:rFonts w:ascii="Times New Roman" w:hAnsi="Times New Roman" w:cs="Times New Roman"/>
        </w:rPr>
        <w:t xml:space="preserve"> Overall, </w:t>
      </w:r>
      <w:r w:rsidR="00F409BB">
        <w:rPr>
          <w:rFonts w:ascii="Times New Roman" w:hAnsi="Times New Roman" w:cs="Times New Roman"/>
        </w:rPr>
        <w:t>the Prisoners’ Discharge of Ill-Health Act</w:t>
      </w:r>
      <w:r w:rsidR="00940618">
        <w:rPr>
          <w:rFonts w:ascii="Times New Roman" w:hAnsi="Times New Roman" w:cs="Times New Roman"/>
        </w:rPr>
        <w:t xml:space="preserve"> was as poorly received as the news of force feeding. It did little to deter the actions of militant Suffrage members and only increased support of the Suffrage Movement. The State response had failed, but the level of the failure is unknown as the start of the war ended all militant Suffrage acts, and therefore the need to arrest them.</w:t>
      </w:r>
    </w:p>
    <w:p w:rsidR="00644127" w:rsidRDefault="002D10CE" w:rsidP="00A9300E">
      <w:pPr>
        <w:jc w:val="both"/>
        <w:rPr>
          <w:rFonts w:ascii="Times New Roman" w:hAnsi="Times New Roman" w:cs="Times New Roman"/>
        </w:rPr>
      </w:pPr>
      <w:r>
        <w:rPr>
          <w:rFonts w:ascii="Times New Roman" w:hAnsi="Times New Roman" w:cs="Times New Roman"/>
        </w:rPr>
        <w:t xml:space="preserve">In conclusion the British State faced multiple challenges when trying to combat a more militant Suffrage Movement such as public opinion, property damage, purpose arrest, hunger strike and backlash from both the Suffragettes and the public on their actions. Their responses to these challenges were ineffective as public interest and sympathy for the Suffrage Movement could not be controlled, even with their own propaganda campaign. Arresting them only served to help the Suffrage members as it gave them what they wanted and only served to increase their publicity. The use of force feeding proved </w:t>
      </w:r>
      <w:r w:rsidR="00D0607C">
        <w:rPr>
          <w:rFonts w:ascii="Times New Roman" w:hAnsi="Times New Roman" w:cs="Times New Roman"/>
        </w:rPr>
        <w:t>disastrous,</w:t>
      </w:r>
      <w:r>
        <w:rPr>
          <w:rFonts w:ascii="Times New Roman" w:hAnsi="Times New Roman" w:cs="Times New Roman"/>
        </w:rPr>
        <w:t xml:space="preserve"> </w:t>
      </w:r>
      <w:r w:rsidR="00D0607C">
        <w:rPr>
          <w:rFonts w:ascii="Times New Roman" w:hAnsi="Times New Roman" w:cs="Times New Roman"/>
        </w:rPr>
        <w:t xml:space="preserve">as while it cost the British State little, public opinion shifted greatly to the Suffrage Movement, the backlash from the Suffragettes was violent with more cases of property damage and it did little to dissuade militant Suffrage members from violent actions. The Prisoners’ Discharge of Ill-Health Act did very much the same as force feeding and fuelled further militant action by the Suffrage Movement, while public opinion continued to shift in their favour. Despite the failure of the British State to combat the militant Suffrage Movement effectively, </w:t>
      </w:r>
      <w:r w:rsidR="00906E4F">
        <w:rPr>
          <w:rFonts w:ascii="Times New Roman" w:hAnsi="Times New Roman" w:cs="Times New Roman"/>
        </w:rPr>
        <w:t>it had the advantage of the law which meant regardless of what the Suffrage Movement did, the law could be used, to varying degrees of effectiveness’ to stop it, while the Suffrage Movement was powerless to do anything to stop this.</w:t>
      </w:r>
    </w:p>
    <w:p w:rsidR="00644127" w:rsidRDefault="00644127">
      <w:pPr>
        <w:rPr>
          <w:rFonts w:ascii="Times New Roman" w:hAnsi="Times New Roman" w:cs="Times New Roman"/>
        </w:rPr>
      </w:pPr>
      <w:r>
        <w:rPr>
          <w:rFonts w:ascii="Times New Roman" w:hAnsi="Times New Roman" w:cs="Times New Roman"/>
        </w:rPr>
        <w:br w:type="page"/>
      </w:r>
    </w:p>
    <w:p w:rsidR="00D0607C" w:rsidRDefault="00644127" w:rsidP="00C30989">
      <w:pPr>
        <w:rPr>
          <w:rFonts w:ascii="Times New Roman" w:hAnsi="Times New Roman" w:cs="Times New Roman"/>
          <w:b/>
          <w:u w:val="single"/>
        </w:rPr>
      </w:pPr>
      <w:r>
        <w:rPr>
          <w:rFonts w:ascii="Times New Roman" w:hAnsi="Times New Roman" w:cs="Times New Roman"/>
          <w:b/>
          <w:u w:val="single"/>
        </w:rPr>
        <w:lastRenderedPageBreak/>
        <w:t>Bibliography</w:t>
      </w:r>
    </w:p>
    <w:p w:rsidR="00644127" w:rsidRDefault="00C30989" w:rsidP="00C30989">
      <w:pPr>
        <w:rPr>
          <w:rFonts w:ascii="Times New Roman" w:hAnsi="Times New Roman" w:cs="Times New Roman"/>
          <w:b/>
          <w:u w:val="single"/>
        </w:rPr>
      </w:pPr>
      <w:r>
        <w:rPr>
          <w:rFonts w:ascii="Times New Roman" w:hAnsi="Times New Roman" w:cs="Times New Roman"/>
          <w:b/>
          <w:u w:val="single"/>
        </w:rPr>
        <w:t>Primary Sources</w:t>
      </w:r>
    </w:p>
    <w:p w:rsidR="00C30989" w:rsidRPr="0001667C" w:rsidRDefault="00C30989" w:rsidP="00C30989">
      <w:pPr>
        <w:rPr>
          <w:rFonts w:ascii="Times New Roman" w:hAnsi="Times New Roman" w:cs="Times New Roman"/>
        </w:rPr>
      </w:pPr>
      <w:r>
        <w:rPr>
          <w:rFonts w:ascii="Times New Roman" w:hAnsi="Times New Roman" w:cs="Times New Roman"/>
        </w:rPr>
        <w:t xml:space="preserve">Billington-Greig, T., </w:t>
      </w:r>
      <w:r w:rsidR="0001667C">
        <w:rPr>
          <w:rFonts w:ascii="Times New Roman" w:hAnsi="Times New Roman" w:cs="Times New Roman"/>
          <w:i/>
        </w:rPr>
        <w:t xml:space="preserve">The Militant Policy for Women Suffragists </w:t>
      </w:r>
      <w:r w:rsidR="0001667C">
        <w:rPr>
          <w:rFonts w:ascii="Times New Roman" w:hAnsi="Times New Roman" w:cs="Times New Roman"/>
        </w:rPr>
        <w:t>(London: Routledge and Kegan Paul, 1987).</w:t>
      </w:r>
    </w:p>
    <w:p w:rsidR="00C30989" w:rsidRPr="00CF13D8" w:rsidRDefault="00C30989" w:rsidP="00C30989">
      <w:pPr>
        <w:rPr>
          <w:rFonts w:ascii="Times New Roman" w:hAnsi="Times New Roman" w:cs="Times New Roman"/>
        </w:rPr>
      </w:pPr>
      <w:r w:rsidRPr="00CF13D8">
        <w:rPr>
          <w:rFonts w:ascii="Times New Roman" w:hAnsi="Times New Roman" w:cs="Times New Roman"/>
        </w:rPr>
        <w:t xml:space="preserve">Pankhurst, S., and Pankhurst, E., </w:t>
      </w:r>
      <w:r w:rsidRPr="00CF13D8">
        <w:rPr>
          <w:rFonts w:ascii="Times New Roman" w:hAnsi="Times New Roman" w:cs="Times New Roman"/>
          <w:i/>
        </w:rPr>
        <w:t xml:space="preserve">The Suffragette </w:t>
      </w:r>
      <w:r w:rsidR="0001667C" w:rsidRPr="00CF13D8">
        <w:rPr>
          <w:rFonts w:ascii="Times New Roman" w:hAnsi="Times New Roman" w:cs="Times New Roman"/>
          <w:i/>
        </w:rPr>
        <w:t>the</w:t>
      </w:r>
      <w:r w:rsidRPr="00CF13D8">
        <w:rPr>
          <w:rFonts w:ascii="Times New Roman" w:hAnsi="Times New Roman" w:cs="Times New Roman"/>
          <w:i/>
        </w:rPr>
        <w:t xml:space="preserve"> History of the Militant Suffrage Movement </w:t>
      </w:r>
      <w:r w:rsidRPr="00CF13D8">
        <w:rPr>
          <w:rFonts w:ascii="Times New Roman" w:hAnsi="Times New Roman" w:cs="Times New Roman"/>
        </w:rPr>
        <w:t>(Dover: New York, 2015).</w:t>
      </w:r>
    </w:p>
    <w:p w:rsidR="0020649C" w:rsidRDefault="00CF13D8" w:rsidP="00C30989">
      <w:pPr>
        <w:rPr>
          <w:rFonts w:ascii="Times New Roman" w:hAnsi="Times New Roman" w:cs="Times New Roman"/>
        </w:rPr>
      </w:pPr>
      <w:r w:rsidRPr="00CF13D8">
        <w:rPr>
          <w:rFonts w:ascii="Times New Roman" w:hAnsi="Times New Roman" w:cs="Times New Roman"/>
        </w:rPr>
        <w:t xml:space="preserve">Suffragists on the War Path, History of Feminism [online]. </w:t>
      </w:r>
      <w:hyperlink r:id="rId7" w:history="1">
        <w:r w:rsidRPr="00CF13D8">
          <w:rPr>
            <w:rStyle w:val="Hyperlink"/>
            <w:rFonts w:ascii="Times New Roman" w:hAnsi="Times New Roman" w:cs="Times New Roman"/>
          </w:rPr>
          <w:t>Available http://historyoffeminism.com/anti-suffragette-postcards-posters-cartoons/</w:t>
        </w:r>
      </w:hyperlink>
      <w:r w:rsidRPr="00CF13D8">
        <w:rPr>
          <w:rFonts w:ascii="Times New Roman" w:hAnsi="Times New Roman" w:cs="Times New Roman"/>
        </w:rPr>
        <w:t>. (accessed Dec 9</w:t>
      </w:r>
      <w:r w:rsidR="00B02032">
        <w:rPr>
          <w:rFonts w:ascii="Times New Roman" w:hAnsi="Times New Roman" w:cs="Times New Roman"/>
        </w:rPr>
        <w:t>,</w:t>
      </w:r>
      <w:r w:rsidRPr="00CF13D8">
        <w:rPr>
          <w:rFonts w:ascii="Times New Roman" w:hAnsi="Times New Roman" w:cs="Times New Roman"/>
        </w:rPr>
        <w:t xml:space="preserve"> 2017).</w:t>
      </w:r>
    </w:p>
    <w:p w:rsidR="00CF13D8" w:rsidRPr="00CF13D8" w:rsidRDefault="00CF13D8" w:rsidP="00C30989">
      <w:pPr>
        <w:rPr>
          <w:rFonts w:ascii="Times New Roman" w:hAnsi="Times New Roman" w:cs="Times New Roman"/>
        </w:rPr>
      </w:pPr>
    </w:p>
    <w:p w:rsidR="0020649C" w:rsidRDefault="0020649C" w:rsidP="00C30989">
      <w:pPr>
        <w:rPr>
          <w:rFonts w:ascii="Times New Roman" w:hAnsi="Times New Roman" w:cs="Times New Roman"/>
          <w:b/>
          <w:u w:val="single"/>
        </w:rPr>
      </w:pPr>
      <w:r>
        <w:rPr>
          <w:rFonts w:ascii="Times New Roman" w:hAnsi="Times New Roman" w:cs="Times New Roman"/>
          <w:b/>
          <w:u w:val="single"/>
        </w:rPr>
        <w:t>Secondary Sources</w:t>
      </w:r>
    </w:p>
    <w:p w:rsidR="0020649C" w:rsidRDefault="0078125D" w:rsidP="00C30989">
      <w:pPr>
        <w:rPr>
          <w:rFonts w:ascii="Times New Roman" w:hAnsi="Times New Roman" w:cs="Times New Roman"/>
        </w:rPr>
      </w:pPr>
      <w:r>
        <w:rPr>
          <w:rFonts w:ascii="Times New Roman" w:hAnsi="Times New Roman" w:cs="Times New Roman"/>
        </w:rPr>
        <w:t xml:space="preserve">Bloom, </w:t>
      </w:r>
      <w:r w:rsidR="00EE1E1C">
        <w:rPr>
          <w:rFonts w:ascii="Times New Roman" w:hAnsi="Times New Roman" w:cs="Times New Roman"/>
        </w:rPr>
        <w:t xml:space="preserve">C., </w:t>
      </w:r>
      <w:r w:rsidR="00EE1E1C">
        <w:rPr>
          <w:rFonts w:ascii="Times New Roman" w:hAnsi="Times New Roman" w:cs="Times New Roman"/>
          <w:i/>
        </w:rPr>
        <w:t xml:space="preserve">Violent London 2000 Years of Riots, Rebels and Revolts </w:t>
      </w:r>
      <w:r w:rsidR="00EE1E1C">
        <w:rPr>
          <w:rFonts w:ascii="Times New Roman" w:hAnsi="Times New Roman" w:cs="Times New Roman"/>
        </w:rPr>
        <w:t>(Basingstoke: Palgrave Macmillan, 201</w:t>
      </w:r>
      <w:r w:rsidR="00503B3F">
        <w:rPr>
          <w:rFonts w:ascii="Times New Roman" w:hAnsi="Times New Roman" w:cs="Times New Roman"/>
        </w:rPr>
        <w:t>0</w:t>
      </w:r>
      <w:r w:rsidR="00EE1E1C">
        <w:rPr>
          <w:rFonts w:ascii="Times New Roman" w:hAnsi="Times New Roman" w:cs="Times New Roman"/>
        </w:rPr>
        <w:t>).</w:t>
      </w:r>
    </w:p>
    <w:p w:rsidR="004978C9" w:rsidRPr="004978C9" w:rsidRDefault="004978C9" w:rsidP="00C30989">
      <w:pPr>
        <w:rPr>
          <w:rFonts w:ascii="Times New Roman" w:hAnsi="Times New Roman" w:cs="Times New Roman"/>
        </w:rPr>
      </w:pPr>
      <w:r w:rsidRPr="004978C9">
        <w:rPr>
          <w:rFonts w:ascii="Times New Roman" w:hAnsi="Times New Roman" w:cs="Times New Roman"/>
        </w:rPr>
        <w:t xml:space="preserve">Elizabeth Crawford, ‘We wanted to wake him up: Lloyd George and Suffragette Militancy’ [online]. Available at </w:t>
      </w:r>
      <w:hyperlink r:id="rId8" w:history="1">
        <w:r w:rsidRPr="004978C9">
          <w:rPr>
            <w:rStyle w:val="Hyperlink"/>
            <w:rFonts w:ascii="Times New Roman" w:hAnsi="Times New Roman" w:cs="Times New Roman"/>
          </w:rPr>
          <w:t>https://history.blog.gov.uk/2013/07/04/mrs-pankhurst-lloyd-george-suffragette-militancy/</w:t>
        </w:r>
      </w:hyperlink>
      <w:r w:rsidRPr="004978C9">
        <w:rPr>
          <w:rFonts w:ascii="Times New Roman" w:hAnsi="Times New Roman" w:cs="Times New Roman"/>
        </w:rPr>
        <w:t>. (accessed: Dec 6, 2017).</w:t>
      </w:r>
    </w:p>
    <w:p w:rsidR="00401834" w:rsidRDefault="00401834" w:rsidP="00C30989">
      <w:pPr>
        <w:rPr>
          <w:rFonts w:ascii="Times New Roman" w:hAnsi="Times New Roman" w:cs="Times New Roman"/>
        </w:rPr>
      </w:pPr>
      <w:r>
        <w:rPr>
          <w:rFonts w:ascii="Times New Roman" w:hAnsi="Times New Roman" w:cs="Times New Roman"/>
        </w:rPr>
        <w:t xml:space="preserve">Joanou, M., and Purvis, J., </w:t>
      </w:r>
      <w:r>
        <w:rPr>
          <w:rFonts w:ascii="Times New Roman" w:hAnsi="Times New Roman" w:cs="Times New Roman"/>
          <w:i/>
        </w:rPr>
        <w:t xml:space="preserve">The Women’s Suffrage Movement </w:t>
      </w:r>
      <w:r>
        <w:rPr>
          <w:rFonts w:ascii="Times New Roman" w:hAnsi="Times New Roman" w:cs="Times New Roman"/>
        </w:rPr>
        <w:t>(Manchester: Manchester University Press, 1998).</w:t>
      </w:r>
    </w:p>
    <w:p w:rsidR="00401834" w:rsidRDefault="00550BC1" w:rsidP="00C30989">
      <w:pPr>
        <w:rPr>
          <w:rFonts w:ascii="Times New Roman" w:hAnsi="Times New Roman" w:cs="Times New Roman"/>
        </w:rPr>
      </w:pPr>
      <w:r w:rsidRPr="00B02032">
        <w:rPr>
          <w:rFonts w:ascii="Times New Roman" w:hAnsi="Times New Roman" w:cs="Times New Roman"/>
        </w:rPr>
        <w:t xml:space="preserve">Marlow, J., </w:t>
      </w:r>
      <w:r w:rsidRPr="00B02032">
        <w:rPr>
          <w:rFonts w:ascii="Times New Roman" w:hAnsi="Times New Roman" w:cs="Times New Roman"/>
          <w:i/>
        </w:rPr>
        <w:t xml:space="preserve">Suffragettes the Fight for Votes for Women </w:t>
      </w:r>
      <w:r w:rsidRPr="00B02032">
        <w:rPr>
          <w:rFonts w:ascii="Times New Roman" w:hAnsi="Times New Roman" w:cs="Times New Roman"/>
        </w:rPr>
        <w:t>(London: Virago Press, 2015).</w:t>
      </w:r>
    </w:p>
    <w:p w:rsidR="00724F45" w:rsidRPr="00724F45" w:rsidRDefault="00724F45" w:rsidP="00C30989">
      <w:pPr>
        <w:rPr>
          <w:rFonts w:ascii="Times New Roman" w:hAnsi="Times New Roman" w:cs="Times New Roman"/>
        </w:rPr>
      </w:pPr>
      <w:r>
        <w:rPr>
          <w:rFonts w:ascii="Times New Roman" w:hAnsi="Times New Roman" w:cs="Times New Roman"/>
        </w:rPr>
        <w:t xml:space="preserve">Raeburn, A., </w:t>
      </w:r>
      <w:r>
        <w:rPr>
          <w:rFonts w:ascii="Times New Roman" w:hAnsi="Times New Roman" w:cs="Times New Roman"/>
          <w:i/>
        </w:rPr>
        <w:t xml:space="preserve">Militant Suffragettes </w:t>
      </w:r>
      <w:r>
        <w:rPr>
          <w:rFonts w:ascii="Times New Roman" w:hAnsi="Times New Roman" w:cs="Times New Roman"/>
        </w:rPr>
        <w:t>(London: New English Library, 1973).</w:t>
      </w:r>
    </w:p>
    <w:p w:rsidR="00B02032" w:rsidRPr="00B02032" w:rsidRDefault="00B02032" w:rsidP="00C30989">
      <w:pPr>
        <w:rPr>
          <w:rFonts w:ascii="Times New Roman" w:hAnsi="Times New Roman" w:cs="Times New Roman"/>
        </w:rPr>
      </w:pPr>
      <w:r>
        <w:rPr>
          <w:rFonts w:ascii="Times New Roman" w:hAnsi="Times New Roman" w:cs="Times New Roman"/>
        </w:rPr>
        <w:t xml:space="preserve">Rosen, A., </w:t>
      </w:r>
      <w:r>
        <w:rPr>
          <w:rFonts w:ascii="Times New Roman" w:hAnsi="Times New Roman" w:cs="Times New Roman"/>
          <w:i/>
        </w:rPr>
        <w:t xml:space="preserve">Rise up, Women! The Militant Campaign of the Women’s Social and Political Union 1903-1914 </w:t>
      </w:r>
      <w:r>
        <w:rPr>
          <w:rFonts w:ascii="Times New Roman" w:hAnsi="Times New Roman" w:cs="Times New Roman"/>
        </w:rPr>
        <w:t>(Aldershot: Routledge and Kegan Paul, 1974).</w:t>
      </w:r>
    </w:p>
    <w:p w:rsidR="00B02032" w:rsidRPr="00B02032" w:rsidRDefault="00B02032" w:rsidP="00C30989">
      <w:pPr>
        <w:rPr>
          <w:rFonts w:ascii="Times New Roman" w:hAnsi="Times New Roman" w:cs="Times New Roman"/>
        </w:rPr>
      </w:pPr>
      <w:r w:rsidRPr="00B02032">
        <w:rPr>
          <w:rFonts w:ascii="Times New Roman" w:hAnsi="Times New Roman" w:cs="Times New Roman"/>
        </w:rPr>
        <w:t xml:space="preserve">The History Learning Site, Cat and Mouse Act [online]. Available at </w:t>
      </w:r>
      <w:hyperlink r:id="rId9" w:history="1">
        <w:r w:rsidRPr="00B02032">
          <w:rPr>
            <w:rStyle w:val="Hyperlink"/>
            <w:rFonts w:ascii="Times New Roman" w:hAnsi="Times New Roman" w:cs="Times New Roman"/>
          </w:rPr>
          <w:t>www.historylearningsite.co.uk/the-role-of-british-women-in-the-twentieth-century/cat-and-mouse-act/</w:t>
        </w:r>
      </w:hyperlink>
      <w:r w:rsidRPr="00B02032">
        <w:rPr>
          <w:rFonts w:ascii="Times New Roman" w:hAnsi="Times New Roman" w:cs="Times New Roman"/>
        </w:rPr>
        <w:t>. (accessed 11 Dec 2017).</w:t>
      </w:r>
    </w:p>
    <w:p w:rsidR="00550BC1" w:rsidRPr="007F62C7" w:rsidRDefault="007F62C7" w:rsidP="00C30989">
      <w:pPr>
        <w:rPr>
          <w:rFonts w:ascii="Times New Roman" w:hAnsi="Times New Roman" w:cs="Times New Roman"/>
        </w:rPr>
      </w:pPr>
      <w:r>
        <w:rPr>
          <w:rFonts w:ascii="Times New Roman" w:hAnsi="Times New Roman" w:cs="Times New Roman"/>
        </w:rPr>
        <w:t xml:space="preserve">Vallance, E., </w:t>
      </w:r>
      <w:r>
        <w:rPr>
          <w:rFonts w:ascii="Times New Roman" w:hAnsi="Times New Roman" w:cs="Times New Roman"/>
          <w:i/>
        </w:rPr>
        <w:t xml:space="preserve">A Radical History of Britain </w:t>
      </w:r>
      <w:r>
        <w:rPr>
          <w:rFonts w:ascii="Times New Roman" w:hAnsi="Times New Roman" w:cs="Times New Roman"/>
        </w:rPr>
        <w:t>(</w:t>
      </w:r>
      <w:r w:rsidR="008A6904">
        <w:rPr>
          <w:rFonts w:ascii="Times New Roman" w:hAnsi="Times New Roman" w:cs="Times New Roman"/>
        </w:rPr>
        <w:t>London: Abacus, 2010).</w:t>
      </w:r>
    </w:p>
    <w:sectPr w:rsidR="00550BC1" w:rsidRPr="007F62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5253" w:rsidRDefault="001D5253" w:rsidP="00705740">
      <w:pPr>
        <w:spacing w:after="0" w:line="240" w:lineRule="auto"/>
      </w:pPr>
      <w:r>
        <w:separator/>
      </w:r>
    </w:p>
  </w:endnote>
  <w:endnote w:type="continuationSeparator" w:id="0">
    <w:p w:rsidR="001D5253" w:rsidRDefault="001D5253" w:rsidP="007057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5253" w:rsidRDefault="001D5253" w:rsidP="00705740">
      <w:pPr>
        <w:spacing w:after="0" w:line="240" w:lineRule="auto"/>
      </w:pPr>
      <w:r>
        <w:separator/>
      </w:r>
    </w:p>
  </w:footnote>
  <w:footnote w:type="continuationSeparator" w:id="0">
    <w:p w:rsidR="001D5253" w:rsidRDefault="001D5253" w:rsidP="00705740">
      <w:pPr>
        <w:spacing w:after="0" w:line="240" w:lineRule="auto"/>
      </w:pPr>
      <w:r>
        <w:continuationSeparator/>
      </w:r>
    </w:p>
  </w:footnote>
  <w:footnote w:id="1">
    <w:p w:rsidR="00705740" w:rsidRPr="004A4681" w:rsidRDefault="00705740">
      <w:pPr>
        <w:pStyle w:val="FootnoteText"/>
      </w:pPr>
      <w:r>
        <w:rPr>
          <w:rStyle w:val="FootnoteReference"/>
        </w:rPr>
        <w:footnoteRef/>
      </w:r>
      <w:r>
        <w:t xml:space="preserve"> </w:t>
      </w:r>
      <w:r w:rsidR="004A4681">
        <w:t xml:space="preserve">C. Bloom, </w:t>
      </w:r>
      <w:r w:rsidR="004A4681">
        <w:rPr>
          <w:i/>
        </w:rPr>
        <w:t xml:space="preserve">Violent London 2000 years of Riots, Rebels and Revolts </w:t>
      </w:r>
      <w:r w:rsidR="004A4681">
        <w:t>(Basingstoke: Palgrave Macmillan, 2010), pp. 255-256.</w:t>
      </w:r>
    </w:p>
  </w:footnote>
  <w:footnote w:id="2">
    <w:p w:rsidR="00A52781" w:rsidRPr="009F01F7" w:rsidRDefault="00A52781">
      <w:pPr>
        <w:pStyle w:val="FootnoteText"/>
      </w:pPr>
      <w:r>
        <w:rPr>
          <w:rStyle w:val="FootnoteReference"/>
        </w:rPr>
        <w:footnoteRef/>
      </w:r>
      <w:r>
        <w:t xml:space="preserve"> M. Joanou and June Pervis, </w:t>
      </w:r>
      <w:r w:rsidR="009F01F7">
        <w:rPr>
          <w:i/>
        </w:rPr>
        <w:t>The Women’s Suffrage Movement</w:t>
      </w:r>
      <w:r w:rsidR="009F01F7">
        <w:t xml:space="preserve"> (Manchester: Manchester University Press, 1998), p. 51.</w:t>
      </w:r>
    </w:p>
  </w:footnote>
  <w:footnote w:id="3">
    <w:p w:rsidR="00D86ADE" w:rsidRPr="00D86ADE" w:rsidRDefault="00D86ADE">
      <w:pPr>
        <w:pStyle w:val="FootnoteText"/>
      </w:pPr>
      <w:r>
        <w:rPr>
          <w:rStyle w:val="FootnoteReference"/>
        </w:rPr>
        <w:footnoteRef/>
      </w:r>
      <w:r>
        <w:t xml:space="preserve"> T. Billington-Greig, </w:t>
      </w:r>
      <w:r>
        <w:rPr>
          <w:i/>
        </w:rPr>
        <w:t xml:space="preserve">The militant policy for Women Suffragists </w:t>
      </w:r>
      <w:r>
        <w:t>(London: Routledge and Kegan Paul, 1987), pp. 113-114.</w:t>
      </w:r>
    </w:p>
  </w:footnote>
  <w:footnote w:id="4">
    <w:p w:rsidR="00C52062" w:rsidRPr="00E0439F" w:rsidRDefault="00C52062">
      <w:pPr>
        <w:pStyle w:val="FootnoteText"/>
      </w:pPr>
      <w:r>
        <w:rPr>
          <w:rStyle w:val="FootnoteReference"/>
        </w:rPr>
        <w:footnoteRef/>
      </w:r>
      <w:r>
        <w:t xml:space="preserve"> </w:t>
      </w:r>
      <w:r w:rsidR="00E0439F">
        <w:t xml:space="preserve">J. Marlow, </w:t>
      </w:r>
      <w:r w:rsidR="00E0439F">
        <w:rPr>
          <w:i/>
        </w:rPr>
        <w:t xml:space="preserve">Suffragettes </w:t>
      </w:r>
      <w:r w:rsidR="005C5D1B">
        <w:rPr>
          <w:i/>
        </w:rPr>
        <w:t>the</w:t>
      </w:r>
      <w:r w:rsidR="00E0439F">
        <w:rPr>
          <w:i/>
        </w:rPr>
        <w:t xml:space="preserve"> Fight for Votes for Women </w:t>
      </w:r>
      <w:r w:rsidR="00E0439F">
        <w:t>(London: Virago Press, 2015), pp. 33-34.</w:t>
      </w:r>
    </w:p>
  </w:footnote>
  <w:footnote w:id="5">
    <w:p w:rsidR="00E0439F" w:rsidRPr="005C5D1B" w:rsidRDefault="00E0439F">
      <w:pPr>
        <w:pStyle w:val="FootnoteText"/>
      </w:pPr>
      <w:r>
        <w:rPr>
          <w:rStyle w:val="FootnoteReference"/>
        </w:rPr>
        <w:footnoteRef/>
      </w:r>
      <w:r>
        <w:t xml:space="preserve"> </w:t>
      </w:r>
      <w:r w:rsidR="00C4383E">
        <w:t>A. Rosen</w:t>
      </w:r>
      <w:r w:rsidR="00F56213">
        <w:t xml:space="preserve">, </w:t>
      </w:r>
      <w:r w:rsidR="00F56213">
        <w:rPr>
          <w:i/>
        </w:rPr>
        <w:t xml:space="preserve">Rise Up, Women! The Militant Campaign of the Women’s Social and Political Union 1903-1914 </w:t>
      </w:r>
      <w:r w:rsidR="00F56213" w:rsidRPr="00F56213">
        <w:t>(Aldershot, 1974)</w:t>
      </w:r>
      <w:r w:rsidR="00F56213">
        <w:t xml:space="preserve">, p. 189. Cited in </w:t>
      </w:r>
      <w:r w:rsidR="005C5D1B" w:rsidRPr="00F56213">
        <w:t>E. Vallance</w:t>
      </w:r>
      <w:r w:rsidR="005C5D1B">
        <w:t xml:space="preserve">, </w:t>
      </w:r>
      <w:r w:rsidR="005C5D1B">
        <w:rPr>
          <w:i/>
        </w:rPr>
        <w:t xml:space="preserve">A Radical History of Britain </w:t>
      </w:r>
      <w:r w:rsidR="005C5D1B">
        <w:t>(London: Abacus, 2010), p. 512.</w:t>
      </w:r>
    </w:p>
  </w:footnote>
  <w:footnote w:id="6">
    <w:p w:rsidR="003559CA" w:rsidRPr="003559CA" w:rsidRDefault="003559CA">
      <w:pPr>
        <w:pStyle w:val="FootnoteText"/>
      </w:pPr>
      <w:r>
        <w:rPr>
          <w:rStyle w:val="FootnoteReference"/>
        </w:rPr>
        <w:footnoteRef/>
      </w:r>
      <w:r>
        <w:t xml:space="preserve"> </w:t>
      </w:r>
      <w:r>
        <w:rPr>
          <w:i/>
        </w:rPr>
        <w:t>Ibid</w:t>
      </w:r>
      <w:r>
        <w:t>., p. 485.</w:t>
      </w:r>
    </w:p>
  </w:footnote>
  <w:footnote w:id="7">
    <w:p w:rsidR="00DB6CFE" w:rsidRPr="0072256C" w:rsidRDefault="00DB6CFE">
      <w:pPr>
        <w:pStyle w:val="FootnoteText"/>
      </w:pPr>
      <w:r>
        <w:rPr>
          <w:rStyle w:val="FootnoteReference"/>
        </w:rPr>
        <w:footnoteRef/>
      </w:r>
      <w:r>
        <w:t xml:space="preserve"> </w:t>
      </w:r>
      <w:r w:rsidR="00086AC6">
        <w:t>S. Pankhurst</w:t>
      </w:r>
      <w:r w:rsidR="00F64293">
        <w:t xml:space="preserve"> and E. Pankhurst</w:t>
      </w:r>
      <w:r w:rsidR="00086AC6">
        <w:t xml:space="preserve">, </w:t>
      </w:r>
      <w:r w:rsidR="0072256C">
        <w:rPr>
          <w:i/>
        </w:rPr>
        <w:t xml:space="preserve">The Suffragettes the history of the Women’s Militant Suffrage Movement </w:t>
      </w:r>
      <w:r w:rsidR="0072256C">
        <w:t>(New York: Dover, 2015), p. 260.</w:t>
      </w:r>
    </w:p>
  </w:footnote>
  <w:footnote w:id="8">
    <w:p w:rsidR="00C91052" w:rsidRPr="00C91052" w:rsidRDefault="00C91052">
      <w:pPr>
        <w:pStyle w:val="FootnoteText"/>
      </w:pPr>
      <w:r>
        <w:rPr>
          <w:rStyle w:val="FootnoteReference"/>
        </w:rPr>
        <w:footnoteRef/>
      </w:r>
      <w:r>
        <w:t xml:space="preserve"> Vallance, </w:t>
      </w:r>
      <w:r>
        <w:rPr>
          <w:i/>
        </w:rPr>
        <w:t>A Radical History of Britain</w:t>
      </w:r>
      <w:r>
        <w:t>, p. 485.</w:t>
      </w:r>
    </w:p>
  </w:footnote>
  <w:footnote w:id="9">
    <w:p w:rsidR="00DF5444" w:rsidRPr="004F53B7" w:rsidRDefault="00DF5444">
      <w:pPr>
        <w:pStyle w:val="FootnoteText"/>
      </w:pPr>
      <w:r>
        <w:rPr>
          <w:rStyle w:val="FootnoteReference"/>
        </w:rPr>
        <w:footnoteRef/>
      </w:r>
      <w:r>
        <w:t xml:space="preserve"> </w:t>
      </w:r>
      <w:r w:rsidR="00810566">
        <w:t xml:space="preserve">Joanou and Pervis, </w:t>
      </w:r>
      <w:r w:rsidR="004F53B7">
        <w:rPr>
          <w:i/>
        </w:rPr>
        <w:t>The Women’s Suffrage Movement</w:t>
      </w:r>
      <w:r w:rsidR="004F53B7">
        <w:t>, p. 160.</w:t>
      </w:r>
    </w:p>
  </w:footnote>
  <w:footnote w:id="10">
    <w:p w:rsidR="00DE19AD" w:rsidRDefault="00DE19AD">
      <w:pPr>
        <w:pStyle w:val="FootnoteText"/>
      </w:pPr>
      <w:r>
        <w:rPr>
          <w:rStyle w:val="FootnoteReference"/>
        </w:rPr>
        <w:footnoteRef/>
      </w:r>
      <w:r>
        <w:t xml:space="preserve"> </w:t>
      </w:r>
      <w:bookmarkStart w:id="0" w:name="_Hlk501046594"/>
      <w:r w:rsidR="00033912">
        <w:t xml:space="preserve">Elizabeth Crawford, ‘We wanted to wake him up: Lloyd George and Suffragette Militancy’ [online]. Available at </w:t>
      </w:r>
      <w:hyperlink r:id="rId1" w:history="1">
        <w:r w:rsidR="00033912" w:rsidRPr="00033912">
          <w:rPr>
            <w:rStyle w:val="Hyperlink"/>
          </w:rPr>
          <w:t>https://history.blog.gov.uk/2013/07/04/mrs-pankhurst-lloyd-george-suffragette-militancy/</w:t>
        </w:r>
      </w:hyperlink>
      <w:r w:rsidR="00033912">
        <w:t>. (a</w:t>
      </w:r>
      <w:r w:rsidR="00A54780">
        <w:t>cc</w:t>
      </w:r>
      <w:r w:rsidR="00033912">
        <w:t xml:space="preserve">essed: Dec </w:t>
      </w:r>
      <w:r w:rsidR="00AE12EC">
        <w:t>6,</w:t>
      </w:r>
      <w:r w:rsidR="00033912">
        <w:t xml:space="preserve"> 2017).</w:t>
      </w:r>
      <w:bookmarkEnd w:id="0"/>
    </w:p>
  </w:footnote>
  <w:footnote w:id="11">
    <w:p w:rsidR="00AE12EC" w:rsidRPr="00AE12EC" w:rsidRDefault="00AE12EC">
      <w:pPr>
        <w:pStyle w:val="FootnoteText"/>
      </w:pPr>
      <w:r>
        <w:rPr>
          <w:rStyle w:val="FootnoteReference"/>
        </w:rPr>
        <w:footnoteRef/>
      </w:r>
      <w:r>
        <w:t xml:space="preserve"> </w:t>
      </w:r>
      <w:r>
        <w:rPr>
          <w:i/>
        </w:rPr>
        <w:t>Ibid</w:t>
      </w:r>
      <w:r>
        <w:t>.</w:t>
      </w:r>
    </w:p>
  </w:footnote>
  <w:footnote w:id="12">
    <w:p w:rsidR="00673F53" w:rsidRPr="00673F53" w:rsidRDefault="00673F53">
      <w:pPr>
        <w:pStyle w:val="FootnoteText"/>
      </w:pPr>
      <w:r>
        <w:rPr>
          <w:rStyle w:val="FootnoteReference"/>
        </w:rPr>
        <w:footnoteRef/>
      </w:r>
      <w:r>
        <w:t xml:space="preserve"> </w:t>
      </w:r>
      <w:r>
        <w:rPr>
          <w:i/>
        </w:rPr>
        <w:t>Ibid</w:t>
      </w:r>
      <w:r>
        <w:t>.</w:t>
      </w:r>
    </w:p>
  </w:footnote>
  <w:footnote w:id="13">
    <w:p w:rsidR="00E431B5" w:rsidRPr="00E431B5" w:rsidRDefault="00E431B5">
      <w:pPr>
        <w:pStyle w:val="FootnoteText"/>
      </w:pPr>
      <w:r>
        <w:rPr>
          <w:rStyle w:val="FootnoteReference"/>
        </w:rPr>
        <w:footnoteRef/>
      </w:r>
      <w:r>
        <w:t xml:space="preserve"> </w:t>
      </w:r>
      <w:r>
        <w:rPr>
          <w:i/>
        </w:rPr>
        <w:t>Ibid</w:t>
      </w:r>
      <w:r>
        <w:t>.</w:t>
      </w:r>
    </w:p>
  </w:footnote>
  <w:footnote w:id="14">
    <w:p w:rsidR="007979B4" w:rsidRDefault="007979B4">
      <w:pPr>
        <w:pStyle w:val="FootnoteText"/>
      </w:pPr>
      <w:r>
        <w:rPr>
          <w:rStyle w:val="FootnoteReference"/>
        </w:rPr>
        <w:footnoteRef/>
      </w:r>
      <w:r>
        <w:t xml:space="preserve"> </w:t>
      </w:r>
      <w:bookmarkStart w:id="1" w:name="_Hlk501046701"/>
      <w:r>
        <w:t xml:space="preserve">Suffragists on the War Path, History of Feminism [online]. </w:t>
      </w:r>
      <w:hyperlink r:id="rId2" w:history="1">
        <w:r w:rsidRPr="00A54780">
          <w:rPr>
            <w:rStyle w:val="Hyperlink"/>
          </w:rPr>
          <w:t xml:space="preserve">Available </w:t>
        </w:r>
        <w:r w:rsidR="00A54780" w:rsidRPr="00A54780">
          <w:rPr>
            <w:rStyle w:val="Hyperlink"/>
          </w:rPr>
          <w:t>http://historyoffeminism.com/anti-suffragette-postcards-posters-cartoons/</w:t>
        </w:r>
      </w:hyperlink>
      <w:r w:rsidR="00A54780">
        <w:t xml:space="preserve">. (accessed Dec </w:t>
      </w:r>
      <w:proofErr w:type="gramStart"/>
      <w:r w:rsidR="00A54780">
        <w:t>9</w:t>
      </w:r>
      <w:proofErr w:type="gramEnd"/>
      <w:r w:rsidR="00A54780">
        <w:t xml:space="preserve"> 2017).</w:t>
      </w:r>
      <w:bookmarkEnd w:id="1"/>
    </w:p>
  </w:footnote>
  <w:footnote w:id="15">
    <w:p w:rsidR="009B22C5" w:rsidRPr="008E6551" w:rsidRDefault="009B22C5">
      <w:pPr>
        <w:pStyle w:val="FootnoteText"/>
      </w:pPr>
      <w:r>
        <w:rPr>
          <w:rStyle w:val="FootnoteReference"/>
        </w:rPr>
        <w:footnoteRef/>
      </w:r>
      <w:r>
        <w:t xml:space="preserve"> </w:t>
      </w:r>
      <w:r w:rsidR="005719D1">
        <w:t xml:space="preserve">Joanou and Purvis, </w:t>
      </w:r>
      <w:r w:rsidR="008E6551">
        <w:rPr>
          <w:i/>
        </w:rPr>
        <w:t>The Women’s Suffrage Movement</w:t>
      </w:r>
      <w:r w:rsidR="008E6551">
        <w:t>, pp. 176-179.</w:t>
      </w:r>
    </w:p>
  </w:footnote>
  <w:footnote w:id="16">
    <w:p w:rsidR="000D4781" w:rsidRPr="000D4781" w:rsidRDefault="000D4781">
      <w:pPr>
        <w:pStyle w:val="FootnoteText"/>
      </w:pPr>
      <w:r>
        <w:rPr>
          <w:rStyle w:val="FootnoteReference"/>
        </w:rPr>
        <w:footnoteRef/>
      </w:r>
      <w:r>
        <w:t xml:space="preserve"> </w:t>
      </w:r>
      <w:r>
        <w:rPr>
          <w:i/>
        </w:rPr>
        <w:t>Ibid</w:t>
      </w:r>
      <w:r>
        <w:t>., p. 179.</w:t>
      </w:r>
    </w:p>
  </w:footnote>
  <w:footnote w:id="17">
    <w:p w:rsidR="00CB78DC" w:rsidRPr="002F70A0" w:rsidRDefault="00CB78DC">
      <w:pPr>
        <w:pStyle w:val="FootnoteText"/>
      </w:pPr>
      <w:r>
        <w:rPr>
          <w:rStyle w:val="FootnoteReference"/>
        </w:rPr>
        <w:footnoteRef/>
      </w:r>
      <w:r>
        <w:t xml:space="preserve"> </w:t>
      </w:r>
      <w:r w:rsidR="002F70A0">
        <w:rPr>
          <w:i/>
        </w:rPr>
        <w:t>Ibid</w:t>
      </w:r>
      <w:r w:rsidR="002F70A0">
        <w:t xml:space="preserve">., p. </w:t>
      </w:r>
      <w:r w:rsidR="00CE7A42">
        <w:t>179.</w:t>
      </w:r>
    </w:p>
  </w:footnote>
  <w:footnote w:id="18">
    <w:p w:rsidR="009903DB" w:rsidRPr="002D7017" w:rsidRDefault="009903DB">
      <w:pPr>
        <w:pStyle w:val="FootnoteText"/>
      </w:pPr>
      <w:r>
        <w:rPr>
          <w:rStyle w:val="FootnoteReference"/>
        </w:rPr>
        <w:footnoteRef/>
      </w:r>
      <w:r>
        <w:t xml:space="preserve"> Vallance, </w:t>
      </w:r>
      <w:r w:rsidR="002D7017">
        <w:rPr>
          <w:i/>
        </w:rPr>
        <w:t>A Radical History of Britain</w:t>
      </w:r>
      <w:r w:rsidR="002D7017">
        <w:t>, p. 505.</w:t>
      </w:r>
    </w:p>
  </w:footnote>
  <w:footnote w:id="19">
    <w:p w:rsidR="00FC7DEC" w:rsidRPr="00FC7DEC" w:rsidRDefault="00FC7DEC">
      <w:pPr>
        <w:pStyle w:val="FootnoteText"/>
      </w:pPr>
      <w:r>
        <w:rPr>
          <w:rStyle w:val="FootnoteReference"/>
        </w:rPr>
        <w:footnoteRef/>
      </w:r>
      <w:r>
        <w:t xml:space="preserve"> Joanou and Purvis, </w:t>
      </w:r>
      <w:r>
        <w:rPr>
          <w:i/>
        </w:rPr>
        <w:t>The Women’s Suffrage Movement</w:t>
      </w:r>
      <w:r>
        <w:t>, p. 178.</w:t>
      </w:r>
    </w:p>
  </w:footnote>
  <w:footnote w:id="20">
    <w:p w:rsidR="0013160B" w:rsidRPr="0013160B" w:rsidRDefault="0013160B">
      <w:pPr>
        <w:pStyle w:val="FootnoteText"/>
      </w:pPr>
      <w:r>
        <w:rPr>
          <w:rStyle w:val="FootnoteReference"/>
        </w:rPr>
        <w:footnoteRef/>
      </w:r>
      <w:r>
        <w:t xml:space="preserve"> </w:t>
      </w:r>
      <w:r>
        <w:rPr>
          <w:i/>
        </w:rPr>
        <w:t>Ibid</w:t>
      </w:r>
      <w:r>
        <w:t>., p. 178.</w:t>
      </w:r>
    </w:p>
  </w:footnote>
  <w:footnote w:id="21">
    <w:p w:rsidR="00613213" w:rsidRPr="005A21C5" w:rsidRDefault="00613213">
      <w:pPr>
        <w:pStyle w:val="FootnoteText"/>
      </w:pPr>
      <w:r>
        <w:rPr>
          <w:rStyle w:val="FootnoteReference"/>
        </w:rPr>
        <w:footnoteRef/>
      </w:r>
      <w:r>
        <w:t xml:space="preserve"> </w:t>
      </w:r>
      <w:r w:rsidR="005A21C5">
        <w:rPr>
          <w:i/>
        </w:rPr>
        <w:t>Ibid</w:t>
      </w:r>
      <w:r w:rsidR="005A21C5">
        <w:t>., p. 179.</w:t>
      </w:r>
    </w:p>
  </w:footnote>
  <w:footnote w:id="22">
    <w:p w:rsidR="005A21C5" w:rsidRPr="005A21C5" w:rsidRDefault="005A21C5">
      <w:pPr>
        <w:pStyle w:val="FootnoteText"/>
      </w:pPr>
      <w:r>
        <w:rPr>
          <w:rStyle w:val="FootnoteReference"/>
        </w:rPr>
        <w:footnoteRef/>
      </w:r>
      <w:r>
        <w:t xml:space="preserve"> </w:t>
      </w:r>
      <w:r>
        <w:rPr>
          <w:i/>
        </w:rPr>
        <w:t>Ibid</w:t>
      </w:r>
      <w:r>
        <w:t>., pp. 178-179.</w:t>
      </w:r>
    </w:p>
  </w:footnote>
  <w:footnote w:id="23">
    <w:p w:rsidR="009A4AA5" w:rsidRPr="006E45C8" w:rsidRDefault="009A4AA5">
      <w:pPr>
        <w:pStyle w:val="FootnoteText"/>
      </w:pPr>
      <w:r>
        <w:rPr>
          <w:rStyle w:val="FootnoteReference"/>
        </w:rPr>
        <w:footnoteRef/>
      </w:r>
      <w:r>
        <w:t xml:space="preserve"> </w:t>
      </w:r>
      <w:r w:rsidR="006E45C8">
        <w:t xml:space="preserve">Pankhurst and Pankhurst, </w:t>
      </w:r>
      <w:r w:rsidR="006E45C8">
        <w:rPr>
          <w:i/>
        </w:rPr>
        <w:t xml:space="preserve">The Suffragette the History of the Women’s Militant Suffrage </w:t>
      </w:r>
      <w:r w:rsidR="006E45C8">
        <w:rPr>
          <w:i/>
        </w:rPr>
        <w:t>Mov</w:t>
      </w:r>
      <w:r w:rsidR="007F25B1">
        <w:rPr>
          <w:i/>
        </w:rPr>
        <w:t>ement</w:t>
      </w:r>
      <w:bookmarkStart w:id="2" w:name="_GoBack"/>
      <w:bookmarkEnd w:id="2"/>
      <w:r w:rsidR="006E45C8">
        <w:t>, p. 454.</w:t>
      </w:r>
    </w:p>
  </w:footnote>
  <w:footnote w:id="24">
    <w:p w:rsidR="009D1A6D" w:rsidRPr="009D1A6D" w:rsidRDefault="009D1A6D">
      <w:pPr>
        <w:pStyle w:val="FootnoteText"/>
      </w:pPr>
      <w:r>
        <w:rPr>
          <w:rStyle w:val="FootnoteReference"/>
        </w:rPr>
        <w:footnoteRef/>
      </w:r>
      <w:r>
        <w:t xml:space="preserve"> </w:t>
      </w:r>
      <w:r>
        <w:rPr>
          <w:i/>
        </w:rPr>
        <w:t>Ibid</w:t>
      </w:r>
      <w:r>
        <w:t>., p. 454.</w:t>
      </w:r>
    </w:p>
  </w:footnote>
  <w:footnote w:id="25">
    <w:p w:rsidR="00D603A2" w:rsidRPr="00D603A2" w:rsidRDefault="00D603A2">
      <w:pPr>
        <w:pStyle w:val="FootnoteText"/>
      </w:pPr>
      <w:r>
        <w:rPr>
          <w:rStyle w:val="FootnoteReference"/>
        </w:rPr>
        <w:footnoteRef/>
      </w:r>
      <w:r>
        <w:t xml:space="preserve"> </w:t>
      </w:r>
      <w:r>
        <w:rPr>
          <w:i/>
        </w:rPr>
        <w:t>Ibid</w:t>
      </w:r>
      <w:r>
        <w:t>., pp. 454-455.</w:t>
      </w:r>
    </w:p>
  </w:footnote>
  <w:footnote w:id="26">
    <w:p w:rsidR="00D603A2" w:rsidRPr="00D603A2" w:rsidRDefault="00D603A2">
      <w:pPr>
        <w:pStyle w:val="FootnoteText"/>
      </w:pPr>
      <w:r>
        <w:rPr>
          <w:rStyle w:val="FootnoteReference"/>
        </w:rPr>
        <w:footnoteRef/>
      </w:r>
      <w:r>
        <w:t xml:space="preserve"> </w:t>
      </w:r>
      <w:r>
        <w:rPr>
          <w:i/>
        </w:rPr>
        <w:t>Ibid</w:t>
      </w:r>
      <w:r>
        <w:t>., p. 455.</w:t>
      </w:r>
    </w:p>
  </w:footnote>
  <w:footnote w:id="27">
    <w:p w:rsidR="00224F14" w:rsidRPr="00224F14" w:rsidRDefault="00224F14">
      <w:pPr>
        <w:pStyle w:val="FootnoteText"/>
      </w:pPr>
      <w:r>
        <w:rPr>
          <w:rStyle w:val="FootnoteReference"/>
        </w:rPr>
        <w:footnoteRef/>
      </w:r>
      <w:r>
        <w:t xml:space="preserve"> A. Raeburn, </w:t>
      </w:r>
      <w:r>
        <w:rPr>
          <w:i/>
        </w:rPr>
        <w:t xml:space="preserve">Militant Suffragettes </w:t>
      </w:r>
      <w:r>
        <w:t xml:space="preserve">(New English Library: London, 1973), p. 133. Cited in Bloom, </w:t>
      </w:r>
      <w:r>
        <w:rPr>
          <w:i/>
        </w:rPr>
        <w:t>Violent London 2000 Years of Riots, Rebels and Revolts</w:t>
      </w:r>
      <w:r>
        <w:t>, p. 260.</w:t>
      </w:r>
    </w:p>
  </w:footnote>
  <w:footnote w:id="28">
    <w:p w:rsidR="00D34523" w:rsidRPr="00D34523" w:rsidRDefault="00D34523">
      <w:pPr>
        <w:pStyle w:val="FootnoteText"/>
      </w:pPr>
      <w:r>
        <w:rPr>
          <w:rStyle w:val="FootnoteReference"/>
        </w:rPr>
        <w:footnoteRef/>
      </w:r>
      <w:r>
        <w:t xml:space="preserve"> Pankhurst and Pankhurst, </w:t>
      </w:r>
      <w:r>
        <w:rPr>
          <w:i/>
        </w:rPr>
        <w:t>The Suffragettes the History of the Women’s Militant Suffrage Movement</w:t>
      </w:r>
      <w:r>
        <w:t>, pp. 455-456.</w:t>
      </w:r>
    </w:p>
  </w:footnote>
  <w:footnote w:id="29">
    <w:p w:rsidR="00D677BE" w:rsidRPr="00D677BE" w:rsidRDefault="00D677BE">
      <w:pPr>
        <w:pStyle w:val="FootnoteText"/>
      </w:pPr>
      <w:r>
        <w:rPr>
          <w:rStyle w:val="FootnoteReference"/>
        </w:rPr>
        <w:footnoteRef/>
      </w:r>
      <w:r>
        <w:t xml:space="preserve"> Joanou and Purvis, </w:t>
      </w:r>
      <w:r>
        <w:rPr>
          <w:i/>
        </w:rPr>
        <w:t>The Women’s Suffrage Movement</w:t>
      </w:r>
      <w:r>
        <w:t xml:space="preserve">, p. </w:t>
      </w:r>
      <w:r w:rsidR="007522FA">
        <w:t>162.</w:t>
      </w:r>
    </w:p>
  </w:footnote>
  <w:footnote w:id="30">
    <w:p w:rsidR="00C61A9C" w:rsidRPr="00C61A9C" w:rsidRDefault="00C61A9C">
      <w:pPr>
        <w:pStyle w:val="FootnoteText"/>
      </w:pPr>
      <w:r>
        <w:rPr>
          <w:rStyle w:val="FootnoteReference"/>
        </w:rPr>
        <w:footnoteRef/>
      </w:r>
      <w:r>
        <w:t xml:space="preserve"> </w:t>
      </w:r>
      <w:r>
        <w:rPr>
          <w:i/>
        </w:rPr>
        <w:t>Ibid</w:t>
      </w:r>
      <w:r>
        <w:t>., p. 166.</w:t>
      </w:r>
    </w:p>
  </w:footnote>
  <w:footnote w:id="31">
    <w:p w:rsidR="00C61A9C" w:rsidRPr="00C01FDC" w:rsidRDefault="00C61A9C">
      <w:pPr>
        <w:pStyle w:val="FootnoteText"/>
      </w:pPr>
      <w:r>
        <w:rPr>
          <w:rStyle w:val="FootnoteReference"/>
        </w:rPr>
        <w:footnoteRef/>
      </w:r>
      <w:r>
        <w:t xml:space="preserve"> </w:t>
      </w:r>
      <w:r w:rsidR="00C01FDC">
        <w:t xml:space="preserve">Bloom, </w:t>
      </w:r>
      <w:r w:rsidR="00C01FDC">
        <w:rPr>
          <w:i/>
        </w:rPr>
        <w:t>Violent London 2000 Years of Riots, Rebels and Revolts</w:t>
      </w:r>
      <w:r w:rsidR="00C01FDC">
        <w:t>, p. 262.</w:t>
      </w:r>
    </w:p>
  </w:footnote>
  <w:footnote w:id="32">
    <w:p w:rsidR="00FE0EAC" w:rsidRPr="00FE0EAC" w:rsidRDefault="00FE0EAC">
      <w:pPr>
        <w:pStyle w:val="FootnoteText"/>
      </w:pPr>
      <w:r>
        <w:rPr>
          <w:rStyle w:val="FootnoteReference"/>
        </w:rPr>
        <w:footnoteRef/>
      </w:r>
      <w:r>
        <w:t xml:space="preserve"> Joanou and Purvis, </w:t>
      </w:r>
      <w:r>
        <w:rPr>
          <w:i/>
        </w:rPr>
        <w:t>The Women’s Suffrage Movement</w:t>
      </w:r>
      <w:r>
        <w:t>, pp. 166-167.</w:t>
      </w:r>
    </w:p>
  </w:footnote>
  <w:footnote w:id="33">
    <w:p w:rsidR="00CA2513" w:rsidRPr="00CA2513" w:rsidRDefault="00CA2513">
      <w:pPr>
        <w:pStyle w:val="FootnoteText"/>
      </w:pPr>
      <w:r>
        <w:rPr>
          <w:rStyle w:val="FootnoteReference"/>
        </w:rPr>
        <w:footnoteRef/>
      </w:r>
      <w:r>
        <w:t xml:space="preserve"> </w:t>
      </w:r>
      <w:r>
        <w:rPr>
          <w:i/>
        </w:rPr>
        <w:t>Ibid</w:t>
      </w:r>
      <w:r>
        <w:t>., p. 167.</w:t>
      </w:r>
    </w:p>
  </w:footnote>
  <w:footnote w:id="34">
    <w:p w:rsidR="00682AC2" w:rsidRPr="00682AC2" w:rsidRDefault="00682AC2">
      <w:pPr>
        <w:pStyle w:val="FootnoteText"/>
      </w:pPr>
      <w:r>
        <w:rPr>
          <w:rStyle w:val="FootnoteReference"/>
        </w:rPr>
        <w:footnoteRef/>
      </w:r>
      <w:r>
        <w:t xml:space="preserve"> </w:t>
      </w:r>
      <w:r>
        <w:rPr>
          <w:i/>
        </w:rPr>
        <w:t>Ibid</w:t>
      </w:r>
      <w:r>
        <w:t>., p. 167.</w:t>
      </w:r>
    </w:p>
  </w:footnote>
  <w:footnote w:id="35">
    <w:p w:rsidR="00A6211D" w:rsidRDefault="00A6211D">
      <w:pPr>
        <w:pStyle w:val="FootnoteText"/>
      </w:pPr>
      <w:r>
        <w:rPr>
          <w:rStyle w:val="FootnoteReference"/>
        </w:rPr>
        <w:footnoteRef/>
      </w:r>
      <w:r>
        <w:t xml:space="preserve"> </w:t>
      </w:r>
      <w:r w:rsidR="009701A7">
        <w:t xml:space="preserve">The History Learning Site, Cat and Mouse Act [online]. Available at </w:t>
      </w:r>
      <w:hyperlink r:id="rId3" w:history="1">
        <w:r w:rsidR="009701A7" w:rsidRPr="00C47623">
          <w:rPr>
            <w:rStyle w:val="Hyperlink"/>
          </w:rPr>
          <w:t>www.historylearningsite.co.uk/the-role-of-british-women-in-the-twentieth-century/cat-and-mouse-act/</w:t>
        </w:r>
      </w:hyperlink>
      <w:r w:rsidR="009701A7">
        <w:t>. (accessed 11 Dec</w:t>
      </w:r>
      <w:r w:rsidR="00677EFB">
        <w:t xml:space="preserve"> 2017).</w:t>
      </w:r>
    </w:p>
  </w:footnote>
  <w:footnote w:id="36">
    <w:p w:rsidR="00A6211D" w:rsidRPr="00C676F5" w:rsidRDefault="00A6211D">
      <w:pPr>
        <w:pStyle w:val="FootnoteText"/>
      </w:pPr>
      <w:r>
        <w:rPr>
          <w:rStyle w:val="FootnoteReference"/>
        </w:rPr>
        <w:footnoteRef/>
      </w:r>
      <w:r>
        <w:t xml:space="preserve"> </w:t>
      </w:r>
      <w:r w:rsidR="00C676F5">
        <w:rPr>
          <w:i/>
        </w:rPr>
        <w:t>Ibid</w:t>
      </w:r>
      <w:r w:rsidR="00C676F5">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A82"/>
    <w:rsid w:val="00001F63"/>
    <w:rsid w:val="0001667C"/>
    <w:rsid w:val="000177FE"/>
    <w:rsid w:val="00033912"/>
    <w:rsid w:val="00047BB4"/>
    <w:rsid w:val="00086AC6"/>
    <w:rsid w:val="00094133"/>
    <w:rsid w:val="000952ED"/>
    <w:rsid w:val="00095738"/>
    <w:rsid w:val="00096F15"/>
    <w:rsid w:val="000D4781"/>
    <w:rsid w:val="00112E5E"/>
    <w:rsid w:val="0013160B"/>
    <w:rsid w:val="0015632E"/>
    <w:rsid w:val="0016771C"/>
    <w:rsid w:val="001A32AF"/>
    <w:rsid w:val="001D5253"/>
    <w:rsid w:val="0020649C"/>
    <w:rsid w:val="00217F33"/>
    <w:rsid w:val="00224F14"/>
    <w:rsid w:val="00234275"/>
    <w:rsid w:val="00270764"/>
    <w:rsid w:val="00290C6F"/>
    <w:rsid w:val="002A6CB1"/>
    <w:rsid w:val="002A7B26"/>
    <w:rsid w:val="002B6318"/>
    <w:rsid w:val="002C58C5"/>
    <w:rsid w:val="002D10CE"/>
    <w:rsid w:val="002D7017"/>
    <w:rsid w:val="002E2787"/>
    <w:rsid w:val="002F70A0"/>
    <w:rsid w:val="00324A60"/>
    <w:rsid w:val="00324F1A"/>
    <w:rsid w:val="003454AE"/>
    <w:rsid w:val="003559CA"/>
    <w:rsid w:val="003779FF"/>
    <w:rsid w:val="003B5F02"/>
    <w:rsid w:val="003C4941"/>
    <w:rsid w:val="003F53E4"/>
    <w:rsid w:val="00401834"/>
    <w:rsid w:val="00417CCC"/>
    <w:rsid w:val="00427B1E"/>
    <w:rsid w:val="00430103"/>
    <w:rsid w:val="0044642D"/>
    <w:rsid w:val="00450679"/>
    <w:rsid w:val="00451A8E"/>
    <w:rsid w:val="004978C9"/>
    <w:rsid w:val="004A4681"/>
    <w:rsid w:val="004B2D4C"/>
    <w:rsid w:val="004B64E7"/>
    <w:rsid w:val="004C2309"/>
    <w:rsid w:val="004C749D"/>
    <w:rsid w:val="004E4FA0"/>
    <w:rsid w:val="004F53B7"/>
    <w:rsid w:val="00503B3F"/>
    <w:rsid w:val="005074CE"/>
    <w:rsid w:val="0051415B"/>
    <w:rsid w:val="005141DC"/>
    <w:rsid w:val="00536593"/>
    <w:rsid w:val="00550BC1"/>
    <w:rsid w:val="005517B4"/>
    <w:rsid w:val="00560A22"/>
    <w:rsid w:val="005719D1"/>
    <w:rsid w:val="005872F2"/>
    <w:rsid w:val="0059464F"/>
    <w:rsid w:val="005A21C5"/>
    <w:rsid w:val="005B79F2"/>
    <w:rsid w:val="005C5D1B"/>
    <w:rsid w:val="005D28FC"/>
    <w:rsid w:val="005D63C2"/>
    <w:rsid w:val="005F41CC"/>
    <w:rsid w:val="00606478"/>
    <w:rsid w:val="0061058F"/>
    <w:rsid w:val="006129F2"/>
    <w:rsid w:val="00613213"/>
    <w:rsid w:val="006328AD"/>
    <w:rsid w:val="00644127"/>
    <w:rsid w:val="00644D87"/>
    <w:rsid w:val="00673F53"/>
    <w:rsid w:val="00677EFB"/>
    <w:rsid w:val="00682AC2"/>
    <w:rsid w:val="006C49E2"/>
    <w:rsid w:val="006E45C8"/>
    <w:rsid w:val="006F0ABF"/>
    <w:rsid w:val="00705740"/>
    <w:rsid w:val="0070707B"/>
    <w:rsid w:val="0071452A"/>
    <w:rsid w:val="0072256C"/>
    <w:rsid w:val="00724F45"/>
    <w:rsid w:val="007446A0"/>
    <w:rsid w:val="007473EB"/>
    <w:rsid w:val="007522FA"/>
    <w:rsid w:val="00757F63"/>
    <w:rsid w:val="007719B3"/>
    <w:rsid w:val="0078125D"/>
    <w:rsid w:val="007979B4"/>
    <w:rsid w:val="007A6A9E"/>
    <w:rsid w:val="007B4D06"/>
    <w:rsid w:val="007C590C"/>
    <w:rsid w:val="007F25B1"/>
    <w:rsid w:val="007F3C1A"/>
    <w:rsid w:val="007F62C7"/>
    <w:rsid w:val="00810566"/>
    <w:rsid w:val="008201D1"/>
    <w:rsid w:val="00860A57"/>
    <w:rsid w:val="00885B58"/>
    <w:rsid w:val="008A6904"/>
    <w:rsid w:val="008B79DF"/>
    <w:rsid w:val="008C1214"/>
    <w:rsid w:val="008C1FA6"/>
    <w:rsid w:val="008C4815"/>
    <w:rsid w:val="008C4A82"/>
    <w:rsid w:val="008E6551"/>
    <w:rsid w:val="00906E4F"/>
    <w:rsid w:val="009154AC"/>
    <w:rsid w:val="00940618"/>
    <w:rsid w:val="00957A7E"/>
    <w:rsid w:val="009663BE"/>
    <w:rsid w:val="009701A7"/>
    <w:rsid w:val="009903DB"/>
    <w:rsid w:val="009A4AA5"/>
    <w:rsid w:val="009A5B7B"/>
    <w:rsid w:val="009B0051"/>
    <w:rsid w:val="009B22C5"/>
    <w:rsid w:val="009B3C1A"/>
    <w:rsid w:val="009D1A6D"/>
    <w:rsid w:val="009F01F7"/>
    <w:rsid w:val="00A34650"/>
    <w:rsid w:val="00A47888"/>
    <w:rsid w:val="00A52781"/>
    <w:rsid w:val="00A54780"/>
    <w:rsid w:val="00A6211D"/>
    <w:rsid w:val="00A8334D"/>
    <w:rsid w:val="00A9268A"/>
    <w:rsid w:val="00A9300E"/>
    <w:rsid w:val="00A9727C"/>
    <w:rsid w:val="00AD4889"/>
    <w:rsid w:val="00AE12EC"/>
    <w:rsid w:val="00B02032"/>
    <w:rsid w:val="00B05D06"/>
    <w:rsid w:val="00B24222"/>
    <w:rsid w:val="00B34A07"/>
    <w:rsid w:val="00B56E24"/>
    <w:rsid w:val="00BB2EA2"/>
    <w:rsid w:val="00BC4614"/>
    <w:rsid w:val="00BD630A"/>
    <w:rsid w:val="00BE05AB"/>
    <w:rsid w:val="00BE2F29"/>
    <w:rsid w:val="00C01FDC"/>
    <w:rsid w:val="00C16B65"/>
    <w:rsid w:val="00C30989"/>
    <w:rsid w:val="00C4383E"/>
    <w:rsid w:val="00C52062"/>
    <w:rsid w:val="00C61A9C"/>
    <w:rsid w:val="00C676F5"/>
    <w:rsid w:val="00C67E2B"/>
    <w:rsid w:val="00C91052"/>
    <w:rsid w:val="00CA2513"/>
    <w:rsid w:val="00CA302A"/>
    <w:rsid w:val="00CA6D51"/>
    <w:rsid w:val="00CB78DC"/>
    <w:rsid w:val="00CC5571"/>
    <w:rsid w:val="00CE6CB6"/>
    <w:rsid w:val="00CE7A42"/>
    <w:rsid w:val="00CF13D8"/>
    <w:rsid w:val="00D0607C"/>
    <w:rsid w:val="00D26DDB"/>
    <w:rsid w:val="00D276C6"/>
    <w:rsid w:val="00D3128A"/>
    <w:rsid w:val="00D34523"/>
    <w:rsid w:val="00D467E5"/>
    <w:rsid w:val="00D603A2"/>
    <w:rsid w:val="00D677BE"/>
    <w:rsid w:val="00D86ADE"/>
    <w:rsid w:val="00DB01C3"/>
    <w:rsid w:val="00DB6CFE"/>
    <w:rsid w:val="00DE19AD"/>
    <w:rsid w:val="00DE5885"/>
    <w:rsid w:val="00DF5444"/>
    <w:rsid w:val="00E0439F"/>
    <w:rsid w:val="00E207D0"/>
    <w:rsid w:val="00E274D3"/>
    <w:rsid w:val="00E431B5"/>
    <w:rsid w:val="00E63121"/>
    <w:rsid w:val="00E643DA"/>
    <w:rsid w:val="00E75B9F"/>
    <w:rsid w:val="00E81731"/>
    <w:rsid w:val="00EE1E1C"/>
    <w:rsid w:val="00EF0560"/>
    <w:rsid w:val="00F0098B"/>
    <w:rsid w:val="00F23134"/>
    <w:rsid w:val="00F26DF1"/>
    <w:rsid w:val="00F409BB"/>
    <w:rsid w:val="00F56213"/>
    <w:rsid w:val="00F622F9"/>
    <w:rsid w:val="00F64293"/>
    <w:rsid w:val="00FC7DEC"/>
    <w:rsid w:val="00FE0E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C94DD7"/>
  <w15:chartTrackingRefBased/>
  <w15:docId w15:val="{F142CDD7-1133-45CE-B3C2-8706F58DB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0574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05740"/>
    <w:rPr>
      <w:sz w:val="20"/>
      <w:szCs w:val="20"/>
    </w:rPr>
  </w:style>
  <w:style w:type="character" w:styleId="FootnoteReference">
    <w:name w:val="footnote reference"/>
    <w:basedOn w:val="DefaultParagraphFont"/>
    <w:uiPriority w:val="99"/>
    <w:semiHidden/>
    <w:unhideWhenUsed/>
    <w:rsid w:val="00705740"/>
    <w:rPr>
      <w:vertAlign w:val="superscript"/>
    </w:rPr>
  </w:style>
  <w:style w:type="character" w:styleId="Hyperlink">
    <w:name w:val="Hyperlink"/>
    <w:basedOn w:val="DefaultParagraphFont"/>
    <w:uiPriority w:val="99"/>
    <w:unhideWhenUsed/>
    <w:rsid w:val="00033912"/>
    <w:rPr>
      <w:color w:val="0563C1" w:themeColor="hyperlink"/>
      <w:u w:val="single"/>
    </w:rPr>
  </w:style>
  <w:style w:type="character" w:styleId="UnresolvedMention">
    <w:name w:val="Unresolved Mention"/>
    <w:basedOn w:val="DefaultParagraphFont"/>
    <w:uiPriority w:val="99"/>
    <w:semiHidden/>
    <w:unhideWhenUsed/>
    <w:rsid w:val="0003391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istory.blog.gov.uk/2013/07/04/mrs-pankhurst-lloyd-george-suffragette-militancy/" TargetMode="External"/><Relationship Id="rId3" Type="http://schemas.openxmlformats.org/officeDocument/2006/relationships/settings" Target="settings.xml"/><Relationship Id="rId7" Type="http://schemas.openxmlformats.org/officeDocument/2006/relationships/hyperlink" Target="Available%20http:/historyoffeminism.com/anti-suffragette-postcards-posters-cartoon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historylearningsite.co.uk/the-role-of-british-women-in-the-twentieth-century/cat-and-mouse-act/"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historylearningsite.co.uk/the-role-of-british-women-in-the-twentieth-century/cat-and-mouse-act/" TargetMode="External"/><Relationship Id="rId2" Type="http://schemas.openxmlformats.org/officeDocument/2006/relationships/hyperlink" Target="Available%20http:/historyoffeminism.com/anti-suffragette-postcards-posters-cartoons/" TargetMode="External"/><Relationship Id="rId1" Type="http://schemas.openxmlformats.org/officeDocument/2006/relationships/hyperlink" Target="https://history.blog.gov.uk/2013/07/04/mrs-pankhurst-lloyd-george-suffragette-militan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CAFC1F-F5B7-4DC1-9E11-F2CD141D99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765</TotalTime>
  <Pages>6</Pages>
  <Words>2976</Words>
  <Characters>16966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McGlynn</dc:creator>
  <cp:keywords/>
  <dc:description/>
  <cp:lastModifiedBy>Gavin McGlynn</cp:lastModifiedBy>
  <cp:revision>128</cp:revision>
  <dcterms:created xsi:type="dcterms:W3CDTF">2017-12-04T14:08:00Z</dcterms:created>
  <dcterms:modified xsi:type="dcterms:W3CDTF">2017-12-14T20:39:00Z</dcterms:modified>
</cp:coreProperties>
</file>