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70499"/>
        <w:docPartObj>
          <w:docPartGallery w:val="Cover Pages"/>
          <w:docPartUnique/>
        </w:docPartObj>
      </w:sdtPr>
      <w:sdtEndPr>
        <w:rPr>
          <w:rFonts w:ascii="Times New Roman" w:hAnsi="Times New Roman" w:cs="Times New Roman"/>
          <w:color w:val="auto"/>
        </w:rPr>
      </w:sdtEndPr>
      <w:sdtContent>
        <w:p w14:paraId="686B2BD7" w14:textId="0E128D96" w:rsidR="002A39F4" w:rsidRDefault="002C52A4" w:rsidP="002C52A4">
          <w:pPr>
            <w:pStyle w:val="NoSpacing"/>
            <w:spacing w:line="480" w:lineRule="auto"/>
            <w:jc w:val="center"/>
            <w:rPr>
              <w:color w:val="156082" w:themeColor="accent1"/>
            </w:rPr>
          </w:pPr>
          <w:r>
            <w:rPr>
              <w:noProof/>
            </w:rPr>
            <w:drawing>
              <wp:anchor distT="0" distB="0" distL="114300" distR="114300" simplePos="0" relativeHeight="251654144" behindDoc="1" locked="0" layoutInCell="1" allowOverlap="1" wp14:anchorId="2750A930" wp14:editId="78CE5BA7">
                <wp:simplePos x="0" y="0"/>
                <wp:positionH relativeFrom="margin">
                  <wp:posOffset>316733</wp:posOffset>
                </wp:positionH>
                <wp:positionV relativeFrom="paragraph">
                  <wp:posOffset>952298</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58240" behindDoc="1" locked="0" layoutInCell="1" allowOverlap="1" wp14:anchorId="39C2A9F0" wp14:editId="292BAA2D">
                <wp:simplePos x="0" y="0"/>
                <wp:positionH relativeFrom="column">
                  <wp:posOffset>2071891</wp:posOffset>
                </wp:positionH>
                <wp:positionV relativeFrom="paragraph">
                  <wp:posOffset>142148</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eastAsiaTheme="minorHAnsi"/>
              <w:color w:val="156082" w:themeColor="accent1"/>
              <w:kern w:val="2"/>
              <w:lang w:eastAsia="en-US"/>
            </w:rPr>
            <w:id w:val="122902132"/>
            <w:docPartObj>
              <w:docPartGallery w:val="Cover Pages"/>
              <w:docPartUnique/>
            </w:docPartObj>
          </w:sdtPr>
          <w:sdtEndPr>
            <w:rPr>
              <w:rFonts w:asciiTheme="minorBidi" w:hAnsiTheme="minorBidi"/>
              <w:b/>
              <w:bCs/>
              <w:color w:val="auto"/>
              <w:sz w:val="28"/>
              <w:szCs w:val="28"/>
            </w:rPr>
          </w:sdtEndPr>
          <w:sdtContent>
            <w:p w14:paraId="0125873E" w14:textId="4FBC83A1" w:rsidR="002C52A4" w:rsidRDefault="002C52A4" w:rsidP="002A39F4">
              <w:pPr>
                <w:pStyle w:val="NoSpacing"/>
                <w:spacing w:before="1540" w:after="240"/>
                <w:jc w:val="center"/>
                <w:rPr>
                  <w:rFonts w:asciiTheme="minorBidi" w:hAnsiTheme="minorBidi"/>
                  <w:b/>
                  <w:bCs/>
                  <w:sz w:val="28"/>
                  <w:szCs w:val="28"/>
                </w:rPr>
              </w:pPr>
              <w:r w:rsidRPr="00060071">
                <w:rPr>
                  <w:rFonts w:asciiTheme="minorBidi" w:hAnsiTheme="minorBidi"/>
                  <w:b/>
                  <w:bCs/>
                  <w:sz w:val="28"/>
                  <w:szCs w:val="28"/>
                </w:rPr>
                <w:t xml:space="preserve">Module: </w:t>
              </w:r>
              <w:r w:rsidRPr="002C52A4">
                <w:rPr>
                  <w:rFonts w:asciiTheme="minorBidi" w:hAnsiTheme="minorBidi"/>
                  <w:b/>
                  <w:bCs/>
                  <w:sz w:val="28"/>
                  <w:szCs w:val="28"/>
                </w:rPr>
                <w:t>Principles of Health and Social Care Practice</w:t>
              </w:r>
            </w:p>
            <w:p w14:paraId="0677EE21" w14:textId="460D58F1" w:rsidR="002C52A4" w:rsidRPr="00060071" w:rsidRDefault="002C52A4" w:rsidP="002C52A4">
              <w:pPr>
                <w:pStyle w:val="NoSpacing"/>
                <w:spacing w:line="480" w:lineRule="auto"/>
                <w:jc w:val="center"/>
                <w:rPr>
                  <w:rFonts w:asciiTheme="minorBidi" w:hAnsiTheme="minorBidi"/>
                  <w:b/>
                  <w:bCs/>
                  <w:sz w:val="28"/>
                  <w:szCs w:val="28"/>
                </w:rPr>
              </w:pPr>
              <w:r>
                <w:rPr>
                  <w:rFonts w:asciiTheme="minorBidi" w:hAnsiTheme="minorBidi"/>
                  <w:b/>
                  <w:bCs/>
                  <w:sz w:val="28"/>
                  <w:szCs w:val="28"/>
                </w:rPr>
                <w:t xml:space="preserve">Topic:  </w:t>
              </w:r>
              <w:r w:rsidRPr="002C52A4">
                <w:rPr>
                  <w:rFonts w:asciiTheme="minorBidi" w:hAnsiTheme="minorBidi"/>
                  <w:b/>
                  <w:bCs/>
                  <w:sz w:val="28"/>
                  <w:szCs w:val="28"/>
                </w:rPr>
                <w:t>The Social Model of Disability as a Foundation for Person-Centred Care in UK Health and Social Care</w:t>
              </w:r>
              <w:r w:rsidRPr="002C52A4">
                <w:rPr>
                  <w:rFonts w:asciiTheme="minorBidi" w:hAnsiTheme="minorBidi"/>
                  <w:b/>
                  <w:bCs/>
                  <w:sz w:val="28"/>
                  <w:szCs w:val="28"/>
                </w:rPr>
                <w:cr/>
              </w:r>
              <w:r w:rsidRPr="00EE0C2D">
                <w:rPr>
                  <w:rFonts w:asciiTheme="minorBidi" w:hAnsiTheme="minorBidi"/>
                  <w:b/>
                  <w:bCs/>
                  <w:sz w:val="28"/>
                  <w:szCs w:val="28"/>
                </w:rPr>
                <w:t>Module code:</w:t>
              </w:r>
              <w:r>
                <w:rPr>
                  <w:rFonts w:asciiTheme="minorBidi" w:hAnsiTheme="minorBidi"/>
                  <w:b/>
                  <w:bCs/>
                  <w:sz w:val="28"/>
                  <w:szCs w:val="28"/>
                </w:rPr>
                <w:t xml:space="preserve"> </w:t>
              </w:r>
              <w:r w:rsidRPr="002C52A4">
                <w:rPr>
                  <w:rFonts w:asciiTheme="minorBidi" w:hAnsiTheme="minorBidi"/>
                  <w:b/>
                  <w:bCs/>
                  <w:sz w:val="28"/>
                  <w:szCs w:val="28"/>
                </w:rPr>
                <w:t>BMHP5016</w:t>
              </w:r>
            </w:p>
            <w:p w14:paraId="5CDECDEF" w14:textId="77777777" w:rsidR="002C52A4" w:rsidRPr="00060071" w:rsidRDefault="002C52A4" w:rsidP="002C52A4">
              <w:pPr>
                <w:spacing w:after="0" w:line="480" w:lineRule="auto"/>
                <w:jc w:val="center"/>
                <w:rPr>
                  <w:rFonts w:asciiTheme="minorBidi" w:hAnsiTheme="minorBidi"/>
                  <w:b/>
                  <w:bCs/>
                  <w:sz w:val="28"/>
                  <w:szCs w:val="28"/>
                </w:rPr>
              </w:pPr>
              <w:r w:rsidRPr="00060071">
                <w:rPr>
                  <w:rFonts w:asciiTheme="minorBidi" w:hAnsiTheme="minorBidi"/>
                  <w:b/>
                  <w:bCs/>
                  <w:sz w:val="28"/>
                  <w:szCs w:val="28"/>
                </w:rPr>
                <w:t xml:space="preserve">Name: Charles </w:t>
              </w:r>
              <w:proofErr w:type="spellStart"/>
              <w:r w:rsidRPr="00060071">
                <w:rPr>
                  <w:rFonts w:asciiTheme="minorBidi" w:hAnsiTheme="minorBidi"/>
                  <w:b/>
                  <w:bCs/>
                  <w:sz w:val="28"/>
                  <w:szCs w:val="28"/>
                </w:rPr>
                <w:t>Amegor</w:t>
              </w:r>
              <w:proofErr w:type="spellEnd"/>
            </w:p>
            <w:p w14:paraId="6A8F2276" w14:textId="77777777" w:rsidR="002C52A4" w:rsidRDefault="002C52A4" w:rsidP="002C52A4">
              <w:pPr>
                <w:spacing w:after="0" w:line="480" w:lineRule="auto"/>
                <w:jc w:val="center"/>
                <w:rPr>
                  <w:rFonts w:asciiTheme="minorBidi" w:hAnsiTheme="minorBidi"/>
                  <w:b/>
                  <w:bCs/>
                  <w:sz w:val="28"/>
                  <w:szCs w:val="28"/>
                </w:rPr>
              </w:pPr>
              <w:r w:rsidRPr="00060071">
                <w:rPr>
                  <w:rFonts w:asciiTheme="minorBidi" w:hAnsiTheme="minorBidi"/>
                  <w:b/>
                  <w:bCs/>
                  <w:sz w:val="28"/>
                  <w:szCs w:val="28"/>
                </w:rPr>
                <w:t>Student ID:</w:t>
              </w:r>
              <w:r w:rsidRPr="00060071">
                <w:rPr>
                  <w:rFonts w:ascii="Arial" w:hAnsi="Arial" w:cs="Arial"/>
                  <w:b/>
                  <w:bCs/>
                  <w:kern w:val="0"/>
                  <w14:ligatures w14:val="none"/>
                </w:rPr>
                <w:t xml:space="preserve"> </w:t>
              </w:r>
              <w:r w:rsidRPr="00060071">
                <w:rPr>
                  <w:rFonts w:asciiTheme="minorBidi" w:hAnsiTheme="minorBidi"/>
                  <w:b/>
                  <w:bCs/>
                  <w:sz w:val="28"/>
                  <w:szCs w:val="28"/>
                </w:rPr>
                <w:t>2413450</w:t>
              </w:r>
            </w:p>
            <w:p w14:paraId="102A0481" w14:textId="69A19217" w:rsidR="002C52A4" w:rsidRDefault="002C52A4" w:rsidP="002C52A4">
              <w:pPr>
                <w:spacing w:after="0" w:line="480" w:lineRule="auto"/>
                <w:jc w:val="center"/>
                <w:rPr>
                  <w:rFonts w:asciiTheme="minorBidi" w:hAnsiTheme="minorBidi"/>
                  <w:b/>
                  <w:bCs/>
                  <w:sz w:val="28"/>
                  <w:szCs w:val="28"/>
                </w:rPr>
              </w:pPr>
              <w:r>
                <w:rPr>
                  <w:rFonts w:asciiTheme="minorBidi" w:hAnsiTheme="minorBidi"/>
                  <w:b/>
                  <w:bCs/>
                  <w:sz w:val="28"/>
                  <w:szCs w:val="28"/>
                </w:rPr>
                <w:t>M</w:t>
              </w:r>
              <w:r w:rsidRPr="00682446">
                <w:rPr>
                  <w:rFonts w:asciiTheme="minorBidi" w:hAnsiTheme="minorBidi"/>
                  <w:b/>
                  <w:bCs/>
                  <w:sz w:val="28"/>
                  <w:szCs w:val="28"/>
                </w:rPr>
                <w:t xml:space="preserve">odule </w:t>
              </w:r>
              <w:r>
                <w:rPr>
                  <w:rFonts w:asciiTheme="minorBidi" w:hAnsiTheme="minorBidi"/>
                  <w:b/>
                  <w:bCs/>
                  <w:sz w:val="28"/>
                  <w:szCs w:val="28"/>
                </w:rPr>
                <w:t>L</w:t>
              </w:r>
              <w:r w:rsidRPr="00682446">
                <w:rPr>
                  <w:rFonts w:asciiTheme="minorBidi" w:hAnsiTheme="minorBidi"/>
                  <w:b/>
                  <w:bCs/>
                  <w:sz w:val="28"/>
                  <w:szCs w:val="28"/>
                </w:rPr>
                <w:t>eader</w:t>
              </w:r>
              <w:r>
                <w:rPr>
                  <w:rFonts w:asciiTheme="minorBidi" w:hAnsiTheme="minorBidi"/>
                  <w:b/>
                  <w:bCs/>
                  <w:sz w:val="28"/>
                  <w:szCs w:val="28"/>
                </w:rPr>
                <w:t>:</w:t>
              </w:r>
              <w:r w:rsidRPr="004973A4">
                <w:t xml:space="preserve"> </w:t>
              </w:r>
              <w:r w:rsidRPr="002C52A4">
                <w:rPr>
                  <w:rFonts w:ascii="Times New Roman" w:hAnsi="Times New Roman" w:cs="Times New Roman"/>
                  <w:b/>
                  <w:bCs/>
                  <w:sz w:val="28"/>
                  <w:szCs w:val="28"/>
                </w:rPr>
                <w:t xml:space="preserve">Dr </w:t>
              </w:r>
              <w:proofErr w:type="spellStart"/>
              <w:r w:rsidRPr="002C52A4">
                <w:rPr>
                  <w:rFonts w:ascii="Times New Roman" w:hAnsi="Times New Roman" w:cs="Times New Roman"/>
                  <w:b/>
                  <w:bCs/>
                  <w:sz w:val="28"/>
                  <w:szCs w:val="28"/>
                </w:rPr>
                <w:t>Itse</w:t>
              </w:r>
              <w:proofErr w:type="spellEnd"/>
              <w:r w:rsidRPr="002C52A4">
                <w:rPr>
                  <w:rFonts w:ascii="Times New Roman" w:hAnsi="Times New Roman" w:cs="Times New Roman"/>
                  <w:b/>
                  <w:bCs/>
                  <w:sz w:val="28"/>
                  <w:szCs w:val="28"/>
                </w:rPr>
                <w:t xml:space="preserve"> Olaoye</w:t>
              </w:r>
            </w:p>
          </w:sdtContent>
        </w:sdt>
        <w:p w14:paraId="672EBAAD" w14:textId="0FFE4863" w:rsidR="002C52A4" w:rsidRDefault="002C52A4" w:rsidP="002C52A4">
          <w:pPr>
            <w:spacing w:after="0" w:line="480" w:lineRule="auto"/>
            <w:jc w:val="center"/>
            <w:rPr>
              <w:rFonts w:ascii="Times New Roman" w:hAnsi="Times New Roman" w:cs="Times New Roman"/>
              <w:b/>
              <w:bCs/>
            </w:rPr>
          </w:pPr>
          <w:r>
            <w:rPr>
              <w:rFonts w:asciiTheme="minorBidi" w:hAnsiTheme="minorBidi"/>
              <w:b/>
              <w:bCs/>
              <w:sz w:val="28"/>
              <w:szCs w:val="28"/>
            </w:rPr>
            <w:t xml:space="preserve">Words Counts: </w:t>
          </w:r>
          <w:r w:rsidR="00C40D8A">
            <w:rPr>
              <w:rFonts w:asciiTheme="minorBidi" w:hAnsiTheme="minorBidi"/>
              <w:b/>
              <w:bCs/>
              <w:sz w:val="28"/>
              <w:szCs w:val="28"/>
            </w:rPr>
            <w:t>2190</w:t>
          </w:r>
        </w:p>
        <w:p w14:paraId="06BC5C96" w14:textId="77777777" w:rsidR="002C52A4" w:rsidRPr="00FA1552" w:rsidRDefault="002C52A4" w:rsidP="002C52A4">
          <w:pPr>
            <w:spacing w:after="0" w:line="480" w:lineRule="auto"/>
            <w:jc w:val="center"/>
            <w:rPr>
              <w:rFonts w:ascii="Times New Roman" w:hAnsi="Times New Roman" w:cs="Times New Roman"/>
              <w:b/>
              <w:bCs/>
            </w:rPr>
          </w:pPr>
          <w:r w:rsidRPr="00FA1552">
            <w:rPr>
              <w:rFonts w:ascii="Times New Roman" w:hAnsi="Times New Roman" w:cs="Times New Roman"/>
              <w:b/>
              <w:bCs/>
            </w:rPr>
            <w:t xml:space="preserve">Declaration </w:t>
          </w:r>
        </w:p>
        <w:p w14:paraId="60A435C1" w14:textId="64D7A7F2" w:rsidR="002C52A4" w:rsidRPr="002C52A4" w:rsidRDefault="002C52A4" w:rsidP="002C52A4">
          <w:pPr>
            <w:spacing w:line="360" w:lineRule="auto"/>
            <w:jc w:val="both"/>
            <w:rPr>
              <w:rFonts w:ascii="Times New Roman" w:hAnsi="Times New Roman" w:cs="Times New Roman"/>
            </w:rPr>
          </w:pPr>
          <w:r w:rsidRPr="00FA1552">
            <w:rPr>
              <w:rFonts w:ascii="Times New Roman" w:hAnsi="Times New Roman" w:cs="Times New Roman"/>
            </w:rPr>
            <w:t>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in accordance with university guidance.</w:t>
          </w:r>
        </w:p>
        <w:p w14:paraId="53ECAD56" w14:textId="694133EA" w:rsidR="002C52A4" w:rsidRDefault="002C52A4">
          <w:pPr>
            <w:pStyle w:val="NoSpacing"/>
            <w:spacing w:before="480"/>
            <w:jc w:val="center"/>
            <w:rPr>
              <w:color w:val="156082" w:themeColor="accent1"/>
            </w:rPr>
          </w:pPr>
        </w:p>
        <w:p w14:paraId="70DFC02E" w14:textId="35FE2D26" w:rsidR="002C52A4" w:rsidRDefault="002C52A4">
          <w:pPr>
            <w:rPr>
              <w:rFonts w:ascii="Times New Roman" w:hAnsi="Times New Roman" w:cs="Times New Roman"/>
            </w:rPr>
          </w:pPr>
          <w:r>
            <w:rPr>
              <w:rFonts w:ascii="Times New Roman" w:hAnsi="Times New Roman" w:cs="Times New Roman"/>
            </w:rPr>
            <w:br w:type="page"/>
          </w:r>
        </w:p>
      </w:sdtContent>
    </w:sdt>
    <w:p w14:paraId="7110646D" w14:textId="228F5C9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lastRenderedPageBreak/>
        <w:t>Introduction</w:t>
      </w:r>
    </w:p>
    <w:p w14:paraId="1CE98B4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Person-centred care has become a central principle in contemporary UK health and social care policy and practice, shaping how services are designed, delivered and evaluated. At its core, person-centred care seeks to recognise individuals as active partners in their own care rather than passive recipients, emphasising dignity, choice, autonomy and respect (Health Foundation, 2016). One of the key concepts underpinning this approach is the social model of disability, which challenges traditional, medically dominated understandings of disability and reframes it as a product of social, environmental and attitudinal barriers rather than individual impairment alone (Oliver, 1990).</w:t>
      </w:r>
    </w:p>
    <w:p w14:paraId="469203C8"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The social model of disability </w:t>
      </w:r>
      <w:proofErr w:type="gramStart"/>
      <w:r w:rsidRPr="002C52A4">
        <w:rPr>
          <w:rFonts w:ascii="Times New Roman" w:hAnsi="Times New Roman" w:cs="Times New Roman"/>
        </w:rPr>
        <w:t>emerged</w:t>
      </w:r>
      <w:proofErr w:type="gramEnd"/>
      <w:r w:rsidRPr="002C52A4">
        <w:rPr>
          <w:rFonts w:ascii="Times New Roman" w:hAnsi="Times New Roman" w:cs="Times New Roman"/>
        </w:rPr>
        <w:t xml:space="preserve"> from the disability rights movement in the late twentieth century and has had a profound influence on health and social care thinking in the UK. It has shaped major legislation and policy frameworks, including the Equality Act 2010 and the Care Act 2014, both of which emphasise inclusion, participation and the removal of barriers to independent living (Department of Health and Social Care, 2014). As a result, the model is closely aligned with person-centred care and is </w:t>
      </w:r>
      <w:proofErr w:type="gramStart"/>
      <w:r w:rsidRPr="002C52A4">
        <w:rPr>
          <w:rFonts w:ascii="Times New Roman" w:hAnsi="Times New Roman" w:cs="Times New Roman"/>
        </w:rPr>
        <w:t>frequently</w:t>
      </w:r>
      <w:proofErr w:type="gramEnd"/>
      <w:r w:rsidRPr="002C52A4">
        <w:rPr>
          <w:rFonts w:ascii="Times New Roman" w:hAnsi="Times New Roman" w:cs="Times New Roman"/>
        </w:rPr>
        <w:t xml:space="preserve"> used to justify shifts towards personalisation, co-production and rights-based practice within adult health and social care services.</w:t>
      </w:r>
    </w:p>
    <w:p w14:paraId="6AA7DE54" w14:textId="77777777" w:rsid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However, while the social model has been widely praised for empowering disabled people and challenging discriminatory practices, it has also attracted sustained criticism. Some authors argue that it underplays the lived experience of pain, illness and cognitive impairment, raising questions about its adequacy in complex care settings (Shakespeare, 2014). This essay critically discusses the social model of disability as a concept underpinning person-centred care. It explores its emergence and development, examines key critiques and responses, analyses its application within UK health and social care policy and practice, and presents evidence-based recommendations to strengthen person-centred approaches while acknowledging the model’s limitations.</w:t>
      </w:r>
    </w:p>
    <w:p w14:paraId="73536086" w14:textId="77777777" w:rsidR="002C52A4" w:rsidRDefault="002C52A4" w:rsidP="002C52A4">
      <w:pPr>
        <w:spacing w:line="360" w:lineRule="auto"/>
        <w:jc w:val="both"/>
        <w:rPr>
          <w:rFonts w:ascii="Times New Roman" w:hAnsi="Times New Roman" w:cs="Times New Roman"/>
        </w:rPr>
      </w:pPr>
    </w:p>
    <w:p w14:paraId="04035B61" w14:textId="7777777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t>Emergence and Development of the Social Model of Disability</w:t>
      </w:r>
    </w:p>
    <w:p w14:paraId="0FD537B6"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The social model of disability emerged in the UK during the 1970s and 1980s in response to dissatisfaction with the dominant medical model of disability. The medical model conceptualises disability primarily as an individual problem caused by physical, sensory or cognitive impairment, with professional intervention focused on treatment, cure or management (Barnes, 2012). While this approach has been effective in addressing clinical needs, disabled activists and scholars argued that it often positioned individuals as dependent, passive and “abnormal”, reinforcing stigma and social exclusion rather than promoting independence or participation (Oliver, 1996).</w:t>
      </w:r>
    </w:p>
    <w:p w14:paraId="01C6FFB0" w14:textId="2223294E"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The social model was developed through the disability rights movement, particularly by organisations such as the Union of the Physically Impaired Against Segregation (UPIAS). A central contribution of </w:t>
      </w:r>
      <w:r w:rsidRPr="002C52A4">
        <w:rPr>
          <w:rFonts w:ascii="Times New Roman" w:hAnsi="Times New Roman" w:cs="Times New Roman"/>
        </w:rPr>
        <w:lastRenderedPageBreak/>
        <w:t>the model was the distinction between impairment and disability. Impairment refers to a physical, sensory or cognitive difference, whereas disability is understood as the restriction of activity caused by socially constructed barriers such as inaccessible buildings, inflexible services and negative attitudes (Oliver, 1990). This reconceptualization shifted responsibility away from the individual and towards society, institutions and policymakers.</w:t>
      </w:r>
    </w:p>
    <w:p w14:paraId="4A4BA9C0"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Over time, the social model gained influence within academic debates and professional practice in health and social care. It provided a strong theoretical foundation for person-centred care by emphasising autonomy, choice and the right of disabled people to define their own needs and priorities (Scullion, 2014). Rather than focusing solely on functional limitations, the model encourages practitioners to consider how environments and systems can be adapted to enable participation. This approach aligns closely with the principles of empowerment and co-production that underpin modern social care practice in the UK.</w:t>
      </w:r>
    </w:p>
    <w:p w14:paraId="53BC080A" w14:textId="0D5F750F"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The development of the social model also coincided with broader rights-based shifts in health and social care. Internationally, these ideas were reflected in the United Nations Convention on the Rights of Persons with Disabilities, which promotes equality, inclusion and respect for autonomy (United Nations, 2006). In the UK, the social model has informed anti-discrimination legislation and the personalisation agenda within adult social care (Department of Health, 2010). Despite its influence, the model has continued to evolve, with later interpretations seeking to incorporate lived experience and recognise that impairment-related pain or fluctuating conditions can coexist with social barriers (Shakespeare, 2014). </w:t>
      </w:r>
    </w:p>
    <w:p w14:paraId="188A0CAF" w14:textId="7777777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t>Critiques of the Social Model of Disability and Responses</w:t>
      </w:r>
    </w:p>
    <w:p w14:paraId="03155E42"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Although the social model of disability is strongly aligned with person-centred care, it has been subject to significant academic and practical critique. One of the most prominent criticisms is that the model can underplay the lived experience of impairment. By prioritising social and environmental barriers, critics argue that it risks overlooking physical pain, fatigue and emotional distress that may remain even in inclusive environments (Shakespeare, 2014). For individuals with chronic illness or degenerative conditions, impairment itself can be a substantial source of disadvantage, suggesting that the strict separation between impairment and disability may be overly simplistic (Thomas, 2007).</w:t>
      </w:r>
    </w:p>
    <w:p w14:paraId="65CDC4CB"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This critique is particularly relevant in healthcare settings, where clinical intervention is often essential for maintaining quality of life. In NHS services, uncritical application of the social model may risk marginalising necessary medical support in favour of a purely social explanation of disadvantage. This tension highlights a potential conflict between the social model and holistic care approaches that aim to address both health and social needs (Beresford, 2016).</w:t>
      </w:r>
    </w:p>
    <w:p w14:paraId="22039025"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lastRenderedPageBreak/>
        <w:t>Another criticism concerns the applicability of the social model to people with cognitive impairments, learning disabilities or severe mental health conditions. The model has been criticised for assuming levels of self-advocacy and autonomy that may not always be achievable, particularly for individuals with fluctuating capacity or high support needs (Dunn, 2019). In such cases, person-centred practice requires careful balancing of empowerment with safeguarding responsibilities, raising ethical questions about risk, consent and protection.</w:t>
      </w:r>
    </w:p>
    <w:p w14:paraId="7DBD913D"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In response, scholars have argued for more nuanced interpretations of the social model rather than its rejection. Biopsychosocial approaches integrate medical, psychological and social factors, recognising that impairment and social barriers interact in complex ways (Engel, 1980). Similarly, embodied and relational perspectives emphasise lived experience, relationships and context, encouraging practitioners to engage with individual narratives rather than rigid theoretical categories (Thomas, 2007). These responses suggest that the social model remains valuable when applied flexibly and reflectively as part of a broader person-centred framework.</w:t>
      </w:r>
    </w:p>
    <w:p w14:paraId="660DBA67" w14:textId="1C70DF6A"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t>Application of the Social Model to UK Health and Social Care Policy and Practice</w:t>
      </w:r>
    </w:p>
    <w:p w14:paraId="37B4FA21"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The social model of disability has significantly influenced UK health and social care policy, particularly in relation to person-centred care, equality and inclusion. One of the clearest examples is the Care Act 2014, which places individual wellbeing at the centre of assessment and care planning. The Act explicitly recognises outcomes such as dignity, autonomy, social participation and control over daily life, reflecting social model principles by focusing on removing barriers rather than solely managing impairment (Department of Health and Social Care, 2014).</w:t>
      </w:r>
    </w:p>
    <w:p w14:paraId="34EC8F5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Similarly, the Equality Act 2010 operationalises social model thinking by placing a legal duty on organisations to make reasonable adjustments. This shifts responsibility from individuals to institutions, requiring adaptation of environments and practices to ensure equitable access to services (Government Equalities Office, 2010). Within health and social care, this includes accessible communication, physical environments and flexible service delivery.</w:t>
      </w:r>
    </w:p>
    <w:p w14:paraId="7244D8A5"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In NHS practice, the social model has influenced commitments to personalised care. The NHS Long Term Plan promotes shared decision-making, personalised care planning and greater self-management (NHS England, 2019). Initiatives such as personal health budgets aim to increase choice and control, aligning closely with person-centred and social model principles. At the practice level, co-production has become increasingly prominent, with service users involved in designing and evaluating services (Beresford, 2016).</w:t>
      </w:r>
    </w:p>
    <w:p w14:paraId="5638276E" w14:textId="77777777" w:rsid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However, implementation remains inconsistent. Resource constraints, workforce pressures and risk-averse cultures often limit genuine choice and control (Glasby and Dickinson, 2014). This gap between </w:t>
      </w:r>
      <w:r w:rsidRPr="002C52A4">
        <w:rPr>
          <w:rFonts w:ascii="Times New Roman" w:hAnsi="Times New Roman" w:cs="Times New Roman"/>
        </w:rPr>
        <w:lastRenderedPageBreak/>
        <w:t>policy ambition and practice reality demonstrates that the effectiveness of the social model depends heavily on organisational capacity and professional support.</w:t>
      </w:r>
    </w:p>
    <w:p w14:paraId="5537A601" w14:textId="7777777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t>Challenges and Limitations in Practice</w:t>
      </w:r>
    </w:p>
    <w:p w14:paraId="52E84609"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Despite strong policy endorsement, applying the social model of disability consistently in everyday health and social care practice </w:t>
      </w:r>
      <w:proofErr w:type="gramStart"/>
      <w:r w:rsidRPr="002C52A4">
        <w:rPr>
          <w:rFonts w:ascii="Times New Roman" w:hAnsi="Times New Roman" w:cs="Times New Roman"/>
        </w:rPr>
        <w:t>remains</w:t>
      </w:r>
      <w:proofErr w:type="gramEnd"/>
      <w:r w:rsidRPr="002C52A4">
        <w:rPr>
          <w:rFonts w:ascii="Times New Roman" w:hAnsi="Times New Roman" w:cs="Times New Roman"/>
        </w:rPr>
        <w:t xml:space="preserve"> challenging. One of the most significant barriers is the persistent gap between policy aspirations and the realities of service delivery. Financial pressures in adult social care have resulted in increasingly high eligibility thresholds, meaning that support is often restricted to individuals with substantial or critical needs (Kings Fund, 2022). From a social model perspective, this reactive approach limits opportunities for preventative support and early intervention, both of which are essential for reducing disabling barriers before they escalate.</w:t>
      </w:r>
    </w:p>
    <w:p w14:paraId="33D3A0A9" w14:textId="07BC5EFF"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In practice, this can result in assessments that prioritise risk management and statutory compliance over meaningful exploration of personal outcomes. Although policy frameworks emphasise wellbeing and personal goals, time constraints and resource pressures may lead practitioners to focus on meeting minimum requirements rather than engaging in genuinely person-centred conversations. These risks reducing person-centred care to a procedural exercise rather than a values-led approach, undermining the transformative potential of the social model.</w:t>
      </w:r>
    </w:p>
    <w:p w14:paraId="58C7419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Workforce confidence and organisational culture present further challenges. While the language of the social model is widely used in training and guidance, practitioners may struggle to translate theory into practice, particularly in complex situations involving safeguarding, fluctuating mental capacity or high levels of risk (Dunn, 2019). In such cases, professionals must balance empowerment and autonomy with their duty of care. Risk-averse cultures can lead to defensive practice, where professional control is prioritised over shared decision-making, contradicting the principles of both the social model and person-centred care.</w:t>
      </w:r>
    </w:p>
    <w:p w14:paraId="6F2D3C83"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Tensions are also evident within healthcare settings, particularly in the NHS, where medical priorities such as diagnosis, treatment pathways and discharge targets often dominate practice. This can leave limited space to address wider social determinants of health, including housing, employment and social isolation, which are central to the social model (Beresford, 2016). As a result, care may become fragmented, with health needs addressed separately from social barriers, reducing the effectiveness of person-centred approaches.</w:t>
      </w:r>
    </w:p>
    <w:p w14:paraId="35775FE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Additionally, critics argue that the social model does not always capture the diversity of disabled people’s lived experiences. Intersectional factors such as age, ethnicity, gender and socio-economic status shape how disability is experienced and responded to within services (Priestley et al., 2019). A rigid application of the social model risks overlooking these complexities, reinforcing the importance of flexible, individualised practice rather than adherence to a single theoretical framework.</w:t>
      </w:r>
    </w:p>
    <w:p w14:paraId="3A55D2A2" w14:textId="7777777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lastRenderedPageBreak/>
        <w:t>Recommendations for Policy and Practice</w:t>
      </w:r>
    </w:p>
    <w:p w14:paraId="097E7170"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To strengthen person-centred care informed by the social model of disability, a more realistic and integrated approach to policy and practice is required. First, greater investment in preventative and community-based services is essential. The social model emphasises removing barriers at an early stage; however, current funding pressures often result in crisis-driven responses (Kings Fund, 2022). Increased investment in early intervention, accessible housing, community support and assistive technology could reduce long-term dependency on statutory services while supporting independence and wellbeing.</w:t>
      </w:r>
    </w:p>
    <w:p w14:paraId="52D28E55"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Second, workforce development should be prioritised to support confident and reflective practice. While many practitioners are familiar with the principles of the social model, applying them in complex contexts remains challenging. Training should integrate the social model with ethical decision-making, safeguarding frameworks and the Mental Capacity Act 2005, enabling practitioners to balance autonomy with protection more effectively (Dunn, 2019). Embedding reflective supervision within organisations could further support practitioners to critically examine their practice and avoid risk-averse or paternalistic approaches.</w:t>
      </w:r>
    </w:p>
    <w:p w14:paraId="72AB3901" w14:textId="3BD114D0"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Third, co-production should be embedded more meaningfully across health and social care services. Although often referenced in policy, co-production is not always implemented beyond consultation. Genuine co-production requires time, trust and a willingness to share power with service users (Beresford, 2016). Organisations should support disabled people’s involvement in service design, evaluation and staff training, recognising lived experience as a form of expertise central to person-centred care.</w:t>
      </w:r>
    </w:p>
    <w:p w14:paraId="2DB6CB4F"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Improved integration between health and social care is also crucial. Integrated care systems offer opportunities to align medical treatment with social support, but this requires shared values, clear communication and coordinated leadership (Glasby and Dickinson, 2014). Embedding social model principles across multidisciplinary teams could help ensure that social barriers are addressed alongside clinical needs rather than treated as secondary concerns.</w:t>
      </w:r>
    </w:p>
    <w:p w14:paraId="58A2578F"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Finally, adopting an intersectional and flexible approach to disability would enhance person-centred care by recognising individual context and diversity. This approach moves beyond one-size-fits-all solutions and aligns with the social model’s emphasis on listening to individual narratives and adapting support accordingly (Priestley et al., 2019).</w:t>
      </w:r>
    </w:p>
    <w:p w14:paraId="079394E5" w14:textId="77777777" w:rsidR="002C52A4" w:rsidRDefault="002C52A4" w:rsidP="002C52A4">
      <w:pPr>
        <w:spacing w:line="360" w:lineRule="auto"/>
        <w:jc w:val="both"/>
        <w:rPr>
          <w:rFonts w:ascii="Times New Roman" w:hAnsi="Times New Roman" w:cs="Times New Roman"/>
          <w:b/>
          <w:bCs/>
        </w:rPr>
      </w:pPr>
    </w:p>
    <w:p w14:paraId="4A044DA3" w14:textId="77777777" w:rsidR="002C52A4" w:rsidRDefault="002C52A4" w:rsidP="002C52A4">
      <w:pPr>
        <w:spacing w:line="360" w:lineRule="auto"/>
        <w:jc w:val="both"/>
        <w:rPr>
          <w:rFonts w:ascii="Times New Roman" w:hAnsi="Times New Roman" w:cs="Times New Roman"/>
          <w:b/>
          <w:bCs/>
        </w:rPr>
      </w:pPr>
    </w:p>
    <w:p w14:paraId="464D99EC" w14:textId="77777777" w:rsidR="002A39F4" w:rsidRDefault="002A39F4" w:rsidP="002C52A4">
      <w:pPr>
        <w:spacing w:line="360" w:lineRule="auto"/>
        <w:jc w:val="both"/>
        <w:rPr>
          <w:rFonts w:ascii="Times New Roman" w:hAnsi="Times New Roman" w:cs="Times New Roman"/>
          <w:b/>
          <w:bCs/>
        </w:rPr>
      </w:pPr>
    </w:p>
    <w:p w14:paraId="479BF61C" w14:textId="77777777" w:rsidR="002A39F4" w:rsidRDefault="002A39F4" w:rsidP="002C52A4">
      <w:pPr>
        <w:spacing w:line="360" w:lineRule="auto"/>
        <w:jc w:val="both"/>
        <w:rPr>
          <w:rFonts w:ascii="Times New Roman" w:hAnsi="Times New Roman" w:cs="Times New Roman"/>
          <w:b/>
          <w:bCs/>
        </w:rPr>
      </w:pPr>
    </w:p>
    <w:p w14:paraId="77FF81AB" w14:textId="43C3CFB6"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lastRenderedPageBreak/>
        <w:t>Conclusion</w:t>
      </w:r>
    </w:p>
    <w:p w14:paraId="201E7070" w14:textId="11A9A0DC"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The social model of disability remains a powerful and influential foundation for person-centred care within UK health and social care. By reframing disability because of social and environmental barriers rather than individual deficit, the model has reshaped policy, legislation and professional practice, promoting autonomy, inclusion and rights-based approaches. Its influence is clearly reflected in key frameworks such as the Equality Act 2010, the Care Act 2014 and contemporary NHS policy.</w:t>
      </w:r>
    </w:p>
    <w:p w14:paraId="4ACC4125"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However, this essay has demonstrated that the social model is not without limitations. Challenges relating to resource constraints, workforce pressures, medical dominance and intersectional inequalities highlight the risks of applying the model in a rigid or uncritical manner. These issues reinforce the importance of reflective, flexible practice that recognises both social barriers and individual lived experience.</w:t>
      </w:r>
    </w:p>
    <w:p w14:paraId="18EBF4B9"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In conclusion, the social model is most effective when used as part of a broader, integrated approach to person-centred care rather than as a standalone solution. When supported by adequate resources, skilled practitioners and inclusive organisational cultures, it has significant potential to improve outcomes, promote dignity and enhance the everyday experiences of disabled people within increasingly complex health and social care systems.</w:t>
      </w:r>
    </w:p>
    <w:p w14:paraId="15AB078B" w14:textId="77777777" w:rsidR="002C52A4" w:rsidRPr="002C52A4" w:rsidRDefault="002C52A4" w:rsidP="002C52A4">
      <w:pPr>
        <w:spacing w:line="360" w:lineRule="auto"/>
        <w:jc w:val="both"/>
        <w:rPr>
          <w:rFonts w:ascii="Times New Roman" w:hAnsi="Times New Roman" w:cs="Times New Roman"/>
        </w:rPr>
      </w:pPr>
    </w:p>
    <w:p w14:paraId="6DEA4A97" w14:textId="77777777" w:rsidR="002C52A4" w:rsidRPr="002C52A4" w:rsidRDefault="002C52A4" w:rsidP="002C52A4">
      <w:pPr>
        <w:spacing w:line="360" w:lineRule="auto"/>
        <w:jc w:val="both"/>
        <w:rPr>
          <w:rFonts w:ascii="Times New Roman" w:hAnsi="Times New Roman" w:cs="Times New Roman"/>
        </w:rPr>
      </w:pPr>
    </w:p>
    <w:p w14:paraId="342DFA8C" w14:textId="77777777" w:rsidR="0020227F" w:rsidRDefault="0020227F" w:rsidP="002C52A4">
      <w:pPr>
        <w:spacing w:line="360" w:lineRule="auto"/>
        <w:jc w:val="both"/>
        <w:rPr>
          <w:rFonts w:ascii="Times New Roman" w:hAnsi="Times New Roman" w:cs="Times New Roman"/>
        </w:rPr>
      </w:pPr>
    </w:p>
    <w:p w14:paraId="3CBC3200" w14:textId="77777777" w:rsidR="002C52A4" w:rsidRDefault="002C52A4" w:rsidP="002C52A4">
      <w:pPr>
        <w:spacing w:line="360" w:lineRule="auto"/>
        <w:jc w:val="both"/>
        <w:rPr>
          <w:rFonts w:ascii="Times New Roman" w:hAnsi="Times New Roman" w:cs="Times New Roman"/>
        </w:rPr>
      </w:pPr>
    </w:p>
    <w:p w14:paraId="45C0E085" w14:textId="77777777" w:rsidR="002C52A4" w:rsidRDefault="002C52A4" w:rsidP="002C52A4">
      <w:pPr>
        <w:spacing w:line="360" w:lineRule="auto"/>
        <w:jc w:val="both"/>
        <w:rPr>
          <w:rFonts w:ascii="Times New Roman" w:hAnsi="Times New Roman" w:cs="Times New Roman"/>
        </w:rPr>
      </w:pPr>
    </w:p>
    <w:p w14:paraId="1C2DE735" w14:textId="77777777" w:rsidR="002C52A4" w:rsidRDefault="002C52A4" w:rsidP="002C52A4">
      <w:pPr>
        <w:spacing w:line="360" w:lineRule="auto"/>
        <w:jc w:val="both"/>
        <w:rPr>
          <w:rFonts w:ascii="Times New Roman" w:hAnsi="Times New Roman" w:cs="Times New Roman"/>
        </w:rPr>
      </w:pPr>
    </w:p>
    <w:p w14:paraId="612AECDC" w14:textId="77777777" w:rsidR="002C52A4" w:rsidRDefault="002C52A4" w:rsidP="002C52A4">
      <w:pPr>
        <w:spacing w:line="360" w:lineRule="auto"/>
        <w:jc w:val="both"/>
        <w:rPr>
          <w:rFonts w:ascii="Times New Roman" w:hAnsi="Times New Roman" w:cs="Times New Roman"/>
        </w:rPr>
      </w:pPr>
    </w:p>
    <w:p w14:paraId="586230E3" w14:textId="77777777" w:rsidR="002C52A4" w:rsidRDefault="002C52A4" w:rsidP="002C52A4">
      <w:pPr>
        <w:spacing w:line="360" w:lineRule="auto"/>
        <w:jc w:val="both"/>
        <w:rPr>
          <w:rFonts w:ascii="Times New Roman" w:hAnsi="Times New Roman" w:cs="Times New Roman"/>
        </w:rPr>
      </w:pPr>
    </w:p>
    <w:p w14:paraId="2597759C" w14:textId="77777777" w:rsidR="002C52A4" w:rsidRDefault="002C52A4" w:rsidP="002C52A4">
      <w:pPr>
        <w:spacing w:line="360" w:lineRule="auto"/>
        <w:jc w:val="both"/>
        <w:rPr>
          <w:rFonts w:ascii="Times New Roman" w:hAnsi="Times New Roman" w:cs="Times New Roman"/>
        </w:rPr>
      </w:pPr>
    </w:p>
    <w:p w14:paraId="74D3090E" w14:textId="77777777" w:rsidR="002C52A4" w:rsidRDefault="002C52A4" w:rsidP="002C52A4">
      <w:pPr>
        <w:spacing w:line="360" w:lineRule="auto"/>
        <w:jc w:val="both"/>
        <w:rPr>
          <w:rFonts w:ascii="Times New Roman" w:hAnsi="Times New Roman" w:cs="Times New Roman"/>
        </w:rPr>
      </w:pPr>
    </w:p>
    <w:p w14:paraId="6CDD4067" w14:textId="77777777" w:rsidR="002C52A4" w:rsidRDefault="002C52A4" w:rsidP="002C52A4">
      <w:pPr>
        <w:spacing w:line="360" w:lineRule="auto"/>
        <w:jc w:val="both"/>
        <w:rPr>
          <w:rFonts w:ascii="Times New Roman" w:hAnsi="Times New Roman" w:cs="Times New Roman"/>
        </w:rPr>
      </w:pPr>
    </w:p>
    <w:p w14:paraId="3B32C33E" w14:textId="77777777" w:rsidR="002C52A4" w:rsidRDefault="002C52A4" w:rsidP="002C52A4">
      <w:pPr>
        <w:spacing w:line="360" w:lineRule="auto"/>
        <w:jc w:val="both"/>
        <w:rPr>
          <w:rFonts w:ascii="Times New Roman" w:hAnsi="Times New Roman" w:cs="Times New Roman"/>
        </w:rPr>
      </w:pPr>
    </w:p>
    <w:p w14:paraId="2AB50E76" w14:textId="77777777" w:rsidR="002C52A4" w:rsidRDefault="002C52A4" w:rsidP="002C52A4">
      <w:pPr>
        <w:spacing w:line="360" w:lineRule="auto"/>
        <w:jc w:val="both"/>
        <w:rPr>
          <w:rFonts w:ascii="Times New Roman" w:hAnsi="Times New Roman" w:cs="Times New Roman"/>
        </w:rPr>
      </w:pPr>
    </w:p>
    <w:p w14:paraId="1343CB76" w14:textId="77777777" w:rsidR="002C52A4" w:rsidRPr="002C52A4" w:rsidRDefault="002C52A4" w:rsidP="002C52A4">
      <w:pPr>
        <w:spacing w:line="360" w:lineRule="auto"/>
        <w:jc w:val="both"/>
        <w:rPr>
          <w:rFonts w:ascii="Times New Roman" w:hAnsi="Times New Roman" w:cs="Times New Roman"/>
          <w:b/>
          <w:bCs/>
        </w:rPr>
      </w:pPr>
      <w:r w:rsidRPr="002C52A4">
        <w:rPr>
          <w:rFonts w:ascii="Times New Roman" w:hAnsi="Times New Roman" w:cs="Times New Roman"/>
          <w:b/>
          <w:bCs/>
        </w:rPr>
        <w:lastRenderedPageBreak/>
        <w:t>References</w:t>
      </w:r>
    </w:p>
    <w:p w14:paraId="2AE13547"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Barnes, C. (2012) </w:t>
      </w:r>
      <w:r w:rsidRPr="002C52A4">
        <w:rPr>
          <w:rFonts w:ascii="Times New Roman" w:hAnsi="Times New Roman" w:cs="Times New Roman"/>
          <w:i/>
          <w:iCs/>
        </w:rPr>
        <w:t>Understanding Disability and the Social Model of Disability</w:t>
      </w:r>
      <w:r w:rsidRPr="002C52A4">
        <w:rPr>
          <w:rFonts w:ascii="Times New Roman" w:hAnsi="Times New Roman" w:cs="Times New Roman"/>
        </w:rPr>
        <w:t>. London: Routledge.</w:t>
      </w:r>
    </w:p>
    <w:p w14:paraId="1CC59C3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Beresford, P. (2016) </w:t>
      </w:r>
      <w:r w:rsidRPr="002C52A4">
        <w:rPr>
          <w:rFonts w:ascii="Times New Roman" w:hAnsi="Times New Roman" w:cs="Times New Roman"/>
          <w:i/>
          <w:iCs/>
        </w:rPr>
        <w:t>All Our Welfare: Towards Participatory Social Policy</w:t>
      </w:r>
      <w:r w:rsidRPr="002C52A4">
        <w:rPr>
          <w:rFonts w:ascii="Times New Roman" w:hAnsi="Times New Roman" w:cs="Times New Roman"/>
        </w:rPr>
        <w:t>. Bristol: Policy Press.</w:t>
      </w:r>
    </w:p>
    <w:p w14:paraId="6407B9E2"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Department of Health (2010) </w:t>
      </w:r>
      <w:r w:rsidRPr="002C52A4">
        <w:rPr>
          <w:rFonts w:ascii="Times New Roman" w:hAnsi="Times New Roman" w:cs="Times New Roman"/>
          <w:i/>
          <w:iCs/>
        </w:rPr>
        <w:t>A Vision for Adult Social Care: Capable Communities and Active Citizens</w:t>
      </w:r>
      <w:r w:rsidRPr="002C52A4">
        <w:rPr>
          <w:rFonts w:ascii="Times New Roman" w:hAnsi="Times New Roman" w:cs="Times New Roman"/>
        </w:rPr>
        <w:t>. London: Department of Health.</w:t>
      </w:r>
    </w:p>
    <w:p w14:paraId="1772F842"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Department of Health and Social Care (2014) </w:t>
      </w:r>
      <w:r w:rsidRPr="002C52A4">
        <w:rPr>
          <w:rFonts w:ascii="Times New Roman" w:hAnsi="Times New Roman" w:cs="Times New Roman"/>
          <w:i/>
          <w:iCs/>
        </w:rPr>
        <w:t>Care and Support Statutory Guidance</w:t>
      </w:r>
      <w:r w:rsidRPr="002C52A4">
        <w:rPr>
          <w:rFonts w:ascii="Times New Roman" w:hAnsi="Times New Roman" w:cs="Times New Roman"/>
        </w:rPr>
        <w:t>. London: DHSC.</w:t>
      </w:r>
    </w:p>
    <w:p w14:paraId="30AAB7B2"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Dunn, M.C. (2019) ‘Capacity, care and safeguarding: Balancing autonomy and protection in adult social care’, </w:t>
      </w:r>
      <w:r w:rsidRPr="002C52A4">
        <w:rPr>
          <w:rFonts w:ascii="Times New Roman" w:hAnsi="Times New Roman" w:cs="Times New Roman"/>
          <w:i/>
          <w:iCs/>
        </w:rPr>
        <w:t>Journal of Adult Protection</w:t>
      </w:r>
      <w:r w:rsidRPr="002C52A4">
        <w:rPr>
          <w:rFonts w:ascii="Times New Roman" w:hAnsi="Times New Roman" w:cs="Times New Roman"/>
        </w:rPr>
        <w:t>, 21(1), pp. 12–22.</w:t>
      </w:r>
    </w:p>
    <w:p w14:paraId="2055F897"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Engel, G.L. (1980) ‘The clinical application of the biopsychosocial model’, </w:t>
      </w:r>
      <w:r w:rsidRPr="002C52A4">
        <w:rPr>
          <w:rFonts w:ascii="Times New Roman" w:hAnsi="Times New Roman" w:cs="Times New Roman"/>
          <w:i/>
          <w:iCs/>
        </w:rPr>
        <w:t>American Journal of Psychiatry</w:t>
      </w:r>
      <w:r w:rsidRPr="002C52A4">
        <w:rPr>
          <w:rFonts w:ascii="Times New Roman" w:hAnsi="Times New Roman" w:cs="Times New Roman"/>
        </w:rPr>
        <w:t>, 137(5), pp. 535–544.</w:t>
      </w:r>
    </w:p>
    <w:p w14:paraId="1D2E72ED"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Glasby, J. and Dickinson, H. (2014) </w:t>
      </w:r>
      <w:r w:rsidRPr="002C52A4">
        <w:rPr>
          <w:rFonts w:ascii="Times New Roman" w:hAnsi="Times New Roman" w:cs="Times New Roman"/>
          <w:i/>
          <w:iCs/>
        </w:rPr>
        <w:t>Partnership Working in Health and Social Care: What Is Integrated Care and How Can We Deliver It?</w:t>
      </w:r>
      <w:r w:rsidRPr="002C52A4">
        <w:rPr>
          <w:rFonts w:ascii="Times New Roman" w:hAnsi="Times New Roman" w:cs="Times New Roman"/>
        </w:rPr>
        <w:t xml:space="preserve"> 2nd </w:t>
      </w:r>
      <w:proofErr w:type="spellStart"/>
      <w:r w:rsidRPr="002C52A4">
        <w:rPr>
          <w:rFonts w:ascii="Times New Roman" w:hAnsi="Times New Roman" w:cs="Times New Roman"/>
        </w:rPr>
        <w:t>edn</w:t>
      </w:r>
      <w:proofErr w:type="spellEnd"/>
      <w:r w:rsidRPr="002C52A4">
        <w:rPr>
          <w:rFonts w:ascii="Times New Roman" w:hAnsi="Times New Roman" w:cs="Times New Roman"/>
        </w:rPr>
        <w:t>. Bristol: Policy Press.</w:t>
      </w:r>
    </w:p>
    <w:p w14:paraId="19FBBF2C"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Government Equalities Office (2010) </w:t>
      </w:r>
      <w:r w:rsidRPr="002C52A4">
        <w:rPr>
          <w:rFonts w:ascii="Times New Roman" w:hAnsi="Times New Roman" w:cs="Times New Roman"/>
          <w:i/>
          <w:iCs/>
        </w:rPr>
        <w:t>Equality Act 2010: Guidance</w:t>
      </w:r>
      <w:r w:rsidRPr="002C52A4">
        <w:rPr>
          <w:rFonts w:ascii="Times New Roman" w:hAnsi="Times New Roman" w:cs="Times New Roman"/>
        </w:rPr>
        <w:t>. London: Government Equalities Office.</w:t>
      </w:r>
    </w:p>
    <w:p w14:paraId="69E1C2FD"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Health Foundation (2016) </w:t>
      </w:r>
      <w:r w:rsidRPr="002C52A4">
        <w:rPr>
          <w:rFonts w:ascii="Times New Roman" w:hAnsi="Times New Roman" w:cs="Times New Roman"/>
          <w:i/>
          <w:iCs/>
        </w:rPr>
        <w:t>Person-Centred Care Made Simple</w:t>
      </w:r>
      <w:r w:rsidRPr="002C52A4">
        <w:rPr>
          <w:rFonts w:ascii="Times New Roman" w:hAnsi="Times New Roman" w:cs="Times New Roman"/>
        </w:rPr>
        <w:t>. London: The Health Foundation.</w:t>
      </w:r>
    </w:p>
    <w:p w14:paraId="1502531B"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Kings Fund (2022) </w:t>
      </w:r>
      <w:r w:rsidRPr="002C52A4">
        <w:rPr>
          <w:rFonts w:ascii="Times New Roman" w:hAnsi="Times New Roman" w:cs="Times New Roman"/>
          <w:i/>
          <w:iCs/>
        </w:rPr>
        <w:t>Social Care 360</w:t>
      </w:r>
      <w:r w:rsidRPr="002C52A4">
        <w:rPr>
          <w:rFonts w:ascii="Times New Roman" w:hAnsi="Times New Roman" w:cs="Times New Roman"/>
        </w:rPr>
        <w:t>. London: The King’s Fund.</w:t>
      </w:r>
    </w:p>
    <w:p w14:paraId="153AFB91"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NHS England (2019) </w:t>
      </w:r>
      <w:r w:rsidRPr="002C52A4">
        <w:rPr>
          <w:rFonts w:ascii="Times New Roman" w:hAnsi="Times New Roman" w:cs="Times New Roman"/>
          <w:i/>
          <w:iCs/>
        </w:rPr>
        <w:t>The NHS Long Term Plan</w:t>
      </w:r>
      <w:r w:rsidRPr="002C52A4">
        <w:rPr>
          <w:rFonts w:ascii="Times New Roman" w:hAnsi="Times New Roman" w:cs="Times New Roman"/>
        </w:rPr>
        <w:t>. London: NHS England.</w:t>
      </w:r>
    </w:p>
    <w:p w14:paraId="12D1AB77"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Oliver, M. (1990) </w:t>
      </w:r>
      <w:r w:rsidRPr="002C52A4">
        <w:rPr>
          <w:rFonts w:ascii="Times New Roman" w:hAnsi="Times New Roman" w:cs="Times New Roman"/>
          <w:i/>
          <w:iCs/>
        </w:rPr>
        <w:t>The Politics of Disablement</w:t>
      </w:r>
      <w:r w:rsidRPr="002C52A4">
        <w:rPr>
          <w:rFonts w:ascii="Times New Roman" w:hAnsi="Times New Roman" w:cs="Times New Roman"/>
        </w:rPr>
        <w:t>. Basingstoke: Macmillan.</w:t>
      </w:r>
    </w:p>
    <w:p w14:paraId="10ABBA24"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Oliver, M. (1996) </w:t>
      </w:r>
      <w:r w:rsidRPr="002C52A4">
        <w:rPr>
          <w:rFonts w:ascii="Times New Roman" w:hAnsi="Times New Roman" w:cs="Times New Roman"/>
          <w:i/>
          <w:iCs/>
        </w:rPr>
        <w:t>Understanding Disability: From Theory to Practice</w:t>
      </w:r>
      <w:r w:rsidRPr="002C52A4">
        <w:rPr>
          <w:rFonts w:ascii="Times New Roman" w:hAnsi="Times New Roman" w:cs="Times New Roman"/>
        </w:rPr>
        <w:t>. Basingstoke: Macmillan.</w:t>
      </w:r>
    </w:p>
    <w:p w14:paraId="2710BC9D"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Priestley, M., Waddington, L. and </w:t>
      </w:r>
      <w:proofErr w:type="spellStart"/>
      <w:r w:rsidRPr="002C52A4">
        <w:rPr>
          <w:rFonts w:ascii="Times New Roman" w:hAnsi="Times New Roman" w:cs="Times New Roman"/>
        </w:rPr>
        <w:t>Bessozi</w:t>
      </w:r>
      <w:proofErr w:type="spellEnd"/>
      <w:r w:rsidRPr="002C52A4">
        <w:rPr>
          <w:rFonts w:ascii="Times New Roman" w:hAnsi="Times New Roman" w:cs="Times New Roman"/>
        </w:rPr>
        <w:t xml:space="preserve">, C. (2019) ‘Towards an agenda for disability research in Europe’, </w:t>
      </w:r>
      <w:r w:rsidRPr="002C52A4">
        <w:rPr>
          <w:rFonts w:ascii="Times New Roman" w:hAnsi="Times New Roman" w:cs="Times New Roman"/>
          <w:i/>
          <w:iCs/>
        </w:rPr>
        <w:t>Disability &amp; Society</w:t>
      </w:r>
      <w:r w:rsidRPr="002C52A4">
        <w:rPr>
          <w:rFonts w:ascii="Times New Roman" w:hAnsi="Times New Roman" w:cs="Times New Roman"/>
        </w:rPr>
        <w:t>, 34(1), pp. 1–14.</w:t>
      </w:r>
    </w:p>
    <w:p w14:paraId="48209C17"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Scullion, L. (2014) ‘The social model of disability’, in Davies, M. (ed.) </w:t>
      </w:r>
      <w:r w:rsidRPr="002C52A4">
        <w:rPr>
          <w:rFonts w:ascii="Times New Roman" w:hAnsi="Times New Roman" w:cs="Times New Roman"/>
          <w:i/>
          <w:iCs/>
        </w:rPr>
        <w:t>The Blackwell Companion to Social Work</w:t>
      </w:r>
      <w:r w:rsidRPr="002C52A4">
        <w:rPr>
          <w:rFonts w:ascii="Times New Roman" w:hAnsi="Times New Roman" w:cs="Times New Roman"/>
        </w:rPr>
        <w:t>. Oxford: Wiley-Blackwell, pp. 289–298.</w:t>
      </w:r>
    </w:p>
    <w:p w14:paraId="2610FC05"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Shakespeare, T. (2014) </w:t>
      </w:r>
      <w:r w:rsidRPr="002C52A4">
        <w:rPr>
          <w:rFonts w:ascii="Times New Roman" w:hAnsi="Times New Roman" w:cs="Times New Roman"/>
          <w:i/>
          <w:iCs/>
        </w:rPr>
        <w:t>Disability Rights and Wrongs Revisited</w:t>
      </w:r>
      <w:r w:rsidRPr="002C52A4">
        <w:rPr>
          <w:rFonts w:ascii="Times New Roman" w:hAnsi="Times New Roman" w:cs="Times New Roman"/>
        </w:rPr>
        <w:t xml:space="preserve">. 2nd </w:t>
      </w:r>
      <w:proofErr w:type="spellStart"/>
      <w:r w:rsidRPr="002C52A4">
        <w:rPr>
          <w:rFonts w:ascii="Times New Roman" w:hAnsi="Times New Roman" w:cs="Times New Roman"/>
        </w:rPr>
        <w:t>edn</w:t>
      </w:r>
      <w:proofErr w:type="spellEnd"/>
      <w:r w:rsidRPr="002C52A4">
        <w:rPr>
          <w:rFonts w:ascii="Times New Roman" w:hAnsi="Times New Roman" w:cs="Times New Roman"/>
        </w:rPr>
        <w:t>. London: Routledge.</w:t>
      </w:r>
    </w:p>
    <w:p w14:paraId="74A1013D"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Thomas, C. (2007) </w:t>
      </w:r>
      <w:r w:rsidRPr="002C52A4">
        <w:rPr>
          <w:rFonts w:ascii="Times New Roman" w:hAnsi="Times New Roman" w:cs="Times New Roman"/>
          <w:i/>
          <w:iCs/>
        </w:rPr>
        <w:t>Sociologies of Disability and Illness</w:t>
      </w:r>
      <w:r w:rsidRPr="002C52A4">
        <w:rPr>
          <w:rFonts w:ascii="Times New Roman" w:hAnsi="Times New Roman" w:cs="Times New Roman"/>
        </w:rPr>
        <w:t>. Basingstoke: Palgrave Macmillan.</w:t>
      </w:r>
    </w:p>
    <w:p w14:paraId="5FB96E8E" w14:textId="77777777" w:rsidR="002C52A4" w:rsidRPr="002C52A4" w:rsidRDefault="002C52A4" w:rsidP="002C52A4">
      <w:pPr>
        <w:spacing w:line="360" w:lineRule="auto"/>
        <w:jc w:val="both"/>
        <w:rPr>
          <w:rFonts w:ascii="Times New Roman" w:hAnsi="Times New Roman" w:cs="Times New Roman"/>
        </w:rPr>
      </w:pPr>
      <w:r w:rsidRPr="002C52A4">
        <w:rPr>
          <w:rFonts w:ascii="Times New Roman" w:hAnsi="Times New Roman" w:cs="Times New Roman"/>
        </w:rPr>
        <w:t xml:space="preserve">United Nations (2006) </w:t>
      </w:r>
      <w:r w:rsidRPr="002C52A4">
        <w:rPr>
          <w:rFonts w:ascii="Times New Roman" w:hAnsi="Times New Roman" w:cs="Times New Roman"/>
          <w:i/>
          <w:iCs/>
        </w:rPr>
        <w:t>Convention on the Rights of Persons with Disabilities</w:t>
      </w:r>
      <w:r w:rsidRPr="002C52A4">
        <w:rPr>
          <w:rFonts w:ascii="Times New Roman" w:hAnsi="Times New Roman" w:cs="Times New Roman"/>
        </w:rPr>
        <w:t>. New York: United Nations.</w:t>
      </w:r>
    </w:p>
    <w:p w14:paraId="22691D60" w14:textId="77777777" w:rsidR="002C52A4" w:rsidRPr="002C52A4" w:rsidRDefault="002C52A4" w:rsidP="002C52A4">
      <w:pPr>
        <w:spacing w:line="360" w:lineRule="auto"/>
        <w:jc w:val="both"/>
        <w:rPr>
          <w:rFonts w:ascii="Times New Roman" w:hAnsi="Times New Roman" w:cs="Times New Roman"/>
        </w:rPr>
      </w:pPr>
    </w:p>
    <w:sectPr w:rsidR="002C52A4" w:rsidRPr="002C52A4" w:rsidSect="002C52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A4"/>
    <w:rsid w:val="00194A1E"/>
    <w:rsid w:val="0020227F"/>
    <w:rsid w:val="002A39F4"/>
    <w:rsid w:val="002C52A4"/>
    <w:rsid w:val="006D731C"/>
    <w:rsid w:val="0095093A"/>
    <w:rsid w:val="00AE7549"/>
    <w:rsid w:val="00C40D8A"/>
    <w:rsid w:val="00F410B7"/>
    <w:rsid w:val="00F96D5B"/>
    <w:rsid w:val="00FB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95FB"/>
  <w15:chartTrackingRefBased/>
  <w15:docId w15:val="{9B297D01-EC64-4B08-881C-4EEE10EF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2A4"/>
    <w:rPr>
      <w:rFonts w:eastAsiaTheme="majorEastAsia" w:cstheme="majorBidi"/>
      <w:color w:val="272727" w:themeColor="text1" w:themeTint="D8"/>
    </w:rPr>
  </w:style>
  <w:style w:type="paragraph" w:styleId="Title">
    <w:name w:val="Title"/>
    <w:basedOn w:val="Normal"/>
    <w:next w:val="Normal"/>
    <w:link w:val="TitleChar"/>
    <w:uiPriority w:val="10"/>
    <w:qFormat/>
    <w:rsid w:val="002C5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2A4"/>
    <w:pPr>
      <w:spacing w:before="160"/>
      <w:jc w:val="center"/>
    </w:pPr>
    <w:rPr>
      <w:i/>
      <w:iCs/>
      <w:color w:val="404040" w:themeColor="text1" w:themeTint="BF"/>
    </w:rPr>
  </w:style>
  <w:style w:type="character" w:customStyle="1" w:styleId="QuoteChar">
    <w:name w:val="Quote Char"/>
    <w:basedOn w:val="DefaultParagraphFont"/>
    <w:link w:val="Quote"/>
    <w:uiPriority w:val="29"/>
    <w:rsid w:val="002C52A4"/>
    <w:rPr>
      <w:i/>
      <w:iCs/>
      <w:color w:val="404040" w:themeColor="text1" w:themeTint="BF"/>
    </w:rPr>
  </w:style>
  <w:style w:type="paragraph" w:styleId="ListParagraph">
    <w:name w:val="List Paragraph"/>
    <w:basedOn w:val="Normal"/>
    <w:uiPriority w:val="34"/>
    <w:qFormat/>
    <w:rsid w:val="002C52A4"/>
    <w:pPr>
      <w:ind w:left="720"/>
      <w:contextualSpacing/>
    </w:pPr>
  </w:style>
  <w:style w:type="character" w:styleId="IntenseEmphasis">
    <w:name w:val="Intense Emphasis"/>
    <w:basedOn w:val="DefaultParagraphFont"/>
    <w:uiPriority w:val="21"/>
    <w:qFormat/>
    <w:rsid w:val="002C52A4"/>
    <w:rPr>
      <w:i/>
      <w:iCs/>
      <w:color w:val="0F4761" w:themeColor="accent1" w:themeShade="BF"/>
    </w:rPr>
  </w:style>
  <w:style w:type="paragraph" w:styleId="IntenseQuote">
    <w:name w:val="Intense Quote"/>
    <w:basedOn w:val="Normal"/>
    <w:next w:val="Normal"/>
    <w:link w:val="IntenseQuoteChar"/>
    <w:uiPriority w:val="30"/>
    <w:qFormat/>
    <w:rsid w:val="002C5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2A4"/>
    <w:rPr>
      <w:i/>
      <w:iCs/>
      <w:color w:val="0F4761" w:themeColor="accent1" w:themeShade="BF"/>
    </w:rPr>
  </w:style>
  <w:style w:type="character" w:styleId="IntenseReference">
    <w:name w:val="Intense Reference"/>
    <w:basedOn w:val="DefaultParagraphFont"/>
    <w:uiPriority w:val="32"/>
    <w:qFormat/>
    <w:rsid w:val="002C52A4"/>
    <w:rPr>
      <w:b/>
      <w:bCs/>
      <w:smallCaps/>
      <w:color w:val="0F4761" w:themeColor="accent1" w:themeShade="BF"/>
      <w:spacing w:val="5"/>
    </w:rPr>
  </w:style>
  <w:style w:type="paragraph" w:styleId="NoSpacing">
    <w:name w:val="No Spacing"/>
    <w:link w:val="NoSpacingChar"/>
    <w:uiPriority w:val="1"/>
    <w:qFormat/>
    <w:rsid w:val="002C52A4"/>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2C52A4"/>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2811</Words>
  <Characters>16029</Characters>
  <Application>Microsoft Office Word</Application>
  <DocSecurity>0</DocSecurity>
  <Lines>133</Lines>
  <Paragraphs>37</Paragraphs>
  <ScaleCrop>false</ScaleCrop>
  <Company/>
  <LinksUpToDate>false</LinksUpToDate>
  <CharactersWithSpaces>18803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3</cp:revision>
  <dcterms:created xsi:type="dcterms:W3CDTF">2025-12-11T23:11:00Z</dcterms:created>
  <dcterms:modified xsi:type="dcterms:W3CDTF">2025-12-11T23:31:00Z</dcterms:modified>
</cp:coreProperties>
</file>