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80" w:line="24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Pr>
        <w:drawing>
          <wp:inline distB="114300" distT="114300" distL="114300" distR="114300">
            <wp:extent cx="5715000" cy="1892300"/>
            <wp:effectExtent b="0" l="0" r="0" t="0"/>
            <wp:docPr id="5"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715000" cy="1892300"/>
                    </a:xfrm>
                    <a:prstGeom prst="rect"/>
                    <a:ln/>
                  </pic:spPr>
                </pic:pic>
              </a:graphicData>
            </a:graphic>
          </wp:inline>
        </w:drawing>
      </w:r>
      <w:r w:rsidDel="00000000" w:rsidR="00000000" w:rsidRPr="00000000">
        <w:rPr>
          <w:rFonts w:ascii="Times New Roman" w:cs="Times New Roman" w:eastAsia="Times New Roman" w:hAnsi="Times New Roman"/>
          <w:b w:val="1"/>
          <w:rtl w:val="0"/>
        </w:rPr>
        <w:t xml:space="preserve">          </w:t>
      </w:r>
    </w:p>
    <w:p w:rsidR="00000000" w:rsidDel="00000000" w:rsidP="00000000" w:rsidRDefault="00000000" w:rsidRPr="00000000" w14:paraId="00000002">
      <w:pPr>
        <w:spacing w:after="280" w:line="240" w:lineRule="auto"/>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03">
      <w:pPr>
        <w:spacing w:after="280" w:line="240" w:lineRule="auto"/>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04">
      <w:pPr>
        <w:spacing w:after="280" w:line="240" w:lineRule="auto"/>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05">
      <w:pPr>
        <w:spacing w:after="280" w:line="240" w:lineRule="auto"/>
        <w:rPr>
          <w:rFonts w:ascii="Times New Roman" w:cs="Times New Roman" w:eastAsia="Times New Roman" w:hAnsi="Times New Roman"/>
          <w:b w:val="1"/>
          <w:sz w:val="30"/>
          <w:szCs w:val="30"/>
          <w:highlight w:val="yellow"/>
        </w:rPr>
      </w:pPr>
      <w:r w:rsidDel="00000000" w:rsidR="00000000" w:rsidRPr="00000000">
        <w:rPr>
          <w:rFonts w:ascii="Times New Roman" w:cs="Times New Roman" w:eastAsia="Times New Roman" w:hAnsi="Times New Roman"/>
          <w:b w:val="1"/>
          <w:sz w:val="28"/>
          <w:szCs w:val="28"/>
          <w:highlight w:val="yellow"/>
          <w:rtl w:val="0"/>
        </w:rPr>
        <w:t xml:space="preserve"> </w:t>
      </w:r>
      <w:r w:rsidDel="00000000" w:rsidR="00000000" w:rsidRPr="00000000">
        <w:rPr>
          <w:rFonts w:ascii="Times New Roman" w:cs="Times New Roman" w:eastAsia="Times New Roman" w:hAnsi="Times New Roman"/>
          <w:b w:val="1"/>
          <w:sz w:val="30"/>
          <w:szCs w:val="30"/>
          <w:highlight w:val="yellow"/>
          <w:rtl w:val="0"/>
        </w:rPr>
        <w:t xml:space="preserve">Certificate of Higher Education in Business Skills for the Workplace</w:t>
      </w:r>
    </w:p>
    <w:p w:rsidR="00000000" w:rsidDel="00000000" w:rsidP="00000000" w:rsidRDefault="00000000" w:rsidRPr="00000000" w14:paraId="00000006">
      <w:pPr>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Pr>
        <mc:AlternateContent>
          <mc:Choice Requires="wpg">
            <w:drawing>
              <wp:inline distB="0" distT="0" distL="0" distR="0">
                <wp:extent cx="12700" cy="12700"/>
                <wp:effectExtent b="0" l="0" r="0" t="0"/>
                <wp:docPr id="2" name=""/>
                <a:graphic>
                  <a:graphicData uri="http://schemas.microsoft.com/office/word/2010/wordprocessingShape">
                    <wps:wsp>
                      <wps:cNvSpPr/>
                      <wps:cNvPr id="3" name="Shape 3"/>
                      <wps:spPr>
                        <a:xfrm>
                          <a:off x="0" y="3779365"/>
                          <a:ext cx="10692000" cy="1270"/>
                        </a:xfrm>
                        <a:prstGeom prst="rect">
                          <a:avLst/>
                        </a:prstGeom>
                        <a:noFill/>
                        <a:ln cap="flat" cmpd="sng" w="9525">
                          <a:solidFill>
                            <a:srgbClr val="A0A0A0"/>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inline>
            </w:drawing>
          </mc:Choice>
          <mc:Fallback>
            <w:drawing>
              <wp:inline distB="0" distT="0" distL="0" distR="0">
                <wp:extent cx="12700" cy="12700"/>
                <wp:effectExtent b="0" l="0" r="0" t="0"/>
                <wp:docPr id="2" name="image3.png"/>
                <a:graphic>
                  <a:graphicData uri="http://schemas.openxmlformats.org/drawingml/2006/picture">
                    <pic:pic>
                      <pic:nvPicPr>
                        <pic:cNvPr id="0" name="image3.png"/>
                        <pic:cNvPicPr preferRelativeResize="0"/>
                      </pic:nvPicPr>
                      <pic:blipFill>
                        <a:blip r:embed="rId7"/>
                        <a:srcRect/>
                        <a:stretch>
                          <a:fillRect/>
                        </a:stretch>
                      </pic:blipFill>
                      <pic:spPr>
                        <a:xfrm>
                          <a:off x="0" y="0"/>
                          <a:ext cx="12700" cy="127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07">
      <w:pPr>
        <w:spacing w:after="280" w:before="28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Module: Academic Skills</w:t>
      </w:r>
    </w:p>
    <w:p w:rsidR="00000000" w:rsidDel="00000000" w:rsidP="00000000" w:rsidRDefault="00000000" w:rsidRPr="00000000" w14:paraId="00000008">
      <w:pPr>
        <w:spacing w:after="280" w:before="280" w:line="240" w:lineRule="auto"/>
        <w:rPr>
          <w:rFonts w:ascii="Times New Roman" w:cs="Times New Roman" w:eastAsia="Times New Roman" w:hAnsi="Times New Roman"/>
          <w:highlight w:val="yellow"/>
        </w:rPr>
      </w:pPr>
      <w:r w:rsidDel="00000000" w:rsidR="00000000" w:rsidRPr="00000000">
        <w:rPr>
          <w:rFonts w:ascii="Times New Roman" w:cs="Times New Roman" w:eastAsia="Times New Roman" w:hAnsi="Times New Roman"/>
          <w:rtl w:val="0"/>
        </w:rPr>
        <w:t xml:space="preserve">Module Code: </w:t>
      </w:r>
      <w:r w:rsidDel="00000000" w:rsidR="00000000" w:rsidRPr="00000000">
        <w:rPr>
          <w:rFonts w:ascii="Times New Roman" w:cs="Times New Roman" w:eastAsia="Times New Roman" w:hAnsi="Times New Roman"/>
          <w:highlight w:val="yellow"/>
          <w:rtl w:val="0"/>
        </w:rPr>
        <w:t xml:space="preserve">LCLM 4001</w:t>
      </w:r>
    </w:p>
    <w:p w:rsidR="00000000" w:rsidDel="00000000" w:rsidP="00000000" w:rsidRDefault="00000000" w:rsidRPr="00000000" w14:paraId="00000009">
      <w:pPr>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Pr>
        <mc:AlternateContent>
          <mc:Choice Requires="wpg">
            <w:drawing>
              <wp:inline distB="0" distT="0" distL="0" distR="0">
                <wp:extent cx="12700" cy="12700"/>
                <wp:effectExtent b="0" l="0" r="0" t="0"/>
                <wp:docPr id="1" name=""/>
                <a:graphic>
                  <a:graphicData uri="http://schemas.microsoft.com/office/word/2010/wordprocessingShape">
                    <wps:wsp>
                      <wps:cNvSpPr/>
                      <wps:cNvPr id="2" name="Shape 2"/>
                      <wps:spPr>
                        <a:xfrm>
                          <a:off x="0" y="3779365"/>
                          <a:ext cx="10692000" cy="1270"/>
                        </a:xfrm>
                        <a:prstGeom prst="rect">
                          <a:avLst/>
                        </a:prstGeom>
                        <a:noFill/>
                        <a:ln cap="flat" cmpd="sng" w="9525">
                          <a:solidFill>
                            <a:srgbClr val="A0A0A0"/>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inline>
            </w:drawing>
          </mc:Choice>
          <mc:Fallback>
            <w:drawing>
              <wp:inline distB="0" distT="0" distL="0" distR="0">
                <wp:extent cx="12700" cy="12700"/>
                <wp:effectExtent b="0" l="0" r="0" t="0"/>
                <wp:docPr id="1" name="image2.png"/>
                <a:graphic>
                  <a:graphicData uri="http://schemas.openxmlformats.org/drawingml/2006/picture">
                    <pic:pic>
                      <pic:nvPicPr>
                        <pic:cNvPr id="0" name="image2.png"/>
                        <pic:cNvPicPr preferRelativeResize="0"/>
                      </pic:nvPicPr>
                      <pic:blipFill>
                        <a:blip r:embed="rId7"/>
                        <a:srcRect/>
                        <a:stretch>
                          <a:fillRect/>
                        </a:stretch>
                      </pic:blipFill>
                      <pic:spPr>
                        <a:xfrm>
                          <a:off x="0" y="0"/>
                          <a:ext cx="12700" cy="127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0A">
      <w:pPr>
        <w:spacing w:after="280" w:before="280" w:line="240" w:lineRule="auto"/>
        <w:rPr>
          <w:rFonts w:ascii="Times New Roman" w:cs="Times New Roman" w:eastAsia="Times New Roman" w:hAnsi="Times New Roman"/>
          <w:highlight w:val="yellow"/>
        </w:rPr>
      </w:pPr>
      <w:r w:rsidDel="00000000" w:rsidR="00000000" w:rsidRPr="00000000">
        <w:rPr>
          <w:rFonts w:ascii="Times New Roman" w:cs="Times New Roman" w:eastAsia="Times New Roman" w:hAnsi="Times New Roman"/>
          <w:rtl w:val="0"/>
        </w:rPr>
        <w:t xml:space="preserve">Assignment Title:</w:t>
      </w:r>
      <w:r w:rsidDel="00000000" w:rsidR="00000000" w:rsidRPr="00000000">
        <w:rPr>
          <w:rFonts w:ascii="Times New Roman" w:cs="Times New Roman" w:eastAsia="Times New Roman" w:hAnsi="Times New Roman"/>
          <w:highlight w:val="yellow"/>
          <w:rtl w:val="0"/>
        </w:rPr>
        <w:t xml:space="preserve"> Task 3 – Reflective Report</w:t>
      </w:r>
    </w:p>
    <w:p w:rsidR="00000000" w:rsidDel="00000000" w:rsidP="00000000" w:rsidRDefault="00000000" w:rsidRPr="00000000" w14:paraId="0000000B">
      <w:pPr>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Pr>
        <mc:AlternateContent>
          <mc:Choice Requires="wpg">
            <w:drawing>
              <wp:inline distB="0" distT="0" distL="0" distR="0">
                <wp:extent cx="12700" cy="12700"/>
                <wp:effectExtent b="0" l="0" r="0" t="0"/>
                <wp:docPr id="4" name=""/>
                <a:graphic>
                  <a:graphicData uri="http://schemas.microsoft.com/office/word/2010/wordprocessingShape">
                    <wps:wsp>
                      <wps:cNvSpPr/>
                      <wps:cNvPr id="5" name="Shape 5"/>
                      <wps:spPr>
                        <a:xfrm>
                          <a:off x="0" y="3779365"/>
                          <a:ext cx="10692000" cy="1270"/>
                        </a:xfrm>
                        <a:prstGeom prst="rect">
                          <a:avLst/>
                        </a:prstGeom>
                        <a:noFill/>
                        <a:ln cap="flat" cmpd="sng" w="9525">
                          <a:solidFill>
                            <a:srgbClr val="A0A0A0"/>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inline>
            </w:drawing>
          </mc:Choice>
          <mc:Fallback>
            <w:drawing>
              <wp:inline distB="0" distT="0" distL="0" distR="0">
                <wp:extent cx="12700" cy="12700"/>
                <wp:effectExtent b="0" l="0" r="0" t="0"/>
                <wp:docPr id="4" name="image5.png"/>
                <a:graphic>
                  <a:graphicData uri="http://schemas.openxmlformats.org/drawingml/2006/picture">
                    <pic:pic>
                      <pic:nvPicPr>
                        <pic:cNvPr id="0" name="image5.png"/>
                        <pic:cNvPicPr preferRelativeResize="0"/>
                      </pic:nvPicPr>
                      <pic:blipFill>
                        <a:blip r:embed="rId7"/>
                        <a:srcRect/>
                        <a:stretch>
                          <a:fillRect/>
                        </a:stretch>
                      </pic:blipFill>
                      <pic:spPr>
                        <a:xfrm>
                          <a:off x="0" y="0"/>
                          <a:ext cx="12700" cy="127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0C">
      <w:pPr>
        <w:spacing w:after="280" w:before="280" w:line="240" w:lineRule="auto"/>
        <w:rPr>
          <w:rFonts w:ascii="Times New Roman" w:cs="Times New Roman" w:eastAsia="Times New Roman" w:hAnsi="Times New Roman"/>
          <w:highlight w:val="yellow"/>
        </w:rPr>
      </w:pPr>
      <w:r w:rsidDel="00000000" w:rsidR="00000000" w:rsidRPr="00000000">
        <w:rPr>
          <w:rFonts w:ascii="Times New Roman" w:cs="Times New Roman" w:eastAsia="Times New Roman" w:hAnsi="Times New Roman"/>
          <w:rtl w:val="0"/>
        </w:rPr>
        <w:t xml:space="preserve">Student Name:</w:t>
      </w:r>
      <w:r w:rsidDel="00000000" w:rsidR="00000000" w:rsidRPr="00000000">
        <w:rPr>
          <w:rFonts w:ascii="Times New Roman" w:cs="Times New Roman" w:eastAsia="Times New Roman" w:hAnsi="Times New Roman"/>
          <w:highlight w:val="yellow"/>
          <w:rtl w:val="0"/>
        </w:rPr>
        <w:t xml:space="preserve"> Marian Cristian Stanila</w:t>
      </w:r>
    </w:p>
    <w:p w:rsidR="00000000" w:rsidDel="00000000" w:rsidP="00000000" w:rsidRDefault="00000000" w:rsidRPr="00000000" w14:paraId="0000000D">
      <w:pPr>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Pr>
        <mc:AlternateContent>
          <mc:Choice Requires="wpg">
            <w:drawing>
              <wp:inline distB="0" distT="0" distL="0" distR="0">
                <wp:extent cx="12700" cy="12700"/>
                <wp:effectExtent b="0" l="0" r="0" t="0"/>
                <wp:docPr id="3" name=""/>
                <a:graphic>
                  <a:graphicData uri="http://schemas.microsoft.com/office/word/2010/wordprocessingShape">
                    <wps:wsp>
                      <wps:cNvSpPr/>
                      <wps:cNvPr id="4" name="Shape 4"/>
                      <wps:spPr>
                        <a:xfrm>
                          <a:off x="0" y="3779365"/>
                          <a:ext cx="10692000" cy="1270"/>
                        </a:xfrm>
                        <a:prstGeom prst="rect">
                          <a:avLst/>
                        </a:prstGeom>
                        <a:noFill/>
                        <a:ln cap="flat" cmpd="sng" w="9525">
                          <a:solidFill>
                            <a:srgbClr val="A0A0A0"/>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inline>
            </w:drawing>
          </mc:Choice>
          <mc:Fallback>
            <w:drawing>
              <wp:inline distB="0" distT="0" distL="0" distR="0">
                <wp:extent cx="12700" cy="12700"/>
                <wp:effectExtent b="0" l="0" r="0" t="0"/>
                <wp:docPr id="3" name="image4.png"/>
                <a:graphic>
                  <a:graphicData uri="http://schemas.openxmlformats.org/drawingml/2006/picture">
                    <pic:pic>
                      <pic:nvPicPr>
                        <pic:cNvPr id="0" name="image4.png"/>
                        <pic:cNvPicPr preferRelativeResize="0"/>
                      </pic:nvPicPr>
                      <pic:blipFill>
                        <a:blip r:embed="rId7"/>
                        <a:srcRect/>
                        <a:stretch>
                          <a:fillRect/>
                        </a:stretch>
                      </pic:blipFill>
                      <pic:spPr>
                        <a:xfrm>
                          <a:off x="0" y="0"/>
                          <a:ext cx="12700" cy="127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0E">
      <w:pPr>
        <w:spacing w:after="280" w:before="280" w:line="240" w:lineRule="auto"/>
        <w:rPr>
          <w:highlight w:val="yellow"/>
        </w:rPr>
      </w:pPr>
      <w:r w:rsidDel="00000000" w:rsidR="00000000" w:rsidRPr="00000000">
        <w:rPr>
          <w:rFonts w:ascii="Times New Roman" w:cs="Times New Roman" w:eastAsia="Times New Roman" w:hAnsi="Times New Roman"/>
          <w:rtl w:val="0"/>
        </w:rPr>
        <w:t xml:space="preserve">Lecturer: </w:t>
      </w:r>
      <w:r w:rsidDel="00000000" w:rsidR="00000000" w:rsidRPr="00000000">
        <w:rPr>
          <w:rFonts w:ascii="Arial" w:cs="Arial" w:eastAsia="Arial" w:hAnsi="Arial"/>
          <w:color w:val="242130"/>
          <w:sz w:val="21"/>
          <w:szCs w:val="21"/>
          <w:highlight w:val="yellow"/>
          <w:rtl w:val="0"/>
        </w:rPr>
        <w:t xml:space="preserve"> Abdulla Sodiq</w:t>
      </w:r>
      <w:r w:rsidDel="00000000" w:rsidR="00000000" w:rsidRPr="00000000">
        <w:rPr>
          <w:rtl w:val="0"/>
        </w:rPr>
      </w:r>
    </w:p>
    <w:p w:rsidR="00000000" w:rsidDel="00000000" w:rsidP="00000000" w:rsidRDefault="00000000" w:rsidRPr="00000000" w14:paraId="0000000F">
      <w:pPr>
        <w:spacing w:after="280" w:before="280" w:line="240" w:lineRule="auto"/>
        <w:rPr>
          <w:rFonts w:ascii="Times New Roman" w:cs="Times New Roman" w:eastAsia="Times New Roman" w:hAnsi="Times New Roman"/>
          <w:b w:val="1"/>
          <w:sz w:val="46"/>
          <w:szCs w:val="46"/>
        </w:rPr>
      </w:pPr>
      <w:r w:rsidDel="00000000" w:rsidR="00000000" w:rsidRPr="00000000">
        <w:rPr>
          <w:rFonts w:ascii="Times New Roman" w:cs="Times New Roman" w:eastAsia="Times New Roman" w:hAnsi="Times New Roman"/>
          <w:b w:val="1"/>
          <w:sz w:val="46"/>
          <w:szCs w:val="46"/>
          <w:rtl w:val="0"/>
        </w:rPr>
        <w:t xml:space="preserve">Reflective Report on Academic Skills Module</w:t>
      </w:r>
    </w:p>
    <w:p w:rsidR="00000000" w:rsidDel="00000000" w:rsidP="00000000" w:rsidRDefault="00000000" w:rsidRPr="00000000" w14:paraId="00000010">
      <w:pPr>
        <w:shd w:fill="ffffff" w:val="clear"/>
        <w:spacing w:line="259" w:lineRule="auto"/>
        <w:jc w:val="both"/>
        <w:rPr>
          <w:b w:val="1"/>
          <w:sz w:val="36"/>
          <w:szCs w:val="36"/>
        </w:rPr>
      </w:pPr>
      <w:r w:rsidDel="00000000" w:rsidR="00000000" w:rsidRPr="00000000">
        <w:rPr>
          <w:b w:val="1"/>
          <w:sz w:val="36"/>
          <w:szCs w:val="36"/>
          <w:rtl w:val="0"/>
        </w:rPr>
        <w:t xml:space="preserve">Table of Contents</w:t>
      </w:r>
    </w:p>
    <w:sdt>
      <w:sdtPr>
        <w:id w:val="1643956110"/>
        <w:docPartObj>
          <w:docPartGallery w:val="Table of Contents"/>
          <w:docPartUnique w:val="1"/>
        </w:docPartObj>
      </w:sdtPr>
      <w:sdtContent>
        <w:p w:rsidR="00000000" w:rsidDel="00000000" w:rsidP="00000000" w:rsidRDefault="00000000" w:rsidRPr="00000000" w14:paraId="00000011">
          <w:pPr>
            <w:shd w:fill="ffffff" w:val="clear"/>
            <w:tabs>
              <w:tab w:val="right" w:leader="none" w:pos="9015"/>
            </w:tabs>
            <w:spacing w:after="100" w:line="259" w:lineRule="auto"/>
            <w:rPr>
              <w:rFonts w:ascii="Times New Roman" w:cs="Times New Roman" w:eastAsia="Times New Roman" w:hAnsi="Times New Roman"/>
              <w:highlight w:val="yellow"/>
            </w:rPr>
          </w:pPr>
          <w:r w:rsidDel="00000000" w:rsidR="00000000" w:rsidRPr="00000000">
            <w:fldChar w:fldCharType="begin"/>
            <w:instrText xml:space="preserve"> TOC \h \u \z \t "Heading 1,1,Heading 2,2,Heading 3,3,Heading 4,4,Heading 5,5,Heading 6,6,"</w:instrText>
            <w:fldChar w:fldCharType="separate"/>
          </w:r>
          <w:hyperlink r:id="rId8">
            <w:r w:rsidDel="00000000" w:rsidR="00000000" w:rsidRPr="00000000">
              <w:rPr>
                <w:sz w:val="28"/>
                <w:szCs w:val="28"/>
                <w:highlight w:val="yellow"/>
                <w:rtl w:val="0"/>
              </w:rPr>
              <w:t xml:space="preserve">1 </w:t>
            </w:r>
          </w:hyperlink>
          <w:r w:rsidDel="00000000" w:rsidR="00000000" w:rsidRPr="00000000">
            <w:rPr>
              <w:rFonts w:ascii="Times New Roman" w:cs="Times New Roman" w:eastAsia="Times New Roman" w:hAnsi="Times New Roman"/>
              <w:highlight w:val="yellow"/>
              <w:rtl w:val="0"/>
            </w:rPr>
            <w:t xml:space="preserve">Introduction</w:t>
          </w:r>
        </w:p>
        <w:p w:rsidR="00000000" w:rsidDel="00000000" w:rsidP="00000000" w:rsidRDefault="00000000" w:rsidRPr="00000000" w14:paraId="00000012">
          <w:pPr>
            <w:shd w:fill="ffffff" w:val="clear"/>
            <w:tabs>
              <w:tab w:val="right" w:leader="none" w:pos="9015"/>
            </w:tabs>
            <w:spacing w:after="100" w:line="259" w:lineRule="auto"/>
            <w:rPr>
              <w:sz w:val="32"/>
              <w:szCs w:val="32"/>
              <w:highlight w:val="yellow"/>
            </w:rPr>
          </w:pPr>
          <w:hyperlink r:id="rId9">
            <w:r w:rsidDel="00000000" w:rsidR="00000000" w:rsidRPr="00000000">
              <w:rPr>
                <w:sz w:val="28"/>
                <w:szCs w:val="28"/>
                <w:highlight w:val="yellow"/>
                <w:rtl w:val="0"/>
              </w:rPr>
              <w:t xml:space="preserve">2 </w:t>
            </w:r>
          </w:hyperlink>
          <w:r w:rsidDel="00000000" w:rsidR="00000000" w:rsidRPr="00000000">
            <w:rPr>
              <w:rFonts w:ascii="Times New Roman" w:cs="Times New Roman" w:eastAsia="Times New Roman" w:hAnsi="Times New Roman"/>
              <w:highlight w:val="yellow"/>
              <w:rtl w:val="0"/>
            </w:rPr>
            <w:t xml:space="preserve">Description of Experiences</w:t>
          </w:r>
          <w:hyperlink r:id="rId10">
            <w:r w:rsidDel="00000000" w:rsidR="00000000" w:rsidRPr="00000000">
              <w:rPr>
                <w:sz w:val="28"/>
                <w:szCs w:val="28"/>
                <w:highlight w:val="yellow"/>
                <w:rtl w:val="0"/>
              </w:rPr>
              <w:tab/>
            </w:r>
          </w:hyperlink>
          <w:r w:rsidDel="00000000" w:rsidR="00000000" w:rsidRPr="00000000">
            <w:rPr>
              <w:sz w:val="32"/>
              <w:szCs w:val="32"/>
              <w:highlight w:val="yellow"/>
              <w:rtl w:val="0"/>
            </w:rPr>
            <w:t xml:space="preserve">1</w:t>
          </w:r>
        </w:p>
        <w:p w:rsidR="00000000" w:rsidDel="00000000" w:rsidP="00000000" w:rsidRDefault="00000000" w:rsidRPr="00000000" w14:paraId="00000013">
          <w:pPr>
            <w:shd w:fill="ffffff" w:val="clear"/>
            <w:tabs>
              <w:tab w:val="right" w:leader="none" w:pos="9015"/>
            </w:tabs>
            <w:spacing w:after="100" w:line="259" w:lineRule="auto"/>
            <w:rPr>
              <w:sz w:val="32"/>
              <w:szCs w:val="32"/>
              <w:highlight w:val="yellow"/>
            </w:rPr>
          </w:pPr>
          <w:hyperlink r:id="rId11">
            <w:r w:rsidDel="00000000" w:rsidR="00000000" w:rsidRPr="00000000">
              <w:rPr>
                <w:sz w:val="28"/>
                <w:szCs w:val="28"/>
                <w:highlight w:val="yellow"/>
                <w:rtl w:val="0"/>
              </w:rPr>
              <w:t xml:space="preserve">3 </w:t>
            </w:r>
          </w:hyperlink>
          <w:r w:rsidDel="00000000" w:rsidR="00000000" w:rsidRPr="00000000">
            <w:rPr>
              <w:rFonts w:ascii="Times New Roman" w:cs="Times New Roman" w:eastAsia="Times New Roman" w:hAnsi="Times New Roman"/>
              <w:highlight w:val="yellow"/>
              <w:rtl w:val="0"/>
            </w:rPr>
            <w:t xml:space="preserve">Analysis and Personal Reflection</w:t>
          </w:r>
          <w:hyperlink r:id="rId12">
            <w:r w:rsidDel="00000000" w:rsidR="00000000" w:rsidRPr="00000000">
              <w:rPr>
                <w:sz w:val="28"/>
                <w:szCs w:val="28"/>
                <w:highlight w:val="yellow"/>
                <w:rtl w:val="0"/>
              </w:rPr>
              <w:tab/>
              <w:t xml:space="preserve">4</w:t>
            </w:r>
          </w:hyperlink>
          <w:r w:rsidDel="00000000" w:rsidR="00000000" w:rsidRPr="00000000">
            <w:rPr>
              <w:rtl w:val="0"/>
            </w:rPr>
          </w:r>
        </w:p>
        <w:p w:rsidR="00000000" w:rsidDel="00000000" w:rsidP="00000000" w:rsidRDefault="00000000" w:rsidRPr="00000000" w14:paraId="00000014">
          <w:pPr>
            <w:shd w:fill="ffffff" w:val="clear"/>
            <w:tabs>
              <w:tab w:val="right" w:leader="none" w:pos="9015"/>
            </w:tabs>
            <w:spacing w:after="100" w:line="259" w:lineRule="auto"/>
            <w:rPr>
              <w:sz w:val="32"/>
              <w:szCs w:val="32"/>
              <w:highlight w:val="yellow"/>
            </w:rPr>
          </w:pPr>
          <w:hyperlink r:id="rId13">
            <w:r w:rsidDel="00000000" w:rsidR="00000000" w:rsidRPr="00000000">
              <w:rPr>
                <w:sz w:val="28"/>
                <w:szCs w:val="28"/>
                <w:highlight w:val="yellow"/>
                <w:rtl w:val="0"/>
              </w:rPr>
              <w:t xml:space="preserve">4</w:t>
            </w:r>
          </w:hyperlink>
          <w:r w:rsidDel="00000000" w:rsidR="00000000" w:rsidRPr="00000000">
            <w:rPr>
              <w:rFonts w:ascii="Times New Roman" w:cs="Times New Roman" w:eastAsia="Times New Roman" w:hAnsi="Times New Roman"/>
              <w:highlight w:val="yellow"/>
              <w:rtl w:val="0"/>
            </w:rPr>
            <w:t xml:space="preserve"> Conclusion</w:t>
          </w:r>
          <w:hyperlink r:id="rId14">
            <w:r w:rsidDel="00000000" w:rsidR="00000000" w:rsidRPr="00000000">
              <w:rPr>
                <w:sz w:val="28"/>
                <w:szCs w:val="28"/>
                <w:highlight w:val="yellow"/>
                <w:rtl w:val="0"/>
              </w:rPr>
              <w:tab/>
            </w:r>
          </w:hyperlink>
          <w:r w:rsidDel="00000000" w:rsidR="00000000" w:rsidRPr="00000000">
            <w:rPr>
              <w:sz w:val="32"/>
              <w:szCs w:val="32"/>
              <w:highlight w:val="yellow"/>
              <w:rtl w:val="0"/>
            </w:rPr>
            <w:t xml:space="preserve">1</w:t>
          </w:r>
        </w:p>
        <w:p w:rsidR="00000000" w:rsidDel="00000000" w:rsidP="00000000" w:rsidRDefault="00000000" w:rsidRPr="00000000" w14:paraId="00000015">
          <w:pPr>
            <w:shd w:fill="ffffff" w:val="clear"/>
            <w:tabs>
              <w:tab w:val="right" w:leader="none" w:pos="9015"/>
            </w:tabs>
            <w:spacing w:after="100" w:line="259" w:lineRule="auto"/>
            <w:rPr>
              <w:sz w:val="32"/>
              <w:szCs w:val="32"/>
            </w:rPr>
          </w:pPr>
          <w:hyperlink r:id="rId15">
            <w:r w:rsidDel="00000000" w:rsidR="00000000" w:rsidRPr="00000000">
              <w:rPr>
                <w:sz w:val="28"/>
                <w:szCs w:val="28"/>
                <w:highlight w:val="yellow"/>
                <w:rtl w:val="0"/>
              </w:rPr>
              <w:t xml:space="preserve">5 </w:t>
            </w:r>
          </w:hyperlink>
          <w:r w:rsidDel="00000000" w:rsidR="00000000" w:rsidRPr="00000000">
            <w:rPr>
              <w:rFonts w:ascii="Times New Roman" w:cs="Times New Roman" w:eastAsia="Times New Roman" w:hAnsi="Times New Roman"/>
              <w:b w:val="1"/>
              <w:sz w:val="27"/>
              <w:szCs w:val="27"/>
              <w:highlight w:val="yellow"/>
              <w:rtl w:val="0"/>
            </w:rPr>
            <w:t xml:space="preserve">Reference List</w:t>
          </w:r>
          <w:hyperlink r:id="rId16">
            <w:r w:rsidDel="00000000" w:rsidR="00000000" w:rsidRPr="00000000">
              <w:rPr>
                <w:sz w:val="28"/>
                <w:szCs w:val="28"/>
                <w:rtl w:val="0"/>
              </w:rPr>
              <w:tab/>
            </w:r>
          </w:hyperlink>
          <w:r w:rsidDel="00000000" w:rsidR="00000000" w:rsidRPr="00000000">
            <w:rPr>
              <w:rtl w:val="0"/>
            </w:rPr>
          </w:r>
        </w:p>
        <w:p w:rsidR="00000000" w:rsidDel="00000000" w:rsidP="00000000" w:rsidRDefault="00000000" w:rsidRPr="00000000" w14:paraId="00000016">
          <w:pPr>
            <w:shd w:fill="ffffff" w:val="clear"/>
            <w:tabs>
              <w:tab w:val="right" w:leader="none" w:pos="9015"/>
            </w:tabs>
            <w:spacing w:after="100" w:line="259" w:lineRule="auto"/>
            <w:rPr>
              <w:color w:val="0563c1"/>
              <w:sz w:val="32"/>
              <w:szCs w:val="32"/>
              <w:u w:val="single"/>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spacing w:line="259"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highlight w:val="yellow"/>
          <w:u w:val="none"/>
          <w:vertAlign w:val="baseline"/>
        </w:rPr>
      </w:pPr>
      <w:r w:rsidDel="00000000" w:rsidR="00000000" w:rsidRPr="00000000">
        <w:rPr>
          <w:rtl w:val="0"/>
        </w:rPr>
      </w:r>
    </w:p>
    <w:p w:rsidR="00000000" w:rsidDel="00000000" w:rsidP="00000000" w:rsidRDefault="00000000" w:rsidRPr="00000000" w14:paraId="0000001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40" w:lineRule="auto"/>
        <w:ind w:left="720" w:right="0" w:hanging="360"/>
        <w:jc w:val="left"/>
        <w:rPr>
          <w:highlight w:val="yellow"/>
        </w:rPr>
      </w:pPr>
      <w:r w:rsidDel="00000000" w:rsidR="00000000" w:rsidRPr="00000000">
        <w:rPr>
          <w:rFonts w:ascii="Times New Roman" w:cs="Times New Roman" w:eastAsia="Times New Roman" w:hAnsi="Times New Roman"/>
          <w:b w:val="0"/>
          <w:i w:val="0"/>
          <w:smallCaps w:val="0"/>
          <w:strike w:val="0"/>
          <w:color w:val="000000"/>
          <w:sz w:val="24"/>
          <w:szCs w:val="24"/>
          <w:highlight w:val="yellow"/>
          <w:u w:val="none"/>
          <w:vertAlign w:val="baseline"/>
          <w:rtl w:val="0"/>
        </w:rPr>
        <w:t xml:space="preserve">Introduction</w:t>
      </w:r>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report intends to reflect upon the learning experience of the Academic Skill module. Some activities considered on which the tasks consisted and some special occasions that were important in my academic and personal development. The report shall specify my strengths and drawbacks and how both Task 1 (Academic Skills Quiz) and Task 2 (Application of Academic Skills Exercise), supported by class discussions, have assisted in the development of my time management, note-taking, academic writing, and referencing skills (Cottrell, 2019). This reflective report, therefore, will indicate the way I evolved as a student and how these skills will aid in my future career.</w:t>
      </w:r>
    </w:p>
    <w:p w:rsidR="00000000" w:rsidDel="00000000" w:rsidP="00000000" w:rsidRDefault="00000000" w:rsidRPr="00000000" w14:paraId="0000001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40" w:lineRule="auto"/>
        <w:ind w:left="720" w:right="0" w:hanging="360"/>
        <w:jc w:val="left"/>
        <w:rPr>
          <w:highlight w:val="yellow"/>
        </w:rPr>
      </w:pPr>
      <w:r w:rsidDel="00000000" w:rsidR="00000000" w:rsidRPr="00000000">
        <w:rPr>
          <w:rFonts w:ascii="Times New Roman" w:cs="Times New Roman" w:eastAsia="Times New Roman" w:hAnsi="Times New Roman"/>
          <w:b w:val="0"/>
          <w:i w:val="0"/>
          <w:smallCaps w:val="0"/>
          <w:strike w:val="0"/>
          <w:color w:val="000000"/>
          <w:sz w:val="24"/>
          <w:szCs w:val="24"/>
          <w:highlight w:val="yellow"/>
          <w:u w:val="none"/>
          <w:vertAlign w:val="baseline"/>
          <w:rtl w:val="0"/>
        </w:rPr>
        <w:t xml:space="preserve">Description of Experiences</w:t>
      </w:r>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During the module, I had to grapple with several activities that challenged me to develop my academic skills. Task 1 involved an academic quiz, conducted in class, to test my knowledge of time management, note-taking, judging information, and referencing. Upon completing the quiz, I discovered that, while I consider myself strong in time management, areas I must improve on include paraphrasing and providing accurate referencing (Bailey, 2018).</w:t>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 far as task number two is concerned, I went through some practical skills training in which I had to mention key points from a short text, paraphrase certain sentences, and write a paragraph in keeping with academic conventions. It proved to be an excellent opportunity because it compelled me to actively process the information and consciously put it into my own words, meanwhile being cautious to uphold academic integrity (Pears &amp; Shields, 2019).</w:t>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Class discussions and group activities provided some essential learning opportunities. Where, in a group activity of source evaluation, I learned how to distinguish between reliable and unreliable information (Williams &amp; Carroll, 2009). Other practice activities on referencing further cemented my understanding of the Harvard style. Such experiences gave me increased confidence in academic writing and research skills.</w:t>
      </w:r>
    </w:p>
    <w:p w:rsidR="00000000" w:rsidDel="00000000" w:rsidP="00000000" w:rsidRDefault="00000000" w:rsidRPr="00000000" w14:paraId="0000002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40" w:lineRule="auto"/>
        <w:ind w:left="720" w:right="0" w:hanging="360"/>
        <w:jc w:val="left"/>
        <w:rPr>
          <w:highlight w:val="yellow"/>
        </w:rPr>
      </w:pPr>
      <w:r w:rsidDel="00000000" w:rsidR="00000000" w:rsidRPr="00000000">
        <w:rPr>
          <w:rFonts w:ascii="Times New Roman" w:cs="Times New Roman" w:eastAsia="Times New Roman" w:hAnsi="Times New Roman"/>
          <w:b w:val="0"/>
          <w:i w:val="0"/>
          <w:smallCaps w:val="0"/>
          <w:strike w:val="0"/>
          <w:color w:val="000000"/>
          <w:sz w:val="24"/>
          <w:szCs w:val="24"/>
          <w:highlight w:val="yellow"/>
          <w:u w:val="none"/>
          <w:vertAlign w:val="baseline"/>
          <w:rtl w:val="0"/>
        </w:rPr>
        <w:t xml:space="preserve">Analysis and Personal Reflection</w:t>
      </w:r>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highlight w:val="yellow"/>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3.1 </w:t>
      </w:r>
      <w:r w:rsidDel="00000000" w:rsidR="00000000" w:rsidRPr="00000000">
        <w:rPr>
          <w:rFonts w:ascii="Times New Roman" w:cs="Times New Roman" w:eastAsia="Times New Roman" w:hAnsi="Times New Roman"/>
          <w:b w:val="0"/>
          <w:i w:val="0"/>
          <w:smallCaps w:val="0"/>
          <w:strike w:val="0"/>
          <w:color w:val="000000"/>
          <w:sz w:val="24"/>
          <w:szCs w:val="24"/>
          <w:highlight w:val="yellow"/>
          <w:u w:val="none"/>
          <w:vertAlign w:val="baseline"/>
          <w:rtl w:val="0"/>
        </w:rPr>
        <w:t xml:space="preserve">What Went Well</w:t>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My time management stands out as one of the strengths throughout the module. In the academic quiz, being able to answer the majority of the questions within the limited time showed that I remained well-prepared. Similarly, for Task 2, I efficiently sorted through my notes and came up with a coherent and well-structured paragraph. This skill would certainly have an added advantage in assignment and examination submissions for future modules (Cottrell, 2019).</w:t>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also seem to be strong in assessing information. While evaluating texts during classroom activities, I was able to recognize the credible sources and understand their importance to certain topics. This was also well demonstrated in Task 2 when selecting essential points from a text to paraphrase and summarize efficiently (Williams &amp; Carroll, 2009).</w:t>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highlight w:val="yellow"/>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3.2 </w:t>
      </w:r>
      <w:r w:rsidDel="00000000" w:rsidR="00000000" w:rsidRPr="00000000">
        <w:rPr>
          <w:rFonts w:ascii="Times New Roman" w:cs="Times New Roman" w:eastAsia="Times New Roman" w:hAnsi="Times New Roman"/>
          <w:b w:val="0"/>
          <w:i w:val="0"/>
          <w:smallCaps w:val="0"/>
          <w:strike w:val="0"/>
          <w:color w:val="000000"/>
          <w:sz w:val="24"/>
          <w:szCs w:val="24"/>
          <w:highlight w:val="yellow"/>
          <w:u w:val="none"/>
          <w:vertAlign w:val="baseline"/>
          <w:rtl w:val="0"/>
        </w:rPr>
        <w:t xml:space="preserve">Areas for Improvement</w:t>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 the contrary, there were still certain things to be improved, albeit these strengths. For instance, referencing and citation was still an uphill task. I found it difficult, in Task 1, to put references into the correct format, and sometimes I left out some details (Pears &amp; Shields, 2019). While the classroom activities have, to some extent, imparted some knowledge, I still require ample practice to gain total accuracy and consistency.</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Secondly, the totality of paraphrasing skills requires another growth stage. While I did something to express the ideas in Task 2, at some instances, I was too close to the original wording. It indicated to me the need to practice expressing information in my own academic voice (Bailey, 2018).</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Thirdly, I need to work on note-taking strategies. Though I grasped the main points of the lectures, I often made notes that posed some reviewing problems later. It might be useful to get acquainted with more structured ones such as the Cornell Method for upcoming tasks (Cottrell, 2019).</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highlight w:val="yellow"/>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3.3</w:t>
      </w:r>
      <w:r w:rsidDel="00000000" w:rsidR="00000000" w:rsidRPr="00000000">
        <w:rPr>
          <w:rFonts w:ascii="Times New Roman" w:cs="Times New Roman" w:eastAsia="Times New Roman" w:hAnsi="Times New Roman"/>
          <w:b w:val="0"/>
          <w:i w:val="0"/>
          <w:smallCaps w:val="0"/>
          <w:strike w:val="0"/>
          <w:color w:val="000000"/>
          <w:sz w:val="24"/>
          <w:szCs w:val="24"/>
          <w:highlight w:val="yellow"/>
          <w:u w:val="none"/>
          <w:vertAlign w:val="baseline"/>
          <w:rtl w:val="0"/>
        </w:rPr>
        <w:t xml:space="preserve"> Lessons Learned</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came to realize that this module connects different academic skills. For example, managing one’s time well can allow for a better plan in note-taking and referencing. Learning about academic integrity and academic misconduct enhanced my understanding of how to paraphrase and reference, thus using methods that ensure the originality of my work (Neville, 2010).</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in-class activities and quizzes underlined the active-learning approach. I realized that reading or listening alone does nothing to truly engender learning processes; through engaging practicum activities, my comprehension would significantly rise (Moon, 2004).</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Another takeaway was to apply critical thinking in assessing information. Classroom discussions about assessing sources taught me to question the significance of reliability, bias, and validity of academic materials. This is going to be crucial in the assembly of future research-based assignments (Williams &amp; Carroll, 2009).</w:t>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highlight w:val="yellow"/>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3.4</w:t>
      </w:r>
      <w:r w:rsidDel="00000000" w:rsidR="00000000" w:rsidRPr="00000000">
        <w:rPr>
          <w:rFonts w:ascii="Times New Roman" w:cs="Times New Roman" w:eastAsia="Times New Roman" w:hAnsi="Times New Roman"/>
          <w:b w:val="0"/>
          <w:i w:val="0"/>
          <w:smallCaps w:val="0"/>
          <w:strike w:val="0"/>
          <w:color w:val="000000"/>
          <w:sz w:val="24"/>
          <w:szCs w:val="24"/>
          <w:highlight w:val="yellow"/>
          <w:u w:val="none"/>
          <w:vertAlign w:val="baseline"/>
          <w:rtl w:val="0"/>
        </w:rPr>
        <w:t xml:space="preserve"> Personal Growth and Development</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module has greatly impacted my development as a student. I become confident now, believing that I can handle assignments on my own. The feedback from instructors and fellow classmates reflected back on my learning style and how to improve.</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addition, I developed a growth mindset, realizing that referencing and paraphrasing are skills that become better with regular practice. I now use online tools and university resources such as referencing guides and workshops in the pursuit of refining my skill set (Neville, 2010).</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Generally speaking, I grew in discipline to manage my academic load appropriately, became proficient in academic-style writing, and developed an awareness of the ethical requirements for academic research.</w:t>
      </w:r>
    </w:p>
    <w:p w:rsidR="00000000" w:rsidDel="00000000" w:rsidP="00000000" w:rsidRDefault="00000000" w:rsidRPr="00000000" w14:paraId="0000004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240" w:lineRule="auto"/>
        <w:ind w:left="720" w:right="0" w:hanging="360"/>
        <w:jc w:val="left"/>
        <w:rPr>
          <w:highlight w:val="yellow"/>
        </w:rPr>
      </w:pPr>
      <w:r w:rsidDel="00000000" w:rsidR="00000000" w:rsidRPr="00000000">
        <w:rPr>
          <w:rFonts w:ascii="Times New Roman" w:cs="Times New Roman" w:eastAsia="Times New Roman" w:hAnsi="Times New Roman"/>
          <w:b w:val="0"/>
          <w:i w:val="0"/>
          <w:smallCaps w:val="0"/>
          <w:strike w:val="0"/>
          <w:color w:val="000000"/>
          <w:sz w:val="24"/>
          <w:szCs w:val="24"/>
          <w:highlight w:val="yellow"/>
          <w:u w:val="none"/>
          <w:vertAlign w:val="baseline"/>
          <w:rtl w:val="0"/>
        </w:rPr>
        <w:t xml:space="preserve">Conclusion</w:t>
      </w:r>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sum up, the Academic Skills course has been a truly revelatory period impacting extensively on my approach to learning and academic work. The process of completing both Task 1 and Task 2 along with class activities and discussions has strengthened the toolkit I carry for approaching a variety of skills needed to make it in higher education (Moon, 2004).</w:t>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course assisted me in discovering and sharpening various skills I already had working with time and information evaluation being there, and gave me the realization that I still lacked in skills such as paraphrasing, referencing, and organized note-making. Having identified these areas, I am much more aware of exactly what skills need to be intensified through the actual practice and study of additional academic materials.</w:t>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More importantly, I have recognized that academic integrity holds great value and that academic misconduct can be avoided through the use of proper referencing techniques and methods of paraphrasing (Pears &amp; Shields, 2019). Not only does this enhance the quality of my work, but it also safeguards integrity within academic writing.</w:t>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Overall, the module has had a positive impact on my confidence, discipline, and thinking skills. I now feel a little more confident to face more abstract assignments, embark on reliable research, and write with rigorous academic style. The skills and consciousness I have acquired throughout this module shall keep nurturing my growth and academic success all along with this program and thereafter.</w:t>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C">
      <w:pPr>
        <w:spacing w:after="280" w:before="280" w:line="240" w:lineRule="auto"/>
        <w:rPr>
          <w:rFonts w:ascii="Times New Roman" w:cs="Times New Roman" w:eastAsia="Times New Roman" w:hAnsi="Times New Roman"/>
          <w:b w:val="1"/>
          <w:sz w:val="27"/>
          <w:szCs w:val="27"/>
          <w:highlight w:val="yellow"/>
        </w:rPr>
      </w:pPr>
      <w:r w:rsidDel="00000000" w:rsidR="00000000" w:rsidRPr="00000000">
        <w:rPr>
          <w:rFonts w:ascii="Times New Roman" w:cs="Times New Roman" w:eastAsia="Times New Roman" w:hAnsi="Times New Roman"/>
          <w:b w:val="1"/>
          <w:sz w:val="27"/>
          <w:szCs w:val="27"/>
          <w:highlight w:val="yellow"/>
          <w:rtl w:val="0"/>
        </w:rPr>
        <w:t xml:space="preserve">Reference List</w:t>
      </w:r>
    </w:p>
    <w:p w:rsidR="00000000" w:rsidDel="00000000" w:rsidP="00000000" w:rsidRDefault="00000000" w:rsidRPr="00000000" w14:paraId="0000004D">
      <w:pPr>
        <w:numPr>
          <w:ilvl w:val="0"/>
          <w:numId w:val="5"/>
        </w:numPr>
        <w:spacing w:after="0" w:before="280" w:line="240" w:lineRule="auto"/>
        <w:ind w:left="720" w:hanging="360"/>
        <w:rPr>
          <w:rFonts w:ascii="Times New Roman" w:cs="Times New Roman" w:eastAsia="Times New Roman" w:hAnsi="Times New Roman"/>
          <w:highlight w:val="yellow"/>
        </w:rPr>
      </w:pPr>
      <w:r w:rsidDel="00000000" w:rsidR="00000000" w:rsidRPr="00000000">
        <w:rPr>
          <w:rFonts w:ascii="Times New Roman" w:cs="Times New Roman" w:eastAsia="Times New Roman" w:hAnsi="Times New Roman"/>
          <w:highlight w:val="yellow"/>
          <w:rtl w:val="0"/>
        </w:rPr>
        <w:t xml:space="preserve">Bailey, S. (2018) Academic Writing: A Handbook for International Students. 5th edn. London: Routledge.</w:t>
      </w:r>
    </w:p>
    <w:p w:rsidR="00000000" w:rsidDel="00000000" w:rsidP="00000000" w:rsidRDefault="00000000" w:rsidRPr="00000000" w14:paraId="0000004E">
      <w:pPr>
        <w:numPr>
          <w:ilvl w:val="0"/>
          <w:numId w:val="5"/>
        </w:numPr>
        <w:spacing w:after="0" w:before="0" w:line="240" w:lineRule="auto"/>
        <w:ind w:left="720" w:hanging="360"/>
        <w:rPr>
          <w:rFonts w:ascii="Times New Roman" w:cs="Times New Roman" w:eastAsia="Times New Roman" w:hAnsi="Times New Roman"/>
          <w:highlight w:val="yellow"/>
        </w:rPr>
      </w:pPr>
      <w:r w:rsidDel="00000000" w:rsidR="00000000" w:rsidRPr="00000000">
        <w:rPr>
          <w:rFonts w:ascii="Times New Roman" w:cs="Times New Roman" w:eastAsia="Times New Roman" w:hAnsi="Times New Roman"/>
          <w:highlight w:val="yellow"/>
          <w:rtl w:val="0"/>
        </w:rPr>
        <w:t xml:space="preserve">Cottrell, S. (2019) The Study Skills Handbook. 5th edn. London: Red Globe Press.</w:t>
      </w:r>
    </w:p>
    <w:p w:rsidR="00000000" w:rsidDel="00000000" w:rsidP="00000000" w:rsidRDefault="00000000" w:rsidRPr="00000000" w14:paraId="0000004F">
      <w:pPr>
        <w:numPr>
          <w:ilvl w:val="0"/>
          <w:numId w:val="5"/>
        </w:numPr>
        <w:spacing w:after="0" w:before="0" w:line="240" w:lineRule="auto"/>
        <w:ind w:left="720" w:hanging="360"/>
        <w:rPr>
          <w:rFonts w:ascii="Times New Roman" w:cs="Times New Roman" w:eastAsia="Times New Roman" w:hAnsi="Times New Roman"/>
          <w:highlight w:val="yellow"/>
        </w:rPr>
      </w:pPr>
      <w:r w:rsidDel="00000000" w:rsidR="00000000" w:rsidRPr="00000000">
        <w:rPr>
          <w:rFonts w:ascii="Times New Roman" w:cs="Times New Roman" w:eastAsia="Times New Roman" w:hAnsi="Times New Roman"/>
          <w:highlight w:val="yellow"/>
          <w:rtl w:val="0"/>
        </w:rPr>
        <w:t xml:space="preserve">Moon, J.A. (2004) A Handbook of Reflective and Experiential Learning: Theory and Practice. London: RoutledgeFalmer.</w:t>
      </w:r>
    </w:p>
    <w:p w:rsidR="00000000" w:rsidDel="00000000" w:rsidP="00000000" w:rsidRDefault="00000000" w:rsidRPr="00000000" w14:paraId="00000050">
      <w:pPr>
        <w:numPr>
          <w:ilvl w:val="0"/>
          <w:numId w:val="5"/>
        </w:numPr>
        <w:spacing w:after="0" w:before="0" w:line="240" w:lineRule="auto"/>
        <w:ind w:left="720" w:hanging="360"/>
        <w:rPr>
          <w:rFonts w:ascii="Times New Roman" w:cs="Times New Roman" w:eastAsia="Times New Roman" w:hAnsi="Times New Roman"/>
          <w:highlight w:val="yellow"/>
        </w:rPr>
      </w:pPr>
      <w:r w:rsidDel="00000000" w:rsidR="00000000" w:rsidRPr="00000000">
        <w:rPr>
          <w:rFonts w:ascii="Times New Roman" w:cs="Times New Roman" w:eastAsia="Times New Roman" w:hAnsi="Times New Roman"/>
          <w:highlight w:val="yellow"/>
          <w:rtl w:val="0"/>
        </w:rPr>
        <w:t xml:space="preserve">Neville, C. (2010) The Complete Guide to Referencing and Avoiding Plagiarism. 2nd edn. Maidenhead: Open University Press.</w:t>
      </w:r>
    </w:p>
    <w:p w:rsidR="00000000" w:rsidDel="00000000" w:rsidP="00000000" w:rsidRDefault="00000000" w:rsidRPr="00000000" w14:paraId="00000051">
      <w:pPr>
        <w:numPr>
          <w:ilvl w:val="0"/>
          <w:numId w:val="5"/>
        </w:numPr>
        <w:spacing w:after="0" w:before="0" w:line="240" w:lineRule="auto"/>
        <w:ind w:left="720" w:hanging="360"/>
        <w:rPr>
          <w:rFonts w:ascii="Times New Roman" w:cs="Times New Roman" w:eastAsia="Times New Roman" w:hAnsi="Times New Roman"/>
          <w:highlight w:val="yellow"/>
        </w:rPr>
      </w:pPr>
      <w:r w:rsidDel="00000000" w:rsidR="00000000" w:rsidRPr="00000000">
        <w:rPr>
          <w:rFonts w:ascii="Times New Roman" w:cs="Times New Roman" w:eastAsia="Times New Roman" w:hAnsi="Times New Roman"/>
          <w:highlight w:val="yellow"/>
          <w:rtl w:val="0"/>
        </w:rPr>
        <w:t xml:space="preserve">Pears, R. and Shields, G. (2019) Cite Them Right: The Essential Referencing Guide. 11th edn. London: Red Globe Press.</w:t>
      </w:r>
    </w:p>
    <w:p w:rsidR="00000000" w:rsidDel="00000000" w:rsidP="00000000" w:rsidRDefault="00000000" w:rsidRPr="00000000" w14:paraId="00000052">
      <w:pPr>
        <w:numPr>
          <w:ilvl w:val="0"/>
          <w:numId w:val="5"/>
        </w:numPr>
        <w:spacing w:after="280" w:before="0" w:line="240" w:lineRule="auto"/>
        <w:ind w:left="720" w:hanging="360"/>
        <w:rPr>
          <w:rFonts w:ascii="Times New Roman" w:cs="Times New Roman" w:eastAsia="Times New Roman" w:hAnsi="Times New Roman"/>
          <w:highlight w:val="yellow"/>
        </w:rPr>
      </w:pPr>
      <w:r w:rsidDel="00000000" w:rsidR="00000000" w:rsidRPr="00000000">
        <w:rPr>
          <w:rFonts w:ascii="Times New Roman" w:cs="Times New Roman" w:eastAsia="Times New Roman" w:hAnsi="Times New Roman"/>
          <w:highlight w:val="yellow"/>
          <w:rtl w:val="0"/>
        </w:rPr>
        <w:t xml:space="preserve">Williams, K. and Carroll, J. (2009) Referencing &amp; Understanding Plagiarism. Basingstoke: Palgrave Macmillan.</w:t>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Arial"/>
  <w:font w:name="Courier New"/>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2">
    <w:lvl w:ilvl="0">
      <w:start w:val="2"/>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3">
    <w:lvl w:ilvl="0">
      <w:start w:val="3"/>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4">
    <w:lvl w:ilvl="0">
      <w:start w:val="4"/>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5">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4"/>
        <w:szCs w:val="24"/>
        <w:lang w:val="en_GB"/>
      </w:rPr>
    </w:rPrDefault>
    <w:pPrDefault>
      <w:pPr>
        <w:spacing w:after="160" w:line="278.0000000000000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spacing w:after="80" w:before="360" w:lineRule="auto"/>
    </w:pPr>
    <w:rPr>
      <w:rFonts w:ascii="Calibri" w:cs="Calibri" w:eastAsia="Calibri" w:hAnsi="Calibri"/>
      <w:color w:val="2f5496"/>
      <w:sz w:val="40"/>
      <w:szCs w:val="40"/>
    </w:rPr>
  </w:style>
  <w:style w:type="paragraph" w:styleId="Heading2">
    <w:name w:val="heading 2"/>
    <w:basedOn w:val="Normal"/>
    <w:next w:val="Normal"/>
    <w:pPr>
      <w:keepNext w:val="1"/>
      <w:keepLines w:val="1"/>
      <w:spacing w:after="80" w:before="160" w:lineRule="auto"/>
    </w:pPr>
    <w:rPr>
      <w:rFonts w:ascii="Calibri" w:cs="Calibri" w:eastAsia="Calibri" w:hAnsi="Calibri"/>
      <w:color w:val="2f5496"/>
      <w:sz w:val="32"/>
      <w:szCs w:val="32"/>
    </w:rPr>
  </w:style>
  <w:style w:type="paragraph" w:styleId="Heading3">
    <w:name w:val="heading 3"/>
    <w:basedOn w:val="Normal"/>
    <w:next w:val="Normal"/>
    <w:pPr>
      <w:keepNext w:val="1"/>
      <w:keepLines w:val="1"/>
      <w:spacing w:after="80" w:before="160" w:lineRule="auto"/>
    </w:pPr>
    <w:rPr>
      <w:color w:val="2f5496"/>
      <w:sz w:val="28"/>
      <w:szCs w:val="28"/>
    </w:rPr>
  </w:style>
  <w:style w:type="paragraph" w:styleId="Heading4">
    <w:name w:val="heading 4"/>
    <w:basedOn w:val="Normal"/>
    <w:next w:val="Normal"/>
    <w:pPr>
      <w:keepNext w:val="1"/>
      <w:keepLines w:val="1"/>
      <w:spacing w:after="40" w:before="80" w:lineRule="auto"/>
    </w:pPr>
    <w:rPr>
      <w:i w:val="1"/>
      <w:color w:val="2f5496"/>
    </w:rPr>
  </w:style>
  <w:style w:type="paragraph" w:styleId="Heading5">
    <w:name w:val="heading 5"/>
    <w:basedOn w:val="Normal"/>
    <w:next w:val="Normal"/>
    <w:pPr>
      <w:keepNext w:val="1"/>
      <w:keepLines w:val="1"/>
      <w:spacing w:after="40" w:before="80" w:lineRule="auto"/>
    </w:pPr>
    <w:rPr>
      <w:color w:val="2f5496"/>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1" Type="http://schemas.openxmlformats.org/officeDocument/2006/relationships/hyperlink" Target="https://docs.google.com/document/d/12Rhfl7eVn6W3GzyCmDUmTHvt0c0qyu4G/edit#heading=h.4nrm3c4gwmyl" TargetMode="External"/><Relationship Id="rId10" Type="http://schemas.openxmlformats.org/officeDocument/2006/relationships/hyperlink" Target="https://docs.google.com/document/d/12Rhfl7eVn6W3GzyCmDUmTHvt0c0qyu4G/edit#heading=h.l9d5y93ypxn" TargetMode="External"/><Relationship Id="rId13" Type="http://schemas.openxmlformats.org/officeDocument/2006/relationships/hyperlink" Target="https://docs.google.com/document/d/12Rhfl7eVn6W3GzyCmDUmTHvt0c0qyu4G/edit#heading=h.l7tfwma28p6m" TargetMode="External"/><Relationship Id="rId12" Type="http://schemas.openxmlformats.org/officeDocument/2006/relationships/hyperlink" Target="https://docs.google.com/document/d/12Rhfl7eVn6W3GzyCmDUmTHvt0c0qyu4G/edit#heading=h.thu55y1m4k4h"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cs.google.com/document/d/12Rhfl7eVn6W3GzyCmDUmTHvt0c0qyu4G/edit#heading=h.l9d5y93ypxn" TargetMode="External"/><Relationship Id="rId15" Type="http://schemas.openxmlformats.org/officeDocument/2006/relationships/hyperlink" Target="https://docs.google.com/document/d/12Rhfl7eVn6W3GzyCmDUmTHvt0c0qyu4G/edit#heading=h.iafian2yl1fo" TargetMode="External"/><Relationship Id="rId14" Type="http://schemas.openxmlformats.org/officeDocument/2006/relationships/hyperlink" Target="https://docs.google.com/document/d/12Rhfl7eVn6W3GzyCmDUmTHvt0c0qyu4G/edit#heading=h.l7tfwma28p6m" TargetMode="External"/><Relationship Id="rId16" Type="http://schemas.openxmlformats.org/officeDocument/2006/relationships/hyperlink" Target="https://docs.google.com/document/d/12Rhfl7eVn6W3GzyCmDUmTHvt0c0qyu4G/edit#heading=h.iafian2yl1fo"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hyperlink" Target="https://docs.google.com/document/d/12Rhfl7eVn6W3GzyCmDUmTHvt0c0qyu4G/edit#heading=h.5jfkapghfosu"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