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AE5924" w14:textId="2D966CC3" w:rsidR="00263FD8" w:rsidRDefault="00263FD8" w:rsidP="00263FD8">
      <w:pPr>
        <w:jc w:val="both"/>
      </w:pPr>
      <w:r w:rsidRPr="00263FD8">
        <w:t>‘The Vision of Death.’</w:t>
      </w:r>
      <w:r w:rsidR="00FA0F0E">
        <w:t xml:space="preserve"> </w:t>
      </w:r>
      <w:r>
        <w:t xml:space="preserve">Chapter 11 of J. Huizinga, </w:t>
      </w:r>
      <w:r w:rsidRPr="00263FD8">
        <w:rPr>
          <w:i/>
        </w:rPr>
        <w:t xml:space="preserve">The Waning of the Middle Ages: a study of the forms of life, thought and art in France and Netherlands in the fourteenth and fifteenth centuries </w:t>
      </w:r>
      <w:r>
        <w:t>(London: Edward Arnold, 1924).</w:t>
      </w:r>
    </w:p>
    <w:p w14:paraId="0AE26425" w14:textId="2A28A74D" w:rsidR="00263FD8" w:rsidRDefault="00263FD8" w:rsidP="00047062"/>
    <w:p w14:paraId="2509AAA9" w14:textId="77777777" w:rsidR="00395E9A" w:rsidRDefault="00395E9A" w:rsidP="00395E9A">
      <w:pPr>
        <w:spacing w:line="360" w:lineRule="auto"/>
        <w:rPr>
          <w:sz w:val="24"/>
          <w:szCs w:val="24"/>
        </w:rPr>
      </w:pPr>
      <w:r w:rsidRPr="00942ABF">
        <w:rPr>
          <w:sz w:val="24"/>
          <w:szCs w:val="24"/>
        </w:rPr>
        <w:t xml:space="preserve">Johan Huizinga was Professor of General and Dutch History at Leiden University in the Netherlands from 1915 and wrote The Waning of the Middle Ages first in 1919, revising it in and allowing translation into English in 1924. </w:t>
      </w:r>
      <w:r>
        <w:rPr>
          <w:sz w:val="24"/>
          <w:szCs w:val="24"/>
        </w:rPr>
        <w:t xml:space="preserve">If his statement that </w:t>
      </w:r>
      <w:r w:rsidRPr="00942ABF">
        <w:rPr>
          <w:sz w:val="24"/>
          <w:szCs w:val="24"/>
        </w:rPr>
        <w:t>‘No other epoch has laid so much stress as the expiring Middle ages on the thought of death</w:t>
      </w:r>
      <w:r>
        <w:rPr>
          <w:sz w:val="24"/>
          <w:szCs w:val="24"/>
        </w:rPr>
        <w:t>’ is true, what does it tell us about the medieval mind?</w:t>
      </w:r>
      <w:r w:rsidRPr="005E03F8">
        <w:rPr>
          <w:rStyle w:val="FootnoteReference"/>
          <w:sz w:val="24"/>
          <w:szCs w:val="24"/>
        </w:rPr>
        <w:t xml:space="preserve"> </w:t>
      </w:r>
      <w:r w:rsidRPr="00942ABF">
        <w:rPr>
          <w:rStyle w:val="FootnoteReference"/>
          <w:sz w:val="24"/>
          <w:szCs w:val="24"/>
        </w:rPr>
        <w:footnoteReference w:id="1"/>
      </w:r>
      <w:r>
        <w:rPr>
          <w:sz w:val="24"/>
          <w:szCs w:val="24"/>
        </w:rPr>
        <w:t xml:space="preserve"> One must remember that the book examines only France and the Netherlands, omitting any mention of other parts of Europe and that Huizinga wrote one hundred years ago with a very different historiographical background to ours. It can hardly be the case that other areas of Europe felt and show</w:t>
      </w:r>
      <w:r w:rsidRPr="000B6F75">
        <w:rPr>
          <w:sz w:val="24"/>
          <w:szCs w:val="24"/>
        </w:rPr>
        <w:t xml:space="preserve">ed deeper emotion, but did Huizinga miss a </w:t>
      </w:r>
      <w:r>
        <w:rPr>
          <w:sz w:val="24"/>
          <w:szCs w:val="24"/>
        </w:rPr>
        <w:t xml:space="preserve">significant </w:t>
      </w:r>
      <w:r w:rsidRPr="000B6F75">
        <w:rPr>
          <w:sz w:val="24"/>
          <w:szCs w:val="24"/>
        </w:rPr>
        <w:t>part of the medieval emotional landscape?</w:t>
      </w:r>
    </w:p>
    <w:p w14:paraId="7EE4E351" w14:textId="77777777" w:rsidR="00395E9A" w:rsidRDefault="00395E9A" w:rsidP="00395E9A">
      <w:pPr>
        <w:spacing w:line="360" w:lineRule="auto"/>
        <w:rPr>
          <w:sz w:val="24"/>
          <w:szCs w:val="24"/>
        </w:rPr>
      </w:pPr>
    </w:p>
    <w:p w14:paraId="2DF19708" w14:textId="77777777" w:rsidR="00395E9A" w:rsidRDefault="00395E9A" w:rsidP="00395E9A">
      <w:pPr>
        <w:spacing w:line="360" w:lineRule="auto"/>
        <w:rPr>
          <w:sz w:val="24"/>
          <w:szCs w:val="24"/>
        </w:rPr>
      </w:pPr>
      <w:r w:rsidRPr="00942ABF">
        <w:rPr>
          <w:sz w:val="24"/>
          <w:szCs w:val="24"/>
        </w:rPr>
        <w:t>H</w:t>
      </w:r>
      <w:r>
        <w:rPr>
          <w:sz w:val="24"/>
          <w:szCs w:val="24"/>
        </w:rPr>
        <w:t>uizinga</w:t>
      </w:r>
      <w:r w:rsidRPr="00942ABF">
        <w:rPr>
          <w:sz w:val="24"/>
          <w:szCs w:val="24"/>
        </w:rPr>
        <w:t xml:space="preserve"> does not consider the meaning of th</w:t>
      </w:r>
      <w:r>
        <w:rPr>
          <w:sz w:val="24"/>
          <w:szCs w:val="24"/>
        </w:rPr>
        <w:t>e</w:t>
      </w:r>
      <w:r w:rsidRPr="00942ABF">
        <w:rPr>
          <w:sz w:val="24"/>
          <w:szCs w:val="24"/>
        </w:rPr>
        <w:t xml:space="preserve"> return</w:t>
      </w:r>
      <w:r>
        <w:rPr>
          <w:sz w:val="24"/>
          <w:szCs w:val="24"/>
        </w:rPr>
        <w:t xml:space="preserve"> of the dead in the Legend of the Three Living and the Three Dead</w:t>
      </w:r>
      <w:r w:rsidRPr="00942ABF">
        <w:rPr>
          <w:sz w:val="24"/>
          <w:szCs w:val="24"/>
        </w:rPr>
        <w:t>, see</w:t>
      </w:r>
      <w:r>
        <w:rPr>
          <w:sz w:val="24"/>
          <w:szCs w:val="24"/>
        </w:rPr>
        <w:t>ing</w:t>
      </w:r>
      <w:r w:rsidRPr="00942ABF">
        <w:rPr>
          <w:sz w:val="24"/>
          <w:szCs w:val="24"/>
        </w:rPr>
        <w:t xml:space="preserve"> no further than the grave</w:t>
      </w:r>
      <w:r>
        <w:rPr>
          <w:sz w:val="24"/>
          <w:szCs w:val="24"/>
        </w:rPr>
        <w:t xml:space="preserve">. The Legend and the Danse Macabre are both more nuanced than Huizinga shows, and this essay will show that the dead in </w:t>
      </w:r>
      <w:proofErr w:type="gramStart"/>
      <w:r>
        <w:rPr>
          <w:sz w:val="24"/>
          <w:szCs w:val="24"/>
        </w:rPr>
        <w:t>both of these</w:t>
      </w:r>
      <w:proofErr w:type="gramEnd"/>
      <w:r>
        <w:rPr>
          <w:sz w:val="24"/>
          <w:szCs w:val="24"/>
        </w:rPr>
        <w:t xml:space="preserve"> have a deeper function: that of helping the living to amend their lives and of guiding them to the next life, be it Heaven, Purgatory or Hell. In these texts all characters show some emotion: the dead sometimes look cheerful or even mischievous, the living </w:t>
      </w:r>
      <w:proofErr w:type="gramStart"/>
      <w:r>
        <w:rPr>
          <w:sz w:val="24"/>
          <w:szCs w:val="24"/>
        </w:rPr>
        <w:t>show</w:t>
      </w:r>
      <w:proofErr w:type="gramEnd"/>
      <w:r>
        <w:rPr>
          <w:sz w:val="24"/>
          <w:szCs w:val="24"/>
        </w:rPr>
        <w:t xml:space="preserve"> a range of emotions, from fear to relief in the case off the crippled old woman in the Danse Macabre des Femmes. In </w:t>
      </w:r>
      <w:r w:rsidRPr="00684E05">
        <w:rPr>
          <w:sz w:val="24"/>
          <w:szCs w:val="24"/>
        </w:rPr>
        <w:t>the</w:t>
      </w:r>
      <w:r>
        <w:rPr>
          <w:sz w:val="24"/>
          <w:szCs w:val="24"/>
        </w:rPr>
        <w:t xml:space="preserve"> same version the dead leading the child sometimes has a kindly word: ‘Draw near, sweet little Girl,</w:t>
      </w:r>
    </w:p>
    <w:p w14:paraId="283BEA72" w14:textId="77777777" w:rsidR="00395E9A" w:rsidRDefault="00395E9A" w:rsidP="00395E9A">
      <w:pPr>
        <w:spacing w:line="360" w:lineRule="auto"/>
        <w:rPr>
          <w:sz w:val="24"/>
          <w:szCs w:val="24"/>
        </w:rPr>
      </w:pPr>
      <w:r>
        <w:rPr>
          <w:sz w:val="24"/>
          <w:szCs w:val="24"/>
        </w:rPr>
        <w:tab/>
      </w:r>
      <w:r>
        <w:rPr>
          <w:sz w:val="24"/>
          <w:szCs w:val="24"/>
        </w:rPr>
        <w:tab/>
      </w:r>
      <w:r>
        <w:rPr>
          <w:sz w:val="24"/>
          <w:szCs w:val="24"/>
        </w:rPr>
        <w:tab/>
        <w:t>Give me your tiny arm.’</w:t>
      </w:r>
      <w:r>
        <w:rPr>
          <w:rStyle w:val="FootnoteReference"/>
          <w:sz w:val="24"/>
          <w:szCs w:val="24"/>
        </w:rPr>
        <w:footnoteReference w:id="2"/>
      </w:r>
    </w:p>
    <w:p w14:paraId="1D9DD768" w14:textId="77777777" w:rsidR="00395E9A" w:rsidRDefault="00395E9A" w:rsidP="00395E9A">
      <w:pPr>
        <w:spacing w:line="360" w:lineRule="auto"/>
        <w:rPr>
          <w:sz w:val="24"/>
          <w:szCs w:val="24"/>
        </w:rPr>
      </w:pPr>
    </w:p>
    <w:p w14:paraId="4B5D68E7" w14:textId="77777777" w:rsidR="00395E9A" w:rsidRDefault="00395E9A" w:rsidP="00395E9A">
      <w:pPr>
        <w:spacing w:line="360" w:lineRule="auto"/>
        <w:rPr>
          <w:rFonts w:cstheme="minorHAnsi"/>
          <w:sz w:val="24"/>
          <w:szCs w:val="24"/>
        </w:rPr>
      </w:pPr>
      <w:r>
        <w:rPr>
          <w:sz w:val="24"/>
          <w:szCs w:val="24"/>
        </w:rPr>
        <w:t xml:space="preserve">In 1887 Henry Charles Lea, in his book A History of the Inquisition in the Middle Ages stated that ‘passions were fiercer, convictions stronger… and people habitually looked on human </w:t>
      </w:r>
      <w:r>
        <w:rPr>
          <w:sz w:val="24"/>
          <w:szCs w:val="24"/>
        </w:rPr>
        <w:lastRenderedPageBreak/>
        <w:t>suffering with indifference.’</w:t>
      </w:r>
      <w:r>
        <w:rPr>
          <w:rStyle w:val="FootnoteReference"/>
          <w:sz w:val="24"/>
          <w:szCs w:val="24"/>
        </w:rPr>
        <w:footnoteReference w:id="3"/>
      </w:r>
      <w:r>
        <w:rPr>
          <w:sz w:val="24"/>
          <w:szCs w:val="24"/>
        </w:rPr>
        <w:t xml:space="preserve"> Huizinga, writing more than forty years later, still gives medieval people little credit for compassion, although he is less brutal, progressing towards rounding out the medieval psyche and away from the seventeenth century Hobbesian idea that life was ‘</w:t>
      </w:r>
      <w:r w:rsidRPr="009E5222">
        <w:rPr>
          <w:rFonts w:cstheme="minorHAnsi"/>
          <w:color w:val="000000"/>
          <w:sz w:val="24"/>
          <w:szCs w:val="24"/>
          <w:shd w:val="clear" w:color="auto" w:fill="FFFFFF"/>
        </w:rPr>
        <w:t>solitary, poor, nasty, brutish, and short</w:t>
      </w:r>
      <w:r w:rsidRPr="009E5222">
        <w:rPr>
          <w:rFonts w:cstheme="minorHAnsi"/>
          <w:sz w:val="24"/>
          <w:szCs w:val="24"/>
        </w:rPr>
        <w:t>.’</w:t>
      </w:r>
      <w:r>
        <w:rPr>
          <w:rStyle w:val="FootnoteReference"/>
          <w:sz w:val="24"/>
          <w:szCs w:val="24"/>
        </w:rPr>
        <w:footnoteReference w:id="4"/>
      </w:r>
      <w:r>
        <w:rPr>
          <w:rFonts w:cstheme="minorHAnsi"/>
          <w:sz w:val="24"/>
          <w:szCs w:val="24"/>
        </w:rPr>
        <w:t xml:space="preserve"> In the first part of the chapter he finds </w:t>
      </w:r>
      <w:r w:rsidRPr="0019755F">
        <w:rPr>
          <w:rFonts w:cstheme="minorHAnsi"/>
          <w:sz w:val="24"/>
          <w:szCs w:val="24"/>
        </w:rPr>
        <w:t>wistfulness in thinking of past glories</w:t>
      </w:r>
      <w:r>
        <w:rPr>
          <w:rFonts w:cstheme="minorHAnsi"/>
          <w:sz w:val="24"/>
          <w:szCs w:val="24"/>
        </w:rPr>
        <w:t>;</w:t>
      </w:r>
      <w:r w:rsidRPr="0019755F">
        <w:rPr>
          <w:rStyle w:val="FootnoteReference"/>
          <w:rFonts w:cstheme="minorHAnsi"/>
          <w:sz w:val="24"/>
          <w:szCs w:val="24"/>
        </w:rPr>
        <w:footnoteReference w:id="5"/>
      </w:r>
      <w:r w:rsidRPr="0019755F">
        <w:rPr>
          <w:rFonts w:cstheme="minorHAnsi"/>
          <w:sz w:val="24"/>
          <w:szCs w:val="24"/>
        </w:rPr>
        <w:t xml:space="preserve"> </w:t>
      </w:r>
      <w:r>
        <w:rPr>
          <w:rFonts w:cstheme="minorHAnsi"/>
          <w:sz w:val="24"/>
          <w:szCs w:val="24"/>
        </w:rPr>
        <w:t>h</w:t>
      </w:r>
      <w:r w:rsidRPr="0019755F">
        <w:rPr>
          <w:rFonts w:cstheme="minorHAnsi"/>
          <w:sz w:val="24"/>
          <w:szCs w:val="24"/>
        </w:rPr>
        <w:t>is ‘frightful spectacle of human beauty gone to decay’</w:t>
      </w:r>
      <w:r w:rsidRPr="0019755F">
        <w:rPr>
          <w:rStyle w:val="FootnoteReference"/>
          <w:rFonts w:cstheme="minorHAnsi"/>
          <w:sz w:val="24"/>
          <w:szCs w:val="24"/>
        </w:rPr>
        <w:footnoteReference w:id="6"/>
      </w:r>
      <w:r w:rsidRPr="0019755F">
        <w:rPr>
          <w:rFonts w:cstheme="minorHAnsi"/>
          <w:sz w:val="24"/>
          <w:szCs w:val="24"/>
        </w:rPr>
        <w:t xml:space="preserve"> later appears as a mere frisson of fear and </w:t>
      </w:r>
      <w:r>
        <w:rPr>
          <w:rFonts w:cstheme="minorHAnsi"/>
          <w:sz w:val="24"/>
          <w:szCs w:val="24"/>
        </w:rPr>
        <w:t xml:space="preserve">in </w:t>
      </w:r>
      <w:r w:rsidRPr="0019755F">
        <w:rPr>
          <w:rFonts w:cstheme="minorHAnsi"/>
          <w:sz w:val="24"/>
          <w:szCs w:val="24"/>
        </w:rPr>
        <w:t xml:space="preserve">the Danse Macabre, his third motif, </w:t>
      </w:r>
      <w:r>
        <w:rPr>
          <w:rFonts w:cstheme="minorHAnsi"/>
          <w:sz w:val="24"/>
          <w:szCs w:val="24"/>
        </w:rPr>
        <w:t>Huizinga finds equality through death.</w:t>
      </w:r>
    </w:p>
    <w:p w14:paraId="598E41A1" w14:textId="77777777" w:rsidR="00395E9A" w:rsidRPr="00942ABF" w:rsidRDefault="00395E9A" w:rsidP="00395E9A">
      <w:pPr>
        <w:spacing w:line="360" w:lineRule="auto"/>
        <w:rPr>
          <w:sz w:val="24"/>
          <w:szCs w:val="24"/>
        </w:rPr>
      </w:pPr>
    </w:p>
    <w:p w14:paraId="4178A3EA" w14:textId="77777777" w:rsidR="00395E9A" w:rsidRDefault="00395E9A" w:rsidP="00395E9A">
      <w:pPr>
        <w:spacing w:line="360" w:lineRule="auto"/>
        <w:rPr>
          <w:sz w:val="24"/>
          <w:szCs w:val="24"/>
        </w:rPr>
      </w:pPr>
      <w:r w:rsidRPr="00942ABF">
        <w:rPr>
          <w:sz w:val="24"/>
          <w:szCs w:val="24"/>
        </w:rPr>
        <w:t>Huizinga’s view</w:t>
      </w:r>
      <w:r>
        <w:rPr>
          <w:sz w:val="24"/>
          <w:szCs w:val="24"/>
        </w:rPr>
        <w:t xml:space="preserve"> of macabre arts, whether pictorial or literary, seems to be that of the eighteenth and nineteenth century gothic literature such as Walpole’s The Castle of Otranto which seek to thrill, rather than to provide moral messages. The dead are used in medieval examples of macabre art as advisors and messengers rather than just to give a frisson of fear. In viewing, for example, the wall painting of the Three Living and the Three Dead on the wall of a church even the least literate member of a medieval congregation would understand that these were not malicious ghosts, but the ancestors of the living, demanding prayer for their souls and that their descendants mend their ways. Such paintings did not stand alone: they were explained by clergy and the literate, forming an essential part of religious teaching in the community.</w:t>
      </w:r>
      <w:r>
        <w:rPr>
          <w:sz w:val="24"/>
          <w:szCs w:val="24"/>
        </w:rPr>
        <w:tab/>
        <w:t xml:space="preserve">Although Pope Gregory the Great considered paintings to be the book of the illiterate, later thought held that they should be supported by teaching and used more as an </w:t>
      </w:r>
      <w:r w:rsidRPr="00A23A5F">
        <w:rPr>
          <w:i/>
          <w:sz w:val="24"/>
          <w:szCs w:val="24"/>
        </w:rPr>
        <w:t>aide memoir</w:t>
      </w:r>
      <w:r>
        <w:rPr>
          <w:sz w:val="24"/>
          <w:szCs w:val="24"/>
        </w:rPr>
        <w:t xml:space="preserve">. This question is discussed fully in </w:t>
      </w:r>
      <w:r w:rsidRPr="004A6186">
        <w:rPr>
          <w:sz w:val="24"/>
          <w:szCs w:val="24"/>
        </w:rPr>
        <w:t xml:space="preserve">Duggan’s chapter </w:t>
      </w:r>
      <w:r w:rsidRPr="004A6186">
        <w:rPr>
          <w:rFonts w:cstheme="minorHAnsi"/>
          <w:color w:val="373A3C"/>
          <w:sz w:val="24"/>
          <w:szCs w:val="24"/>
          <w:shd w:val="clear" w:color="auto" w:fill="FFFFFF"/>
        </w:rPr>
        <w:t>‘Was Art really the “Book of the Illiterate”?’</w:t>
      </w:r>
      <w:r>
        <w:rPr>
          <w:sz w:val="24"/>
          <w:szCs w:val="24"/>
        </w:rPr>
        <w:t xml:space="preserve"> which follows the idea through from Gregory to the Reformation and later.</w:t>
      </w:r>
      <w:r>
        <w:rPr>
          <w:rStyle w:val="FootnoteReference"/>
          <w:sz w:val="24"/>
          <w:szCs w:val="24"/>
        </w:rPr>
        <w:footnoteReference w:id="7"/>
      </w:r>
    </w:p>
    <w:p w14:paraId="4C352D76" w14:textId="77777777" w:rsidR="00395E9A" w:rsidRDefault="00395E9A" w:rsidP="00395E9A">
      <w:pPr>
        <w:spacing w:line="360" w:lineRule="auto"/>
        <w:rPr>
          <w:sz w:val="24"/>
          <w:szCs w:val="24"/>
        </w:rPr>
      </w:pPr>
    </w:p>
    <w:p w14:paraId="2F1DDF76" w14:textId="77777777" w:rsidR="00395E9A" w:rsidRPr="00942ABF" w:rsidRDefault="00395E9A" w:rsidP="00395E9A">
      <w:pPr>
        <w:spacing w:line="360" w:lineRule="auto"/>
        <w:rPr>
          <w:sz w:val="24"/>
          <w:szCs w:val="24"/>
        </w:rPr>
      </w:pPr>
      <w:r>
        <w:rPr>
          <w:sz w:val="24"/>
          <w:szCs w:val="24"/>
        </w:rPr>
        <w:lastRenderedPageBreak/>
        <w:t xml:space="preserve">Caxton’s ‘Art and Craft to Know well to Die’ and other similar books advise deathbed attendants not only how to help </w:t>
      </w:r>
      <w:proofErr w:type="spellStart"/>
      <w:r>
        <w:rPr>
          <w:sz w:val="24"/>
          <w:szCs w:val="24"/>
        </w:rPr>
        <w:t>Moriens</w:t>
      </w:r>
      <w:proofErr w:type="spellEnd"/>
      <w:r>
        <w:rPr>
          <w:sz w:val="24"/>
          <w:szCs w:val="24"/>
        </w:rPr>
        <w:t xml:space="preserve"> in his final hours, but how they should comport themselves, not indulging in loud crying but soothing the dying man. They should also not remind him of what he leaves behind, but focus his mind on what is to come, once he has made confessed and repented.</w:t>
      </w:r>
      <w:r>
        <w:rPr>
          <w:rStyle w:val="FootnoteReference"/>
          <w:sz w:val="24"/>
          <w:szCs w:val="24"/>
        </w:rPr>
        <w:footnoteReference w:id="8"/>
      </w:r>
      <w:r>
        <w:rPr>
          <w:sz w:val="24"/>
          <w:szCs w:val="24"/>
        </w:rPr>
        <w:t xml:space="preserve"> In such books we see the importance of emotion when faced with death, whether one’s own or that of another. In considering the increasing availability of lessons on dying, first through the mendicant preachers and then through woodcuts and printed books such as Caxton’s, Huizinga lead us to believe that this increase leads to a simplistic understanding of death and what comes after. He sees materialism everywhere: in </w:t>
      </w:r>
      <w:proofErr w:type="spellStart"/>
      <w:r>
        <w:rPr>
          <w:sz w:val="24"/>
          <w:szCs w:val="24"/>
        </w:rPr>
        <w:t>transi</w:t>
      </w:r>
      <w:proofErr w:type="spellEnd"/>
      <w:r>
        <w:rPr>
          <w:sz w:val="24"/>
          <w:szCs w:val="24"/>
        </w:rPr>
        <w:t xml:space="preserve"> tombs, in poetry such as that of Olivier de la Marche and implies that, through </w:t>
      </w:r>
      <w:proofErr w:type="spellStart"/>
      <w:r>
        <w:rPr>
          <w:sz w:val="24"/>
          <w:szCs w:val="24"/>
        </w:rPr>
        <w:t>contemptus</w:t>
      </w:r>
      <w:proofErr w:type="spellEnd"/>
      <w:r>
        <w:rPr>
          <w:sz w:val="24"/>
          <w:szCs w:val="24"/>
        </w:rPr>
        <w:t xml:space="preserve"> mundi, medieval thought gets so side-tracked by materialism and the destruction of material things that people fail to see beyond the material to the purported goal of the macabre, that is to the redemption of the soul. We do not believe that medieval people were all emotionally literate, nor that they were more intelligent than we are today, but neither should we think of them as emotional pygmies or as idiots. ‘The imagination of those times relished these horrors [</w:t>
      </w:r>
      <w:proofErr w:type="spellStart"/>
      <w:r>
        <w:rPr>
          <w:sz w:val="24"/>
          <w:szCs w:val="24"/>
        </w:rPr>
        <w:t>transi</w:t>
      </w:r>
      <w:proofErr w:type="spellEnd"/>
      <w:r>
        <w:rPr>
          <w:sz w:val="24"/>
          <w:szCs w:val="24"/>
        </w:rPr>
        <w:t xml:space="preserve"> tombs], without ever looking one stage further, to see how corruption perishes in its turn, and flowers grow where it lay.’</w:t>
      </w:r>
      <w:r>
        <w:rPr>
          <w:rStyle w:val="FootnoteReference"/>
          <w:sz w:val="24"/>
          <w:szCs w:val="24"/>
        </w:rPr>
        <w:footnoteReference w:id="9"/>
      </w:r>
      <w:r>
        <w:rPr>
          <w:sz w:val="24"/>
          <w:szCs w:val="24"/>
        </w:rPr>
        <w:t xml:space="preserve"> Surely this statement underestimates the medieval mind? Had this been the case, Archbishop </w:t>
      </w:r>
      <w:proofErr w:type="spellStart"/>
      <w:r>
        <w:rPr>
          <w:sz w:val="24"/>
          <w:szCs w:val="24"/>
        </w:rPr>
        <w:t>Chichele</w:t>
      </w:r>
      <w:proofErr w:type="spellEnd"/>
      <w:r>
        <w:rPr>
          <w:sz w:val="24"/>
          <w:szCs w:val="24"/>
        </w:rPr>
        <w:t xml:space="preserve"> would not have had his own </w:t>
      </w:r>
      <w:proofErr w:type="spellStart"/>
      <w:r>
        <w:rPr>
          <w:sz w:val="24"/>
          <w:szCs w:val="24"/>
        </w:rPr>
        <w:t>transi</w:t>
      </w:r>
      <w:proofErr w:type="spellEnd"/>
      <w:r>
        <w:rPr>
          <w:sz w:val="24"/>
          <w:szCs w:val="24"/>
        </w:rPr>
        <w:t xml:space="preserve"> tomb built before his death where he could see it every time he worshipped or sat in Canterbury Cathedral, and books such as Caxton’s and ‘The Book of the Craft of Dying’ would not have been so popular in the home.</w:t>
      </w:r>
      <w:r>
        <w:rPr>
          <w:rStyle w:val="FootnoteReference"/>
          <w:sz w:val="24"/>
          <w:szCs w:val="24"/>
        </w:rPr>
        <w:footnoteReference w:id="10"/>
      </w:r>
    </w:p>
    <w:p w14:paraId="2812724F" w14:textId="77777777" w:rsidR="00395E9A" w:rsidRPr="00942ABF" w:rsidRDefault="00395E9A" w:rsidP="00395E9A">
      <w:pPr>
        <w:spacing w:line="360" w:lineRule="auto"/>
        <w:rPr>
          <w:sz w:val="24"/>
          <w:szCs w:val="24"/>
        </w:rPr>
      </w:pPr>
    </w:p>
    <w:p w14:paraId="66B7FC44" w14:textId="77777777" w:rsidR="00395E9A" w:rsidRDefault="00395E9A" w:rsidP="00395E9A">
      <w:pPr>
        <w:spacing w:line="360" w:lineRule="auto"/>
        <w:rPr>
          <w:sz w:val="24"/>
          <w:szCs w:val="24"/>
        </w:rPr>
      </w:pPr>
      <w:r w:rsidRPr="00942ABF">
        <w:rPr>
          <w:sz w:val="24"/>
          <w:szCs w:val="24"/>
        </w:rPr>
        <w:t xml:space="preserve">In the final section of this chapter </w:t>
      </w:r>
      <w:r w:rsidRPr="007507D0">
        <w:rPr>
          <w:sz w:val="24"/>
          <w:szCs w:val="24"/>
        </w:rPr>
        <w:t>Huizinga describes medieval emotion thus</w:t>
      </w:r>
      <w:r>
        <w:rPr>
          <w:b/>
          <w:sz w:val="24"/>
          <w:szCs w:val="24"/>
        </w:rPr>
        <w:t>:</w:t>
      </w:r>
      <w:r w:rsidRPr="00942ABF">
        <w:rPr>
          <w:sz w:val="24"/>
          <w:szCs w:val="24"/>
        </w:rPr>
        <w:t xml:space="preserve"> “Living emotion stiffens amid the abused imagery of skeletons and worms.”</w:t>
      </w:r>
      <w:r w:rsidRPr="00942ABF">
        <w:rPr>
          <w:rStyle w:val="FootnoteReference"/>
          <w:sz w:val="24"/>
          <w:szCs w:val="24"/>
        </w:rPr>
        <w:footnoteReference w:id="11"/>
      </w:r>
      <w:r w:rsidRPr="00942ABF">
        <w:rPr>
          <w:sz w:val="24"/>
          <w:szCs w:val="24"/>
        </w:rPr>
        <w:t xml:space="preserve"> As a counter to this argument we need only look at the fourteenth century poem Pearl, in which the poet grieves for his dead infant daughter. His expressions of emotion show a deep sense of loss, </w:t>
      </w:r>
      <w:r w:rsidRPr="00942ABF">
        <w:rPr>
          <w:sz w:val="24"/>
          <w:szCs w:val="24"/>
        </w:rPr>
        <w:lastRenderedPageBreak/>
        <w:t>as deep as any felt by contemporaries of Huizinga.</w:t>
      </w:r>
      <w:r w:rsidRPr="00942ABF">
        <w:rPr>
          <w:rStyle w:val="FootnoteReference"/>
          <w:sz w:val="24"/>
          <w:szCs w:val="24"/>
        </w:rPr>
        <w:footnoteReference w:id="12"/>
      </w:r>
      <w:r w:rsidRPr="00942ABF">
        <w:rPr>
          <w:sz w:val="24"/>
          <w:szCs w:val="24"/>
        </w:rPr>
        <w:t xml:space="preserve"> This poem holds no mention of cadavers or worms but describes the child’s progress to Heaven where she is crowned a queen. </w:t>
      </w:r>
      <w:r>
        <w:rPr>
          <w:sz w:val="24"/>
          <w:szCs w:val="24"/>
        </w:rPr>
        <w:t>It is about a death, but is</w:t>
      </w:r>
      <w:r w:rsidRPr="00942ABF">
        <w:rPr>
          <w:sz w:val="24"/>
          <w:szCs w:val="24"/>
        </w:rPr>
        <w:t xml:space="preserve"> full of love, human and divine. Although the father is heartbroken, the poem is essentially about hope.</w:t>
      </w:r>
      <w:r>
        <w:rPr>
          <w:sz w:val="24"/>
          <w:szCs w:val="24"/>
        </w:rPr>
        <w:t xml:space="preserve"> Both this poem and The </w:t>
      </w:r>
      <w:proofErr w:type="spellStart"/>
      <w:r>
        <w:rPr>
          <w:sz w:val="24"/>
          <w:szCs w:val="24"/>
        </w:rPr>
        <w:t>Disputacion</w:t>
      </w:r>
      <w:proofErr w:type="spellEnd"/>
      <w:r>
        <w:rPr>
          <w:sz w:val="24"/>
          <w:szCs w:val="24"/>
        </w:rPr>
        <w:t xml:space="preserve"> </w:t>
      </w:r>
      <w:proofErr w:type="spellStart"/>
      <w:r>
        <w:rPr>
          <w:sz w:val="24"/>
          <w:szCs w:val="24"/>
        </w:rPr>
        <w:t>Betwyx</w:t>
      </w:r>
      <w:proofErr w:type="spellEnd"/>
      <w:r>
        <w:rPr>
          <w:sz w:val="24"/>
          <w:szCs w:val="24"/>
        </w:rPr>
        <w:t xml:space="preserve"> the Body and the </w:t>
      </w:r>
      <w:proofErr w:type="spellStart"/>
      <w:r>
        <w:rPr>
          <w:sz w:val="24"/>
          <w:szCs w:val="24"/>
        </w:rPr>
        <w:t>Wormes</w:t>
      </w:r>
      <w:proofErr w:type="spellEnd"/>
      <w:r>
        <w:rPr>
          <w:sz w:val="24"/>
          <w:szCs w:val="24"/>
        </w:rPr>
        <w:t xml:space="preserve"> show a sophisticated ability to allegorise death. The </w:t>
      </w:r>
      <w:proofErr w:type="spellStart"/>
      <w:r>
        <w:rPr>
          <w:sz w:val="24"/>
          <w:szCs w:val="24"/>
        </w:rPr>
        <w:t>Disputacion</w:t>
      </w:r>
      <w:proofErr w:type="spellEnd"/>
      <w:r>
        <w:rPr>
          <w:sz w:val="24"/>
          <w:szCs w:val="24"/>
        </w:rPr>
        <w:t xml:space="preserve"> takes a dead woman through an encounter with the worms which eat her body, and in doing so she progresses from the kind of emotional response with which Huizinga would have credited her to a more mature and considered approach to death and the decay of her body.</w:t>
      </w:r>
      <w:r>
        <w:rPr>
          <w:rStyle w:val="FootnoteReference"/>
          <w:sz w:val="24"/>
          <w:szCs w:val="24"/>
        </w:rPr>
        <w:footnoteReference w:id="13"/>
      </w:r>
      <w:r>
        <w:rPr>
          <w:sz w:val="24"/>
          <w:szCs w:val="24"/>
        </w:rPr>
        <w:t xml:space="preserve"> Huizinga states in his preface that ‘</w:t>
      </w:r>
      <w:r w:rsidRPr="00942ABF">
        <w:rPr>
          <w:sz w:val="24"/>
          <w:szCs w:val="24"/>
        </w:rPr>
        <w:t>at times it would seem as though what we call the Middle Ages had been little more that the prelude to the Renaissance.’</w:t>
      </w:r>
      <w:r w:rsidRPr="00942ABF">
        <w:rPr>
          <w:rStyle w:val="FootnoteReference"/>
          <w:sz w:val="24"/>
          <w:szCs w:val="24"/>
        </w:rPr>
        <w:footnoteReference w:id="14"/>
      </w:r>
      <w:r w:rsidRPr="00050CCB">
        <w:rPr>
          <w:sz w:val="24"/>
          <w:szCs w:val="24"/>
        </w:rPr>
        <w:t xml:space="preserve"> </w:t>
      </w:r>
      <w:r>
        <w:rPr>
          <w:sz w:val="24"/>
          <w:szCs w:val="24"/>
        </w:rPr>
        <w:t xml:space="preserve">While this may have been true of Huizinga’s direct antecedents, it no longer holds. It is much more historiographically fashionable today to see the Middle Ages as worthy of study in themselves, the precursor to the Renaissance but equally important, and we now see the medieval mind as being more like our own with the same depth of emotion. </w:t>
      </w:r>
    </w:p>
    <w:p w14:paraId="3B55A60E" w14:textId="77777777" w:rsidR="00395E9A" w:rsidRDefault="00395E9A" w:rsidP="00395E9A">
      <w:pPr>
        <w:spacing w:line="360" w:lineRule="auto"/>
        <w:rPr>
          <w:sz w:val="24"/>
          <w:szCs w:val="24"/>
        </w:rPr>
      </w:pPr>
    </w:p>
    <w:p w14:paraId="5FD02965" w14:textId="77777777" w:rsidR="00395E9A" w:rsidRPr="008D205E" w:rsidRDefault="00395E9A" w:rsidP="00395E9A">
      <w:pPr>
        <w:spacing w:line="360" w:lineRule="auto"/>
        <w:rPr>
          <w:sz w:val="24"/>
          <w:szCs w:val="24"/>
        </w:rPr>
      </w:pPr>
      <w:r>
        <w:rPr>
          <w:sz w:val="24"/>
          <w:szCs w:val="24"/>
        </w:rPr>
        <w:t xml:space="preserve">Huizinga’s apparent view of medieval people as incapable </w:t>
      </w:r>
      <w:r w:rsidRPr="000B6F75">
        <w:rPr>
          <w:sz w:val="24"/>
          <w:szCs w:val="24"/>
        </w:rPr>
        <w:t xml:space="preserve">of empathy and the deeper emotions seems now to be </w:t>
      </w:r>
      <w:r>
        <w:rPr>
          <w:sz w:val="24"/>
          <w:szCs w:val="24"/>
        </w:rPr>
        <w:t>misguided</w:t>
      </w:r>
      <w:r w:rsidRPr="000B6F75">
        <w:rPr>
          <w:sz w:val="24"/>
          <w:szCs w:val="24"/>
        </w:rPr>
        <w:t>. Current consideration tells us that they</w:t>
      </w:r>
      <w:r>
        <w:rPr>
          <w:sz w:val="24"/>
          <w:szCs w:val="24"/>
        </w:rPr>
        <w:t xml:space="preserve"> were just as intelligent as we are today and, because religion was ever present in the medieval mind, thoughts of death and the afterlife were more familiar to them than they are to us. </w:t>
      </w:r>
      <w:r w:rsidRPr="00942ABF">
        <w:rPr>
          <w:sz w:val="24"/>
          <w:szCs w:val="24"/>
        </w:rPr>
        <w:t>The late medieval mind s</w:t>
      </w:r>
      <w:r>
        <w:rPr>
          <w:sz w:val="24"/>
          <w:szCs w:val="24"/>
        </w:rPr>
        <w:t>aw</w:t>
      </w:r>
      <w:r w:rsidRPr="00942ABF">
        <w:rPr>
          <w:sz w:val="24"/>
          <w:szCs w:val="24"/>
        </w:rPr>
        <w:t xml:space="preserve"> death not as the end, but as the beginning of the next stage of life, the more important life in Purgatory, Heaven or Hell. Thus, an apparent fascination with death is in fact a desire for etern</w:t>
      </w:r>
      <w:r>
        <w:rPr>
          <w:sz w:val="24"/>
          <w:szCs w:val="24"/>
        </w:rPr>
        <w:t>ity which permeated life.</w:t>
      </w:r>
    </w:p>
    <w:p w14:paraId="74A6EFDD" w14:textId="546415B5" w:rsidR="00395E9A" w:rsidRDefault="00395E9A">
      <w:r>
        <w:br w:type="page"/>
      </w:r>
    </w:p>
    <w:p w14:paraId="61F94994" w14:textId="77777777" w:rsidR="00744BB1" w:rsidRDefault="00744BB1" w:rsidP="00395E9A">
      <w:pPr>
        <w:spacing w:line="360" w:lineRule="auto"/>
        <w:jc w:val="center"/>
        <w:rPr>
          <w:sz w:val="24"/>
          <w:szCs w:val="24"/>
        </w:rPr>
      </w:pPr>
      <w:r>
        <w:rPr>
          <w:sz w:val="24"/>
          <w:szCs w:val="24"/>
        </w:rPr>
        <w:lastRenderedPageBreak/>
        <w:t>Memorialisation</w:t>
      </w:r>
    </w:p>
    <w:p w14:paraId="44350035" w14:textId="77777777" w:rsidR="007772E8" w:rsidRDefault="007772E8" w:rsidP="007772E8">
      <w:pPr>
        <w:spacing w:line="360" w:lineRule="auto"/>
        <w:jc w:val="center"/>
        <w:rPr>
          <w:sz w:val="24"/>
          <w:szCs w:val="24"/>
        </w:rPr>
      </w:pPr>
    </w:p>
    <w:p w14:paraId="06D73AA5" w14:textId="29669F3B" w:rsidR="00DC2A8A" w:rsidRDefault="007772E8" w:rsidP="00DC2A8A">
      <w:pPr>
        <w:spacing w:line="360" w:lineRule="auto"/>
        <w:rPr>
          <w:sz w:val="24"/>
          <w:szCs w:val="24"/>
        </w:rPr>
      </w:pPr>
      <w:bookmarkStart w:id="2" w:name="_Hlk536281304"/>
      <w:r>
        <w:rPr>
          <w:sz w:val="24"/>
          <w:szCs w:val="24"/>
        </w:rPr>
        <w:t xml:space="preserve">Throughout the Middle Ages memorialisation of the dead was an important part of life. It was essential to remember the dead: if names were forgotten, how could the living pray for the dead or hope to be remembered themselves, with the help of intercessory prayers to speed their passage through Purgatory after their own death? </w:t>
      </w:r>
      <w:r w:rsidR="00A16B79">
        <w:rPr>
          <w:sz w:val="24"/>
          <w:szCs w:val="24"/>
        </w:rPr>
        <w:t>While general masses</w:t>
      </w:r>
      <w:r w:rsidR="00DC2A8A" w:rsidRPr="00DC2A8A">
        <w:rPr>
          <w:sz w:val="24"/>
          <w:szCs w:val="24"/>
        </w:rPr>
        <w:t xml:space="preserve"> </w:t>
      </w:r>
      <w:r w:rsidR="00DC2A8A">
        <w:rPr>
          <w:sz w:val="24"/>
          <w:szCs w:val="24"/>
        </w:rPr>
        <w:t>for the dead</w:t>
      </w:r>
      <w:r w:rsidR="00A16B79">
        <w:rPr>
          <w:sz w:val="24"/>
          <w:szCs w:val="24"/>
        </w:rPr>
        <w:t xml:space="preserve"> </w:t>
      </w:r>
      <w:r w:rsidR="00DC2A8A">
        <w:rPr>
          <w:sz w:val="24"/>
          <w:szCs w:val="24"/>
        </w:rPr>
        <w:t>which Daniel calls ‘…part of a larger system to help the soul through Purgatory…’</w:t>
      </w:r>
      <w:r w:rsidR="00A16B79">
        <w:rPr>
          <w:sz w:val="24"/>
          <w:szCs w:val="24"/>
        </w:rPr>
        <w:t xml:space="preserve"> were of use, personalised prayers were seen to be more helpful</w:t>
      </w:r>
      <w:r w:rsidR="002458E8">
        <w:rPr>
          <w:sz w:val="24"/>
          <w:szCs w:val="24"/>
        </w:rPr>
        <w:t>, going straight to God’s ear</w:t>
      </w:r>
      <w:r w:rsidR="00A16B79">
        <w:rPr>
          <w:sz w:val="24"/>
          <w:szCs w:val="24"/>
        </w:rPr>
        <w:t>.</w:t>
      </w:r>
      <w:r w:rsidR="00DC2A8A">
        <w:rPr>
          <w:rStyle w:val="FootnoteReference"/>
          <w:sz w:val="24"/>
          <w:szCs w:val="24"/>
        </w:rPr>
        <w:footnoteReference w:id="15"/>
      </w:r>
    </w:p>
    <w:p w14:paraId="732FAB9A" w14:textId="77777777" w:rsidR="00DC2A8A" w:rsidRDefault="00DC2A8A" w:rsidP="007772E8">
      <w:pPr>
        <w:spacing w:line="360" w:lineRule="auto"/>
        <w:rPr>
          <w:sz w:val="24"/>
          <w:szCs w:val="24"/>
        </w:rPr>
      </w:pPr>
    </w:p>
    <w:p w14:paraId="4E32AA61" w14:textId="5D79D266" w:rsidR="007772E8" w:rsidRDefault="007772E8" w:rsidP="007772E8">
      <w:pPr>
        <w:spacing w:line="360" w:lineRule="auto"/>
        <w:rPr>
          <w:sz w:val="24"/>
          <w:szCs w:val="24"/>
        </w:rPr>
      </w:pPr>
      <w:r>
        <w:rPr>
          <w:sz w:val="24"/>
          <w:szCs w:val="24"/>
        </w:rPr>
        <w:t xml:space="preserve">Money was spent on many forms of memorial: from the obvious grave marker to the foundation of a church, monastery or college, either set out in wills with greater or lesser detail of the proposed memorial or created by a family member after the death. </w:t>
      </w:r>
      <w:r w:rsidR="002458E8">
        <w:rPr>
          <w:sz w:val="24"/>
          <w:szCs w:val="24"/>
        </w:rPr>
        <w:t>The object of outlay could be as fleeting as the funeral ceremony or as enduring as a building.</w:t>
      </w:r>
      <w:r w:rsidR="00785305">
        <w:rPr>
          <w:sz w:val="24"/>
          <w:szCs w:val="24"/>
        </w:rPr>
        <w:t xml:space="preserve"> </w:t>
      </w:r>
      <w:bookmarkEnd w:id="2"/>
      <w:r w:rsidR="004E0A6C">
        <w:rPr>
          <w:sz w:val="24"/>
          <w:szCs w:val="24"/>
        </w:rPr>
        <w:t xml:space="preserve">The funeral offered </w:t>
      </w:r>
      <w:proofErr w:type="gramStart"/>
      <w:r w:rsidR="004E0A6C">
        <w:rPr>
          <w:sz w:val="24"/>
          <w:szCs w:val="24"/>
        </w:rPr>
        <w:t>a number of</w:t>
      </w:r>
      <w:proofErr w:type="gramEnd"/>
      <w:r w:rsidR="004E0A6C">
        <w:rPr>
          <w:sz w:val="24"/>
          <w:szCs w:val="24"/>
        </w:rPr>
        <w:t xml:space="preserve"> opportunities for </w:t>
      </w:r>
      <w:r w:rsidR="00785305">
        <w:rPr>
          <w:sz w:val="24"/>
          <w:szCs w:val="24"/>
        </w:rPr>
        <w:t>commemoration</w:t>
      </w:r>
      <w:r>
        <w:rPr>
          <w:sz w:val="24"/>
          <w:szCs w:val="24"/>
        </w:rPr>
        <w:t xml:space="preserve">. Most did not have the option of a splendid funeral </w:t>
      </w:r>
      <w:r w:rsidR="00785305">
        <w:rPr>
          <w:sz w:val="24"/>
          <w:szCs w:val="24"/>
        </w:rPr>
        <w:t>having</w:t>
      </w:r>
      <w:r>
        <w:rPr>
          <w:sz w:val="24"/>
          <w:szCs w:val="24"/>
        </w:rPr>
        <w:t xml:space="preserve"> little to leave</w:t>
      </w:r>
      <w:r w:rsidR="00785305">
        <w:rPr>
          <w:sz w:val="24"/>
          <w:szCs w:val="24"/>
        </w:rPr>
        <w:t xml:space="preserve"> and t</w:t>
      </w:r>
      <w:r>
        <w:rPr>
          <w:sz w:val="24"/>
          <w:szCs w:val="24"/>
        </w:rPr>
        <w:t xml:space="preserve">heir only memorial was to be remembered for as long as possible and prayed for, </w:t>
      </w:r>
      <w:r w:rsidR="008D30DF">
        <w:rPr>
          <w:sz w:val="24"/>
          <w:szCs w:val="24"/>
        </w:rPr>
        <w:t>while</w:t>
      </w:r>
      <w:r>
        <w:rPr>
          <w:sz w:val="24"/>
          <w:szCs w:val="24"/>
        </w:rPr>
        <w:t xml:space="preserve"> others rejected grand ceremonies as being prideful and asked for simple burial.</w:t>
      </w:r>
      <w:r>
        <w:rPr>
          <w:rStyle w:val="FootnoteReference"/>
          <w:sz w:val="24"/>
          <w:szCs w:val="24"/>
        </w:rPr>
        <w:footnoteReference w:id="16"/>
      </w:r>
      <w:r>
        <w:rPr>
          <w:sz w:val="24"/>
          <w:szCs w:val="24"/>
        </w:rPr>
        <w:t xml:space="preserve"> Perhaps they hoped the simplicity would be </w:t>
      </w:r>
      <w:r w:rsidR="00A7263E">
        <w:rPr>
          <w:sz w:val="24"/>
          <w:szCs w:val="24"/>
        </w:rPr>
        <w:t>remembered or</w:t>
      </w:r>
      <w:r>
        <w:rPr>
          <w:sz w:val="24"/>
          <w:szCs w:val="24"/>
        </w:rPr>
        <w:t xml:space="preserve"> trusted that the life led would be sufficient</w:t>
      </w:r>
      <w:r w:rsidR="00664D50">
        <w:rPr>
          <w:sz w:val="24"/>
          <w:szCs w:val="24"/>
        </w:rPr>
        <w:t xml:space="preserve"> and that God would know</w:t>
      </w:r>
      <w:r>
        <w:rPr>
          <w:sz w:val="24"/>
          <w:szCs w:val="24"/>
        </w:rPr>
        <w:t>. A grand affair or one with many gifts to mourners would be long remembe</w:t>
      </w:r>
      <w:r w:rsidR="00664D50">
        <w:rPr>
          <w:sz w:val="24"/>
          <w:szCs w:val="24"/>
        </w:rPr>
        <w:t>red. M</w:t>
      </w:r>
      <w:r>
        <w:rPr>
          <w:sz w:val="24"/>
          <w:szCs w:val="24"/>
        </w:rPr>
        <w:t>oney</w:t>
      </w:r>
      <w:r w:rsidR="00664D50">
        <w:rPr>
          <w:sz w:val="24"/>
          <w:szCs w:val="24"/>
        </w:rPr>
        <w:t xml:space="preserve"> was often</w:t>
      </w:r>
      <w:r>
        <w:rPr>
          <w:sz w:val="24"/>
          <w:szCs w:val="24"/>
        </w:rPr>
        <w:t xml:space="preserve"> left for candles to be burned in the church, at the funeral and for as long as the candles lasted. After the funeral, memorial services were held after eight days, after a month (the month’s mind) and on anniversaries.</w:t>
      </w:r>
      <w:r>
        <w:rPr>
          <w:rStyle w:val="FootnoteReference"/>
          <w:sz w:val="24"/>
          <w:szCs w:val="24"/>
        </w:rPr>
        <w:footnoteReference w:id="17"/>
      </w:r>
    </w:p>
    <w:p w14:paraId="2AF23FED" w14:textId="77777777" w:rsidR="007772E8" w:rsidRDefault="007772E8" w:rsidP="007772E8">
      <w:pPr>
        <w:spacing w:line="360" w:lineRule="auto"/>
        <w:rPr>
          <w:sz w:val="24"/>
          <w:szCs w:val="24"/>
        </w:rPr>
      </w:pPr>
    </w:p>
    <w:p w14:paraId="2A8B36D3" w14:textId="798CEB67" w:rsidR="007772E8" w:rsidRDefault="00793431" w:rsidP="007772E8">
      <w:pPr>
        <w:spacing w:line="360" w:lineRule="auto"/>
        <w:rPr>
          <w:sz w:val="24"/>
          <w:szCs w:val="24"/>
        </w:rPr>
      </w:pPr>
      <w:r>
        <w:rPr>
          <w:sz w:val="24"/>
          <w:szCs w:val="24"/>
        </w:rPr>
        <w:t>Monuments, t</w:t>
      </w:r>
      <w:r w:rsidR="007772E8">
        <w:rPr>
          <w:sz w:val="24"/>
          <w:szCs w:val="24"/>
        </w:rPr>
        <w:t>he most familiar forms of memorialisation, most often belong to higher status or wealthy families, be they brass slabs or a transi tombs, but all serve the same basic function: marking the place of burial and commemorate the life of a person or family.</w:t>
      </w:r>
      <w:r w:rsidR="007772E8">
        <w:rPr>
          <w:rStyle w:val="FootnoteReference"/>
          <w:sz w:val="24"/>
          <w:szCs w:val="24"/>
        </w:rPr>
        <w:footnoteReference w:id="18"/>
      </w:r>
      <w:r w:rsidR="007772E8">
        <w:rPr>
          <w:sz w:val="24"/>
          <w:szCs w:val="24"/>
        </w:rPr>
        <w:t xml:space="preserve"> </w:t>
      </w:r>
      <w:r w:rsidR="007772E8">
        <w:rPr>
          <w:sz w:val="24"/>
          <w:szCs w:val="24"/>
        </w:rPr>
        <w:lastRenderedPageBreak/>
        <w:t>Markers depicting cadavers had twofold purpose: to remind the living of the dead and solicit prayer but also to encourage the living to recall that they too would die and should prepare: as you are now, so once were we: as we are now, so shall you be. Many monuments hold an obituary, from the most basic with just a name and perhaps relevant dates, to those with greater detail, telling something of the achievements of the deceased.</w:t>
      </w:r>
      <w:r w:rsidR="00054808">
        <w:rPr>
          <w:sz w:val="24"/>
          <w:szCs w:val="24"/>
        </w:rPr>
        <w:t xml:space="preserve"> Clearly these are aimed at the literate, particularly the family of the deceased</w:t>
      </w:r>
      <w:r w:rsidR="009F6F4C">
        <w:rPr>
          <w:sz w:val="24"/>
          <w:szCs w:val="24"/>
        </w:rPr>
        <w:t xml:space="preserve"> but s</w:t>
      </w:r>
      <w:r w:rsidR="00BD6738">
        <w:rPr>
          <w:sz w:val="24"/>
          <w:szCs w:val="24"/>
        </w:rPr>
        <w:t xml:space="preserve">crolls </w:t>
      </w:r>
      <w:r w:rsidR="009F6F4C">
        <w:rPr>
          <w:sz w:val="24"/>
          <w:szCs w:val="24"/>
        </w:rPr>
        <w:t>on monuments would be recognised as</w:t>
      </w:r>
      <w:r w:rsidR="00BD6738">
        <w:rPr>
          <w:sz w:val="24"/>
          <w:szCs w:val="24"/>
        </w:rPr>
        <w:t xml:space="preserve"> hold</w:t>
      </w:r>
      <w:r w:rsidR="009F6F4C">
        <w:rPr>
          <w:sz w:val="24"/>
          <w:szCs w:val="24"/>
        </w:rPr>
        <w:t>ing</w:t>
      </w:r>
      <w:r w:rsidR="00BD6738">
        <w:rPr>
          <w:sz w:val="24"/>
          <w:szCs w:val="24"/>
        </w:rPr>
        <w:t xml:space="preserve"> prayers: the</w:t>
      </w:r>
      <w:r w:rsidR="00771A24">
        <w:rPr>
          <w:sz w:val="24"/>
          <w:szCs w:val="24"/>
        </w:rPr>
        <w:t>y</w:t>
      </w:r>
      <w:r w:rsidR="00BD6738">
        <w:rPr>
          <w:sz w:val="24"/>
          <w:szCs w:val="24"/>
        </w:rPr>
        <w:t xml:space="preserve"> </w:t>
      </w:r>
      <w:r w:rsidR="00A3791C">
        <w:rPr>
          <w:sz w:val="24"/>
          <w:szCs w:val="24"/>
        </w:rPr>
        <w:t>go straight</w:t>
      </w:r>
      <w:r w:rsidR="00BD6738">
        <w:rPr>
          <w:sz w:val="24"/>
          <w:szCs w:val="24"/>
        </w:rPr>
        <w:t xml:space="preserve"> up to god</w:t>
      </w:r>
      <w:r w:rsidR="00771A24">
        <w:rPr>
          <w:sz w:val="24"/>
          <w:szCs w:val="24"/>
        </w:rPr>
        <w:t xml:space="preserve"> and are used to encourage others to pray for that person.</w:t>
      </w:r>
    </w:p>
    <w:p w14:paraId="39C2FA52" w14:textId="77777777" w:rsidR="007772E8" w:rsidRDefault="007772E8" w:rsidP="007772E8">
      <w:pPr>
        <w:spacing w:line="360" w:lineRule="auto"/>
        <w:rPr>
          <w:sz w:val="24"/>
          <w:szCs w:val="24"/>
        </w:rPr>
      </w:pPr>
    </w:p>
    <w:p w14:paraId="0809E213" w14:textId="2833B16D" w:rsidR="007772E8" w:rsidRDefault="007772E8" w:rsidP="007772E8">
      <w:pPr>
        <w:spacing w:line="360" w:lineRule="auto"/>
        <w:rPr>
          <w:sz w:val="24"/>
          <w:szCs w:val="24"/>
        </w:rPr>
      </w:pPr>
      <w:r>
        <w:rPr>
          <w:sz w:val="24"/>
          <w:szCs w:val="24"/>
        </w:rPr>
        <w:t>The most noticeable memorials in the landscape are buildings. It may no longer be widely remembered that a college or monastery was founded by or on behalf of a particular person, but at the time of building the name of the patron was remembered in prayer</w:t>
      </w:r>
      <w:r w:rsidR="00E61903">
        <w:rPr>
          <w:sz w:val="24"/>
          <w:szCs w:val="24"/>
        </w:rPr>
        <w:t xml:space="preserve"> as at Eton where Henry </w:t>
      </w:r>
      <w:r w:rsidR="00D86483">
        <w:rPr>
          <w:sz w:val="24"/>
          <w:szCs w:val="24"/>
        </w:rPr>
        <w:t>VI is still remembered</w:t>
      </w:r>
      <w:r>
        <w:rPr>
          <w:sz w:val="24"/>
          <w:szCs w:val="24"/>
        </w:rPr>
        <w:t>.</w:t>
      </w:r>
      <w:r>
        <w:rPr>
          <w:rStyle w:val="FootnoteReference"/>
          <w:sz w:val="24"/>
          <w:szCs w:val="24"/>
        </w:rPr>
        <w:footnoteReference w:id="19"/>
      </w:r>
      <w:r>
        <w:rPr>
          <w:sz w:val="24"/>
          <w:szCs w:val="24"/>
        </w:rPr>
        <w:t xml:space="preserve"> Inside there were other memorials: not only tombs but windows, sometimes with kneeling donors included, wall paintings and ecclesiastical textiles and furnishings. Chantry chapels were also built, most usually inside a church, as locations for memorial masses for the deceased and their family.</w:t>
      </w:r>
    </w:p>
    <w:p w14:paraId="7E32B4E9" w14:textId="77777777" w:rsidR="007772E8" w:rsidRDefault="007772E8" w:rsidP="007772E8">
      <w:pPr>
        <w:spacing w:line="360" w:lineRule="auto"/>
        <w:rPr>
          <w:sz w:val="24"/>
          <w:szCs w:val="24"/>
        </w:rPr>
      </w:pPr>
    </w:p>
    <w:p w14:paraId="38595D98" w14:textId="5F3F08E9" w:rsidR="00963D85" w:rsidRDefault="007772E8" w:rsidP="000F2BFE">
      <w:pPr>
        <w:spacing w:line="360" w:lineRule="auto"/>
        <w:rPr>
          <w:sz w:val="24"/>
          <w:szCs w:val="24"/>
        </w:rPr>
      </w:pPr>
      <w:r>
        <w:rPr>
          <w:sz w:val="24"/>
          <w:szCs w:val="24"/>
        </w:rPr>
        <w:t>Bede rolls held details of the names and often charitable bequests left by parishioners and were read aloud at least once a year, remembering those named in prayer. The living should remember the dead with gratitude, as community benefactors, worthy of prayer and intercession to reduce their time in Purgatory.</w:t>
      </w:r>
      <w:r>
        <w:rPr>
          <w:rStyle w:val="FootnoteReference"/>
          <w:sz w:val="24"/>
          <w:szCs w:val="24"/>
        </w:rPr>
        <w:footnoteReference w:id="20"/>
      </w:r>
      <w:r>
        <w:rPr>
          <w:sz w:val="24"/>
          <w:szCs w:val="24"/>
        </w:rPr>
        <w:t xml:space="preserve"> As with so many forms of memorialisation, bede rolls were swept away with the Reformation, but one may speculate on the degree of forgetfulness this induced. In cases such as bede rolls, it must have considerably shortened communal if not personal memory, but it is harder to forget who commissioned the building </w:t>
      </w:r>
      <w:r>
        <w:rPr>
          <w:sz w:val="24"/>
          <w:szCs w:val="24"/>
        </w:rPr>
        <w:lastRenderedPageBreak/>
        <w:t>of a church.</w:t>
      </w:r>
      <w:r w:rsidR="002C1AAD">
        <w:rPr>
          <w:sz w:val="24"/>
          <w:szCs w:val="24"/>
        </w:rPr>
        <w:t xml:space="preserve"> As ever, the more money or power one had, the longer one is remembered, even in an area where equality is supposed to pertain.</w:t>
      </w:r>
    </w:p>
    <w:p w14:paraId="5EF38051" w14:textId="77777777" w:rsidR="002C1AAD" w:rsidRDefault="002C1AAD">
      <w:pPr>
        <w:rPr>
          <w:u w:val="single"/>
        </w:rPr>
      </w:pPr>
      <w:r>
        <w:rPr>
          <w:u w:val="single"/>
        </w:rPr>
        <w:br w:type="page"/>
      </w:r>
    </w:p>
    <w:p w14:paraId="29DBDAB7" w14:textId="1045C06B" w:rsidR="00263FD8" w:rsidRPr="00680F07" w:rsidRDefault="00263FD8" w:rsidP="00445E46">
      <w:pPr>
        <w:spacing w:line="360" w:lineRule="auto"/>
        <w:jc w:val="center"/>
        <w:rPr>
          <w:u w:val="single"/>
        </w:rPr>
      </w:pPr>
      <w:r w:rsidRPr="00680F07">
        <w:rPr>
          <w:u w:val="single"/>
        </w:rPr>
        <w:lastRenderedPageBreak/>
        <w:t>Danse Macabre print by Pierre le Rouge, 1491-1492</w:t>
      </w:r>
    </w:p>
    <w:p w14:paraId="737CF499" w14:textId="1BC07AA2" w:rsidR="00C678F8" w:rsidRDefault="00C678F8" w:rsidP="00047062">
      <w:pPr>
        <w:spacing w:line="360" w:lineRule="auto"/>
      </w:pPr>
    </w:p>
    <w:p w14:paraId="103D7EFE" w14:textId="04B6F0A2" w:rsidR="00A7263E" w:rsidRPr="005C134E" w:rsidRDefault="00A7263E" w:rsidP="00A7263E">
      <w:pPr>
        <w:spacing w:line="360" w:lineRule="auto"/>
        <w:rPr>
          <w:rFonts w:cstheme="minorHAnsi"/>
          <w:sz w:val="24"/>
          <w:szCs w:val="24"/>
        </w:rPr>
      </w:pPr>
      <w:r w:rsidRPr="005C134E">
        <w:rPr>
          <w:rFonts w:cstheme="minorHAnsi"/>
          <w:sz w:val="24"/>
          <w:szCs w:val="24"/>
        </w:rPr>
        <w:t xml:space="preserve">Unlike the earlier but overlapping illustrated Legend of the Three Living and the Three dead, the </w:t>
      </w:r>
      <w:r w:rsidRPr="005C134E">
        <w:rPr>
          <w:rFonts w:cstheme="minorHAnsi"/>
          <w:i/>
          <w:sz w:val="24"/>
          <w:szCs w:val="24"/>
        </w:rPr>
        <w:t>Danse</w:t>
      </w:r>
      <w:r w:rsidRPr="005C134E">
        <w:rPr>
          <w:rFonts w:cstheme="minorHAnsi"/>
          <w:sz w:val="24"/>
          <w:szCs w:val="24"/>
        </w:rPr>
        <w:t xml:space="preserve"> is more often found in printed rather than manuscript form.</w:t>
      </w:r>
      <w:r w:rsidR="00386C1E" w:rsidRPr="005C134E">
        <w:rPr>
          <w:rFonts w:cstheme="minorHAnsi"/>
          <w:sz w:val="24"/>
          <w:szCs w:val="24"/>
        </w:rPr>
        <w:t xml:space="preserve"> </w:t>
      </w:r>
      <w:r w:rsidR="005C134E">
        <w:rPr>
          <w:rFonts w:cstheme="minorHAnsi"/>
          <w:sz w:val="24"/>
          <w:szCs w:val="24"/>
        </w:rPr>
        <w:t>The printed book, be it a devotional book or The Canterbury Tales, would be available to so many more than the illuminated manuscript</w:t>
      </w:r>
      <w:r w:rsidR="00924BF3">
        <w:rPr>
          <w:rFonts w:cstheme="minorHAnsi"/>
          <w:sz w:val="24"/>
          <w:szCs w:val="24"/>
        </w:rPr>
        <w:t>,</w:t>
      </w:r>
      <w:r w:rsidR="005C134E">
        <w:rPr>
          <w:rFonts w:cstheme="minorHAnsi"/>
          <w:sz w:val="24"/>
          <w:szCs w:val="24"/>
        </w:rPr>
        <w:t xml:space="preserve"> many times less expensive and not a unique item. </w:t>
      </w:r>
      <w:r w:rsidR="00FE2DA4">
        <w:rPr>
          <w:rFonts w:cstheme="minorHAnsi"/>
          <w:sz w:val="24"/>
          <w:szCs w:val="24"/>
        </w:rPr>
        <w:t>However,</w:t>
      </w:r>
      <w:r w:rsidR="005C134E">
        <w:rPr>
          <w:rFonts w:cstheme="minorHAnsi"/>
          <w:sz w:val="24"/>
          <w:szCs w:val="24"/>
        </w:rPr>
        <w:t xml:space="preserve"> the message of </w:t>
      </w:r>
      <w:r w:rsidR="00B46691">
        <w:rPr>
          <w:rFonts w:cstheme="minorHAnsi"/>
          <w:sz w:val="24"/>
          <w:szCs w:val="24"/>
        </w:rPr>
        <w:t>T</w:t>
      </w:r>
      <w:r w:rsidR="005C134E">
        <w:rPr>
          <w:rFonts w:cstheme="minorHAnsi"/>
          <w:sz w:val="24"/>
          <w:szCs w:val="24"/>
        </w:rPr>
        <w:t xml:space="preserve">he Legend and </w:t>
      </w:r>
      <w:r w:rsidR="00B46691">
        <w:rPr>
          <w:rFonts w:cstheme="minorHAnsi"/>
          <w:sz w:val="24"/>
          <w:szCs w:val="24"/>
        </w:rPr>
        <w:t>T</w:t>
      </w:r>
      <w:r w:rsidR="005C134E">
        <w:rPr>
          <w:rFonts w:cstheme="minorHAnsi"/>
          <w:sz w:val="24"/>
          <w:szCs w:val="24"/>
        </w:rPr>
        <w:t>he Danse are similar: prepare to meet thy doom.</w:t>
      </w:r>
    </w:p>
    <w:p w14:paraId="49EA6F8F" w14:textId="77777777" w:rsidR="00A7263E" w:rsidRDefault="00A7263E" w:rsidP="00A7263E">
      <w:pPr>
        <w:spacing w:line="360" w:lineRule="auto"/>
        <w:rPr>
          <w:rFonts w:cstheme="minorHAnsi"/>
          <w:sz w:val="24"/>
          <w:szCs w:val="24"/>
        </w:rPr>
      </w:pPr>
    </w:p>
    <w:p w14:paraId="41C68E0E" w14:textId="17E3AF30" w:rsidR="00A7263E" w:rsidRDefault="00A7263E" w:rsidP="00A7263E">
      <w:pPr>
        <w:spacing w:line="360" w:lineRule="auto"/>
        <w:rPr>
          <w:rFonts w:cstheme="minorHAnsi"/>
          <w:sz w:val="24"/>
          <w:szCs w:val="24"/>
        </w:rPr>
      </w:pPr>
      <w:r>
        <w:rPr>
          <w:rFonts w:cstheme="minorHAnsi"/>
          <w:sz w:val="24"/>
          <w:szCs w:val="24"/>
        </w:rPr>
        <w:t xml:space="preserve">Since the </w:t>
      </w:r>
      <w:r>
        <w:rPr>
          <w:rFonts w:cstheme="minorHAnsi"/>
          <w:i/>
          <w:sz w:val="24"/>
          <w:szCs w:val="24"/>
        </w:rPr>
        <w:t>Danse</w:t>
      </w:r>
      <w:r>
        <w:rPr>
          <w:rFonts w:cstheme="minorHAnsi"/>
          <w:sz w:val="24"/>
          <w:szCs w:val="24"/>
        </w:rPr>
        <w:t xml:space="preserve"> includes living people from all stations in life the obvious meaning of the piece is the inevitability and ubiquity of death: it comes to us all, ready or not, good or bad, young or old, rich or poor. Many versions have one or two women amongst the living, but a specific </w:t>
      </w:r>
      <w:r>
        <w:rPr>
          <w:rFonts w:cstheme="minorHAnsi"/>
          <w:i/>
          <w:sz w:val="24"/>
          <w:szCs w:val="24"/>
        </w:rPr>
        <w:t>Danse Macabre des Femmes</w:t>
      </w:r>
      <w:r>
        <w:rPr>
          <w:rFonts w:cstheme="minorHAnsi"/>
          <w:sz w:val="24"/>
          <w:szCs w:val="24"/>
        </w:rPr>
        <w:t xml:space="preserve"> was produced as an illuminated manuscript and print book in France in the late fifteenth century, the latter printed in several versions and many editions. Unusually, the 1499 manuscript was not the first to be produced. Sandra L Hindman has analysed the paintings in the </w:t>
      </w:r>
      <w:r>
        <w:rPr>
          <w:rFonts w:cstheme="minorHAnsi"/>
          <w:i/>
          <w:sz w:val="24"/>
          <w:szCs w:val="24"/>
        </w:rPr>
        <w:t xml:space="preserve">Danse Macabre des Femmes </w:t>
      </w:r>
      <w:r>
        <w:rPr>
          <w:rFonts w:cstheme="minorHAnsi"/>
          <w:sz w:val="24"/>
          <w:szCs w:val="24"/>
        </w:rPr>
        <w:t>and considers that they are not derogatory towards women but were composed in their praise.</w:t>
      </w:r>
      <w:r>
        <w:rPr>
          <w:rStyle w:val="FootnoteReference"/>
          <w:rFonts w:cstheme="minorHAnsi"/>
          <w:sz w:val="24"/>
          <w:szCs w:val="24"/>
        </w:rPr>
        <w:footnoteReference w:id="21"/>
      </w:r>
      <w:r>
        <w:rPr>
          <w:rFonts w:cstheme="minorHAnsi"/>
          <w:sz w:val="24"/>
          <w:szCs w:val="24"/>
        </w:rPr>
        <w:t xml:space="preserve"> </w:t>
      </w:r>
      <w:r w:rsidR="00924BF3">
        <w:rPr>
          <w:rFonts w:cstheme="minorHAnsi"/>
          <w:sz w:val="24"/>
          <w:szCs w:val="24"/>
        </w:rPr>
        <w:t>The omission of one or other sex from a Danse detracts from the inclusivity of its mess</w:t>
      </w:r>
      <w:r w:rsidR="006F5305">
        <w:rPr>
          <w:rFonts w:cstheme="minorHAnsi"/>
          <w:sz w:val="24"/>
          <w:szCs w:val="24"/>
        </w:rPr>
        <w:t>a</w:t>
      </w:r>
      <w:r w:rsidR="00924BF3">
        <w:rPr>
          <w:rFonts w:cstheme="minorHAnsi"/>
          <w:sz w:val="24"/>
          <w:szCs w:val="24"/>
        </w:rPr>
        <w:t>ge: we must all go with Death when he calls.</w:t>
      </w:r>
    </w:p>
    <w:p w14:paraId="7944760A" w14:textId="77777777" w:rsidR="00A7263E" w:rsidRDefault="00A7263E" w:rsidP="00A7263E">
      <w:pPr>
        <w:spacing w:line="360" w:lineRule="auto"/>
        <w:rPr>
          <w:rFonts w:cstheme="minorHAnsi"/>
          <w:sz w:val="24"/>
          <w:szCs w:val="24"/>
        </w:rPr>
      </w:pPr>
    </w:p>
    <w:p w14:paraId="52715E5C" w14:textId="1E127835" w:rsidR="00A7263E" w:rsidRDefault="00A7263E" w:rsidP="00A7263E">
      <w:pPr>
        <w:spacing w:line="360" w:lineRule="auto"/>
        <w:rPr>
          <w:rFonts w:cstheme="minorHAnsi"/>
          <w:sz w:val="24"/>
          <w:szCs w:val="24"/>
        </w:rPr>
      </w:pPr>
      <w:r>
        <w:rPr>
          <w:rFonts w:cstheme="minorHAnsi"/>
          <w:sz w:val="24"/>
          <w:szCs w:val="24"/>
        </w:rPr>
        <w:t xml:space="preserve">Although the </w:t>
      </w:r>
      <w:r>
        <w:rPr>
          <w:rFonts w:cstheme="minorHAnsi"/>
          <w:i/>
          <w:sz w:val="24"/>
          <w:szCs w:val="24"/>
        </w:rPr>
        <w:t xml:space="preserve">Danse </w:t>
      </w:r>
      <w:r>
        <w:rPr>
          <w:rFonts w:cstheme="minorHAnsi"/>
          <w:sz w:val="24"/>
          <w:szCs w:val="24"/>
        </w:rPr>
        <w:t>would have been most familiar as a wall painting in churches across northern Europe, printed texts were widely distributed and Gertsman tells that it was also performed.</w:t>
      </w:r>
      <w:r>
        <w:rPr>
          <w:rStyle w:val="FootnoteReference"/>
          <w:rFonts w:cstheme="minorHAnsi"/>
          <w:sz w:val="24"/>
          <w:szCs w:val="24"/>
        </w:rPr>
        <w:footnoteReference w:id="22"/>
      </w:r>
      <w:r>
        <w:rPr>
          <w:rFonts w:cstheme="minorHAnsi"/>
          <w:sz w:val="24"/>
          <w:szCs w:val="24"/>
        </w:rPr>
        <w:t xml:space="preserve"> Murals survive in many places, perhaps the most famous being Bernt Notke’s piece in Tallin of which a seven and a half metre section remains of possibly thirty metres, now housed in a museum.</w:t>
      </w:r>
      <w:r w:rsidR="00030DAF">
        <w:rPr>
          <w:rStyle w:val="FootnoteReference"/>
          <w:rFonts w:cstheme="minorHAnsi"/>
          <w:sz w:val="24"/>
          <w:szCs w:val="24"/>
        </w:rPr>
        <w:footnoteReference w:id="23"/>
      </w:r>
      <w:r>
        <w:rPr>
          <w:rFonts w:cstheme="minorHAnsi"/>
          <w:sz w:val="24"/>
          <w:szCs w:val="24"/>
        </w:rPr>
        <w:t xml:space="preserve"> Throughout Northern Europe the </w:t>
      </w:r>
      <w:r>
        <w:rPr>
          <w:rFonts w:cstheme="minorHAnsi"/>
          <w:i/>
          <w:sz w:val="24"/>
          <w:szCs w:val="24"/>
        </w:rPr>
        <w:t>Danse</w:t>
      </w:r>
      <w:r>
        <w:rPr>
          <w:rFonts w:cstheme="minorHAnsi"/>
          <w:sz w:val="24"/>
          <w:szCs w:val="24"/>
        </w:rPr>
        <w:t xml:space="preserve"> must have been familiar to the majority, although it could be tailored to its audience: the </w:t>
      </w:r>
      <w:r>
        <w:rPr>
          <w:rFonts w:cstheme="minorHAnsi"/>
          <w:i/>
          <w:sz w:val="24"/>
          <w:szCs w:val="24"/>
        </w:rPr>
        <w:t>Danse Macabre des Femmes</w:t>
      </w:r>
      <w:r>
        <w:rPr>
          <w:rFonts w:cstheme="minorHAnsi"/>
          <w:sz w:val="24"/>
          <w:szCs w:val="24"/>
        </w:rPr>
        <w:t xml:space="preserve">, for example, exists in both printed and manuscript forms with the latter being </w:t>
      </w:r>
      <w:r>
        <w:rPr>
          <w:rFonts w:cstheme="minorHAnsi"/>
          <w:sz w:val="24"/>
          <w:szCs w:val="24"/>
        </w:rPr>
        <w:lastRenderedPageBreak/>
        <w:t>apparently directed towards higher status readers: the majority of the living are shown in high status clothing with few exceptions, while those in the printed editions are more representative of a cross section of society.</w:t>
      </w:r>
      <w:r w:rsidR="009B4A4F">
        <w:rPr>
          <w:rFonts w:cstheme="minorHAnsi"/>
          <w:sz w:val="24"/>
          <w:szCs w:val="24"/>
        </w:rPr>
        <w:t xml:space="preserve"> Manuscript versions are available to only a small group in a specific part of society, while wall paintings are seen by anyone entering a church and printed texts are the most available of all: they are available in the home.</w:t>
      </w:r>
    </w:p>
    <w:p w14:paraId="623DCBA8" w14:textId="77777777" w:rsidR="00A7263E" w:rsidRDefault="00A7263E" w:rsidP="00A7263E">
      <w:pPr>
        <w:spacing w:line="360" w:lineRule="auto"/>
        <w:rPr>
          <w:rFonts w:cstheme="minorHAnsi"/>
          <w:sz w:val="24"/>
          <w:szCs w:val="24"/>
        </w:rPr>
      </w:pPr>
    </w:p>
    <w:p w14:paraId="77BADCDF" w14:textId="08178F92" w:rsidR="00A7263E" w:rsidRDefault="00A7263E" w:rsidP="00A7263E">
      <w:pPr>
        <w:spacing w:line="360" w:lineRule="auto"/>
        <w:rPr>
          <w:rFonts w:cstheme="minorHAnsi"/>
          <w:sz w:val="24"/>
          <w:szCs w:val="24"/>
        </w:rPr>
      </w:pPr>
      <w:r>
        <w:rPr>
          <w:rFonts w:cstheme="minorHAnsi"/>
          <w:sz w:val="24"/>
          <w:szCs w:val="24"/>
        </w:rPr>
        <w:t xml:space="preserve">The dead featured in the </w:t>
      </w:r>
      <w:r>
        <w:rPr>
          <w:rFonts w:cstheme="minorHAnsi"/>
          <w:i/>
          <w:sz w:val="24"/>
          <w:szCs w:val="24"/>
        </w:rPr>
        <w:t>Danse</w:t>
      </w:r>
      <w:r>
        <w:rPr>
          <w:rFonts w:cstheme="minorHAnsi"/>
          <w:sz w:val="24"/>
          <w:szCs w:val="24"/>
        </w:rPr>
        <w:t xml:space="preserve"> are not Death himself, but only his representatives, leading the living on to the next stage of their journey: death is part of life as much as is birth. In some versions the dead lead the living inexorably onwards, moving in a peculiarly lively fashion. In comparison, the living seem to move more slowly, sometimes even sedately, which gives an understandable sense of reluctance. </w:t>
      </w:r>
      <w:r w:rsidR="00030DAF">
        <w:rPr>
          <w:rFonts w:cstheme="minorHAnsi"/>
          <w:sz w:val="24"/>
          <w:szCs w:val="24"/>
        </w:rPr>
        <w:t xml:space="preserve">That the dead are so lively implies a sense of liberation. They have made their recompense and now they do their job of ushering souls through the gate to the next stage of their lives. </w:t>
      </w:r>
      <w:r>
        <w:rPr>
          <w:rFonts w:cstheme="minorHAnsi"/>
          <w:sz w:val="24"/>
          <w:szCs w:val="24"/>
        </w:rPr>
        <w:t xml:space="preserve">Look at the interactions between the dead and their living companions in the page chosen. The archbishop gestures towards his cross, half turning away, and the knight has his hand on his sword but shows no reluctance; meanwhile the dead man between them has a hand on each. The bishop raises a hand while his death calls out to those in the previous panel and the squire, hawk on hand, points away. The Franciscan seems reluctant, looking away from the dead man, and the baby’s death touches his shoulder while grasping the baby’s arm. The tonsured clerk leans away, but the hermit seems resigned. At his back is a second dead man who points back, perhaps towards life? Does he think the hermit has left his work unfinished? </w:t>
      </w:r>
    </w:p>
    <w:p w14:paraId="56B845FB" w14:textId="77777777" w:rsidR="00A7263E" w:rsidRDefault="00A7263E" w:rsidP="00A7263E">
      <w:pPr>
        <w:spacing w:line="360" w:lineRule="auto"/>
        <w:rPr>
          <w:rFonts w:cstheme="minorHAnsi"/>
          <w:sz w:val="24"/>
          <w:szCs w:val="24"/>
        </w:rPr>
      </w:pPr>
    </w:p>
    <w:p w14:paraId="76618878" w14:textId="7921129E" w:rsidR="00A7263E" w:rsidRDefault="00A7263E" w:rsidP="00A7263E">
      <w:pPr>
        <w:spacing w:line="360" w:lineRule="auto"/>
        <w:rPr>
          <w:rFonts w:cstheme="minorHAnsi"/>
          <w:sz w:val="24"/>
          <w:szCs w:val="24"/>
        </w:rPr>
      </w:pPr>
      <w:r>
        <w:rPr>
          <w:rFonts w:cstheme="minorHAnsi"/>
          <w:sz w:val="24"/>
          <w:szCs w:val="24"/>
        </w:rPr>
        <w:t xml:space="preserve">The aim of the </w:t>
      </w:r>
      <w:r>
        <w:rPr>
          <w:rFonts w:cstheme="minorHAnsi"/>
          <w:i/>
          <w:sz w:val="24"/>
          <w:szCs w:val="24"/>
        </w:rPr>
        <w:t xml:space="preserve">Danse </w:t>
      </w:r>
      <w:r>
        <w:rPr>
          <w:rFonts w:cstheme="minorHAnsi"/>
          <w:sz w:val="24"/>
          <w:szCs w:val="24"/>
        </w:rPr>
        <w:t xml:space="preserve">is to spur the reader or viewer on to plan for a good death. Each pair has its own poem in two parts: eight lines for the dead and eight for the living, in which the former relays what the latter needs to amend or consider, and the living responds, sometimes with complaint, sometimes with grace. Whatever the response, one thing is clear: Death is the great </w:t>
      </w:r>
      <w:r w:rsidR="005860F0">
        <w:rPr>
          <w:rFonts w:cstheme="minorHAnsi"/>
          <w:sz w:val="24"/>
          <w:szCs w:val="24"/>
        </w:rPr>
        <w:t>leveller,</w:t>
      </w:r>
      <w:r>
        <w:rPr>
          <w:rFonts w:cstheme="minorHAnsi"/>
          <w:sz w:val="24"/>
          <w:szCs w:val="24"/>
        </w:rPr>
        <w:t xml:space="preserve"> and all must die.</w:t>
      </w:r>
      <w:r w:rsidR="003D57FD">
        <w:rPr>
          <w:rFonts w:cstheme="minorHAnsi"/>
          <w:sz w:val="24"/>
          <w:szCs w:val="24"/>
        </w:rPr>
        <w:t xml:space="preserve"> </w:t>
      </w:r>
      <w:proofErr w:type="gramStart"/>
      <w:r w:rsidR="00E050AF">
        <w:rPr>
          <w:rFonts w:cstheme="minorHAnsi"/>
          <w:sz w:val="24"/>
          <w:szCs w:val="24"/>
        </w:rPr>
        <w:t>However</w:t>
      </w:r>
      <w:proofErr w:type="gramEnd"/>
      <w:r w:rsidR="003D57FD">
        <w:rPr>
          <w:rFonts w:cstheme="minorHAnsi"/>
          <w:sz w:val="24"/>
          <w:szCs w:val="24"/>
        </w:rPr>
        <w:t xml:space="preserve"> one has lived and died, God will judge.</w:t>
      </w:r>
    </w:p>
    <w:p w14:paraId="422D65CE" w14:textId="77777777" w:rsidR="00C678F8" w:rsidRDefault="00C678F8" w:rsidP="00047062">
      <w:pPr>
        <w:spacing w:line="360" w:lineRule="auto"/>
      </w:pPr>
    </w:p>
    <w:p w14:paraId="30C6103B" w14:textId="493E7CD6" w:rsidR="008F1047" w:rsidRDefault="008F1047" w:rsidP="00047062">
      <w:pPr>
        <w:spacing w:line="360" w:lineRule="auto"/>
        <w:rPr>
          <w:sz w:val="20"/>
          <w:szCs w:val="20"/>
        </w:rPr>
      </w:pPr>
    </w:p>
    <w:p w14:paraId="38A423A7" w14:textId="1E4999BF" w:rsidR="00263FD8" w:rsidRDefault="00263FD8" w:rsidP="004374D3">
      <w:pPr>
        <w:spacing w:line="360" w:lineRule="auto"/>
        <w:jc w:val="center"/>
        <w:rPr>
          <w:noProof/>
          <w:u w:val="single"/>
        </w:rPr>
      </w:pPr>
      <w:r>
        <w:rPr>
          <w:noProof/>
          <w:u w:val="single"/>
        </w:rPr>
        <w:lastRenderedPageBreak/>
        <w:t xml:space="preserve">Chapter V of </w:t>
      </w:r>
      <w:r>
        <w:rPr>
          <w:i/>
          <w:iCs/>
          <w:noProof/>
          <w:u w:val="single"/>
        </w:rPr>
        <w:t>The Art and Craft to Know Well to Die</w:t>
      </w:r>
      <w:r>
        <w:rPr>
          <w:noProof/>
          <w:u w:val="single"/>
        </w:rPr>
        <w:t xml:space="preserve"> by William Caxton</w:t>
      </w:r>
    </w:p>
    <w:p w14:paraId="089C0936" w14:textId="26184A15" w:rsidR="00112FBD" w:rsidRDefault="00112FBD" w:rsidP="00047062">
      <w:pPr>
        <w:spacing w:line="360" w:lineRule="auto"/>
        <w:rPr>
          <w:noProof/>
          <w:u w:val="single"/>
        </w:rPr>
      </w:pPr>
    </w:p>
    <w:p w14:paraId="3CE4F7D7" w14:textId="45AD56D2" w:rsidR="000460B0" w:rsidRDefault="000460B0" w:rsidP="00047062">
      <w:pPr>
        <w:spacing w:line="360" w:lineRule="auto"/>
        <w:rPr>
          <w:rFonts w:eastAsia="Times New Roman" w:cstheme="minorHAnsi"/>
          <w:bCs/>
          <w:color w:val="343536"/>
          <w:sz w:val="24"/>
          <w:szCs w:val="24"/>
          <w:lang w:eastAsia="en-GB"/>
        </w:rPr>
      </w:pPr>
      <w:r>
        <w:rPr>
          <w:noProof/>
          <w:sz w:val="24"/>
          <w:szCs w:val="24"/>
        </w:rPr>
        <w:t>This piece is translated by William Caxton in the late fifteenth century from</w:t>
      </w:r>
      <w:r>
        <w:rPr>
          <w:rFonts w:eastAsia="Times New Roman" w:cstheme="minorHAnsi"/>
          <w:bCs/>
          <w:i/>
          <w:color w:val="343536"/>
          <w:sz w:val="24"/>
          <w:szCs w:val="24"/>
          <w:lang w:eastAsia="en-GB"/>
        </w:rPr>
        <w:t xml:space="preserve"> L’art de bien vivre et de bien mourir</w:t>
      </w:r>
      <w:r>
        <w:rPr>
          <w:rFonts w:eastAsia="Times New Roman" w:cstheme="minorHAnsi"/>
          <w:bCs/>
          <w:color w:val="343536"/>
          <w:sz w:val="24"/>
          <w:szCs w:val="24"/>
          <w:lang w:eastAsia="en-GB"/>
        </w:rPr>
        <w:t xml:space="preserve">, an abridged translation from </w:t>
      </w:r>
      <w:r>
        <w:rPr>
          <w:rFonts w:eastAsia="Times New Roman" w:cstheme="minorHAnsi"/>
          <w:bCs/>
          <w:i/>
          <w:color w:val="343536"/>
          <w:sz w:val="24"/>
          <w:szCs w:val="24"/>
          <w:lang w:eastAsia="en-GB"/>
        </w:rPr>
        <w:t>De arte bene moriendi</w:t>
      </w:r>
      <w:r>
        <w:rPr>
          <w:rFonts w:eastAsia="Times New Roman" w:cstheme="minorHAnsi"/>
          <w:bCs/>
          <w:color w:val="343536"/>
          <w:sz w:val="24"/>
          <w:szCs w:val="24"/>
          <w:lang w:eastAsia="en-GB"/>
        </w:rPr>
        <w:t xml:space="preserve">, or </w:t>
      </w:r>
      <w:r>
        <w:rPr>
          <w:rFonts w:eastAsia="Times New Roman" w:cstheme="minorHAnsi"/>
          <w:bCs/>
          <w:i/>
          <w:color w:val="343536"/>
          <w:sz w:val="24"/>
          <w:szCs w:val="24"/>
          <w:lang w:eastAsia="en-GB"/>
        </w:rPr>
        <w:t>Ars moriendi</w:t>
      </w:r>
      <w:r>
        <w:rPr>
          <w:rFonts w:eastAsia="Times New Roman" w:cstheme="minorHAnsi"/>
          <w:bCs/>
          <w:color w:val="343536"/>
          <w:sz w:val="24"/>
          <w:szCs w:val="24"/>
          <w:lang w:eastAsia="en-GB"/>
        </w:rPr>
        <w:t>.</w:t>
      </w:r>
      <w:r>
        <w:rPr>
          <w:rStyle w:val="FootnoteReference"/>
          <w:rFonts w:eastAsia="Times New Roman" w:cstheme="minorHAnsi"/>
          <w:bCs/>
          <w:color w:val="343536"/>
          <w:sz w:val="24"/>
          <w:szCs w:val="24"/>
          <w:lang w:eastAsia="en-GB"/>
        </w:rPr>
        <w:footnoteReference w:id="24"/>
      </w:r>
      <w:r>
        <w:rPr>
          <w:rFonts w:eastAsia="Times New Roman" w:cstheme="minorHAnsi"/>
          <w:bCs/>
          <w:color w:val="343536"/>
          <w:sz w:val="24"/>
          <w:szCs w:val="24"/>
          <w:lang w:eastAsia="en-GB"/>
        </w:rPr>
        <w:t xml:space="preserve"> Several related texts discussing the process of dying were available, in Latin and vernacular languages, following Jean Gerson’s 1408 </w:t>
      </w:r>
      <w:r>
        <w:rPr>
          <w:rFonts w:eastAsia="Times New Roman" w:cstheme="minorHAnsi"/>
          <w:bCs/>
          <w:i/>
          <w:color w:val="343536"/>
          <w:sz w:val="24"/>
          <w:szCs w:val="24"/>
          <w:lang w:eastAsia="en-GB"/>
        </w:rPr>
        <w:t>De arte moriendi</w:t>
      </w:r>
      <w:r>
        <w:rPr>
          <w:rFonts w:eastAsia="Times New Roman" w:cstheme="minorHAnsi"/>
          <w:bCs/>
          <w:color w:val="343536"/>
          <w:sz w:val="24"/>
          <w:szCs w:val="24"/>
          <w:lang w:eastAsia="en-GB"/>
        </w:rPr>
        <w:t>, and the introduction of printed books made titles such as this less expensive and therefore more widely available. This availability and that they were reprinted many times in large numbers is an indicator of the perceived need for them. This edition is a collection of such works produced in 1917.</w:t>
      </w:r>
    </w:p>
    <w:p w14:paraId="25E8A08A" w14:textId="77777777" w:rsidR="00C51D3A" w:rsidRDefault="00C51D3A" w:rsidP="00047062">
      <w:pPr>
        <w:spacing w:line="360" w:lineRule="auto"/>
        <w:rPr>
          <w:rFonts w:eastAsia="Times New Roman" w:cstheme="minorHAnsi"/>
          <w:bCs/>
          <w:color w:val="343536"/>
          <w:sz w:val="24"/>
          <w:szCs w:val="24"/>
          <w:lang w:eastAsia="en-GB"/>
        </w:rPr>
      </w:pPr>
    </w:p>
    <w:p w14:paraId="10F2D9D9" w14:textId="5A023511" w:rsidR="00112FBD" w:rsidRDefault="005976C1" w:rsidP="009E0DF6">
      <w:pPr>
        <w:spacing w:after="0" w:line="360" w:lineRule="auto"/>
        <w:rPr>
          <w:noProof/>
          <w:sz w:val="24"/>
          <w:szCs w:val="24"/>
        </w:rPr>
      </w:pPr>
      <w:r>
        <w:rPr>
          <w:noProof/>
          <w:sz w:val="24"/>
          <w:szCs w:val="24"/>
        </w:rPr>
        <w:t>The book is intended not only for the dying (</w:t>
      </w:r>
      <w:r>
        <w:rPr>
          <w:i/>
          <w:noProof/>
          <w:sz w:val="24"/>
          <w:szCs w:val="24"/>
        </w:rPr>
        <w:t>Moriens</w:t>
      </w:r>
      <w:r>
        <w:rPr>
          <w:noProof/>
          <w:sz w:val="24"/>
          <w:szCs w:val="24"/>
        </w:rPr>
        <w:t xml:space="preserve">) </w:t>
      </w:r>
      <w:r w:rsidRPr="002D700E">
        <w:rPr>
          <w:noProof/>
          <w:sz w:val="24"/>
          <w:szCs w:val="24"/>
        </w:rPr>
        <w:t>but for his attendants:</w:t>
      </w:r>
      <w:r w:rsidR="002D700E">
        <w:rPr>
          <w:noProof/>
          <w:sz w:val="24"/>
          <w:szCs w:val="24"/>
        </w:rPr>
        <w:t xml:space="preserve"> everyone needed to know how to achieve a good death themselves and to help others to that end. B</w:t>
      </w:r>
      <w:r>
        <w:rPr>
          <w:noProof/>
          <w:sz w:val="24"/>
          <w:szCs w:val="24"/>
        </w:rPr>
        <w:t xml:space="preserve">y following its advice, </w:t>
      </w:r>
      <w:r>
        <w:rPr>
          <w:i/>
          <w:noProof/>
          <w:sz w:val="24"/>
          <w:szCs w:val="24"/>
        </w:rPr>
        <w:t>Moriens</w:t>
      </w:r>
      <w:r>
        <w:rPr>
          <w:noProof/>
          <w:sz w:val="24"/>
          <w:szCs w:val="24"/>
        </w:rPr>
        <w:t xml:space="preserve"> will reduce time in Purgatory, and the attendants will have helped, at the same time earning heavenly credit</w:t>
      </w:r>
      <w:r w:rsidR="002D700E">
        <w:rPr>
          <w:noProof/>
          <w:sz w:val="24"/>
          <w:szCs w:val="24"/>
        </w:rPr>
        <w:t xml:space="preserve"> for themselves</w:t>
      </w:r>
      <w:r>
        <w:rPr>
          <w:noProof/>
          <w:sz w:val="24"/>
          <w:szCs w:val="24"/>
        </w:rPr>
        <w:t>.</w:t>
      </w:r>
      <w:r w:rsidRPr="005976C1">
        <w:rPr>
          <w:noProof/>
          <w:sz w:val="24"/>
          <w:szCs w:val="24"/>
        </w:rPr>
        <w:t xml:space="preserve"> </w:t>
      </w:r>
      <w:r>
        <w:rPr>
          <w:noProof/>
          <w:sz w:val="24"/>
          <w:szCs w:val="24"/>
        </w:rPr>
        <w:t>Duclow has called this ‘a practical manual for confronting and managing death and dying’, a source of ‘competent, practical advice.’</w:t>
      </w:r>
      <w:r>
        <w:rPr>
          <w:rStyle w:val="FootnoteReference"/>
          <w:noProof/>
          <w:sz w:val="24"/>
          <w:szCs w:val="24"/>
        </w:rPr>
        <w:footnoteReference w:id="25"/>
      </w:r>
      <w:r>
        <w:rPr>
          <w:noProof/>
          <w:sz w:val="24"/>
          <w:szCs w:val="24"/>
        </w:rPr>
        <w:t xml:space="preserve"> </w:t>
      </w:r>
      <w:r w:rsidR="00112FBD">
        <w:rPr>
          <w:noProof/>
          <w:sz w:val="24"/>
          <w:szCs w:val="24"/>
        </w:rPr>
        <w:t>It is a handbook of instruction and consolation, preparing for death and ‘teaching and comforting them that be on the point of death’</w:t>
      </w:r>
      <w:r w:rsidR="00112FBD">
        <w:rPr>
          <w:rStyle w:val="FootnoteReference"/>
          <w:noProof/>
          <w:sz w:val="24"/>
          <w:szCs w:val="24"/>
        </w:rPr>
        <w:footnoteReference w:id="26"/>
      </w:r>
      <w:r w:rsidR="00112FBD">
        <w:rPr>
          <w:noProof/>
          <w:sz w:val="24"/>
          <w:szCs w:val="24"/>
        </w:rPr>
        <w:t xml:space="preserve"> </w:t>
      </w:r>
      <w:r>
        <w:rPr>
          <w:noProof/>
          <w:sz w:val="24"/>
          <w:szCs w:val="24"/>
        </w:rPr>
        <w:t>showing</w:t>
      </w:r>
      <w:r w:rsidR="00112FBD">
        <w:rPr>
          <w:noProof/>
          <w:sz w:val="24"/>
          <w:szCs w:val="24"/>
        </w:rPr>
        <w:t xml:space="preserve"> that a good, Christian death was of great </w:t>
      </w:r>
      <w:r w:rsidR="00112FBD" w:rsidRPr="009D4532">
        <w:rPr>
          <w:noProof/>
          <w:sz w:val="24"/>
          <w:szCs w:val="24"/>
        </w:rPr>
        <w:t xml:space="preserve">importance. By the time of the production of these books the doctrine of Purgatory </w:t>
      </w:r>
      <w:r w:rsidR="00026C97" w:rsidRPr="009D4532">
        <w:rPr>
          <w:noProof/>
          <w:sz w:val="24"/>
          <w:szCs w:val="24"/>
        </w:rPr>
        <w:tab/>
      </w:r>
      <w:r w:rsidR="00112FBD" w:rsidRPr="009D4532">
        <w:rPr>
          <w:noProof/>
          <w:sz w:val="24"/>
          <w:szCs w:val="24"/>
        </w:rPr>
        <w:t>was fully formed and a good death,</w:t>
      </w:r>
      <w:r w:rsidR="009D4532" w:rsidRPr="009D4532">
        <w:rPr>
          <w:noProof/>
          <w:sz w:val="24"/>
          <w:szCs w:val="24"/>
        </w:rPr>
        <w:t xml:space="preserve"> following a life with amends having been made for all sins  and </w:t>
      </w:r>
      <w:r w:rsidR="00112FBD" w:rsidRPr="009D4532">
        <w:rPr>
          <w:noProof/>
          <w:sz w:val="24"/>
          <w:szCs w:val="24"/>
        </w:rPr>
        <w:t>with</w:t>
      </w:r>
      <w:r w:rsidR="00112FBD">
        <w:rPr>
          <w:noProof/>
          <w:sz w:val="24"/>
          <w:szCs w:val="24"/>
        </w:rPr>
        <w:t xml:space="preserve"> full confession and repentance as well as disposition of goods and the soul was the first step on the road through that strange land.</w:t>
      </w:r>
      <w:r w:rsidR="009D4532">
        <w:rPr>
          <w:noProof/>
          <w:sz w:val="24"/>
          <w:szCs w:val="24"/>
        </w:rPr>
        <w:t xml:space="preserve"> Any effort at purging sins while Moriens was still alive, doing penance and making reparation, however onerous was preferrable to suffering in Purgatory for, perhaps, thousands of years.</w:t>
      </w:r>
    </w:p>
    <w:p w14:paraId="1ED3FD69" w14:textId="77777777" w:rsidR="00C51D3A" w:rsidRPr="005976C1" w:rsidRDefault="00C51D3A" w:rsidP="009E0DF6">
      <w:pPr>
        <w:spacing w:after="0" w:line="360" w:lineRule="auto"/>
        <w:rPr>
          <w:rFonts w:ascii="Times New Roman" w:hAnsi="Times New Roman" w:cs="Times New Roman"/>
          <w:sz w:val="24"/>
          <w:szCs w:val="24"/>
          <w:lang w:eastAsia="en-GB"/>
        </w:rPr>
      </w:pPr>
    </w:p>
    <w:p w14:paraId="54E421C1" w14:textId="5F4C2D1B" w:rsidR="009E0DF6" w:rsidRDefault="00112FBD" w:rsidP="009E0DF6">
      <w:pPr>
        <w:spacing w:after="0" w:line="360" w:lineRule="auto"/>
        <w:rPr>
          <w:rFonts w:ascii="Times New Roman" w:hAnsi="Times New Roman" w:cs="Times New Roman"/>
          <w:sz w:val="24"/>
          <w:szCs w:val="24"/>
          <w:lang w:eastAsia="en-GB"/>
        </w:rPr>
      </w:pPr>
      <w:r>
        <w:rPr>
          <w:noProof/>
          <w:sz w:val="24"/>
          <w:szCs w:val="24"/>
        </w:rPr>
        <w:lastRenderedPageBreak/>
        <w:t>Such books deal only with the first stage of death including confession and extreme unction. Th</w:t>
      </w:r>
      <w:r w:rsidR="00C51D3A">
        <w:rPr>
          <w:noProof/>
          <w:sz w:val="24"/>
          <w:szCs w:val="24"/>
        </w:rPr>
        <w:t>is</w:t>
      </w:r>
      <w:r>
        <w:rPr>
          <w:noProof/>
          <w:sz w:val="24"/>
          <w:szCs w:val="24"/>
        </w:rPr>
        <w:t xml:space="preserve"> is followed by preparation of the body and a more or less elaborate funeral including prayers for the dead. In the weeks and years afterwards intercessory prayers and masses should be said to hasten the soul’s passage through Purgatory. This</w:t>
      </w:r>
      <w:r w:rsidR="00047062">
        <w:rPr>
          <w:noProof/>
          <w:sz w:val="24"/>
          <w:szCs w:val="24"/>
        </w:rPr>
        <w:t xml:space="preserve"> </w:t>
      </w:r>
      <w:r>
        <w:rPr>
          <w:noProof/>
          <w:sz w:val="24"/>
          <w:szCs w:val="24"/>
        </w:rPr>
        <w:t xml:space="preserve">chapter advises </w:t>
      </w:r>
      <w:r>
        <w:rPr>
          <w:i/>
          <w:noProof/>
          <w:sz w:val="24"/>
          <w:szCs w:val="24"/>
        </w:rPr>
        <w:t>Moriens</w:t>
      </w:r>
      <w:r>
        <w:rPr>
          <w:noProof/>
          <w:sz w:val="24"/>
          <w:szCs w:val="24"/>
        </w:rPr>
        <w:t xml:space="preserve">’ deathbed attendants on how to help him to achieve a good death. Attendants are given a list of ways in which to help </w:t>
      </w:r>
      <w:r>
        <w:rPr>
          <w:i/>
          <w:noProof/>
          <w:sz w:val="24"/>
          <w:szCs w:val="24"/>
        </w:rPr>
        <w:t>Moriens</w:t>
      </w:r>
      <w:r>
        <w:rPr>
          <w:noProof/>
          <w:sz w:val="24"/>
          <w:szCs w:val="24"/>
        </w:rPr>
        <w:t xml:space="preserve"> and at least one of these was performed in 1373 in the case of a young Norwich woman, believed to be at the point of death who wrote that her parish priest </w:t>
      </w:r>
      <w:r w:rsidR="009E0DF6">
        <w:rPr>
          <w:noProof/>
          <w:sz w:val="24"/>
          <w:szCs w:val="24"/>
        </w:rPr>
        <w:t>“set the cross before my face and said ‘I have brought you the image of your Maker and Saviour. Look at it and be strengthened.’”</w:t>
      </w:r>
      <w:r w:rsidR="009E0DF6">
        <w:rPr>
          <w:rStyle w:val="FootnoteReference"/>
          <w:noProof/>
          <w:sz w:val="24"/>
          <w:szCs w:val="24"/>
        </w:rPr>
        <w:footnoteReference w:id="27"/>
      </w:r>
      <w:r w:rsidR="009E0DF6">
        <w:rPr>
          <w:noProof/>
          <w:sz w:val="24"/>
          <w:szCs w:val="24"/>
        </w:rPr>
        <w:t xml:space="preserve"> </w:t>
      </w:r>
      <w:r w:rsidR="000D1024">
        <w:rPr>
          <w:noProof/>
          <w:sz w:val="24"/>
          <w:szCs w:val="24"/>
        </w:rPr>
        <w:t>The showing of the cross gave comfort, but it was also believed to drive away any devils present. Even if Moriens was unconscious such actions were beneficial: he could still feel consent in his heart ‘for that sufficeth to his salvation’.</w:t>
      </w:r>
      <w:r w:rsidR="000D1024">
        <w:rPr>
          <w:rStyle w:val="FootnoteReference"/>
          <w:noProof/>
          <w:sz w:val="24"/>
          <w:szCs w:val="24"/>
        </w:rPr>
        <w:footnoteReference w:id="28"/>
      </w:r>
      <w:r w:rsidR="000D1024">
        <w:rPr>
          <w:noProof/>
          <w:sz w:val="24"/>
          <w:szCs w:val="24"/>
        </w:rPr>
        <w:t xml:space="preserve"> That young woman </w:t>
      </w:r>
      <w:r w:rsidR="009E0DF6">
        <w:rPr>
          <w:noProof/>
          <w:sz w:val="24"/>
          <w:szCs w:val="24"/>
        </w:rPr>
        <w:t xml:space="preserve"> was Julian of Norwich, still a  source of inspiration. That she did not die is not the point: she and all her friends believed that she would, and all clearly strove towards a good death for her. As in Julian’s case, death frequently happened at home, and having a large number of people present was not unusual, indeed the crowded medieval death chamber is a mark of the extent to which death was part of community life.</w:t>
      </w:r>
      <w:r w:rsidR="009E0DF6">
        <w:rPr>
          <w:rFonts w:ascii="Times New Roman" w:hAnsi="Times New Roman" w:cs="Times New Roman"/>
          <w:sz w:val="24"/>
          <w:szCs w:val="24"/>
          <w:lang w:eastAsia="en-GB"/>
        </w:rPr>
        <w:t xml:space="preserve"> </w:t>
      </w:r>
    </w:p>
    <w:p w14:paraId="69DF6C64" w14:textId="7A7AD256" w:rsidR="00112FBD" w:rsidRPr="00977271" w:rsidRDefault="00112FBD" w:rsidP="009E0DF6">
      <w:pPr>
        <w:spacing w:after="0" w:line="360" w:lineRule="auto"/>
        <w:rPr>
          <w:rFonts w:cstheme="minorHAnsi"/>
          <w:noProof/>
          <w:sz w:val="24"/>
          <w:szCs w:val="24"/>
        </w:rPr>
      </w:pPr>
    </w:p>
    <w:p w14:paraId="4DD30334" w14:textId="4615A8F6" w:rsidR="002E18F8" w:rsidRDefault="00E4436E" w:rsidP="00047062">
      <w:pPr>
        <w:spacing w:after="0" w:line="360" w:lineRule="auto"/>
        <w:rPr>
          <w:noProof/>
          <w:sz w:val="24"/>
          <w:szCs w:val="24"/>
        </w:rPr>
      </w:pPr>
      <w:r>
        <w:rPr>
          <w:noProof/>
          <w:sz w:val="24"/>
          <w:szCs w:val="24"/>
        </w:rPr>
        <w:t xml:space="preserve">That this text does not address sudden death need not be a problem. </w:t>
      </w:r>
      <w:r w:rsidR="00C678F8">
        <w:rPr>
          <w:noProof/>
          <w:sz w:val="24"/>
          <w:szCs w:val="24"/>
        </w:rPr>
        <w:t xml:space="preserve">The only way in which a sudden death can be a good one is if one is always prepared: if one leads a good life, bearing Holy Writ constantly in mind, one is ready, whenever Death should call. </w:t>
      </w:r>
      <w:r w:rsidR="00E97427">
        <w:rPr>
          <w:noProof/>
          <w:sz w:val="24"/>
          <w:szCs w:val="24"/>
        </w:rPr>
        <w:t>T</w:t>
      </w:r>
      <w:r w:rsidR="00C678F8">
        <w:rPr>
          <w:noProof/>
          <w:sz w:val="24"/>
          <w:szCs w:val="24"/>
        </w:rPr>
        <w:t xml:space="preserve">his is a hard path: </w:t>
      </w:r>
      <w:r w:rsidR="00E97427">
        <w:rPr>
          <w:noProof/>
          <w:sz w:val="24"/>
          <w:szCs w:val="24"/>
        </w:rPr>
        <w:t xml:space="preserve">who </w:t>
      </w:r>
      <w:r w:rsidR="00C678F8">
        <w:rPr>
          <w:noProof/>
          <w:sz w:val="24"/>
          <w:szCs w:val="24"/>
        </w:rPr>
        <w:t>could say they were ready at any time? Are one’s affairs (spiritual and temporal) in order? The death represented in the text is idealised: many, if not the majority, must have died suddenly or alone, unprepared for the next step.</w:t>
      </w:r>
    </w:p>
    <w:p w14:paraId="0DF64ACF" w14:textId="737762C9" w:rsidR="00C678F8" w:rsidRDefault="00C678F8" w:rsidP="00047062">
      <w:pPr>
        <w:spacing w:line="360" w:lineRule="auto"/>
        <w:rPr>
          <w:sz w:val="20"/>
          <w:szCs w:val="20"/>
        </w:rPr>
      </w:pPr>
      <w:r>
        <w:rPr>
          <w:sz w:val="20"/>
          <w:szCs w:val="20"/>
        </w:rPr>
        <w:br w:type="page"/>
      </w:r>
    </w:p>
    <w:p w14:paraId="718F74EF" w14:textId="3CA09CB3" w:rsidR="00263FD8" w:rsidRDefault="00263FD8" w:rsidP="00047062">
      <w:pPr>
        <w:spacing w:line="240" w:lineRule="auto"/>
        <w:rPr>
          <w:sz w:val="20"/>
          <w:szCs w:val="20"/>
        </w:rPr>
      </w:pPr>
      <w:r>
        <w:rPr>
          <w:sz w:val="20"/>
          <w:szCs w:val="20"/>
        </w:rPr>
        <w:lastRenderedPageBreak/>
        <w:t>BIBLIOGRAPHY</w:t>
      </w:r>
    </w:p>
    <w:p w14:paraId="666DFEB3" w14:textId="77777777" w:rsidR="00C678F8" w:rsidRDefault="00C678F8" w:rsidP="00047062">
      <w:pPr>
        <w:spacing w:line="240" w:lineRule="auto"/>
        <w:rPr>
          <w:noProof/>
        </w:rPr>
      </w:pPr>
      <w:r>
        <w:rPr>
          <w:noProof/>
        </w:rPr>
        <w:t>Primary sources:</w:t>
      </w:r>
    </w:p>
    <w:p w14:paraId="24D106E0" w14:textId="77777777" w:rsidR="00C678F8" w:rsidRPr="00680F07" w:rsidRDefault="00C678F8" w:rsidP="00047062">
      <w:pPr>
        <w:spacing w:line="240" w:lineRule="auto"/>
        <w:rPr>
          <w:noProof/>
          <w:sz w:val="20"/>
          <w:szCs w:val="20"/>
        </w:rPr>
      </w:pPr>
      <w:r w:rsidRPr="00680F07">
        <w:rPr>
          <w:noProof/>
          <w:sz w:val="20"/>
          <w:szCs w:val="20"/>
        </w:rPr>
        <w:t xml:space="preserve">Julian of Norwich, </w:t>
      </w:r>
      <w:r w:rsidRPr="00680F07">
        <w:rPr>
          <w:i/>
          <w:noProof/>
          <w:sz w:val="20"/>
          <w:szCs w:val="20"/>
        </w:rPr>
        <w:t xml:space="preserve">Revelations of Divine Love </w:t>
      </w:r>
      <w:bookmarkStart w:id="3" w:name="_Hlk535934451"/>
      <w:r w:rsidRPr="00680F07">
        <w:rPr>
          <w:noProof/>
          <w:sz w:val="20"/>
          <w:szCs w:val="20"/>
        </w:rPr>
        <w:t>trans &amp; ed. Clifton Wolters (London: Penguin, 1988).</w:t>
      </w:r>
    </w:p>
    <w:bookmarkEnd w:id="3"/>
    <w:p w14:paraId="02017DCB" w14:textId="29191154" w:rsidR="00C678F8" w:rsidRPr="00680F07" w:rsidRDefault="00C678F8" w:rsidP="00047062">
      <w:pPr>
        <w:spacing w:line="240" w:lineRule="auto"/>
        <w:rPr>
          <w:noProof/>
          <w:sz w:val="20"/>
          <w:szCs w:val="20"/>
        </w:rPr>
      </w:pPr>
      <w:r w:rsidRPr="00680F07">
        <w:rPr>
          <w:noProof/>
          <w:sz w:val="20"/>
          <w:szCs w:val="20"/>
        </w:rPr>
        <w:t xml:space="preserve">Caxton, William, </w:t>
      </w:r>
      <w:bookmarkStart w:id="4" w:name="_Hlk536711396"/>
      <w:r w:rsidR="00206E83">
        <w:rPr>
          <w:noProof/>
          <w:sz w:val="20"/>
          <w:szCs w:val="20"/>
        </w:rPr>
        <w:t>“</w:t>
      </w:r>
      <w:r w:rsidR="009A7C7C" w:rsidRPr="00206E83">
        <w:rPr>
          <w:noProof/>
          <w:sz w:val="20"/>
          <w:szCs w:val="20"/>
        </w:rPr>
        <w:t xml:space="preserve">The Craft </w:t>
      </w:r>
      <w:r w:rsidR="00206E83" w:rsidRPr="00206E83">
        <w:rPr>
          <w:noProof/>
          <w:sz w:val="20"/>
          <w:szCs w:val="20"/>
        </w:rPr>
        <w:t>to</w:t>
      </w:r>
      <w:r w:rsidR="009A7C7C" w:rsidRPr="00206E83">
        <w:rPr>
          <w:noProof/>
          <w:sz w:val="20"/>
          <w:szCs w:val="20"/>
        </w:rPr>
        <w:t xml:space="preserve"> Know to Die Well</w:t>
      </w:r>
      <w:r w:rsidR="00206E83">
        <w:rPr>
          <w:noProof/>
          <w:sz w:val="20"/>
          <w:szCs w:val="20"/>
        </w:rPr>
        <w:t>”</w:t>
      </w:r>
      <w:r w:rsidR="009A7C7C" w:rsidRPr="009A7C7C">
        <w:rPr>
          <w:i/>
          <w:noProof/>
          <w:sz w:val="20"/>
          <w:szCs w:val="20"/>
        </w:rPr>
        <w:t>,</w:t>
      </w:r>
      <w:r w:rsidR="00F26226">
        <w:rPr>
          <w:noProof/>
          <w:sz w:val="20"/>
          <w:szCs w:val="20"/>
        </w:rPr>
        <w:t xml:space="preserve"> </w:t>
      </w:r>
      <w:bookmarkStart w:id="5" w:name="_Hlk536786758"/>
      <w:r w:rsidR="00206E83" w:rsidRPr="00206E83">
        <w:rPr>
          <w:i/>
          <w:noProof/>
          <w:sz w:val="20"/>
          <w:szCs w:val="20"/>
        </w:rPr>
        <w:t>The Book of the Craft of Dying and Other Early English Tracts</w:t>
      </w:r>
      <w:r w:rsidR="00F26226">
        <w:rPr>
          <w:i/>
          <w:noProof/>
          <w:sz w:val="20"/>
          <w:szCs w:val="20"/>
        </w:rPr>
        <w:tab/>
      </w:r>
      <w:r w:rsidR="00206E83" w:rsidRPr="00206E83">
        <w:rPr>
          <w:i/>
          <w:noProof/>
          <w:sz w:val="20"/>
          <w:szCs w:val="20"/>
        </w:rPr>
        <w:t xml:space="preserve"> Concerning Death</w:t>
      </w:r>
      <w:r w:rsidR="00206E83">
        <w:rPr>
          <w:noProof/>
          <w:sz w:val="20"/>
          <w:szCs w:val="20"/>
        </w:rPr>
        <w:t>,</w:t>
      </w:r>
      <w:r w:rsidR="00F74265">
        <w:rPr>
          <w:noProof/>
          <w:sz w:val="20"/>
          <w:szCs w:val="20"/>
        </w:rPr>
        <w:t xml:space="preserve"> ed. Comper, Frances M M,</w:t>
      </w:r>
      <w:r w:rsidR="00206E83">
        <w:rPr>
          <w:noProof/>
          <w:sz w:val="20"/>
          <w:szCs w:val="20"/>
        </w:rPr>
        <w:t xml:space="preserve"> (London: Longmans, 1917).</w:t>
      </w:r>
    </w:p>
    <w:p w14:paraId="429B2088" w14:textId="77777777" w:rsidR="00F26226" w:rsidRPr="00680F07" w:rsidRDefault="00F26226" w:rsidP="00F26226">
      <w:pPr>
        <w:spacing w:line="240" w:lineRule="auto"/>
        <w:rPr>
          <w:sz w:val="20"/>
          <w:szCs w:val="20"/>
        </w:rPr>
      </w:pPr>
      <w:bookmarkStart w:id="6" w:name="_Hlk536516619"/>
      <w:bookmarkEnd w:id="4"/>
      <w:bookmarkEnd w:id="5"/>
      <w:r>
        <w:rPr>
          <w:sz w:val="20"/>
          <w:szCs w:val="20"/>
        </w:rPr>
        <w:t xml:space="preserve">Anon., </w:t>
      </w:r>
      <w:r w:rsidRPr="00881299">
        <w:rPr>
          <w:i/>
          <w:sz w:val="20"/>
          <w:szCs w:val="20"/>
        </w:rPr>
        <w:t xml:space="preserve">A </w:t>
      </w:r>
      <w:proofErr w:type="spellStart"/>
      <w:r w:rsidRPr="00881299">
        <w:rPr>
          <w:i/>
          <w:sz w:val="20"/>
          <w:szCs w:val="20"/>
        </w:rPr>
        <w:t>Disputacion</w:t>
      </w:r>
      <w:proofErr w:type="spellEnd"/>
      <w:r w:rsidRPr="00881299">
        <w:rPr>
          <w:i/>
          <w:sz w:val="20"/>
          <w:szCs w:val="20"/>
        </w:rPr>
        <w:t xml:space="preserve"> </w:t>
      </w:r>
      <w:proofErr w:type="spellStart"/>
      <w:r w:rsidRPr="00881299">
        <w:rPr>
          <w:i/>
          <w:sz w:val="20"/>
          <w:szCs w:val="20"/>
        </w:rPr>
        <w:t>Betwyx</w:t>
      </w:r>
      <w:proofErr w:type="spellEnd"/>
      <w:r w:rsidRPr="00881299">
        <w:rPr>
          <w:i/>
          <w:sz w:val="20"/>
          <w:szCs w:val="20"/>
        </w:rPr>
        <w:t xml:space="preserve"> the Body and </w:t>
      </w:r>
      <w:proofErr w:type="spellStart"/>
      <w:r w:rsidRPr="00881299">
        <w:rPr>
          <w:i/>
          <w:sz w:val="20"/>
          <w:szCs w:val="20"/>
        </w:rPr>
        <w:t>Wormes</w:t>
      </w:r>
      <w:proofErr w:type="spellEnd"/>
      <w:r>
        <w:rPr>
          <w:sz w:val="20"/>
          <w:szCs w:val="20"/>
        </w:rPr>
        <w:t>: see module notes provided.</w:t>
      </w:r>
    </w:p>
    <w:p w14:paraId="52464E62" w14:textId="5F513BA7" w:rsidR="00AD2397" w:rsidRDefault="00AD2397" w:rsidP="00047062">
      <w:pPr>
        <w:spacing w:line="240" w:lineRule="auto"/>
        <w:rPr>
          <w:sz w:val="20"/>
          <w:szCs w:val="20"/>
        </w:rPr>
      </w:pPr>
      <w:r w:rsidRPr="00680F07">
        <w:rPr>
          <w:sz w:val="20"/>
          <w:szCs w:val="20"/>
        </w:rPr>
        <w:t xml:space="preserve">Anon., </w:t>
      </w:r>
      <w:r w:rsidRPr="00680F07">
        <w:rPr>
          <w:i/>
          <w:sz w:val="20"/>
          <w:szCs w:val="20"/>
        </w:rPr>
        <w:t>Pearl</w:t>
      </w:r>
      <w:r w:rsidRPr="00680F07">
        <w:rPr>
          <w:sz w:val="20"/>
          <w:szCs w:val="20"/>
        </w:rPr>
        <w:t>, ed. Gollancz,</w:t>
      </w:r>
      <w:r w:rsidR="007764E2">
        <w:rPr>
          <w:sz w:val="20"/>
          <w:szCs w:val="20"/>
        </w:rPr>
        <w:t xml:space="preserve"> Sir Israel,</w:t>
      </w:r>
      <w:r w:rsidRPr="00680F07">
        <w:rPr>
          <w:sz w:val="20"/>
          <w:szCs w:val="20"/>
        </w:rPr>
        <w:t xml:space="preserve"> (New York: Cooper Square Publishers Inc., 1966)</w:t>
      </w:r>
      <w:r w:rsidR="006C707C">
        <w:rPr>
          <w:sz w:val="20"/>
          <w:szCs w:val="20"/>
        </w:rPr>
        <w:t>.</w:t>
      </w:r>
    </w:p>
    <w:p w14:paraId="1DFA5EF1" w14:textId="2C92DBFF" w:rsidR="00F26226" w:rsidRPr="00680F07" w:rsidRDefault="00F26226" w:rsidP="00F26226">
      <w:pPr>
        <w:spacing w:line="240" w:lineRule="auto"/>
        <w:rPr>
          <w:noProof/>
          <w:sz w:val="20"/>
          <w:szCs w:val="20"/>
        </w:rPr>
      </w:pPr>
      <w:r>
        <w:rPr>
          <w:sz w:val="20"/>
          <w:szCs w:val="20"/>
        </w:rPr>
        <w:t xml:space="preserve">Anon., “The Book of the Craft of Dying”, </w:t>
      </w:r>
      <w:r w:rsidRPr="00206E83">
        <w:rPr>
          <w:i/>
          <w:noProof/>
          <w:sz w:val="20"/>
          <w:szCs w:val="20"/>
        </w:rPr>
        <w:t>The Book of the Craft of Dying and Other Early English Tracts</w:t>
      </w:r>
      <w:r>
        <w:rPr>
          <w:i/>
          <w:noProof/>
          <w:sz w:val="20"/>
          <w:szCs w:val="20"/>
        </w:rPr>
        <w:tab/>
      </w:r>
      <w:r>
        <w:rPr>
          <w:i/>
          <w:noProof/>
          <w:sz w:val="20"/>
          <w:szCs w:val="20"/>
        </w:rPr>
        <w:tab/>
      </w:r>
      <w:bookmarkStart w:id="7" w:name="_GoBack"/>
      <w:bookmarkEnd w:id="7"/>
      <w:r w:rsidRPr="00206E83">
        <w:rPr>
          <w:i/>
          <w:noProof/>
          <w:sz w:val="20"/>
          <w:szCs w:val="20"/>
        </w:rPr>
        <w:t xml:space="preserve"> Concerning Death</w:t>
      </w:r>
      <w:r>
        <w:rPr>
          <w:noProof/>
          <w:sz w:val="20"/>
          <w:szCs w:val="20"/>
        </w:rPr>
        <w:t>, ed. Comper, Frances M M, (London: Longmans, 1917).</w:t>
      </w:r>
    </w:p>
    <w:p w14:paraId="4A6A6F80" w14:textId="32B2E1AC" w:rsidR="00F26226" w:rsidRDefault="00F26226" w:rsidP="00047062">
      <w:pPr>
        <w:spacing w:line="240" w:lineRule="auto"/>
        <w:rPr>
          <w:sz w:val="20"/>
          <w:szCs w:val="20"/>
        </w:rPr>
      </w:pPr>
    </w:p>
    <w:bookmarkEnd w:id="6"/>
    <w:p w14:paraId="725211AF" w14:textId="2A17C892" w:rsidR="00AD2397" w:rsidRPr="00680F07" w:rsidRDefault="00AD2397" w:rsidP="00047062">
      <w:pPr>
        <w:spacing w:line="240" w:lineRule="auto"/>
        <w:rPr>
          <w:sz w:val="20"/>
          <w:szCs w:val="20"/>
        </w:rPr>
      </w:pPr>
    </w:p>
    <w:p w14:paraId="78A84D06" w14:textId="45229E77" w:rsidR="00C678F8" w:rsidRDefault="00C678F8" w:rsidP="00047062">
      <w:pPr>
        <w:spacing w:line="240" w:lineRule="auto"/>
        <w:rPr>
          <w:sz w:val="20"/>
          <w:szCs w:val="20"/>
        </w:rPr>
      </w:pPr>
    </w:p>
    <w:p w14:paraId="3CC910B9" w14:textId="54DEDD7B" w:rsidR="00C678F8" w:rsidRDefault="00C678F8" w:rsidP="00047062">
      <w:pPr>
        <w:spacing w:line="240" w:lineRule="auto"/>
        <w:rPr>
          <w:noProof/>
        </w:rPr>
      </w:pPr>
      <w:r>
        <w:rPr>
          <w:noProof/>
        </w:rPr>
        <w:t>Secondary sources:</w:t>
      </w:r>
    </w:p>
    <w:p w14:paraId="08936659" w14:textId="77777777" w:rsidR="00C678F8" w:rsidRDefault="00C678F8" w:rsidP="00047062">
      <w:pPr>
        <w:spacing w:line="240" w:lineRule="auto"/>
        <w:rPr>
          <w:sz w:val="20"/>
          <w:szCs w:val="20"/>
        </w:rPr>
      </w:pPr>
      <w:bookmarkStart w:id="8" w:name="_Hlk535750580"/>
      <w:r>
        <w:rPr>
          <w:sz w:val="20"/>
          <w:szCs w:val="20"/>
        </w:rPr>
        <w:t>Ari</w:t>
      </w:r>
      <w:r>
        <w:rPr>
          <w:rFonts w:cstheme="minorHAnsi"/>
          <w:sz w:val="20"/>
          <w:szCs w:val="20"/>
        </w:rPr>
        <w:t>è</w:t>
      </w:r>
      <w:r>
        <w:rPr>
          <w:sz w:val="20"/>
          <w:szCs w:val="20"/>
        </w:rPr>
        <w:t xml:space="preserve">s, Philippe, </w:t>
      </w:r>
      <w:bookmarkEnd w:id="8"/>
      <w:r>
        <w:rPr>
          <w:i/>
          <w:sz w:val="20"/>
          <w:szCs w:val="20"/>
        </w:rPr>
        <w:t>Western Attitudes Towards Death</w:t>
      </w:r>
      <w:r>
        <w:rPr>
          <w:sz w:val="20"/>
          <w:szCs w:val="20"/>
        </w:rPr>
        <w:t xml:space="preserve">, trans. Patricia M Ranum, (Baltimore: Johns Hopkins </w:t>
      </w:r>
      <w:r>
        <w:rPr>
          <w:sz w:val="20"/>
          <w:szCs w:val="20"/>
        </w:rPr>
        <w:tab/>
        <w:t>University Press, 1974).</w:t>
      </w:r>
    </w:p>
    <w:p w14:paraId="19CA0F58" w14:textId="4179E534" w:rsidR="00C678F8" w:rsidRDefault="00C678F8" w:rsidP="00047062">
      <w:pPr>
        <w:spacing w:line="240" w:lineRule="auto"/>
        <w:rPr>
          <w:sz w:val="20"/>
          <w:szCs w:val="20"/>
        </w:rPr>
      </w:pPr>
      <w:r>
        <w:rPr>
          <w:sz w:val="20"/>
          <w:szCs w:val="20"/>
        </w:rPr>
        <w:t>Ari</w:t>
      </w:r>
      <w:r>
        <w:rPr>
          <w:rFonts w:cstheme="minorHAnsi"/>
          <w:sz w:val="20"/>
          <w:szCs w:val="20"/>
        </w:rPr>
        <w:t>è</w:t>
      </w:r>
      <w:r>
        <w:rPr>
          <w:sz w:val="20"/>
          <w:szCs w:val="20"/>
        </w:rPr>
        <w:t xml:space="preserve">s, Philippe, </w:t>
      </w:r>
      <w:r>
        <w:rPr>
          <w:i/>
          <w:sz w:val="20"/>
          <w:szCs w:val="20"/>
        </w:rPr>
        <w:t xml:space="preserve">The Hour of Our Death: The Classic History of Western Attitudes Towards Death Over the Last </w:t>
      </w:r>
      <w:r>
        <w:rPr>
          <w:i/>
          <w:sz w:val="20"/>
          <w:szCs w:val="20"/>
        </w:rPr>
        <w:tab/>
        <w:t>One Thousand Years</w:t>
      </w:r>
      <w:r>
        <w:rPr>
          <w:sz w:val="20"/>
          <w:szCs w:val="20"/>
        </w:rPr>
        <w:t>, trans. Helen Weaver, (New York: Barnes &amp; Noble, 2000).</w:t>
      </w:r>
    </w:p>
    <w:p w14:paraId="76F6705F" w14:textId="77777777" w:rsidR="00D462DF" w:rsidRDefault="00D462DF" w:rsidP="00047062">
      <w:pPr>
        <w:spacing w:line="240" w:lineRule="auto"/>
        <w:rPr>
          <w:sz w:val="20"/>
          <w:szCs w:val="20"/>
        </w:rPr>
      </w:pPr>
      <w:r>
        <w:rPr>
          <w:sz w:val="20"/>
          <w:szCs w:val="20"/>
        </w:rPr>
        <w:t xml:space="preserve">Badham, Sally, </w:t>
      </w:r>
      <w:r>
        <w:rPr>
          <w:i/>
          <w:sz w:val="20"/>
          <w:szCs w:val="20"/>
        </w:rPr>
        <w:t>Seeking Salvation: Commemorating the Dead in the Late Middle Ages</w:t>
      </w:r>
      <w:r>
        <w:rPr>
          <w:sz w:val="20"/>
          <w:szCs w:val="20"/>
        </w:rPr>
        <w:t xml:space="preserve">, (Donington: Shaun Tyas, </w:t>
      </w:r>
      <w:r>
        <w:rPr>
          <w:sz w:val="20"/>
          <w:szCs w:val="20"/>
        </w:rPr>
        <w:tab/>
        <w:t>2015).</w:t>
      </w:r>
    </w:p>
    <w:p w14:paraId="55443804" w14:textId="77777777" w:rsidR="00D462DF" w:rsidRDefault="00D462DF" w:rsidP="00047062">
      <w:pPr>
        <w:spacing w:line="240" w:lineRule="auto"/>
        <w:rPr>
          <w:rFonts w:cstheme="minorHAnsi"/>
          <w:sz w:val="20"/>
          <w:szCs w:val="20"/>
        </w:rPr>
      </w:pPr>
      <w:r>
        <w:rPr>
          <w:rFonts w:cstheme="minorHAnsi"/>
          <w:sz w:val="20"/>
          <w:szCs w:val="20"/>
        </w:rPr>
        <w:t xml:space="preserve">Binsky, P, </w:t>
      </w:r>
      <w:r>
        <w:rPr>
          <w:rFonts w:cstheme="minorHAnsi"/>
          <w:i/>
          <w:sz w:val="20"/>
          <w:szCs w:val="20"/>
        </w:rPr>
        <w:t>Medieval Death: Ritual and Representation</w:t>
      </w:r>
      <w:r>
        <w:rPr>
          <w:rFonts w:cstheme="minorHAnsi"/>
          <w:sz w:val="20"/>
          <w:szCs w:val="20"/>
        </w:rPr>
        <w:t xml:space="preserve"> (London: British Museum Press, 1996).</w:t>
      </w:r>
    </w:p>
    <w:p w14:paraId="6741E66B" w14:textId="77777777" w:rsidR="00D462DF" w:rsidRDefault="00D462DF" w:rsidP="00047062">
      <w:pPr>
        <w:spacing w:line="240" w:lineRule="auto"/>
        <w:rPr>
          <w:sz w:val="20"/>
          <w:szCs w:val="20"/>
        </w:rPr>
      </w:pPr>
      <w:r>
        <w:rPr>
          <w:sz w:val="20"/>
          <w:szCs w:val="20"/>
        </w:rPr>
        <w:t xml:space="preserve">Boase, T S R, </w:t>
      </w:r>
      <w:r>
        <w:rPr>
          <w:i/>
          <w:sz w:val="20"/>
          <w:szCs w:val="20"/>
        </w:rPr>
        <w:t>Death in the Middle Ages: Mortality, Judgement and Remembrance</w:t>
      </w:r>
      <w:r>
        <w:rPr>
          <w:sz w:val="20"/>
          <w:szCs w:val="20"/>
        </w:rPr>
        <w:t xml:space="preserve">, (New York: McGraw-Hill </w:t>
      </w:r>
      <w:r>
        <w:rPr>
          <w:sz w:val="20"/>
          <w:szCs w:val="20"/>
        </w:rPr>
        <w:tab/>
        <w:t>Book Company, 1972).</w:t>
      </w:r>
    </w:p>
    <w:p w14:paraId="7C5AC132" w14:textId="68278E63" w:rsidR="00D462DF" w:rsidRPr="00D462DF" w:rsidRDefault="00D462DF" w:rsidP="00047062">
      <w:pPr>
        <w:pStyle w:val="NormalWeb"/>
        <w:shd w:val="clear" w:color="auto" w:fill="FFFFFF"/>
        <w:spacing w:before="0" w:beforeAutospacing="0"/>
        <w:rPr>
          <w:rFonts w:asciiTheme="minorHAnsi" w:hAnsiTheme="minorHAnsi" w:cstheme="minorHAnsi"/>
          <w:color w:val="373A3C"/>
          <w:sz w:val="20"/>
          <w:szCs w:val="20"/>
        </w:rPr>
      </w:pPr>
      <w:r>
        <w:rPr>
          <w:rFonts w:asciiTheme="minorHAnsi" w:hAnsiTheme="minorHAnsi" w:cstheme="minorHAnsi"/>
          <w:color w:val="373A3C"/>
          <w:sz w:val="20"/>
          <w:szCs w:val="20"/>
        </w:rPr>
        <w:t xml:space="preserve">Burgess, C, 'Longing to be Prayed for: Death and Commemoration in an English Parish in the Later Middle </w:t>
      </w:r>
      <w:r>
        <w:rPr>
          <w:rFonts w:asciiTheme="minorHAnsi" w:hAnsiTheme="minorHAnsi" w:cstheme="minorHAnsi"/>
          <w:color w:val="373A3C"/>
          <w:sz w:val="20"/>
          <w:szCs w:val="20"/>
        </w:rPr>
        <w:tab/>
        <w:t>Ages,' in </w:t>
      </w:r>
      <w:r>
        <w:rPr>
          <w:rStyle w:val="Emphasis"/>
          <w:rFonts w:asciiTheme="minorHAnsi" w:hAnsiTheme="minorHAnsi" w:cstheme="minorHAnsi"/>
          <w:color w:val="373A3C"/>
          <w:sz w:val="20"/>
          <w:szCs w:val="20"/>
        </w:rPr>
        <w:t>The Place of the Dead: Death and Remembrance in Late Medieval and Early Modern Europe</w:t>
      </w:r>
      <w:r>
        <w:rPr>
          <w:rFonts w:asciiTheme="minorHAnsi" w:hAnsiTheme="minorHAnsi" w:cstheme="minorHAnsi"/>
          <w:color w:val="373A3C"/>
          <w:sz w:val="20"/>
          <w:szCs w:val="20"/>
        </w:rPr>
        <w:t>,</w:t>
      </w:r>
      <w:r>
        <w:rPr>
          <w:rFonts w:asciiTheme="minorHAnsi" w:hAnsiTheme="minorHAnsi" w:cstheme="minorHAnsi"/>
          <w:color w:val="373A3C"/>
          <w:sz w:val="20"/>
          <w:szCs w:val="20"/>
        </w:rPr>
        <w:tab/>
        <w:t>ed. by B. Gordon and P. Marshall (Cambridge: CUP, 2000), pp. 44-65.</w:t>
      </w:r>
    </w:p>
    <w:p w14:paraId="6A7153C1" w14:textId="77777777" w:rsidR="00C678F8" w:rsidRDefault="00C678F8" w:rsidP="00047062">
      <w:pPr>
        <w:spacing w:line="240" w:lineRule="auto"/>
        <w:rPr>
          <w:rFonts w:cstheme="minorHAnsi"/>
          <w:sz w:val="20"/>
          <w:szCs w:val="20"/>
        </w:rPr>
      </w:pPr>
      <w:r>
        <w:rPr>
          <w:rFonts w:cstheme="minorHAnsi"/>
          <w:color w:val="373A3C"/>
          <w:sz w:val="20"/>
          <w:szCs w:val="20"/>
          <w:shd w:val="clear" w:color="auto" w:fill="FFFFFF"/>
        </w:rPr>
        <w:t xml:space="preserve">Daniel, C, </w:t>
      </w:r>
      <w:r>
        <w:rPr>
          <w:rStyle w:val="Emphasis"/>
          <w:rFonts w:cstheme="minorHAnsi"/>
          <w:color w:val="373A3C"/>
          <w:sz w:val="20"/>
          <w:szCs w:val="20"/>
          <w:shd w:val="clear" w:color="auto" w:fill="FFFFFF"/>
        </w:rPr>
        <w:t>Death and Burial in Medieval England, 1066-1550</w:t>
      </w:r>
      <w:r>
        <w:rPr>
          <w:rFonts w:cstheme="minorHAnsi"/>
          <w:color w:val="373A3C"/>
          <w:sz w:val="20"/>
          <w:szCs w:val="20"/>
          <w:shd w:val="clear" w:color="auto" w:fill="FFFFFF"/>
        </w:rPr>
        <w:t xml:space="preserve"> (London, 1997), ch. 2. </w:t>
      </w:r>
    </w:p>
    <w:p w14:paraId="18A703BC" w14:textId="02B15072" w:rsidR="00C678F8" w:rsidRDefault="00C678F8" w:rsidP="00047062">
      <w:pPr>
        <w:spacing w:line="240" w:lineRule="auto"/>
        <w:rPr>
          <w:rFonts w:cstheme="minorHAnsi"/>
          <w:sz w:val="20"/>
          <w:szCs w:val="20"/>
        </w:rPr>
      </w:pPr>
      <w:bookmarkStart w:id="9" w:name="_Hlk535933547"/>
      <w:r>
        <w:rPr>
          <w:rFonts w:cstheme="minorHAnsi"/>
          <w:sz w:val="20"/>
          <w:szCs w:val="20"/>
        </w:rPr>
        <w:t xml:space="preserve">Duclow, D F, </w:t>
      </w:r>
      <w:r w:rsidR="000B1985">
        <w:rPr>
          <w:rFonts w:cstheme="minorHAnsi"/>
          <w:sz w:val="20"/>
          <w:szCs w:val="20"/>
        </w:rPr>
        <w:t>‘</w:t>
      </w:r>
      <w:r>
        <w:rPr>
          <w:rFonts w:cstheme="minorHAnsi"/>
          <w:sz w:val="20"/>
          <w:szCs w:val="20"/>
        </w:rPr>
        <w:t>Everyman and the Ars Moriendi: Fifteenth Century Ceremonies of Dying</w:t>
      </w:r>
      <w:r w:rsidR="000B1985">
        <w:rPr>
          <w:rFonts w:cstheme="minorHAnsi"/>
          <w:sz w:val="20"/>
          <w:szCs w:val="20"/>
        </w:rPr>
        <w:t>’</w:t>
      </w:r>
      <w:r>
        <w:rPr>
          <w:rFonts w:cstheme="minorHAnsi"/>
          <w:sz w:val="20"/>
          <w:szCs w:val="20"/>
        </w:rPr>
        <w:t xml:space="preserve">, </w:t>
      </w:r>
      <w:r>
        <w:rPr>
          <w:rFonts w:cstheme="minorHAnsi"/>
          <w:i/>
          <w:sz w:val="20"/>
          <w:szCs w:val="20"/>
        </w:rPr>
        <w:t xml:space="preserve">Fifteenth  Century </w:t>
      </w:r>
      <w:r>
        <w:rPr>
          <w:rFonts w:cstheme="minorHAnsi"/>
          <w:i/>
          <w:sz w:val="20"/>
          <w:szCs w:val="20"/>
        </w:rPr>
        <w:tab/>
        <w:t>Studie</w:t>
      </w:r>
      <w:r w:rsidRPr="006C707C">
        <w:rPr>
          <w:rFonts w:cstheme="minorHAnsi"/>
          <w:i/>
          <w:sz w:val="20"/>
          <w:szCs w:val="20"/>
        </w:rPr>
        <w:t>s</w:t>
      </w:r>
      <w:r w:rsidRPr="006C707C">
        <w:rPr>
          <w:rFonts w:cstheme="minorHAnsi"/>
          <w:sz w:val="20"/>
          <w:szCs w:val="20"/>
        </w:rPr>
        <w:t xml:space="preserve">, </w:t>
      </w:r>
      <w:hyperlink r:id="rId8" w:tooltip="Click to search for more items from this issue" w:history="1">
        <w:r w:rsidRPr="006C707C">
          <w:rPr>
            <w:rStyle w:val="Hyperlink"/>
            <w:rFonts w:cstheme="minorHAnsi"/>
            <w:color w:val="auto"/>
            <w:sz w:val="20"/>
            <w:szCs w:val="20"/>
            <w:u w:val="none"/>
            <w:shd w:val="clear" w:color="auto" w:fill="FFFFFF"/>
          </w:rPr>
          <w:t> Vol. 6, </w:t>
        </w:r>
      </w:hyperlink>
      <w:r>
        <w:rPr>
          <w:rFonts w:cstheme="minorHAnsi"/>
          <w:sz w:val="20"/>
          <w:szCs w:val="20"/>
          <w:shd w:val="clear" w:color="auto" w:fill="FFFFFF"/>
        </w:rPr>
        <w:t> Jan 1, 1983</w:t>
      </w:r>
      <w:r w:rsidR="00C1166D">
        <w:rPr>
          <w:rFonts w:cstheme="minorHAnsi"/>
          <w:sz w:val="20"/>
          <w:szCs w:val="20"/>
        </w:rPr>
        <w:t>.</w:t>
      </w:r>
    </w:p>
    <w:p w14:paraId="76C2E6CD" w14:textId="46F0E180" w:rsidR="00C92C95" w:rsidRDefault="00C92C95" w:rsidP="00047062">
      <w:pPr>
        <w:spacing w:line="240" w:lineRule="auto"/>
        <w:rPr>
          <w:rFonts w:cstheme="minorHAnsi"/>
          <w:color w:val="373A3C"/>
          <w:sz w:val="20"/>
          <w:szCs w:val="20"/>
          <w:shd w:val="clear" w:color="auto" w:fill="FFFFFF"/>
        </w:rPr>
      </w:pPr>
      <w:r>
        <w:rPr>
          <w:rFonts w:cstheme="minorHAnsi"/>
          <w:color w:val="373A3C"/>
          <w:sz w:val="20"/>
          <w:szCs w:val="20"/>
          <w:shd w:val="clear" w:color="auto" w:fill="FFFFFF"/>
        </w:rPr>
        <w:t xml:space="preserve">Duffy, Eamon, </w:t>
      </w:r>
      <w:r>
        <w:rPr>
          <w:rFonts w:cstheme="minorHAnsi"/>
          <w:i/>
          <w:color w:val="373A3C"/>
          <w:sz w:val="20"/>
          <w:szCs w:val="20"/>
          <w:shd w:val="clear" w:color="auto" w:fill="FFFFFF"/>
        </w:rPr>
        <w:t>The Stripping of the Altars: Traditional Religion in England 1400-1580</w:t>
      </w:r>
      <w:r>
        <w:rPr>
          <w:rFonts w:cstheme="minorHAnsi"/>
          <w:color w:val="373A3C"/>
          <w:sz w:val="20"/>
          <w:szCs w:val="20"/>
          <w:shd w:val="clear" w:color="auto" w:fill="FFFFFF"/>
        </w:rPr>
        <w:t>, (New Haven &amp; London:</w:t>
      </w:r>
      <w:r w:rsidR="006C707C">
        <w:rPr>
          <w:rFonts w:cstheme="minorHAnsi"/>
          <w:color w:val="373A3C"/>
          <w:sz w:val="20"/>
          <w:szCs w:val="20"/>
          <w:shd w:val="clear" w:color="auto" w:fill="FFFFFF"/>
        </w:rPr>
        <w:tab/>
      </w:r>
      <w:r>
        <w:rPr>
          <w:rFonts w:cstheme="minorHAnsi"/>
          <w:color w:val="373A3C"/>
          <w:sz w:val="20"/>
          <w:szCs w:val="20"/>
          <w:shd w:val="clear" w:color="auto" w:fill="FFFFFF"/>
        </w:rPr>
        <w:t>Yale University Press, 1992).</w:t>
      </w:r>
    </w:p>
    <w:p w14:paraId="2207D932" w14:textId="510C61F6" w:rsidR="002A79E6" w:rsidRDefault="002A79E6" w:rsidP="00047062">
      <w:pPr>
        <w:spacing w:line="240" w:lineRule="auto"/>
        <w:rPr>
          <w:rFonts w:cstheme="minorHAnsi"/>
          <w:color w:val="373A3C"/>
          <w:sz w:val="20"/>
          <w:szCs w:val="20"/>
          <w:shd w:val="clear" w:color="auto" w:fill="FFFFFF"/>
        </w:rPr>
      </w:pPr>
      <w:r>
        <w:rPr>
          <w:rFonts w:cstheme="minorHAnsi"/>
          <w:color w:val="373A3C"/>
          <w:sz w:val="20"/>
          <w:szCs w:val="20"/>
          <w:shd w:val="clear" w:color="auto" w:fill="FFFFFF"/>
        </w:rPr>
        <w:t xml:space="preserve">Duggan, Lawrence G, </w:t>
      </w:r>
      <w:r w:rsidR="000B1985">
        <w:rPr>
          <w:rFonts w:cstheme="minorHAnsi"/>
          <w:color w:val="373A3C"/>
          <w:sz w:val="20"/>
          <w:szCs w:val="20"/>
          <w:shd w:val="clear" w:color="auto" w:fill="FFFFFF"/>
        </w:rPr>
        <w:t>‘</w:t>
      </w:r>
      <w:r>
        <w:rPr>
          <w:rFonts w:cstheme="minorHAnsi"/>
          <w:color w:val="373A3C"/>
          <w:sz w:val="20"/>
          <w:szCs w:val="20"/>
          <w:shd w:val="clear" w:color="auto" w:fill="FFFFFF"/>
        </w:rPr>
        <w:t>Was Art really the “Book of the Illiterate”?</w:t>
      </w:r>
      <w:r w:rsidR="000B1985">
        <w:rPr>
          <w:rFonts w:cstheme="minorHAnsi"/>
          <w:color w:val="373A3C"/>
          <w:sz w:val="20"/>
          <w:szCs w:val="20"/>
          <w:shd w:val="clear" w:color="auto" w:fill="FFFFFF"/>
        </w:rPr>
        <w:t>’</w:t>
      </w:r>
      <w:r>
        <w:rPr>
          <w:rFonts w:cstheme="minorHAnsi"/>
          <w:color w:val="373A3C"/>
          <w:sz w:val="20"/>
          <w:szCs w:val="20"/>
          <w:shd w:val="clear" w:color="auto" w:fill="FFFFFF"/>
        </w:rPr>
        <w:t xml:space="preserve"> </w:t>
      </w:r>
      <w:r w:rsidRPr="000B1985">
        <w:rPr>
          <w:rFonts w:cstheme="minorHAnsi"/>
          <w:i/>
          <w:color w:val="373A3C"/>
          <w:sz w:val="20"/>
          <w:szCs w:val="20"/>
          <w:shd w:val="clear" w:color="auto" w:fill="FFFFFF"/>
        </w:rPr>
        <w:t xml:space="preserve">Reading Images and Texts: Medieval Images and </w:t>
      </w:r>
      <w:r w:rsidR="000B1985">
        <w:rPr>
          <w:rFonts w:cstheme="minorHAnsi"/>
          <w:i/>
          <w:color w:val="373A3C"/>
          <w:sz w:val="20"/>
          <w:szCs w:val="20"/>
          <w:shd w:val="clear" w:color="auto" w:fill="FFFFFF"/>
        </w:rPr>
        <w:t>T</w:t>
      </w:r>
      <w:r w:rsidRPr="000B1985">
        <w:rPr>
          <w:rFonts w:cstheme="minorHAnsi"/>
          <w:i/>
          <w:color w:val="373A3C"/>
          <w:sz w:val="20"/>
          <w:szCs w:val="20"/>
          <w:shd w:val="clear" w:color="auto" w:fill="FFFFFF"/>
        </w:rPr>
        <w:t xml:space="preserve">exts as </w:t>
      </w:r>
      <w:r w:rsidR="000B1985">
        <w:rPr>
          <w:rFonts w:cstheme="minorHAnsi"/>
          <w:i/>
          <w:color w:val="373A3C"/>
          <w:sz w:val="20"/>
          <w:szCs w:val="20"/>
          <w:shd w:val="clear" w:color="auto" w:fill="FFFFFF"/>
        </w:rPr>
        <w:t>F</w:t>
      </w:r>
      <w:r w:rsidRPr="000B1985">
        <w:rPr>
          <w:rFonts w:cstheme="minorHAnsi"/>
          <w:i/>
          <w:color w:val="373A3C"/>
          <w:sz w:val="20"/>
          <w:szCs w:val="20"/>
          <w:shd w:val="clear" w:color="auto" w:fill="FFFFFF"/>
        </w:rPr>
        <w:t xml:space="preserve">orms of </w:t>
      </w:r>
      <w:r w:rsidR="000B1985">
        <w:rPr>
          <w:rFonts w:cstheme="minorHAnsi"/>
          <w:i/>
          <w:color w:val="373A3C"/>
          <w:sz w:val="20"/>
          <w:szCs w:val="20"/>
          <w:shd w:val="clear" w:color="auto" w:fill="FFFFFF"/>
        </w:rPr>
        <w:t>C</w:t>
      </w:r>
      <w:r w:rsidRPr="000B1985">
        <w:rPr>
          <w:rFonts w:cstheme="minorHAnsi"/>
          <w:i/>
          <w:color w:val="373A3C"/>
          <w:sz w:val="20"/>
          <w:szCs w:val="20"/>
          <w:shd w:val="clear" w:color="auto" w:fill="FFFFFF"/>
        </w:rPr>
        <w:t>ommunication</w:t>
      </w:r>
      <w:r>
        <w:rPr>
          <w:rFonts w:cstheme="minorHAnsi"/>
          <w:color w:val="373A3C"/>
          <w:sz w:val="20"/>
          <w:szCs w:val="20"/>
          <w:shd w:val="clear" w:color="auto" w:fill="FFFFFF"/>
        </w:rPr>
        <w:t xml:space="preserve">, ed. </w:t>
      </w:r>
      <w:r w:rsidR="005D16A2">
        <w:rPr>
          <w:rFonts w:cstheme="minorHAnsi"/>
          <w:color w:val="373A3C"/>
          <w:sz w:val="20"/>
          <w:szCs w:val="20"/>
          <w:shd w:val="clear" w:color="auto" w:fill="FFFFFF"/>
        </w:rPr>
        <w:t xml:space="preserve">Hageman, Mariella and </w:t>
      </w:r>
      <w:r w:rsidR="000B1985">
        <w:rPr>
          <w:rFonts w:cstheme="minorHAnsi"/>
          <w:color w:val="373A3C"/>
          <w:sz w:val="20"/>
          <w:szCs w:val="20"/>
          <w:shd w:val="clear" w:color="auto" w:fill="FFFFFF"/>
        </w:rPr>
        <w:t xml:space="preserve">Mostert, Marco, (Turnhout: </w:t>
      </w:r>
      <w:proofErr w:type="spellStart"/>
      <w:r w:rsidR="000B1985">
        <w:rPr>
          <w:rFonts w:cstheme="minorHAnsi"/>
          <w:color w:val="373A3C"/>
          <w:sz w:val="20"/>
          <w:szCs w:val="20"/>
          <w:shd w:val="clear" w:color="auto" w:fill="FFFFFF"/>
        </w:rPr>
        <w:t>Brepols</w:t>
      </w:r>
      <w:proofErr w:type="spellEnd"/>
      <w:r w:rsidR="000B1985">
        <w:rPr>
          <w:rFonts w:cstheme="minorHAnsi"/>
          <w:color w:val="373A3C"/>
          <w:sz w:val="20"/>
          <w:szCs w:val="20"/>
          <w:shd w:val="clear" w:color="auto" w:fill="FFFFFF"/>
        </w:rPr>
        <w:t>, 2005).</w:t>
      </w:r>
    </w:p>
    <w:p w14:paraId="2E1D50F1" w14:textId="77777777" w:rsidR="00C92C95" w:rsidRDefault="00C92C95" w:rsidP="00047062">
      <w:pPr>
        <w:spacing w:line="240" w:lineRule="auto"/>
        <w:rPr>
          <w:rFonts w:cstheme="minorHAnsi"/>
          <w:color w:val="373A3C"/>
          <w:sz w:val="20"/>
          <w:szCs w:val="20"/>
          <w:shd w:val="clear" w:color="auto" w:fill="FFFFFF"/>
        </w:rPr>
      </w:pPr>
      <w:r>
        <w:rPr>
          <w:rFonts w:cstheme="minorHAnsi"/>
          <w:color w:val="373A3C"/>
          <w:sz w:val="20"/>
          <w:szCs w:val="20"/>
          <w:shd w:val="clear" w:color="auto" w:fill="FFFFFF"/>
        </w:rPr>
        <w:t xml:space="preserve">Geary, Patrick J, </w:t>
      </w:r>
      <w:r>
        <w:rPr>
          <w:rFonts w:cstheme="minorHAnsi"/>
          <w:i/>
          <w:color w:val="373A3C"/>
          <w:sz w:val="20"/>
          <w:szCs w:val="20"/>
          <w:shd w:val="clear" w:color="auto" w:fill="FFFFFF"/>
        </w:rPr>
        <w:t>Living with the Dead in the Middle Ages,</w:t>
      </w:r>
      <w:r>
        <w:rPr>
          <w:rFonts w:cstheme="minorHAnsi"/>
          <w:color w:val="373A3C"/>
          <w:sz w:val="20"/>
          <w:szCs w:val="20"/>
          <w:shd w:val="clear" w:color="auto" w:fill="FFFFFF"/>
        </w:rPr>
        <w:t xml:space="preserve"> (New York: Cornell University Press, 1994).</w:t>
      </w:r>
    </w:p>
    <w:p w14:paraId="35B6FACE" w14:textId="77777777" w:rsidR="00C92C95" w:rsidRDefault="00C92C95" w:rsidP="00047062">
      <w:pPr>
        <w:spacing w:line="240" w:lineRule="auto"/>
        <w:rPr>
          <w:sz w:val="20"/>
          <w:szCs w:val="20"/>
        </w:rPr>
      </w:pPr>
      <w:r>
        <w:rPr>
          <w:sz w:val="20"/>
          <w:szCs w:val="20"/>
        </w:rPr>
        <w:t xml:space="preserve">Gertsman, Elina, </w:t>
      </w:r>
      <w:r>
        <w:rPr>
          <w:i/>
          <w:sz w:val="20"/>
          <w:szCs w:val="20"/>
        </w:rPr>
        <w:t>The Dance of Death in the Middle Ages: Image, text, performance,</w:t>
      </w:r>
      <w:r>
        <w:rPr>
          <w:sz w:val="20"/>
          <w:szCs w:val="20"/>
        </w:rPr>
        <w:t xml:space="preserve"> (Turnhout: Brepols, 2010).</w:t>
      </w:r>
    </w:p>
    <w:p w14:paraId="6EADDEC4" w14:textId="43AD3D59" w:rsidR="00C92C95" w:rsidRPr="00C92C95" w:rsidRDefault="00C92C95" w:rsidP="00047062">
      <w:pPr>
        <w:spacing w:line="240" w:lineRule="auto"/>
        <w:rPr>
          <w:sz w:val="20"/>
          <w:szCs w:val="20"/>
        </w:rPr>
      </w:pPr>
      <w:r>
        <w:rPr>
          <w:sz w:val="20"/>
          <w:szCs w:val="20"/>
        </w:rPr>
        <w:t xml:space="preserve">Gordon, Bruce &amp; Marshall, Peter eds. </w:t>
      </w:r>
      <w:r>
        <w:rPr>
          <w:i/>
          <w:sz w:val="20"/>
          <w:szCs w:val="20"/>
        </w:rPr>
        <w:t xml:space="preserve">The Place of the Dead: Death and Remembrance in Late Medieval and </w:t>
      </w:r>
      <w:r>
        <w:rPr>
          <w:i/>
          <w:sz w:val="20"/>
          <w:szCs w:val="20"/>
        </w:rPr>
        <w:tab/>
        <w:t>Early Modern Europe</w:t>
      </w:r>
      <w:r>
        <w:rPr>
          <w:sz w:val="20"/>
          <w:szCs w:val="20"/>
        </w:rPr>
        <w:t>, (Cambridge: CUP, 2000).</w:t>
      </w:r>
    </w:p>
    <w:bookmarkEnd w:id="9"/>
    <w:p w14:paraId="5A46F6FF" w14:textId="0BAEFAF1" w:rsidR="00C678F8" w:rsidRDefault="00C678F8" w:rsidP="00047062">
      <w:pPr>
        <w:spacing w:line="240" w:lineRule="auto"/>
        <w:rPr>
          <w:rFonts w:cstheme="minorHAnsi"/>
          <w:sz w:val="20"/>
          <w:szCs w:val="20"/>
        </w:rPr>
      </w:pPr>
      <w:r>
        <w:rPr>
          <w:rFonts w:cstheme="minorHAnsi"/>
          <w:sz w:val="20"/>
          <w:szCs w:val="20"/>
        </w:rPr>
        <w:t xml:space="preserve">Hadley, D M, </w:t>
      </w:r>
      <w:r>
        <w:rPr>
          <w:rFonts w:cstheme="minorHAnsi"/>
          <w:i/>
          <w:sz w:val="20"/>
          <w:szCs w:val="20"/>
        </w:rPr>
        <w:t>Death in Medieval England</w:t>
      </w:r>
      <w:r>
        <w:rPr>
          <w:rFonts w:cstheme="minorHAnsi"/>
          <w:sz w:val="20"/>
          <w:szCs w:val="20"/>
        </w:rPr>
        <w:t xml:space="preserve"> (Charleston: Arcadia Publishing Inc., 2001).</w:t>
      </w:r>
    </w:p>
    <w:p w14:paraId="0B6A48CB" w14:textId="6D765550" w:rsidR="00AD2397" w:rsidRDefault="00C1166D" w:rsidP="00047062">
      <w:pPr>
        <w:spacing w:line="240" w:lineRule="auto"/>
        <w:rPr>
          <w:sz w:val="20"/>
          <w:szCs w:val="20"/>
        </w:rPr>
      </w:pPr>
      <w:r>
        <w:rPr>
          <w:sz w:val="20"/>
          <w:szCs w:val="20"/>
        </w:rPr>
        <w:t xml:space="preserve">Harrison, Ann Turkey ed., </w:t>
      </w:r>
      <w:r>
        <w:rPr>
          <w:i/>
          <w:sz w:val="20"/>
          <w:szCs w:val="20"/>
        </w:rPr>
        <w:t xml:space="preserve">The Danse Macabre of Women: Ms. Fr. 995 of the Bibiliotheque Nationale, </w:t>
      </w:r>
      <w:r>
        <w:rPr>
          <w:sz w:val="20"/>
          <w:szCs w:val="20"/>
        </w:rPr>
        <w:t xml:space="preserve">(Ohio: </w:t>
      </w:r>
      <w:r>
        <w:rPr>
          <w:sz w:val="20"/>
          <w:szCs w:val="20"/>
        </w:rPr>
        <w:tab/>
        <w:t>The Kent State University Press, 1994).</w:t>
      </w:r>
    </w:p>
    <w:p w14:paraId="6FB3DAD1" w14:textId="42F4935D" w:rsidR="00FF16CD" w:rsidRPr="00C1166D" w:rsidRDefault="00FF16CD" w:rsidP="00047062">
      <w:pPr>
        <w:spacing w:line="240" w:lineRule="auto"/>
        <w:rPr>
          <w:sz w:val="20"/>
          <w:szCs w:val="20"/>
        </w:rPr>
      </w:pPr>
      <w:r w:rsidRPr="00680F07">
        <w:rPr>
          <w:sz w:val="20"/>
          <w:szCs w:val="20"/>
        </w:rPr>
        <w:lastRenderedPageBreak/>
        <w:t xml:space="preserve">Huizinga, J, </w:t>
      </w:r>
      <w:r w:rsidRPr="00680F07">
        <w:rPr>
          <w:i/>
          <w:sz w:val="20"/>
          <w:szCs w:val="20"/>
        </w:rPr>
        <w:t>The Waning of the Middle Ages</w:t>
      </w:r>
      <w:r w:rsidRPr="00680F07">
        <w:rPr>
          <w:sz w:val="20"/>
          <w:szCs w:val="20"/>
        </w:rPr>
        <w:t>, (Harmondsworth: Peregrine Books, 1965).</w:t>
      </w:r>
    </w:p>
    <w:p w14:paraId="4E374A4B" w14:textId="41412684" w:rsidR="00C1166D" w:rsidRDefault="00C678F8" w:rsidP="00047062">
      <w:pPr>
        <w:spacing w:line="240" w:lineRule="auto"/>
        <w:rPr>
          <w:rFonts w:cstheme="minorHAnsi"/>
          <w:sz w:val="20"/>
          <w:szCs w:val="20"/>
        </w:rPr>
      </w:pPr>
      <w:r>
        <w:rPr>
          <w:rFonts w:cstheme="minorHAnsi"/>
          <w:sz w:val="20"/>
          <w:szCs w:val="20"/>
        </w:rPr>
        <w:t xml:space="preserve">Kinch, Ashby, </w:t>
      </w:r>
      <w:r>
        <w:rPr>
          <w:rFonts w:cstheme="minorHAnsi"/>
          <w:i/>
          <w:sz w:val="20"/>
          <w:szCs w:val="20"/>
        </w:rPr>
        <w:t>Imago Mortis</w:t>
      </w:r>
      <w:r>
        <w:rPr>
          <w:rFonts w:cstheme="minorHAnsi"/>
          <w:sz w:val="20"/>
          <w:szCs w:val="20"/>
        </w:rPr>
        <w:t xml:space="preserve">: </w:t>
      </w:r>
      <w:r>
        <w:rPr>
          <w:rFonts w:cstheme="minorHAnsi"/>
          <w:i/>
          <w:sz w:val="20"/>
          <w:szCs w:val="20"/>
        </w:rPr>
        <w:t xml:space="preserve">Mediating Images of Death in Late Medieval Culture </w:t>
      </w:r>
      <w:r>
        <w:rPr>
          <w:rFonts w:cstheme="minorHAnsi"/>
          <w:sz w:val="20"/>
          <w:szCs w:val="20"/>
        </w:rPr>
        <w:t xml:space="preserve">(Leiden &amp;Boston: BRILL, </w:t>
      </w:r>
      <w:r>
        <w:rPr>
          <w:rFonts w:cstheme="minorHAnsi"/>
          <w:sz w:val="20"/>
          <w:szCs w:val="20"/>
        </w:rPr>
        <w:tab/>
        <w:t>2013).</w:t>
      </w:r>
    </w:p>
    <w:p w14:paraId="7B6F5F88" w14:textId="7A8AD126" w:rsidR="00135FDA" w:rsidRDefault="00135FDA" w:rsidP="00047062">
      <w:pPr>
        <w:spacing w:line="240" w:lineRule="auto"/>
        <w:rPr>
          <w:rFonts w:cstheme="minorHAnsi"/>
          <w:sz w:val="20"/>
          <w:szCs w:val="20"/>
        </w:rPr>
      </w:pPr>
      <w:r>
        <w:rPr>
          <w:rFonts w:cstheme="minorHAnsi"/>
          <w:sz w:val="20"/>
          <w:szCs w:val="20"/>
        </w:rPr>
        <w:t xml:space="preserve">Lea, Henry Charles, </w:t>
      </w:r>
      <w:r w:rsidRPr="00135FDA">
        <w:rPr>
          <w:rFonts w:cstheme="minorHAnsi"/>
          <w:i/>
          <w:sz w:val="20"/>
          <w:szCs w:val="20"/>
        </w:rPr>
        <w:t>A History of the Inquisition in the Middle Ages</w:t>
      </w:r>
      <w:r>
        <w:rPr>
          <w:rFonts w:cstheme="minorHAnsi"/>
          <w:i/>
          <w:sz w:val="20"/>
          <w:szCs w:val="20"/>
        </w:rPr>
        <w:t>, Vol. 1</w:t>
      </w:r>
      <w:r>
        <w:rPr>
          <w:rFonts w:cstheme="minorHAnsi"/>
          <w:sz w:val="20"/>
          <w:szCs w:val="20"/>
        </w:rPr>
        <w:t>, (New York: Harper &amp; Brothers, 1887)</w:t>
      </w:r>
    </w:p>
    <w:p w14:paraId="6249BA01" w14:textId="6AF53D1C" w:rsidR="00C678F8" w:rsidRDefault="00C678F8" w:rsidP="00047062">
      <w:pPr>
        <w:spacing w:line="240" w:lineRule="auto"/>
        <w:rPr>
          <w:sz w:val="20"/>
          <w:szCs w:val="20"/>
        </w:rPr>
      </w:pPr>
      <w:r>
        <w:rPr>
          <w:sz w:val="20"/>
          <w:szCs w:val="20"/>
        </w:rPr>
        <w:t xml:space="preserve">Marshall, Peter, </w:t>
      </w:r>
      <w:r>
        <w:rPr>
          <w:i/>
          <w:sz w:val="20"/>
          <w:szCs w:val="20"/>
        </w:rPr>
        <w:t xml:space="preserve">Invisible Worlds: Death, religion and the supernatural in England, 1500-700 </w:t>
      </w:r>
      <w:r>
        <w:rPr>
          <w:sz w:val="20"/>
          <w:szCs w:val="20"/>
        </w:rPr>
        <w:t xml:space="preserve">(London: </w:t>
      </w:r>
      <w:r>
        <w:rPr>
          <w:sz w:val="20"/>
          <w:szCs w:val="20"/>
        </w:rPr>
        <w:tab/>
        <w:t>Society for Promoting Christian Knowledge, 2017)</w:t>
      </w:r>
      <w:r w:rsidR="00087D7B">
        <w:rPr>
          <w:sz w:val="20"/>
          <w:szCs w:val="20"/>
        </w:rPr>
        <w:t>.</w:t>
      </w:r>
    </w:p>
    <w:p w14:paraId="03DB8276" w14:textId="77777777" w:rsidR="00087D7B" w:rsidRDefault="00087D7B" w:rsidP="00047062">
      <w:pPr>
        <w:spacing w:line="240" w:lineRule="auto"/>
        <w:rPr>
          <w:sz w:val="20"/>
          <w:szCs w:val="20"/>
        </w:rPr>
      </w:pPr>
      <w:bookmarkStart w:id="10" w:name="_Hlk536019674"/>
      <w:r>
        <w:rPr>
          <w:sz w:val="20"/>
          <w:szCs w:val="20"/>
        </w:rPr>
        <w:t xml:space="preserve">Rosewell, Roger, </w:t>
      </w:r>
      <w:r>
        <w:rPr>
          <w:i/>
          <w:sz w:val="20"/>
          <w:szCs w:val="20"/>
        </w:rPr>
        <w:t>Medieval Wall Paintings,</w:t>
      </w:r>
      <w:r>
        <w:rPr>
          <w:sz w:val="20"/>
          <w:szCs w:val="20"/>
        </w:rPr>
        <w:t xml:space="preserve"> (Woodbridge: The Boydell Press, 2007).</w:t>
      </w:r>
      <w:bookmarkEnd w:id="10"/>
    </w:p>
    <w:p w14:paraId="5D364F89" w14:textId="77777777" w:rsidR="00087D7B" w:rsidRPr="00C1166D" w:rsidRDefault="00087D7B" w:rsidP="00047062">
      <w:pPr>
        <w:spacing w:line="240" w:lineRule="auto"/>
        <w:rPr>
          <w:rFonts w:cstheme="minorHAnsi"/>
          <w:sz w:val="20"/>
          <w:szCs w:val="20"/>
        </w:rPr>
      </w:pPr>
    </w:p>
    <w:p w14:paraId="4171AE13" w14:textId="77777777" w:rsidR="00C678F8" w:rsidRDefault="00C678F8" w:rsidP="00047062">
      <w:pPr>
        <w:spacing w:line="240" w:lineRule="auto"/>
        <w:rPr>
          <w:noProof/>
        </w:rPr>
      </w:pPr>
    </w:p>
    <w:p w14:paraId="0D4A5EE7" w14:textId="44BE23BF" w:rsidR="00087D7B" w:rsidRDefault="00087D7B" w:rsidP="00047062">
      <w:pPr>
        <w:spacing w:line="240" w:lineRule="auto"/>
        <w:rPr>
          <w:noProof/>
        </w:rPr>
      </w:pPr>
      <w:r>
        <w:rPr>
          <w:noProof/>
        </w:rPr>
        <w:t>W</w:t>
      </w:r>
      <w:r w:rsidR="00680F07">
        <w:rPr>
          <w:noProof/>
        </w:rPr>
        <w:t>ebsites:</w:t>
      </w:r>
    </w:p>
    <w:p w14:paraId="7A849601" w14:textId="77777777" w:rsidR="000025D5" w:rsidRPr="00680F07" w:rsidRDefault="000025D5" w:rsidP="000025D5">
      <w:pPr>
        <w:spacing w:line="240" w:lineRule="auto"/>
        <w:rPr>
          <w:i/>
          <w:sz w:val="20"/>
          <w:szCs w:val="20"/>
        </w:rPr>
      </w:pPr>
      <w:r>
        <w:rPr>
          <w:sz w:val="20"/>
          <w:szCs w:val="20"/>
        </w:rPr>
        <w:t xml:space="preserve">The </w:t>
      </w:r>
      <w:r w:rsidRPr="00680F07">
        <w:rPr>
          <w:i/>
          <w:sz w:val="20"/>
          <w:szCs w:val="20"/>
        </w:rPr>
        <w:t>Bibliotheque nationale Francais</w:t>
      </w:r>
      <w:r>
        <w:rPr>
          <w:i/>
          <w:sz w:val="20"/>
          <w:szCs w:val="20"/>
        </w:rPr>
        <w:t>:</w:t>
      </w:r>
    </w:p>
    <w:p w14:paraId="4B7B9B20" w14:textId="77777777" w:rsidR="000025D5" w:rsidRDefault="003478F9" w:rsidP="000025D5">
      <w:pPr>
        <w:spacing w:line="240" w:lineRule="auto"/>
        <w:rPr>
          <w:rStyle w:val="Hyperlink"/>
          <w:sz w:val="20"/>
          <w:szCs w:val="20"/>
        </w:rPr>
      </w:pPr>
      <w:hyperlink r:id="rId9" w:history="1">
        <w:r w:rsidR="000025D5" w:rsidRPr="00680F07">
          <w:rPr>
            <w:rStyle w:val="Hyperlink"/>
            <w:sz w:val="20"/>
            <w:szCs w:val="20"/>
          </w:rPr>
          <w:t>https://gallica.bnf.fr/ark:/12148/btv1b10542297k/f15</w:t>
        </w:r>
      </w:hyperlink>
    </w:p>
    <w:p w14:paraId="412FF674" w14:textId="1728A4E3" w:rsidR="00C678F8" w:rsidRPr="00680F07" w:rsidRDefault="00C678F8" w:rsidP="00047062">
      <w:pPr>
        <w:spacing w:line="240" w:lineRule="auto"/>
        <w:rPr>
          <w:noProof/>
          <w:sz w:val="20"/>
          <w:szCs w:val="20"/>
        </w:rPr>
      </w:pPr>
      <w:r w:rsidRPr="00680F07">
        <w:rPr>
          <w:noProof/>
          <w:sz w:val="20"/>
          <w:szCs w:val="20"/>
        </w:rPr>
        <w:t>The Biritish Library:</w:t>
      </w:r>
    </w:p>
    <w:bookmarkStart w:id="11" w:name="_Hlk535057829"/>
    <w:p w14:paraId="680E9B07" w14:textId="77777777" w:rsidR="00C678F8" w:rsidRPr="00680F07" w:rsidRDefault="00C678F8" w:rsidP="00047062">
      <w:pPr>
        <w:spacing w:line="240" w:lineRule="auto"/>
        <w:rPr>
          <w:noProof/>
          <w:color w:val="0563C1" w:themeColor="hyperlink"/>
          <w:sz w:val="20"/>
          <w:szCs w:val="20"/>
          <w:u w:val="single"/>
        </w:rPr>
      </w:pPr>
      <w:r w:rsidRPr="00680F07">
        <w:rPr>
          <w:sz w:val="20"/>
          <w:szCs w:val="20"/>
        </w:rPr>
        <w:fldChar w:fldCharType="begin"/>
      </w:r>
      <w:r w:rsidRPr="00680F07">
        <w:rPr>
          <w:sz w:val="20"/>
          <w:szCs w:val="20"/>
        </w:rPr>
        <w:instrText xml:space="preserve"> HYPERLINK "https://www.bl.uk/medieval-literature/articles/william-caxton-and-the-introduction-of-printing-to-england" </w:instrText>
      </w:r>
      <w:r w:rsidRPr="00680F07">
        <w:rPr>
          <w:sz w:val="20"/>
          <w:szCs w:val="20"/>
        </w:rPr>
        <w:fldChar w:fldCharType="separate"/>
      </w:r>
      <w:r w:rsidRPr="00680F07">
        <w:rPr>
          <w:rStyle w:val="Hyperlink"/>
          <w:noProof/>
          <w:sz w:val="20"/>
          <w:szCs w:val="20"/>
        </w:rPr>
        <w:t>https://www.bl.uk/medieval-literature/articles/william-caxton-and-the-introduction-of-printing-to-england</w:t>
      </w:r>
      <w:bookmarkEnd w:id="11"/>
      <w:r w:rsidRPr="00680F07">
        <w:rPr>
          <w:sz w:val="20"/>
          <w:szCs w:val="20"/>
        </w:rPr>
        <w:fldChar w:fldCharType="end"/>
      </w:r>
    </w:p>
    <w:p w14:paraId="135E420C" w14:textId="77777777" w:rsidR="00C678F8" w:rsidRPr="00680F07" w:rsidRDefault="00C678F8" w:rsidP="00047062">
      <w:pPr>
        <w:spacing w:line="240" w:lineRule="auto"/>
        <w:rPr>
          <w:noProof/>
          <w:sz w:val="20"/>
          <w:szCs w:val="20"/>
        </w:rPr>
      </w:pPr>
      <w:r w:rsidRPr="00680F07">
        <w:rPr>
          <w:noProof/>
          <w:sz w:val="20"/>
          <w:szCs w:val="20"/>
        </w:rPr>
        <w:t>The Bodleian Library:</w:t>
      </w:r>
    </w:p>
    <w:p w14:paraId="22188C6B" w14:textId="77777777" w:rsidR="00C678F8" w:rsidRPr="00680F07" w:rsidRDefault="003478F9" w:rsidP="00047062">
      <w:pPr>
        <w:spacing w:line="240" w:lineRule="auto"/>
        <w:rPr>
          <w:noProof/>
          <w:color w:val="0563C1" w:themeColor="hyperlink"/>
          <w:sz w:val="20"/>
          <w:szCs w:val="20"/>
          <w:u w:val="single"/>
        </w:rPr>
      </w:pPr>
      <w:hyperlink r:id="rId10" w:history="1">
        <w:r w:rsidR="00C678F8" w:rsidRPr="00680F07">
          <w:rPr>
            <w:rStyle w:val="Hyperlink"/>
            <w:noProof/>
            <w:sz w:val="20"/>
            <w:szCs w:val="20"/>
          </w:rPr>
          <w:t>http://bav.bodleian.ox.ac.uk/news/ars-moriendi-the-art-of-dying</w:t>
        </w:r>
      </w:hyperlink>
    </w:p>
    <w:p w14:paraId="22CFB858" w14:textId="77777777" w:rsidR="00C678F8" w:rsidRPr="00680F07" w:rsidRDefault="00C678F8" w:rsidP="00047062">
      <w:pPr>
        <w:spacing w:line="240" w:lineRule="auto"/>
        <w:rPr>
          <w:noProof/>
          <w:sz w:val="20"/>
          <w:szCs w:val="20"/>
        </w:rPr>
      </w:pPr>
      <w:r w:rsidRPr="00680F07">
        <w:rPr>
          <w:noProof/>
          <w:sz w:val="20"/>
          <w:szCs w:val="20"/>
        </w:rPr>
        <w:t>The Corpus of Middle English Prose and Verse:</w:t>
      </w:r>
    </w:p>
    <w:p w14:paraId="5C2614D8" w14:textId="27A5E3DD" w:rsidR="00C678F8" w:rsidRPr="00680F07" w:rsidRDefault="003478F9" w:rsidP="00047062">
      <w:pPr>
        <w:spacing w:line="240" w:lineRule="auto"/>
        <w:rPr>
          <w:rStyle w:val="Hyperlink"/>
          <w:noProof/>
          <w:sz w:val="20"/>
          <w:szCs w:val="20"/>
        </w:rPr>
      </w:pPr>
      <w:hyperlink r:id="rId11" w:history="1">
        <w:r w:rsidR="00C678F8" w:rsidRPr="00680F07">
          <w:rPr>
            <w:rStyle w:val="Hyperlink"/>
            <w:noProof/>
            <w:sz w:val="20"/>
            <w:szCs w:val="20"/>
          </w:rPr>
          <w:t>https://quod.lib.umich.edu/c/cme/EEWills/1:56?rgn=div1;view=fulltext</w:t>
        </w:r>
      </w:hyperlink>
    </w:p>
    <w:p w14:paraId="22235460" w14:textId="6A187DA1" w:rsidR="00C1166D" w:rsidRPr="00680F07" w:rsidRDefault="00680F07" w:rsidP="00047062">
      <w:pPr>
        <w:spacing w:line="240" w:lineRule="auto"/>
        <w:rPr>
          <w:sz w:val="20"/>
          <w:szCs w:val="20"/>
        </w:rPr>
      </w:pPr>
      <w:r>
        <w:rPr>
          <w:sz w:val="20"/>
          <w:szCs w:val="20"/>
        </w:rPr>
        <w:t>Dodedans:</w:t>
      </w:r>
    </w:p>
    <w:p w14:paraId="2DA38ED7" w14:textId="4D6E34DF" w:rsidR="00C1166D" w:rsidRDefault="003478F9" w:rsidP="00047062">
      <w:pPr>
        <w:spacing w:line="240" w:lineRule="auto"/>
        <w:rPr>
          <w:rStyle w:val="Hyperlink"/>
          <w:sz w:val="20"/>
          <w:szCs w:val="20"/>
        </w:rPr>
      </w:pPr>
      <w:hyperlink r:id="rId12" w:history="1">
        <w:r w:rsidR="00C1166D" w:rsidRPr="00680F07">
          <w:rPr>
            <w:rStyle w:val="Hyperlink"/>
            <w:sz w:val="20"/>
            <w:szCs w:val="20"/>
          </w:rPr>
          <w:t>http://www.dodedans.com/Eparis-verard.htm</w:t>
        </w:r>
      </w:hyperlink>
    </w:p>
    <w:p w14:paraId="069CDDAA" w14:textId="5702DE64" w:rsidR="000025D5" w:rsidRPr="000025D5" w:rsidRDefault="000025D5" w:rsidP="00047062">
      <w:pPr>
        <w:spacing w:line="240" w:lineRule="auto"/>
        <w:rPr>
          <w:rStyle w:val="Hyperlink"/>
          <w:color w:val="auto"/>
          <w:sz w:val="20"/>
          <w:szCs w:val="20"/>
          <w:u w:val="none"/>
        </w:rPr>
      </w:pPr>
      <w:r w:rsidRPr="000025D5">
        <w:rPr>
          <w:rStyle w:val="Hyperlink"/>
          <w:color w:val="auto"/>
          <w:sz w:val="20"/>
          <w:szCs w:val="20"/>
          <w:u w:val="none"/>
        </w:rPr>
        <w:t>Eton College:</w:t>
      </w:r>
    </w:p>
    <w:p w14:paraId="241A7F8A" w14:textId="741285A2" w:rsidR="000025D5" w:rsidRDefault="000025D5" w:rsidP="00047062">
      <w:pPr>
        <w:spacing w:line="240" w:lineRule="auto"/>
        <w:rPr>
          <w:rStyle w:val="Hyperlink"/>
          <w:sz w:val="20"/>
          <w:szCs w:val="20"/>
        </w:rPr>
      </w:pPr>
      <w:r w:rsidRPr="000025D5">
        <w:rPr>
          <w:rStyle w:val="Hyperlink"/>
          <w:sz w:val="20"/>
          <w:szCs w:val="20"/>
        </w:rPr>
        <w:t>https://www.etoncollege.com/briefhistory.aspx</w:t>
      </w:r>
    </w:p>
    <w:p w14:paraId="1EC1BEA8" w14:textId="7D2DB1A2" w:rsidR="00680F07" w:rsidRPr="00680F07" w:rsidRDefault="00680F07" w:rsidP="00047062">
      <w:pPr>
        <w:spacing w:line="240" w:lineRule="auto"/>
        <w:rPr>
          <w:rStyle w:val="Hyperlink"/>
          <w:color w:val="auto"/>
          <w:sz w:val="20"/>
          <w:szCs w:val="20"/>
          <w:u w:val="none"/>
        </w:rPr>
      </w:pPr>
      <w:r w:rsidRPr="00680F07">
        <w:rPr>
          <w:rStyle w:val="Hyperlink"/>
          <w:color w:val="auto"/>
          <w:sz w:val="20"/>
          <w:szCs w:val="20"/>
          <w:u w:val="none"/>
        </w:rPr>
        <w:t>The Museum of Talinn:</w:t>
      </w:r>
    </w:p>
    <w:bookmarkStart w:id="12" w:name="_Hlk536612456"/>
    <w:p w14:paraId="2EEA0808" w14:textId="77777777" w:rsidR="00C1166D" w:rsidRDefault="00B46691" w:rsidP="00047062">
      <w:pPr>
        <w:spacing w:line="240" w:lineRule="auto"/>
      </w:pPr>
      <w:r>
        <w:rPr>
          <w:rStyle w:val="Hyperlink"/>
          <w:sz w:val="20"/>
          <w:szCs w:val="20"/>
        </w:rPr>
        <w:fldChar w:fldCharType="begin"/>
      </w:r>
      <w:r>
        <w:rPr>
          <w:rStyle w:val="Hyperlink"/>
          <w:sz w:val="20"/>
          <w:szCs w:val="20"/>
        </w:rPr>
        <w:instrText xml:space="preserve"> HYPERLINK "https://nigulistemuuseum.ekm.ee/en/tallinns-idance-of-deathi/" </w:instrText>
      </w:r>
      <w:r>
        <w:rPr>
          <w:rStyle w:val="Hyperlink"/>
          <w:sz w:val="20"/>
          <w:szCs w:val="20"/>
        </w:rPr>
        <w:fldChar w:fldCharType="separate"/>
      </w:r>
      <w:r w:rsidR="00C1166D">
        <w:rPr>
          <w:rStyle w:val="Hyperlink"/>
          <w:sz w:val="20"/>
          <w:szCs w:val="20"/>
        </w:rPr>
        <w:t>https://nigulistemuuseum.ekm.ee/en/tallinns-idance-of-deathi/</w:t>
      </w:r>
      <w:r>
        <w:rPr>
          <w:rStyle w:val="Hyperlink"/>
          <w:sz w:val="20"/>
          <w:szCs w:val="20"/>
        </w:rPr>
        <w:fldChar w:fldCharType="end"/>
      </w:r>
    </w:p>
    <w:bookmarkEnd w:id="12"/>
    <w:p w14:paraId="47922851" w14:textId="43847834" w:rsidR="00EC2833" w:rsidRDefault="00EC2833" w:rsidP="00047062">
      <w:pPr>
        <w:spacing w:line="240" w:lineRule="auto"/>
        <w:rPr>
          <w:sz w:val="20"/>
          <w:szCs w:val="20"/>
        </w:rPr>
      </w:pPr>
      <w:r>
        <w:rPr>
          <w:sz w:val="20"/>
          <w:szCs w:val="20"/>
        </w:rPr>
        <w:t>Oxford Reference:</w:t>
      </w:r>
    </w:p>
    <w:p w14:paraId="6FCADE73" w14:textId="0FDBE266" w:rsidR="00C678F8" w:rsidRDefault="003478F9" w:rsidP="00047062">
      <w:pPr>
        <w:spacing w:line="240" w:lineRule="auto"/>
        <w:rPr>
          <w:sz w:val="20"/>
          <w:szCs w:val="20"/>
        </w:rPr>
      </w:pPr>
      <w:hyperlink r:id="rId13" w:history="1">
        <w:r w:rsidR="00EC2833" w:rsidRPr="008B3AD7">
          <w:rPr>
            <w:rStyle w:val="Hyperlink"/>
            <w:sz w:val="20"/>
            <w:szCs w:val="20"/>
          </w:rPr>
          <w:t>http://www.oxfordreference.com/view/10.1093/oi/authority.20110803100223527</w:t>
        </w:r>
      </w:hyperlink>
    </w:p>
    <w:p w14:paraId="1A3FC6C9" w14:textId="77777777" w:rsidR="00EC2833" w:rsidRDefault="00EC2833" w:rsidP="00047062">
      <w:pPr>
        <w:spacing w:line="240" w:lineRule="auto"/>
        <w:rPr>
          <w:sz w:val="20"/>
          <w:szCs w:val="20"/>
        </w:rPr>
      </w:pPr>
    </w:p>
    <w:p w14:paraId="507E3FE7" w14:textId="06F901D9" w:rsidR="00263FD8" w:rsidRDefault="00263FD8" w:rsidP="00047062">
      <w:pPr>
        <w:spacing w:line="240" w:lineRule="auto"/>
        <w:rPr>
          <w:sz w:val="20"/>
          <w:szCs w:val="20"/>
        </w:rPr>
      </w:pPr>
    </w:p>
    <w:p w14:paraId="6FAED668" w14:textId="77777777" w:rsidR="00263FD8" w:rsidRPr="00C22654" w:rsidRDefault="00263FD8" w:rsidP="00047062">
      <w:pPr>
        <w:spacing w:line="240" w:lineRule="auto"/>
        <w:rPr>
          <w:sz w:val="20"/>
          <w:szCs w:val="20"/>
        </w:rPr>
      </w:pPr>
    </w:p>
    <w:sectPr w:rsidR="00263FD8" w:rsidRPr="00C2265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5BE23" w14:textId="77777777" w:rsidR="003478F9" w:rsidRDefault="003478F9" w:rsidP="00791508">
      <w:pPr>
        <w:spacing w:after="0" w:line="240" w:lineRule="auto"/>
      </w:pPr>
      <w:r>
        <w:separator/>
      </w:r>
    </w:p>
  </w:endnote>
  <w:endnote w:type="continuationSeparator" w:id="0">
    <w:p w14:paraId="53BC0AC0" w14:textId="77777777" w:rsidR="003478F9" w:rsidRDefault="003478F9" w:rsidP="00791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8902420"/>
      <w:docPartObj>
        <w:docPartGallery w:val="Page Numbers (Bottom of Page)"/>
        <w:docPartUnique/>
      </w:docPartObj>
    </w:sdtPr>
    <w:sdtEndPr>
      <w:rPr>
        <w:noProof/>
      </w:rPr>
    </w:sdtEndPr>
    <w:sdtContent>
      <w:p w14:paraId="481E6AC0" w14:textId="52B73BBD" w:rsidR="00B46691" w:rsidRDefault="00B466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A11786" w14:textId="77777777" w:rsidR="00B46691" w:rsidRDefault="00B46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E5761D" w14:textId="77777777" w:rsidR="003478F9" w:rsidRDefault="003478F9" w:rsidP="00791508">
      <w:pPr>
        <w:spacing w:after="0" w:line="240" w:lineRule="auto"/>
      </w:pPr>
      <w:r>
        <w:separator/>
      </w:r>
    </w:p>
  </w:footnote>
  <w:footnote w:type="continuationSeparator" w:id="0">
    <w:p w14:paraId="78338E5F" w14:textId="77777777" w:rsidR="003478F9" w:rsidRDefault="003478F9" w:rsidP="00791508">
      <w:pPr>
        <w:spacing w:after="0" w:line="240" w:lineRule="auto"/>
      </w:pPr>
      <w:r>
        <w:continuationSeparator/>
      </w:r>
    </w:p>
  </w:footnote>
  <w:footnote w:id="1">
    <w:p w14:paraId="4FD0FE61" w14:textId="77777777" w:rsidR="00395E9A" w:rsidRDefault="00395E9A" w:rsidP="00395E9A">
      <w:pPr>
        <w:pStyle w:val="FootnoteText"/>
      </w:pPr>
      <w:r>
        <w:rPr>
          <w:rStyle w:val="FootnoteReference"/>
        </w:rPr>
        <w:footnoteRef/>
      </w:r>
      <w:r>
        <w:t xml:space="preserve"> J Huizinga, </w:t>
      </w:r>
      <w:r w:rsidRPr="00680F07">
        <w:rPr>
          <w:i/>
        </w:rPr>
        <w:t>The Waning of the Middle Ages</w:t>
      </w:r>
      <w:r w:rsidRPr="00680F07">
        <w:t>, (Harmondsworth: Peregrine Books, 1965)</w:t>
      </w:r>
      <w:r>
        <w:t xml:space="preserve"> p134.</w:t>
      </w:r>
    </w:p>
  </w:footnote>
  <w:footnote w:id="2">
    <w:p w14:paraId="1FBB9E4A" w14:textId="77777777" w:rsidR="00395E9A" w:rsidRDefault="00395E9A" w:rsidP="00395E9A">
      <w:pPr>
        <w:pStyle w:val="FootnoteText"/>
      </w:pPr>
      <w:r>
        <w:rPr>
          <w:rStyle w:val="FootnoteReference"/>
        </w:rPr>
        <w:footnoteRef/>
      </w:r>
      <w:r>
        <w:t xml:space="preserve"> Elina Gertsman, </w:t>
      </w:r>
      <w:r>
        <w:rPr>
          <w:i/>
        </w:rPr>
        <w:t>The Dance of Death in the Middle Ages: Image, text, performance,</w:t>
      </w:r>
      <w:r>
        <w:t xml:space="preserve"> (Turnhout: </w:t>
      </w:r>
      <w:proofErr w:type="spellStart"/>
      <w:r>
        <w:t>Brepols</w:t>
      </w:r>
      <w:proofErr w:type="spellEnd"/>
      <w:r>
        <w:t>, 2010)</w:t>
      </w:r>
      <w:r>
        <w:tab/>
        <w:t>p106</w:t>
      </w:r>
    </w:p>
  </w:footnote>
  <w:footnote w:id="3">
    <w:p w14:paraId="7BB4488F" w14:textId="77777777" w:rsidR="00395E9A" w:rsidRDefault="00395E9A" w:rsidP="00395E9A">
      <w:pPr>
        <w:pStyle w:val="FootnoteText"/>
      </w:pPr>
      <w:r>
        <w:rPr>
          <w:rStyle w:val="FootnoteReference"/>
        </w:rPr>
        <w:footnoteRef/>
      </w:r>
      <w:r>
        <w:t xml:space="preserve"> H C Lea, </w:t>
      </w:r>
      <w:r w:rsidRPr="001B196B">
        <w:rPr>
          <w:i/>
        </w:rPr>
        <w:t>A History of the Inquisition in the Middle Ages</w:t>
      </w:r>
      <w:r>
        <w:t>, (New York: Harper &amp; Brothers, 1887) p234.</w:t>
      </w:r>
    </w:p>
  </w:footnote>
  <w:footnote w:id="4">
    <w:p w14:paraId="4E508152" w14:textId="77777777" w:rsidR="00395E9A" w:rsidRPr="00C9187D" w:rsidRDefault="00395E9A" w:rsidP="00395E9A">
      <w:pPr>
        <w:spacing w:line="360" w:lineRule="auto"/>
        <w:rPr>
          <w:sz w:val="20"/>
          <w:szCs w:val="20"/>
        </w:rPr>
      </w:pPr>
      <w:r>
        <w:rPr>
          <w:rStyle w:val="FootnoteReference"/>
        </w:rPr>
        <w:footnoteRef/>
      </w:r>
      <w:r>
        <w:t xml:space="preserve"> </w:t>
      </w:r>
      <w:hyperlink r:id="rId1" w:history="1">
        <w:r w:rsidRPr="008B3AD7">
          <w:rPr>
            <w:rStyle w:val="Hyperlink"/>
            <w:sz w:val="20"/>
            <w:szCs w:val="20"/>
          </w:rPr>
          <w:t>http://www.oxfordreference.com/view/10.1093/oi/authority.20110803100223527</w:t>
        </w:r>
      </w:hyperlink>
    </w:p>
  </w:footnote>
  <w:footnote w:id="5">
    <w:p w14:paraId="017E0BDF" w14:textId="77777777" w:rsidR="00395E9A" w:rsidRDefault="00395E9A" w:rsidP="00395E9A">
      <w:pPr>
        <w:pStyle w:val="FootnoteText"/>
      </w:pPr>
      <w:r>
        <w:rPr>
          <w:rStyle w:val="FootnoteReference"/>
        </w:rPr>
        <w:footnoteRef/>
      </w:r>
      <w:r>
        <w:t xml:space="preserve"> Huizinga, </w:t>
      </w:r>
      <w:r w:rsidRPr="00A6151B">
        <w:rPr>
          <w:i/>
        </w:rPr>
        <w:t>The Waning</w:t>
      </w:r>
      <w:r>
        <w:rPr>
          <w:i/>
        </w:rPr>
        <w:t>,</w:t>
      </w:r>
      <w:r>
        <w:t xml:space="preserve"> p 135</w:t>
      </w:r>
    </w:p>
  </w:footnote>
  <w:footnote w:id="6">
    <w:p w14:paraId="5B9A1EC3" w14:textId="77777777" w:rsidR="00395E9A" w:rsidRDefault="00395E9A" w:rsidP="00395E9A">
      <w:pPr>
        <w:pStyle w:val="FootnoteText"/>
      </w:pPr>
      <w:r>
        <w:rPr>
          <w:rStyle w:val="FootnoteReference"/>
        </w:rPr>
        <w:footnoteRef/>
      </w:r>
      <w:r>
        <w:t xml:space="preserve"> Huizinga, </w:t>
      </w:r>
      <w:r w:rsidRPr="00A6151B">
        <w:rPr>
          <w:i/>
        </w:rPr>
        <w:t>The Waning</w:t>
      </w:r>
      <w:r>
        <w:rPr>
          <w:i/>
        </w:rPr>
        <w:t>,</w:t>
      </w:r>
      <w:r>
        <w:t xml:space="preserve"> p 134</w:t>
      </w:r>
    </w:p>
  </w:footnote>
  <w:footnote w:id="7">
    <w:p w14:paraId="429AF3E3" w14:textId="77777777" w:rsidR="00395E9A" w:rsidRPr="00D041A6" w:rsidRDefault="00395E9A" w:rsidP="00395E9A">
      <w:pPr>
        <w:spacing w:line="240" w:lineRule="auto"/>
        <w:rPr>
          <w:rFonts w:cstheme="minorHAnsi"/>
          <w:color w:val="373A3C"/>
          <w:sz w:val="20"/>
          <w:szCs w:val="20"/>
          <w:shd w:val="clear" w:color="auto" w:fill="FFFFFF"/>
        </w:rPr>
      </w:pPr>
      <w:r>
        <w:rPr>
          <w:rStyle w:val="FootnoteReference"/>
        </w:rPr>
        <w:footnoteRef/>
      </w:r>
      <w:r>
        <w:t xml:space="preserve"> Lawrence G </w:t>
      </w:r>
      <w:r>
        <w:rPr>
          <w:rFonts w:cstheme="minorHAnsi"/>
          <w:color w:val="373A3C"/>
          <w:sz w:val="20"/>
          <w:szCs w:val="20"/>
          <w:shd w:val="clear" w:color="auto" w:fill="FFFFFF"/>
        </w:rPr>
        <w:t xml:space="preserve">Duggan, </w:t>
      </w:r>
      <w:bookmarkStart w:id="0" w:name="_Hlk536713483"/>
      <w:r>
        <w:rPr>
          <w:rFonts w:cstheme="minorHAnsi"/>
          <w:color w:val="373A3C"/>
          <w:sz w:val="20"/>
          <w:szCs w:val="20"/>
          <w:shd w:val="clear" w:color="auto" w:fill="FFFFFF"/>
        </w:rPr>
        <w:t xml:space="preserve">‘Was Art really the “Book of the Illiterate”?’ </w:t>
      </w:r>
      <w:bookmarkEnd w:id="0"/>
      <w:r w:rsidRPr="000B1985">
        <w:rPr>
          <w:rFonts w:cstheme="minorHAnsi"/>
          <w:i/>
          <w:color w:val="373A3C"/>
          <w:sz w:val="20"/>
          <w:szCs w:val="20"/>
          <w:shd w:val="clear" w:color="auto" w:fill="FFFFFF"/>
        </w:rPr>
        <w:t xml:space="preserve">Reading Images and Texts: Medieval Images and </w:t>
      </w:r>
      <w:r>
        <w:rPr>
          <w:rFonts w:cstheme="minorHAnsi"/>
          <w:i/>
          <w:color w:val="373A3C"/>
          <w:sz w:val="20"/>
          <w:szCs w:val="20"/>
          <w:shd w:val="clear" w:color="auto" w:fill="FFFFFF"/>
        </w:rPr>
        <w:t>T</w:t>
      </w:r>
      <w:r w:rsidRPr="000B1985">
        <w:rPr>
          <w:rFonts w:cstheme="minorHAnsi"/>
          <w:i/>
          <w:color w:val="373A3C"/>
          <w:sz w:val="20"/>
          <w:szCs w:val="20"/>
          <w:shd w:val="clear" w:color="auto" w:fill="FFFFFF"/>
        </w:rPr>
        <w:t xml:space="preserve">exts as </w:t>
      </w:r>
      <w:r>
        <w:rPr>
          <w:rFonts w:cstheme="minorHAnsi"/>
          <w:i/>
          <w:color w:val="373A3C"/>
          <w:sz w:val="20"/>
          <w:szCs w:val="20"/>
          <w:shd w:val="clear" w:color="auto" w:fill="FFFFFF"/>
        </w:rPr>
        <w:t>F</w:t>
      </w:r>
      <w:r w:rsidRPr="000B1985">
        <w:rPr>
          <w:rFonts w:cstheme="minorHAnsi"/>
          <w:i/>
          <w:color w:val="373A3C"/>
          <w:sz w:val="20"/>
          <w:szCs w:val="20"/>
          <w:shd w:val="clear" w:color="auto" w:fill="FFFFFF"/>
        </w:rPr>
        <w:t xml:space="preserve">orms of </w:t>
      </w:r>
      <w:r>
        <w:rPr>
          <w:rFonts w:cstheme="minorHAnsi"/>
          <w:i/>
          <w:color w:val="373A3C"/>
          <w:sz w:val="20"/>
          <w:szCs w:val="20"/>
          <w:shd w:val="clear" w:color="auto" w:fill="FFFFFF"/>
        </w:rPr>
        <w:t>C</w:t>
      </w:r>
      <w:r w:rsidRPr="000B1985">
        <w:rPr>
          <w:rFonts w:cstheme="minorHAnsi"/>
          <w:i/>
          <w:color w:val="373A3C"/>
          <w:sz w:val="20"/>
          <w:szCs w:val="20"/>
          <w:shd w:val="clear" w:color="auto" w:fill="FFFFFF"/>
        </w:rPr>
        <w:t>ommunication</w:t>
      </w:r>
      <w:r>
        <w:rPr>
          <w:rFonts w:cstheme="minorHAnsi"/>
          <w:color w:val="373A3C"/>
          <w:sz w:val="20"/>
          <w:szCs w:val="20"/>
          <w:shd w:val="clear" w:color="auto" w:fill="FFFFFF"/>
        </w:rPr>
        <w:t xml:space="preserve">, ed. Hageman, Mariella and Mostert, Marco, (Turnhout: </w:t>
      </w:r>
      <w:proofErr w:type="spellStart"/>
      <w:r>
        <w:rPr>
          <w:rFonts w:cstheme="minorHAnsi"/>
          <w:color w:val="373A3C"/>
          <w:sz w:val="20"/>
          <w:szCs w:val="20"/>
          <w:shd w:val="clear" w:color="auto" w:fill="FFFFFF"/>
        </w:rPr>
        <w:t>Brepols</w:t>
      </w:r>
      <w:proofErr w:type="spellEnd"/>
      <w:r>
        <w:rPr>
          <w:rFonts w:cstheme="minorHAnsi"/>
          <w:color w:val="373A3C"/>
          <w:sz w:val="20"/>
          <w:szCs w:val="20"/>
          <w:shd w:val="clear" w:color="auto" w:fill="FFFFFF"/>
        </w:rPr>
        <w:t>, 2005).</w:t>
      </w:r>
    </w:p>
  </w:footnote>
  <w:footnote w:id="8">
    <w:p w14:paraId="4D8B10A0" w14:textId="77777777" w:rsidR="00395E9A" w:rsidRPr="007855BF" w:rsidRDefault="00395E9A" w:rsidP="00395E9A">
      <w:pPr>
        <w:spacing w:line="240" w:lineRule="auto"/>
        <w:rPr>
          <w:noProof/>
          <w:sz w:val="20"/>
          <w:szCs w:val="20"/>
        </w:rPr>
      </w:pPr>
      <w:r w:rsidRPr="007855BF">
        <w:rPr>
          <w:rStyle w:val="FootnoteReference"/>
          <w:sz w:val="20"/>
          <w:szCs w:val="20"/>
        </w:rPr>
        <w:footnoteRef/>
      </w:r>
      <w:r w:rsidRPr="007855BF">
        <w:rPr>
          <w:sz w:val="20"/>
          <w:szCs w:val="20"/>
        </w:rPr>
        <w:t xml:space="preserve"> William Caxton, </w:t>
      </w:r>
      <w:r w:rsidRPr="007855BF">
        <w:rPr>
          <w:noProof/>
          <w:sz w:val="20"/>
          <w:szCs w:val="20"/>
        </w:rPr>
        <w:t>“The Craft to Know to Die Well”</w:t>
      </w:r>
      <w:r w:rsidRPr="007855BF">
        <w:rPr>
          <w:i/>
          <w:noProof/>
          <w:sz w:val="20"/>
          <w:szCs w:val="20"/>
        </w:rPr>
        <w:t>,</w:t>
      </w:r>
      <w:r w:rsidRPr="007855BF">
        <w:rPr>
          <w:noProof/>
          <w:sz w:val="20"/>
          <w:szCs w:val="20"/>
        </w:rPr>
        <w:t xml:space="preserve"> </w:t>
      </w:r>
      <w:r w:rsidRPr="007855BF">
        <w:rPr>
          <w:i/>
          <w:noProof/>
          <w:sz w:val="20"/>
          <w:szCs w:val="20"/>
        </w:rPr>
        <w:t>The Book of the Craft of Dying and Other Early English</w:t>
      </w:r>
      <w:r>
        <w:rPr>
          <w:i/>
          <w:noProof/>
          <w:sz w:val="20"/>
          <w:szCs w:val="20"/>
        </w:rPr>
        <w:tab/>
      </w:r>
      <w:r w:rsidRPr="007855BF">
        <w:rPr>
          <w:i/>
          <w:noProof/>
          <w:sz w:val="20"/>
          <w:szCs w:val="20"/>
        </w:rPr>
        <w:t xml:space="preserve"> Tracts Concerning Death</w:t>
      </w:r>
      <w:r w:rsidRPr="007855BF">
        <w:rPr>
          <w:noProof/>
          <w:sz w:val="20"/>
          <w:szCs w:val="20"/>
        </w:rPr>
        <w:t>, ed. Comper, Frances M M, (London: Longmans, 1917)</w:t>
      </w:r>
      <w:r w:rsidRPr="007855BF">
        <w:rPr>
          <w:sz w:val="20"/>
          <w:szCs w:val="20"/>
        </w:rPr>
        <w:t xml:space="preserve"> p 78.</w:t>
      </w:r>
    </w:p>
  </w:footnote>
  <w:footnote w:id="9">
    <w:p w14:paraId="6B0996B3" w14:textId="77777777" w:rsidR="00395E9A" w:rsidRPr="007855BF" w:rsidRDefault="00395E9A" w:rsidP="00395E9A">
      <w:pPr>
        <w:pStyle w:val="FootnoteText"/>
      </w:pPr>
      <w:r w:rsidRPr="007855BF">
        <w:rPr>
          <w:rStyle w:val="FootnoteReference"/>
        </w:rPr>
        <w:footnoteRef/>
      </w:r>
      <w:r w:rsidRPr="007855BF">
        <w:t xml:space="preserve"> </w:t>
      </w:r>
      <w:bookmarkStart w:id="1" w:name="_Hlk536708691"/>
      <w:r w:rsidRPr="007855BF">
        <w:t xml:space="preserve">Huizinga, </w:t>
      </w:r>
      <w:r w:rsidRPr="007855BF">
        <w:rPr>
          <w:i/>
        </w:rPr>
        <w:t>The Waning,</w:t>
      </w:r>
      <w:r w:rsidRPr="007855BF">
        <w:t xml:space="preserve"> p </w:t>
      </w:r>
      <w:bookmarkEnd w:id="1"/>
      <w:r w:rsidRPr="007855BF">
        <w:t>136.</w:t>
      </w:r>
    </w:p>
  </w:footnote>
  <w:footnote w:id="10">
    <w:p w14:paraId="69E7434A" w14:textId="77777777" w:rsidR="00395E9A" w:rsidRPr="007855BF" w:rsidRDefault="00395E9A" w:rsidP="00395E9A">
      <w:pPr>
        <w:spacing w:line="240" w:lineRule="auto"/>
        <w:rPr>
          <w:noProof/>
          <w:sz w:val="20"/>
          <w:szCs w:val="20"/>
        </w:rPr>
      </w:pPr>
      <w:r w:rsidRPr="007855BF">
        <w:rPr>
          <w:rStyle w:val="FootnoteReference"/>
          <w:sz w:val="20"/>
          <w:szCs w:val="20"/>
        </w:rPr>
        <w:footnoteRef/>
      </w:r>
      <w:r w:rsidRPr="007855BF">
        <w:rPr>
          <w:sz w:val="20"/>
          <w:szCs w:val="20"/>
        </w:rPr>
        <w:t xml:space="preserve"> Anon, </w:t>
      </w:r>
      <w:r>
        <w:rPr>
          <w:sz w:val="20"/>
          <w:szCs w:val="20"/>
        </w:rPr>
        <w:t>“</w:t>
      </w:r>
      <w:r w:rsidRPr="00B1444D">
        <w:rPr>
          <w:sz w:val="20"/>
          <w:szCs w:val="20"/>
        </w:rPr>
        <w:t>The Book of the Craft of Dying</w:t>
      </w:r>
      <w:r>
        <w:rPr>
          <w:sz w:val="20"/>
          <w:szCs w:val="20"/>
        </w:rPr>
        <w:t>”</w:t>
      </w:r>
      <w:r w:rsidRPr="007855BF">
        <w:rPr>
          <w:i/>
          <w:sz w:val="20"/>
          <w:szCs w:val="20"/>
        </w:rPr>
        <w:t xml:space="preserve">, </w:t>
      </w:r>
      <w:r w:rsidRPr="007855BF">
        <w:rPr>
          <w:i/>
          <w:noProof/>
          <w:sz w:val="20"/>
          <w:szCs w:val="20"/>
        </w:rPr>
        <w:t>The Book of the Craft of Dying</w:t>
      </w:r>
      <w:r w:rsidRPr="007855BF">
        <w:rPr>
          <w:noProof/>
          <w:sz w:val="20"/>
          <w:szCs w:val="20"/>
        </w:rPr>
        <w:t>, ed. Comper, Frances M M, (London:</w:t>
      </w:r>
      <w:r>
        <w:rPr>
          <w:noProof/>
          <w:sz w:val="20"/>
          <w:szCs w:val="20"/>
        </w:rPr>
        <w:tab/>
      </w:r>
      <w:r w:rsidRPr="007855BF">
        <w:rPr>
          <w:noProof/>
          <w:sz w:val="20"/>
          <w:szCs w:val="20"/>
        </w:rPr>
        <w:t xml:space="preserve"> Longmans, 1917)</w:t>
      </w:r>
      <w:r w:rsidRPr="007855BF">
        <w:rPr>
          <w:sz w:val="20"/>
          <w:szCs w:val="20"/>
        </w:rPr>
        <w:t>.</w:t>
      </w:r>
    </w:p>
  </w:footnote>
  <w:footnote w:id="11">
    <w:p w14:paraId="680D6E3C" w14:textId="77777777" w:rsidR="00395E9A" w:rsidRDefault="00395E9A" w:rsidP="00395E9A">
      <w:pPr>
        <w:pStyle w:val="FootnoteText"/>
      </w:pPr>
      <w:r w:rsidRPr="007855BF">
        <w:rPr>
          <w:rStyle w:val="FootnoteReference"/>
        </w:rPr>
        <w:footnoteRef/>
      </w:r>
      <w:r w:rsidRPr="007855BF">
        <w:t xml:space="preserve"> Huizinga, </w:t>
      </w:r>
      <w:r w:rsidRPr="007855BF">
        <w:rPr>
          <w:i/>
        </w:rPr>
        <w:t>The Waning,</w:t>
      </w:r>
      <w:r w:rsidRPr="007855BF">
        <w:t xml:space="preserve"> p 146.</w:t>
      </w:r>
    </w:p>
  </w:footnote>
  <w:footnote w:id="12">
    <w:p w14:paraId="664AD367" w14:textId="77777777" w:rsidR="00395E9A" w:rsidRDefault="00395E9A" w:rsidP="00395E9A">
      <w:pPr>
        <w:pStyle w:val="FootnoteText"/>
      </w:pPr>
      <w:r>
        <w:rPr>
          <w:rStyle w:val="FootnoteReference"/>
        </w:rPr>
        <w:footnoteRef/>
      </w:r>
      <w:r>
        <w:t xml:space="preserve"> Consider lines such as:</w:t>
      </w:r>
    </w:p>
    <w:p w14:paraId="5F9D0DED" w14:textId="77777777" w:rsidR="00395E9A" w:rsidRDefault="00395E9A" w:rsidP="00395E9A">
      <w:pPr>
        <w:pStyle w:val="FootnoteText"/>
        <w:ind w:firstLine="720"/>
      </w:pPr>
      <w:r>
        <w:t xml:space="preserve">‘I pine, by Severing Love </w:t>
      </w:r>
      <w:proofErr w:type="spellStart"/>
      <w:r>
        <w:t>despoil’d</w:t>
      </w:r>
      <w:proofErr w:type="spellEnd"/>
    </w:p>
    <w:p w14:paraId="272C3270" w14:textId="77777777" w:rsidR="00395E9A" w:rsidRPr="00B92D99" w:rsidRDefault="00395E9A" w:rsidP="00395E9A">
      <w:pPr>
        <w:spacing w:line="240" w:lineRule="auto"/>
        <w:ind w:firstLine="720"/>
        <w:rPr>
          <w:sz w:val="20"/>
          <w:szCs w:val="20"/>
        </w:rPr>
      </w:pPr>
      <w:r w:rsidRPr="00B92D99">
        <w:rPr>
          <w:sz w:val="20"/>
          <w:szCs w:val="20"/>
        </w:rPr>
        <w:t xml:space="preserve">Of Pearl mine own, without a spot.’ Lines 10-11. Anon., </w:t>
      </w:r>
      <w:r w:rsidRPr="00B92D99">
        <w:rPr>
          <w:i/>
          <w:sz w:val="20"/>
          <w:szCs w:val="20"/>
        </w:rPr>
        <w:t>Pearl</w:t>
      </w:r>
      <w:r w:rsidRPr="00B92D99">
        <w:rPr>
          <w:sz w:val="20"/>
          <w:szCs w:val="20"/>
        </w:rPr>
        <w:t>, ed. Sir Israel Gollancz, (New York:</w:t>
      </w:r>
      <w:r>
        <w:rPr>
          <w:sz w:val="20"/>
          <w:szCs w:val="20"/>
        </w:rPr>
        <w:tab/>
      </w:r>
      <w:r>
        <w:rPr>
          <w:sz w:val="20"/>
          <w:szCs w:val="20"/>
        </w:rPr>
        <w:tab/>
      </w:r>
      <w:r w:rsidRPr="00B92D99">
        <w:rPr>
          <w:sz w:val="20"/>
          <w:szCs w:val="20"/>
        </w:rPr>
        <w:t>Cooper Square Publishers Inc., 1966).</w:t>
      </w:r>
    </w:p>
  </w:footnote>
  <w:footnote w:id="13">
    <w:p w14:paraId="6597B765" w14:textId="77777777" w:rsidR="00395E9A" w:rsidRDefault="00395E9A" w:rsidP="00395E9A">
      <w:pPr>
        <w:pStyle w:val="FootnoteText"/>
      </w:pPr>
      <w:r>
        <w:rPr>
          <w:rStyle w:val="FootnoteReference"/>
        </w:rPr>
        <w:footnoteRef/>
      </w:r>
      <w:r>
        <w:t xml:space="preserve"> </w:t>
      </w:r>
      <w:r w:rsidRPr="006C540E">
        <w:rPr>
          <w:i/>
        </w:rPr>
        <w:t xml:space="preserve">A </w:t>
      </w:r>
      <w:proofErr w:type="spellStart"/>
      <w:r w:rsidRPr="006C540E">
        <w:rPr>
          <w:i/>
        </w:rPr>
        <w:t>Disputacion</w:t>
      </w:r>
      <w:proofErr w:type="spellEnd"/>
      <w:r w:rsidRPr="006C540E">
        <w:rPr>
          <w:i/>
        </w:rPr>
        <w:t xml:space="preserve"> </w:t>
      </w:r>
      <w:proofErr w:type="spellStart"/>
      <w:r w:rsidRPr="006C540E">
        <w:rPr>
          <w:i/>
        </w:rPr>
        <w:t>Betwyx</w:t>
      </w:r>
      <w:proofErr w:type="spellEnd"/>
      <w:r w:rsidRPr="006C540E">
        <w:rPr>
          <w:i/>
        </w:rPr>
        <w:t xml:space="preserve"> the Body and </w:t>
      </w:r>
      <w:proofErr w:type="spellStart"/>
      <w:r w:rsidRPr="006C540E">
        <w:rPr>
          <w:i/>
        </w:rPr>
        <w:t>Wormes</w:t>
      </w:r>
      <w:proofErr w:type="spellEnd"/>
      <w:r>
        <w:t>: see module notes provided.</w:t>
      </w:r>
    </w:p>
  </w:footnote>
  <w:footnote w:id="14">
    <w:p w14:paraId="08638D30" w14:textId="77777777" w:rsidR="00395E9A" w:rsidRDefault="00395E9A" w:rsidP="00395E9A">
      <w:pPr>
        <w:pStyle w:val="FootnoteText"/>
      </w:pPr>
      <w:r>
        <w:rPr>
          <w:rStyle w:val="FootnoteReference"/>
        </w:rPr>
        <w:footnoteRef/>
      </w:r>
      <w:r>
        <w:t xml:space="preserve"> Huizinga, </w:t>
      </w:r>
      <w:r w:rsidRPr="006B0BC2">
        <w:rPr>
          <w:i/>
        </w:rPr>
        <w:t>The Waning,</w:t>
      </w:r>
      <w:r>
        <w:t xml:space="preserve"> p7</w:t>
      </w:r>
    </w:p>
  </w:footnote>
  <w:footnote w:id="15">
    <w:p w14:paraId="56958FED" w14:textId="19D3DE3F" w:rsidR="00B46691" w:rsidRDefault="00B46691">
      <w:pPr>
        <w:pStyle w:val="FootnoteText"/>
      </w:pPr>
      <w:r>
        <w:rPr>
          <w:rStyle w:val="FootnoteReference"/>
        </w:rPr>
        <w:footnoteRef/>
      </w:r>
      <w:r>
        <w:t xml:space="preserve"> C. Daniel,</w:t>
      </w:r>
      <w:r w:rsidRPr="00D54186">
        <w:rPr>
          <w:rStyle w:val="Emphasis"/>
          <w:rFonts w:cstheme="minorHAnsi"/>
          <w:color w:val="373A3C"/>
          <w:shd w:val="clear" w:color="auto" w:fill="FFFFFF"/>
        </w:rPr>
        <w:t xml:space="preserve"> </w:t>
      </w:r>
      <w:r>
        <w:rPr>
          <w:rStyle w:val="Emphasis"/>
          <w:rFonts w:cstheme="minorHAnsi"/>
          <w:color w:val="373A3C"/>
          <w:shd w:val="clear" w:color="auto" w:fill="FFFFFF"/>
        </w:rPr>
        <w:t>Death and Burial in Medieval England, 1066-1550</w:t>
      </w:r>
      <w:r>
        <w:rPr>
          <w:rFonts w:cstheme="minorHAnsi"/>
          <w:color w:val="373A3C"/>
          <w:shd w:val="clear" w:color="auto" w:fill="FFFFFF"/>
        </w:rPr>
        <w:t> (London, 1997) p 58.</w:t>
      </w:r>
    </w:p>
  </w:footnote>
  <w:footnote w:id="16">
    <w:p w14:paraId="23254059" w14:textId="1DE6B241" w:rsidR="00B46691" w:rsidRDefault="00B46691" w:rsidP="007772E8">
      <w:pPr>
        <w:pStyle w:val="FootnoteText"/>
        <w:rPr>
          <w:rFonts w:cstheme="minorHAnsi"/>
        </w:rPr>
      </w:pPr>
      <w:r>
        <w:rPr>
          <w:rStyle w:val="FootnoteReference"/>
          <w:rFonts w:cstheme="minorHAnsi"/>
        </w:rPr>
        <w:footnoteRef/>
      </w:r>
      <w:r>
        <w:rPr>
          <w:rFonts w:cstheme="minorHAnsi"/>
        </w:rPr>
        <w:t xml:space="preserve"> </w:t>
      </w:r>
      <w:r w:rsidRPr="00664D50">
        <w:rPr>
          <w:rFonts w:cstheme="minorHAnsi"/>
          <w:i/>
          <w:color w:val="373A3C"/>
          <w:shd w:val="clear" w:color="auto" w:fill="FFFFFF"/>
        </w:rPr>
        <w:t>Ibid.</w:t>
      </w:r>
      <w:r>
        <w:rPr>
          <w:rFonts w:cstheme="minorHAnsi"/>
          <w:color w:val="373A3C"/>
          <w:shd w:val="clear" w:color="auto" w:fill="FFFFFF"/>
        </w:rPr>
        <w:t xml:space="preserve"> pp 55-56.</w:t>
      </w:r>
    </w:p>
  </w:footnote>
  <w:footnote w:id="17">
    <w:p w14:paraId="6722568B" w14:textId="21BE73A8" w:rsidR="00B46691" w:rsidRDefault="00B46691" w:rsidP="007772E8">
      <w:pPr>
        <w:pStyle w:val="FootnoteText"/>
        <w:rPr>
          <w:rFonts w:cstheme="minorHAnsi"/>
        </w:rPr>
      </w:pPr>
      <w:r>
        <w:rPr>
          <w:rStyle w:val="FootnoteReference"/>
          <w:rFonts w:cstheme="minorHAnsi"/>
        </w:rPr>
        <w:footnoteRef/>
      </w:r>
      <w:r>
        <w:rPr>
          <w:rFonts w:cstheme="minorHAnsi"/>
        </w:rPr>
        <w:t xml:space="preserve"> </w:t>
      </w:r>
      <w:r w:rsidRPr="00664D50">
        <w:rPr>
          <w:rFonts w:cstheme="minorHAnsi"/>
          <w:i/>
          <w:color w:val="373A3C"/>
          <w:shd w:val="clear" w:color="auto" w:fill="FFFFFF"/>
        </w:rPr>
        <w:t>Ibid.</w:t>
      </w:r>
      <w:r>
        <w:rPr>
          <w:rFonts w:cstheme="minorHAnsi"/>
          <w:color w:val="373A3C"/>
          <w:shd w:val="clear" w:color="auto" w:fill="FFFFFF"/>
        </w:rPr>
        <w:t xml:space="preserve"> p 58.</w:t>
      </w:r>
    </w:p>
  </w:footnote>
  <w:footnote w:id="18">
    <w:p w14:paraId="5DCCA71D" w14:textId="77777777" w:rsidR="00B46691" w:rsidRDefault="00B46691" w:rsidP="007772E8">
      <w:pPr>
        <w:pStyle w:val="FootnoteText"/>
      </w:pPr>
      <w:r>
        <w:rPr>
          <w:rStyle w:val="FootnoteReference"/>
        </w:rPr>
        <w:footnoteRef/>
      </w:r>
      <w:r>
        <w:t xml:space="preserve"> Were a greater number of words available, it would have been interesting to delve into what monumental style says about memorialisation.</w:t>
      </w:r>
    </w:p>
  </w:footnote>
  <w:footnote w:id="19">
    <w:p w14:paraId="6D1496E7" w14:textId="66904DE6" w:rsidR="000025D5" w:rsidRDefault="00B46691" w:rsidP="007772E8">
      <w:pPr>
        <w:pStyle w:val="FootnoteText"/>
      </w:pPr>
      <w:r>
        <w:rPr>
          <w:rStyle w:val="FootnoteReference"/>
        </w:rPr>
        <w:footnoteRef/>
      </w:r>
      <w:r>
        <w:t xml:space="preserve"> </w:t>
      </w:r>
      <w:hyperlink r:id="rId2" w:history="1">
        <w:r w:rsidR="000025D5" w:rsidRPr="008B3AD7">
          <w:rPr>
            <w:rStyle w:val="Hyperlink"/>
          </w:rPr>
          <w:t>https://www.etoncollege.com/briefhistory.aspx</w:t>
        </w:r>
      </w:hyperlink>
    </w:p>
  </w:footnote>
  <w:footnote w:id="20">
    <w:p w14:paraId="7F03DB7F" w14:textId="53352D98" w:rsidR="00B46691" w:rsidRDefault="00B46691" w:rsidP="007772E8">
      <w:pPr>
        <w:pStyle w:val="FootnoteText"/>
      </w:pPr>
      <w:r>
        <w:rPr>
          <w:rStyle w:val="FootnoteReference"/>
        </w:rPr>
        <w:footnoteRef/>
      </w:r>
      <w:r>
        <w:t xml:space="preserve"> </w:t>
      </w:r>
      <w:r w:rsidR="00664D50">
        <w:t xml:space="preserve">Eamon </w:t>
      </w:r>
      <w:r>
        <w:t>Duffy</w:t>
      </w:r>
      <w:r w:rsidR="00664D50">
        <w:t xml:space="preserve">, </w:t>
      </w:r>
      <w:r w:rsidR="00A936B5">
        <w:rPr>
          <w:rFonts w:cstheme="minorHAnsi"/>
          <w:i/>
          <w:color w:val="373A3C"/>
          <w:shd w:val="clear" w:color="auto" w:fill="FFFFFF"/>
        </w:rPr>
        <w:t>The Stripping of the Altars: Traditional Religion in England 1400-1580</w:t>
      </w:r>
      <w:r w:rsidR="00A936B5">
        <w:rPr>
          <w:rFonts w:cstheme="minorHAnsi"/>
          <w:color w:val="373A3C"/>
          <w:shd w:val="clear" w:color="auto" w:fill="FFFFFF"/>
        </w:rPr>
        <w:t>, (New Haven &amp; London:</w:t>
      </w:r>
      <w:r w:rsidR="00536746">
        <w:rPr>
          <w:rFonts w:cstheme="minorHAnsi"/>
          <w:color w:val="373A3C"/>
          <w:shd w:val="clear" w:color="auto" w:fill="FFFFFF"/>
        </w:rPr>
        <w:t xml:space="preserve"> </w:t>
      </w:r>
      <w:r w:rsidR="00A936B5">
        <w:rPr>
          <w:rFonts w:cstheme="minorHAnsi"/>
          <w:color w:val="373A3C"/>
          <w:shd w:val="clear" w:color="auto" w:fill="FFFFFF"/>
        </w:rPr>
        <w:t xml:space="preserve">Yale University Press, 1992). </w:t>
      </w:r>
      <w:r>
        <w:t xml:space="preserve">p475; </w:t>
      </w:r>
      <w:r w:rsidR="00127202">
        <w:t xml:space="preserve">Sally </w:t>
      </w:r>
      <w:proofErr w:type="spellStart"/>
      <w:r>
        <w:t>Badham</w:t>
      </w:r>
      <w:proofErr w:type="spellEnd"/>
      <w:r w:rsidR="00127202">
        <w:t xml:space="preserve"> </w:t>
      </w:r>
      <w:r w:rsidR="004555B3">
        <w:t>on p 174 of</w:t>
      </w:r>
      <w:r w:rsidR="00F75DE4" w:rsidRPr="00F75DE4">
        <w:rPr>
          <w:i/>
        </w:rPr>
        <w:t xml:space="preserve"> </w:t>
      </w:r>
      <w:r w:rsidR="00F75DE4">
        <w:rPr>
          <w:i/>
        </w:rPr>
        <w:t>Seeking Salvation: Commemorating the Dead in the Late Middle Ages</w:t>
      </w:r>
      <w:r w:rsidR="00F75DE4">
        <w:t>, (</w:t>
      </w:r>
      <w:proofErr w:type="spellStart"/>
      <w:r w:rsidR="00F75DE4">
        <w:t>Donington</w:t>
      </w:r>
      <w:proofErr w:type="spellEnd"/>
      <w:r w:rsidR="00F75DE4">
        <w:t xml:space="preserve">: Shaun </w:t>
      </w:r>
      <w:proofErr w:type="spellStart"/>
      <w:r w:rsidR="00F75DE4">
        <w:t>Tyas</w:t>
      </w:r>
      <w:proofErr w:type="spellEnd"/>
      <w:r w:rsidR="00F75DE4">
        <w:t>, 2015)</w:t>
      </w:r>
      <w:r>
        <w:t xml:space="preserve"> gives an example of money left in 1485 to a church ‘with the intention that my name should be placed in the book … so that my soul there recorded should be prayed for.’</w:t>
      </w:r>
    </w:p>
  </w:footnote>
  <w:footnote w:id="21">
    <w:p w14:paraId="2C05858B" w14:textId="77777777" w:rsidR="00B46691" w:rsidRDefault="00B46691" w:rsidP="00A7263E">
      <w:pPr>
        <w:pStyle w:val="FootnoteText"/>
      </w:pPr>
      <w:r>
        <w:rPr>
          <w:rStyle w:val="FootnoteReference"/>
        </w:rPr>
        <w:footnoteRef/>
      </w:r>
      <w:r>
        <w:t xml:space="preserve"> Hindman in Harrison </w:t>
      </w:r>
      <w:r>
        <w:rPr>
          <w:i/>
        </w:rPr>
        <w:t>Danse Macabre of Women</w:t>
      </w:r>
      <w:r>
        <w:t xml:space="preserve"> p.28.</w:t>
      </w:r>
    </w:p>
  </w:footnote>
  <w:footnote w:id="22">
    <w:p w14:paraId="6AE0DDD7" w14:textId="78DA9D7C" w:rsidR="00B46691" w:rsidRDefault="00B46691" w:rsidP="00A7263E">
      <w:pPr>
        <w:pStyle w:val="FootnoteText"/>
      </w:pPr>
      <w:r>
        <w:rPr>
          <w:rStyle w:val="FootnoteReference"/>
        </w:rPr>
        <w:footnoteRef/>
      </w:r>
      <w:r>
        <w:t xml:space="preserve"> Gertsman, </w:t>
      </w:r>
      <w:r>
        <w:rPr>
          <w:i/>
        </w:rPr>
        <w:t xml:space="preserve">Dance of Death, </w:t>
      </w:r>
      <w:r>
        <w:t>Chapter 3</w:t>
      </w:r>
      <w:r w:rsidR="00030DAF">
        <w:t>.</w:t>
      </w:r>
    </w:p>
  </w:footnote>
  <w:footnote w:id="23">
    <w:p w14:paraId="5A61E6A8" w14:textId="77777777" w:rsidR="00030DAF" w:rsidRDefault="00030DAF" w:rsidP="00030DAF">
      <w:pPr>
        <w:spacing w:line="240" w:lineRule="auto"/>
      </w:pPr>
      <w:r>
        <w:rPr>
          <w:rStyle w:val="FootnoteReference"/>
        </w:rPr>
        <w:footnoteRef/>
      </w:r>
      <w:r>
        <w:t xml:space="preserve"> </w:t>
      </w:r>
      <w:hyperlink r:id="rId3" w:history="1">
        <w:r>
          <w:rPr>
            <w:rStyle w:val="Hyperlink"/>
            <w:sz w:val="20"/>
            <w:szCs w:val="20"/>
          </w:rPr>
          <w:t>https://nigulistemuuseum.ekm.ee/en/tallinns-idance-of-deathi/</w:t>
        </w:r>
      </w:hyperlink>
    </w:p>
    <w:p w14:paraId="459A3CBB" w14:textId="51494AB3" w:rsidR="00030DAF" w:rsidRDefault="00030DAF">
      <w:pPr>
        <w:pStyle w:val="FootnoteText"/>
      </w:pPr>
    </w:p>
  </w:footnote>
  <w:footnote w:id="24">
    <w:p w14:paraId="3704C2FB" w14:textId="77777777" w:rsidR="00B46691" w:rsidRDefault="00B46691" w:rsidP="000460B0">
      <w:pPr>
        <w:jc w:val="both"/>
        <w:rPr>
          <w:noProof/>
          <w:color w:val="0563C1" w:themeColor="hyperlink"/>
          <w:sz w:val="20"/>
          <w:szCs w:val="20"/>
        </w:rPr>
      </w:pPr>
      <w:r>
        <w:rPr>
          <w:rStyle w:val="FootnoteReference"/>
        </w:rPr>
        <w:footnoteRef/>
      </w:r>
      <w:r>
        <w:t xml:space="preserve"> </w:t>
      </w:r>
      <w:hyperlink r:id="rId4" w:history="1">
        <w:r>
          <w:rPr>
            <w:rStyle w:val="Hyperlink"/>
            <w:noProof/>
            <w:sz w:val="20"/>
            <w:szCs w:val="20"/>
          </w:rPr>
          <w:t>https://www.bl.uk/medieval-literature/articles/william-caxton-and-the-introduction-of-printing-to-england</w:t>
        </w:r>
      </w:hyperlink>
      <w:r>
        <w:rPr>
          <w:rStyle w:val="Hyperlink"/>
          <w:noProof/>
          <w:sz w:val="20"/>
          <w:szCs w:val="20"/>
        </w:rPr>
        <w:t xml:space="preserve"> </w:t>
      </w:r>
      <w:r w:rsidRPr="000D1024">
        <w:rPr>
          <w:rStyle w:val="Hyperlink"/>
          <w:noProof/>
          <w:color w:val="000000" w:themeColor="text1"/>
          <w:sz w:val="20"/>
          <w:szCs w:val="20"/>
          <w:u w:val="none"/>
        </w:rPr>
        <w:t>tells us that after</w:t>
      </w:r>
      <w:r>
        <w:rPr>
          <w:rStyle w:val="Hyperlink"/>
          <w:noProof/>
          <w:color w:val="000000" w:themeColor="text1"/>
          <w:sz w:val="20"/>
          <w:szCs w:val="20"/>
        </w:rPr>
        <w:t xml:space="preserve"> </w:t>
      </w:r>
      <w:r>
        <w:rPr>
          <w:rFonts w:eastAsia="Times New Roman" w:cstheme="minorHAnsi"/>
          <w:bCs/>
          <w:color w:val="343536"/>
          <w:sz w:val="20"/>
          <w:szCs w:val="20"/>
          <w:lang w:eastAsia="en-GB"/>
        </w:rPr>
        <w:t xml:space="preserve">introducing the printing press to Britain from continental Europe Caxton printed works such as the Canterbury Tales and Gower’s </w:t>
      </w:r>
      <w:proofErr w:type="spellStart"/>
      <w:r>
        <w:rPr>
          <w:rFonts w:eastAsia="Times New Roman" w:cstheme="minorHAnsi"/>
          <w:bCs/>
          <w:i/>
          <w:color w:val="343536"/>
          <w:sz w:val="20"/>
          <w:szCs w:val="20"/>
          <w:lang w:eastAsia="en-GB"/>
        </w:rPr>
        <w:t>Confessio</w:t>
      </w:r>
      <w:proofErr w:type="spellEnd"/>
      <w:r>
        <w:rPr>
          <w:rFonts w:eastAsia="Times New Roman" w:cstheme="minorHAnsi"/>
          <w:bCs/>
          <w:i/>
          <w:color w:val="343536"/>
          <w:sz w:val="20"/>
          <w:szCs w:val="20"/>
          <w:lang w:eastAsia="en-GB"/>
        </w:rPr>
        <w:t xml:space="preserve"> </w:t>
      </w:r>
      <w:proofErr w:type="spellStart"/>
      <w:r>
        <w:rPr>
          <w:rFonts w:eastAsia="Times New Roman" w:cstheme="minorHAnsi"/>
          <w:bCs/>
          <w:i/>
          <w:color w:val="343536"/>
          <w:sz w:val="20"/>
          <w:szCs w:val="20"/>
          <w:lang w:eastAsia="en-GB"/>
        </w:rPr>
        <w:t>Amantis</w:t>
      </w:r>
      <w:proofErr w:type="spellEnd"/>
      <w:r>
        <w:rPr>
          <w:rFonts w:eastAsia="Times New Roman" w:cstheme="minorHAnsi"/>
          <w:bCs/>
          <w:color w:val="343536"/>
          <w:sz w:val="20"/>
          <w:szCs w:val="20"/>
          <w:lang w:eastAsia="en-GB"/>
        </w:rPr>
        <w:t xml:space="preserve"> as well as translating more than twenty books into English from Latin, French and Dutch.</w:t>
      </w:r>
    </w:p>
  </w:footnote>
  <w:footnote w:id="25">
    <w:p w14:paraId="7004FFB2" w14:textId="77777777" w:rsidR="00B46691" w:rsidRDefault="00B46691" w:rsidP="005976C1">
      <w:pPr>
        <w:pStyle w:val="FootnoteText"/>
      </w:pPr>
      <w:r>
        <w:rPr>
          <w:rStyle w:val="FootnoteReference"/>
        </w:rPr>
        <w:footnoteRef/>
      </w:r>
      <w:r>
        <w:t xml:space="preserve"> D F Duclow,  ‘</w:t>
      </w:r>
      <w:r>
        <w:rPr>
          <w:rFonts w:cstheme="minorHAnsi"/>
        </w:rPr>
        <w:t xml:space="preserve">Everyman and the Ars Moriendi: Fifteenth Century Ceremonies of Dying’, </w:t>
      </w:r>
      <w:r>
        <w:rPr>
          <w:rFonts w:cstheme="minorHAnsi"/>
          <w:i/>
        </w:rPr>
        <w:t xml:space="preserve">Fifteenth  Century </w:t>
      </w:r>
      <w:r>
        <w:rPr>
          <w:rFonts w:cstheme="minorHAnsi"/>
          <w:i/>
        </w:rPr>
        <w:tab/>
        <w:t>Studies</w:t>
      </w:r>
      <w:r>
        <w:rPr>
          <w:rFonts w:cstheme="minorHAnsi"/>
        </w:rPr>
        <w:t xml:space="preserve">, </w:t>
      </w:r>
      <w:hyperlink r:id="rId5" w:tooltip="Click to search for more items from this issue" w:history="1">
        <w:r>
          <w:rPr>
            <w:rStyle w:val="Hyperlink"/>
            <w:rFonts w:cstheme="minorHAnsi"/>
            <w:shd w:val="clear" w:color="auto" w:fill="FFFFFF"/>
          </w:rPr>
          <w:t> Vol. 6, </w:t>
        </w:r>
      </w:hyperlink>
      <w:r>
        <w:rPr>
          <w:rFonts w:cstheme="minorHAnsi"/>
          <w:shd w:val="clear" w:color="auto" w:fill="FFFFFF"/>
        </w:rPr>
        <w:t> Jan 1, 1983</w:t>
      </w:r>
      <w:r>
        <w:rPr>
          <w:rFonts w:cstheme="minorHAnsi"/>
        </w:rPr>
        <w:t xml:space="preserve"> </w:t>
      </w:r>
      <w:r>
        <w:t>p103.</w:t>
      </w:r>
    </w:p>
  </w:footnote>
  <w:footnote w:id="26">
    <w:p w14:paraId="30DF9F90" w14:textId="6D0AAEFF" w:rsidR="00B46691" w:rsidRDefault="00B46691" w:rsidP="00112FBD">
      <w:pPr>
        <w:pStyle w:val="FootnoteText"/>
      </w:pPr>
      <w:r>
        <w:rPr>
          <w:rStyle w:val="FootnoteReference"/>
        </w:rPr>
        <w:footnoteRef/>
      </w:r>
      <w:r w:rsidRPr="009D4532">
        <w:rPr>
          <w:i/>
        </w:rPr>
        <w:t xml:space="preserve"> </w:t>
      </w:r>
      <w:r w:rsidR="009D4532" w:rsidRPr="009D4532">
        <w:rPr>
          <w:i/>
        </w:rPr>
        <w:t>Ibid</w:t>
      </w:r>
      <w:r w:rsidR="009D4532">
        <w:t>.,</w:t>
      </w:r>
      <w:r>
        <w:t xml:space="preserve"> p95.</w:t>
      </w:r>
    </w:p>
  </w:footnote>
  <w:footnote w:id="27">
    <w:p w14:paraId="4EEFD456" w14:textId="77777777" w:rsidR="00B46691" w:rsidRDefault="00B46691" w:rsidP="009E0DF6">
      <w:pPr>
        <w:spacing w:line="240" w:lineRule="auto"/>
        <w:jc w:val="both"/>
        <w:rPr>
          <w:rFonts w:cstheme="minorHAnsi"/>
          <w:noProof/>
          <w:sz w:val="20"/>
          <w:szCs w:val="20"/>
        </w:rPr>
      </w:pPr>
      <w:r>
        <w:rPr>
          <w:rStyle w:val="FootnoteReference"/>
          <w:rFonts w:cstheme="minorHAnsi"/>
          <w:sz w:val="20"/>
          <w:szCs w:val="20"/>
        </w:rPr>
        <w:footnoteRef/>
      </w:r>
      <w:r>
        <w:rPr>
          <w:rFonts w:cstheme="minorHAnsi"/>
          <w:sz w:val="20"/>
          <w:szCs w:val="20"/>
        </w:rPr>
        <w:t xml:space="preserve"> Julian of Norwich, </w:t>
      </w:r>
      <w:r>
        <w:rPr>
          <w:rFonts w:cstheme="minorHAnsi"/>
          <w:i/>
          <w:sz w:val="20"/>
          <w:szCs w:val="20"/>
        </w:rPr>
        <w:t>Revelations of Divine Love</w:t>
      </w:r>
      <w:r>
        <w:rPr>
          <w:rFonts w:cstheme="minorHAnsi"/>
          <w:sz w:val="20"/>
          <w:szCs w:val="20"/>
        </w:rPr>
        <w:t xml:space="preserve">, </w:t>
      </w:r>
      <w:r>
        <w:rPr>
          <w:rFonts w:cstheme="minorHAnsi"/>
          <w:noProof/>
          <w:sz w:val="20"/>
          <w:szCs w:val="20"/>
        </w:rPr>
        <w:t xml:space="preserve">trans &amp; ed. Clifton Wolters (London: Penguin, 1988) </w:t>
      </w:r>
      <w:r>
        <w:rPr>
          <w:rFonts w:cstheme="minorHAnsi"/>
          <w:sz w:val="20"/>
          <w:szCs w:val="20"/>
        </w:rPr>
        <w:t>p65.</w:t>
      </w:r>
    </w:p>
  </w:footnote>
  <w:footnote w:id="28">
    <w:p w14:paraId="086B53DB" w14:textId="72537540" w:rsidR="000D1024" w:rsidRDefault="000D1024">
      <w:pPr>
        <w:pStyle w:val="FootnoteText"/>
      </w:pPr>
      <w:r>
        <w:rPr>
          <w:rStyle w:val="FootnoteReference"/>
        </w:rPr>
        <w:footnoteRef/>
      </w:r>
      <w:r>
        <w:t xml:space="preserve"> Caxton p 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E7C093" w14:textId="34FB9E5B" w:rsidR="00B46691" w:rsidRDefault="00B46691">
    <w:pPr>
      <w:pStyle w:val="Header"/>
    </w:pPr>
    <w:r>
      <w:t>Natasha Coombs</w:t>
    </w:r>
    <w:r>
      <w:ptab w:relativeTo="margin" w:alignment="center" w:leader="none"/>
    </w:r>
    <w:r>
      <w:t>HCHI6013</w:t>
    </w:r>
    <w:r>
      <w:ptab w:relativeTo="margin" w:alignment="right" w:leader="none"/>
    </w:r>
    <w:r>
      <w:t>1402066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90584"/>
    <w:multiLevelType w:val="hybridMultilevel"/>
    <w:tmpl w:val="9BC697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49F5A74"/>
    <w:multiLevelType w:val="hybridMultilevel"/>
    <w:tmpl w:val="A6C202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815"/>
    <w:rsid w:val="000025D5"/>
    <w:rsid w:val="0000346A"/>
    <w:rsid w:val="00026C97"/>
    <w:rsid w:val="00030DAF"/>
    <w:rsid w:val="00043AAD"/>
    <w:rsid w:val="000460B0"/>
    <w:rsid w:val="00047037"/>
    <w:rsid w:val="00047062"/>
    <w:rsid w:val="00053153"/>
    <w:rsid w:val="00054808"/>
    <w:rsid w:val="0006347F"/>
    <w:rsid w:val="000818B0"/>
    <w:rsid w:val="00087D7B"/>
    <w:rsid w:val="000B1985"/>
    <w:rsid w:val="000B7029"/>
    <w:rsid w:val="000D1024"/>
    <w:rsid w:val="000F2BFE"/>
    <w:rsid w:val="000F5865"/>
    <w:rsid w:val="00112FBD"/>
    <w:rsid w:val="00127202"/>
    <w:rsid w:val="00135FDA"/>
    <w:rsid w:val="001746CE"/>
    <w:rsid w:val="00206E83"/>
    <w:rsid w:val="00211DAE"/>
    <w:rsid w:val="00235784"/>
    <w:rsid w:val="002444A3"/>
    <w:rsid w:val="002458E8"/>
    <w:rsid w:val="00255F6F"/>
    <w:rsid w:val="00263FD8"/>
    <w:rsid w:val="002A79E6"/>
    <w:rsid w:val="002C1AAD"/>
    <w:rsid w:val="002D700E"/>
    <w:rsid w:val="002E18F8"/>
    <w:rsid w:val="00331C08"/>
    <w:rsid w:val="003471E2"/>
    <w:rsid w:val="003478F9"/>
    <w:rsid w:val="00386C1E"/>
    <w:rsid w:val="00395591"/>
    <w:rsid w:val="00395E9A"/>
    <w:rsid w:val="003D57FD"/>
    <w:rsid w:val="003F2B1D"/>
    <w:rsid w:val="00400D91"/>
    <w:rsid w:val="004146A9"/>
    <w:rsid w:val="004374D3"/>
    <w:rsid w:val="00440A85"/>
    <w:rsid w:val="00444642"/>
    <w:rsid w:val="00445E46"/>
    <w:rsid w:val="004555B3"/>
    <w:rsid w:val="004573E4"/>
    <w:rsid w:val="00463517"/>
    <w:rsid w:val="004E0A6C"/>
    <w:rsid w:val="00536746"/>
    <w:rsid w:val="005860F0"/>
    <w:rsid w:val="00594304"/>
    <w:rsid w:val="0059448B"/>
    <w:rsid w:val="005976C1"/>
    <w:rsid w:val="005C134E"/>
    <w:rsid w:val="005D16A2"/>
    <w:rsid w:val="005D3B0F"/>
    <w:rsid w:val="00620815"/>
    <w:rsid w:val="00664D50"/>
    <w:rsid w:val="00676122"/>
    <w:rsid w:val="00680F07"/>
    <w:rsid w:val="00693940"/>
    <w:rsid w:val="006C707C"/>
    <w:rsid w:val="006D5A57"/>
    <w:rsid w:val="006E0939"/>
    <w:rsid w:val="006E636D"/>
    <w:rsid w:val="006F5305"/>
    <w:rsid w:val="00701C93"/>
    <w:rsid w:val="00706524"/>
    <w:rsid w:val="00744BB1"/>
    <w:rsid w:val="0076376C"/>
    <w:rsid w:val="00771A24"/>
    <w:rsid w:val="007764E2"/>
    <w:rsid w:val="007772E8"/>
    <w:rsid w:val="007824BF"/>
    <w:rsid w:val="00785305"/>
    <w:rsid w:val="00791508"/>
    <w:rsid w:val="00793431"/>
    <w:rsid w:val="007A3802"/>
    <w:rsid w:val="00822AF3"/>
    <w:rsid w:val="0083201F"/>
    <w:rsid w:val="0085326D"/>
    <w:rsid w:val="00866C2F"/>
    <w:rsid w:val="00881299"/>
    <w:rsid w:val="008A2CEA"/>
    <w:rsid w:val="008C63C6"/>
    <w:rsid w:val="008D30DF"/>
    <w:rsid w:val="008F1047"/>
    <w:rsid w:val="008F700F"/>
    <w:rsid w:val="009219EA"/>
    <w:rsid w:val="00924BF3"/>
    <w:rsid w:val="00925FB2"/>
    <w:rsid w:val="00951D95"/>
    <w:rsid w:val="00963D85"/>
    <w:rsid w:val="00972DD9"/>
    <w:rsid w:val="00977271"/>
    <w:rsid w:val="00997940"/>
    <w:rsid w:val="009A7C7C"/>
    <w:rsid w:val="009B4A4F"/>
    <w:rsid w:val="009D4532"/>
    <w:rsid w:val="009E0DF6"/>
    <w:rsid w:val="009E1B90"/>
    <w:rsid w:val="009F6F4C"/>
    <w:rsid w:val="00A16B79"/>
    <w:rsid w:val="00A3791C"/>
    <w:rsid w:val="00A431C1"/>
    <w:rsid w:val="00A55AAA"/>
    <w:rsid w:val="00A7263E"/>
    <w:rsid w:val="00A75A76"/>
    <w:rsid w:val="00A936B5"/>
    <w:rsid w:val="00AD2397"/>
    <w:rsid w:val="00B1586F"/>
    <w:rsid w:val="00B46691"/>
    <w:rsid w:val="00BC2AA1"/>
    <w:rsid w:val="00BD6738"/>
    <w:rsid w:val="00C1166D"/>
    <w:rsid w:val="00C22654"/>
    <w:rsid w:val="00C51D3A"/>
    <w:rsid w:val="00C663E6"/>
    <w:rsid w:val="00C678F8"/>
    <w:rsid w:val="00C92C95"/>
    <w:rsid w:val="00CB11DF"/>
    <w:rsid w:val="00CE38D4"/>
    <w:rsid w:val="00D01AE6"/>
    <w:rsid w:val="00D04838"/>
    <w:rsid w:val="00D462DF"/>
    <w:rsid w:val="00D54186"/>
    <w:rsid w:val="00D86483"/>
    <w:rsid w:val="00D971F3"/>
    <w:rsid w:val="00DC2A8A"/>
    <w:rsid w:val="00DD059A"/>
    <w:rsid w:val="00DD7768"/>
    <w:rsid w:val="00DE6F03"/>
    <w:rsid w:val="00DF7203"/>
    <w:rsid w:val="00E050AF"/>
    <w:rsid w:val="00E229F4"/>
    <w:rsid w:val="00E2543E"/>
    <w:rsid w:val="00E4436E"/>
    <w:rsid w:val="00E61903"/>
    <w:rsid w:val="00E62107"/>
    <w:rsid w:val="00E73364"/>
    <w:rsid w:val="00E97427"/>
    <w:rsid w:val="00EC2833"/>
    <w:rsid w:val="00EF5E2D"/>
    <w:rsid w:val="00F00B97"/>
    <w:rsid w:val="00F02252"/>
    <w:rsid w:val="00F26226"/>
    <w:rsid w:val="00F614A5"/>
    <w:rsid w:val="00F70CDF"/>
    <w:rsid w:val="00F74265"/>
    <w:rsid w:val="00F75DE4"/>
    <w:rsid w:val="00F94D4C"/>
    <w:rsid w:val="00FA0F0E"/>
    <w:rsid w:val="00FB4D0E"/>
    <w:rsid w:val="00FE2DA4"/>
    <w:rsid w:val="00FF1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1B8003"/>
  <w15:chartTrackingRefBased/>
  <w15:docId w15:val="{64FA5241-D28B-4674-8F8D-9CB8C6521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1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508"/>
  </w:style>
  <w:style w:type="paragraph" w:styleId="Footer">
    <w:name w:val="footer"/>
    <w:basedOn w:val="Normal"/>
    <w:link w:val="FooterChar"/>
    <w:uiPriority w:val="99"/>
    <w:unhideWhenUsed/>
    <w:rsid w:val="00791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508"/>
  </w:style>
  <w:style w:type="paragraph" w:styleId="ListParagraph">
    <w:name w:val="List Paragraph"/>
    <w:basedOn w:val="Normal"/>
    <w:uiPriority w:val="34"/>
    <w:qFormat/>
    <w:rsid w:val="003F2B1D"/>
    <w:pPr>
      <w:spacing w:line="256" w:lineRule="auto"/>
      <w:ind w:left="720"/>
      <w:contextualSpacing/>
    </w:pPr>
  </w:style>
  <w:style w:type="paragraph" w:styleId="FootnoteText">
    <w:name w:val="footnote text"/>
    <w:basedOn w:val="Normal"/>
    <w:link w:val="FootnoteTextChar"/>
    <w:uiPriority w:val="99"/>
    <w:semiHidden/>
    <w:unhideWhenUsed/>
    <w:rsid w:val="008F10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1047"/>
    <w:rPr>
      <w:sz w:val="20"/>
      <w:szCs w:val="20"/>
    </w:rPr>
  </w:style>
  <w:style w:type="character" w:styleId="FootnoteReference">
    <w:name w:val="footnote reference"/>
    <w:basedOn w:val="DefaultParagraphFont"/>
    <w:uiPriority w:val="99"/>
    <w:semiHidden/>
    <w:unhideWhenUsed/>
    <w:rsid w:val="008F1047"/>
    <w:rPr>
      <w:vertAlign w:val="superscript"/>
    </w:rPr>
  </w:style>
  <w:style w:type="character" w:styleId="Emphasis">
    <w:name w:val="Emphasis"/>
    <w:basedOn w:val="DefaultParagraphFont"/>
    <w:uiPriority w:val="20"/>
    <w:qFormat/>
    <w:rsid w:val="008F1047"/>
    <w:rPr>
      <w:i/>
      <w:iCs/>
    </w:rPr>
  </w:style>
  <w:style w:type="paragraph" w:styleId="NormalWeb">
    <w:name w:val="Normal (Web)"/>
    <w:basedOn w:val="Normal"/>
    <w:uiPriority w:val="99"/>
    <w:unhideWhenUsed/>
    <w:rsid w:val="005943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2FBD"/>
    <w:rPr>
      <w:color w:val="0563C1" w:themeColor="hyperlink"/>
      <w:u w:val="single"/>
    </w:rPr>
  </w:style>
  <w:style w:type="character" w:styleId="UnresolvedMention">
    <w:name w:val="Unresolved Mention"/>
    <w:basedOn w:val="DefaultParagraphFont"/>
    <w:uiPriority w:val="99"/>
    <w:semiHidden/>
    <w:unhideWhenUsed/>
    <w:rsid w:val="000025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487545">
      <w:bodyDiv w:val="1"/>
      <w:marLeft w:val="0"/>
      <w:marRight w:val="0"/>
      <w:marTop w:val="0"/>
      <w:marBottom w:val="0"/>
      <w:divBdr>
        <w:top w:val="none" w:sz="0" w:space="0" w:color="auto"/>
        <w:left w:val="none" w:sz="0" w:space="0" w:color="auto"/>
        <w:bottom w:val="none" w:sz="0" w:space="0" w:color="auto"/>
        <w:right w:val="none" w:sz="0" w:space="0" w:color="auto"/>
      </w:divBdr>
    </w:div>
    <w:div w:id="293563759">
      <w:bodyDiv w:val="1"/>
      <w:marLeft w:val="0"/>
      <w:marRight w:val="0"/>
      <w:marTop w:val="0"/>
      <w:marBottom w:val="0"/>
      <w:divBdr>
        <w:top w:val="none" w:sz="0" w:space="0" w:color="auto"/>
        <w:left w:val="none" w:sz="0" w:space="0" w:color="auto"/>
        <w:bottom w:val="none" w:sz="0" w:space="0" w:color="auto"/>
        <w:right w:val="none" w:sz="0" w:space="0" w:color="auto"/>
      </w:divBdr>
    </w:div>
    <w:div w:id="471794373">
      <w:bodyDiv w:val="1"/>
      <w:marLeft w:val="0"/>
      <w:marRight w:val="0"/>
      <w:marTop w:val="0"/>
      <w:marBottom w:val="0"/>
      <w:divBdr>
        <w:top w:val="none" w:sz="0" w:space="0" w:color="auto"/>
        <w:left w:val="none" w:sz="0" w:space="0" w:color="auto"/>
        <w:bottom w:val="none" w:sz="0" w:space="0" w:color="auto"/>
        <w:right w:val="none" w:sz="0" w:space="0" w:color="auto"/>
      </w:divBdr>
    </w:div>
    <w:div w:id="504443512">
      <w:bodyDiv w:val="1"/>
      <w:marLeft w:val="0"/>
      <w:marRight w:val="0"/>
      <w:marTop w:val="0"/>
      <w:marBottom w:val="0"/>
      <w:divBdr>
        <w:top w:val="none" w:sz="0" w:space="0" w:color="auto"/>
        <w:left w:val="none" w:sz="0" w:space="0" w:color="auto"/>
        <w:bottom w:val="none" w:sz="0" w:space="0" w:color="auto"/>
        <w:right w:val="none" w:sz="0" w:space="0" w:color="auto"/>
      </w:divBdr>
    </w:div>
    <w:div w:id="539706123">
      <w:bodyDiv w:val="1"/>
      <w:marLeft w:val="0"/>
      <w:marRight w:val="0"/>
      <w:marTop w:val="0"/>
      <w:marBottom w:val="0"/>
      <w:divBdr>
        <w:top w:val="none" w:sz="0" w:space="0" w:color="auto"/>
        <w:left w:val="none" w:sz="0" w:space="0" w:color="auto"/>
        <w:bottom w:val="none" w:sz="0" w:space="0" w:color="auto"/>
        <w:right w:val="none" w:sz="0" w:space="0" w:color="auto"/>
      </w:divBdr>
    </w:div>
    <w:div w:id="579753082">
      <w:bodyDiv w:val="1"/>
      <w:marLeft w:val="0"/>
      <w:marRight w:val="0"/>
      <w:marTop w:val="0"/>
      <w:marBottom w:val="0"/>
      <w:divBdr>
        <w:top w:val="none" w:sz="0" w:space="0" w:color="auto"/>
        <w:left w:val="none" w:sz="0" w:space="0" w:color="auto"/>
        <w:bottom w:val="none" w:sz="0" w:space="0" w:color="auto"/>
        <w:right w:val="none" w:sz="0" w:space="0" w:color="auto"/>
      </w:divBdr>
    </w:div>
    <w:div w:id="689912536">
      <w:bodyDiv w:val="1"/>
      <w:marLeft w:val="0"/>
      <w:marRight w:val="0"/>
      <w:marTop w:val="0"/>
      <w:marBottom w:val="0"/>
      <w:divBdr>
        <w:top w:val="none" w:sz="0" w:space="0" w:color="auto"/>
        <w:left w:val="none" w:sz="0" w:space="0" w:color="auto"/>
        <w:bottom w:val="none" w:sz="0" w:space="0" w:color="auto"/>
        <w:right w:val="none" w:sz="0" w:space="0" w:color="auto"/>
      </w:divBdr>
    </w:div>
    <w:div w:id="892353602">
      <w:bodyDiv w:val="1"/>
      <w:marLeft w:val="0"/>
      <w:marRight w:val="0"/>
      <w:marTop w:val="0"/>
      <w:marBottom w:val="0"/>
      <w:divBdr>
        <w:top w:val="none" w:sz="0" w:space="0" w:color="auto"/>
        <w:left w:val="none" w:sz="0" w:space="0" w:color="auto"/>
        <w:bottom w:val="none" w:sz="0" w:space="0" w:color="auto"/>
        <w:right w:val="none" w:sz="0" w:space="0" w:color="auto"/>
      </w:divBdr>
    </w:div>
    <w:div w:id="944116692">
      <w:bodyDiv w:val="1"/>
      <w:marLeft w:val="0"/>
      <w:marRight w:val="0"/>
      <w:marTop w:val="0"/>
      <w:marBottom w:val="0"/>
      <w:divBdr>
        <w:top w:val="none" w:sz="0" w:space="0" w:color="auto"/>
        <w:left w:val="none" w:sz="0" w:space="0" w:color="auto"/>
        <w:bottom w:val="none" w:sz="0" w:space="0" w:color="auto"/>
        <w:right w:val="none" w:sz="0" w:space="0" w:color="auto"/>
      </w:divBdr>
    </w:div>
    <w:div w:id="944846953">
      <w:bodyDiv w:val="1"/>
      <w:marLeft w:val="0"/>
      <w:marRight w:val="0"/>
      <w:marTop w:val="0"/>
      <w:marBottom w:val="0"/>
      <w:divBdr>
        <w:top w:val="none" w:sz="0" w:space="0" w:color="auto"/>
        <w:left w:val="none" w:sz="0" w:space="0" w:color="auto"/>
        <w:bottom w:val="none" w:sz="0" w:space="0" w:color="auto"/>
        <w:right w:val="none" w:sz="0" w:space="0" w:color="auto"/>
      </w:divBdr>
    </w:div>
    <w:div w:id="948128154">
      <w:bodyDiv w:val="1"/>
      <w:marLeft w:val="0"/>
      <w:marRight w:val="0"/>
      <w:marTop w:val="0"/>
      <w:marBottom w:val="0"/>
      <w:divBdr>
        <w:top w:val="none" w:sz="0" w:space="0" w:color="auto"/>
        <w:left w:val="none" w:sz="0" w:space="0" w:color="auto"/>
        <w:bottom w:val="none" w:sz="0" w:space="0" w:color="auto"/>
        <w:right w:val="none" w:sz="0" w:space="0" w:color="auto"/>
      </w:divBdr>
    </w:div>
    <w:div w:id="992102867">
      <w:bodyDiv w:val="1"/>
      <w:marLeft w:val="0"/>
      <w:marRight w:val="0"/>
      <w:marTop w:val="0"/>
      <w:marBottom w:val="0"/>
      <w:divBdr>
        <w:top w:val="none" w:sz="0" w:space="0" w:color="auto"/>
        <w:left w:val="none" w:sz="0" w:space="0" w:color="auto"/>
        <w:bottom w:val="none" w:sz="0" w:space="0" w:color="auto"/>
        <w:right w:val="none" w:sz="0" w:space="0" w:color="auto"/>
      </w:divBdr>
    </w:div>
    <w:div w:id="1009676814">
      <w:bodyDiv w:val="1"/>
      <w:marLeft w:val="0"/>
      <w:marRight w:val="0"/>
      <w:marTop w:val="0"/>
      <w:marBottom w:val="0"/>
      <w:divBdr>
        <w:top w:val="none" w:sz="0" w:space="0" w:color="auto"/>
        <w:left w:val="none" w:sz="0" w:space="0" w:color="auto"/>
        <w:bottom w:val="none" w:sz="0" w:space="0" w:color="auto"/>
        <w:right w:val="none" w:sz="0" w:space="0" w:color="auto"/>
      </w:divBdr>
    </w:div>
    <w:div w:id="1102645058">
      <w:bodyDiv w:val="1"/>
      <w:marLeft w:val="0"/>
      <w:marRight w:val="0"/>
      <w:marTop w:val="0"/>
      <w:marBottom w:val="0"/>
      <w:divBdr>
        <w:top w:val="none" w:sz="0" w:space="0" w:color="auto"/>
        <w:left w:val="none" w:sz="0" w:space="0" w:color="auto"/>
        <w:bottom w:val="none" w:sz="0" w:space="0" w:color="auto"/>
        <w:right w:val="none" w:sz="0" w:space="0" w:color="auto"/>
      </w:divBdr>
    </w:div>
    <w:div w:id="1102914909">
      <w:bodyDiv w:val="1"/>
      <w:marLeft w:val="0"/>
      <w:marRight w:val="0"/>
      <w:marTop w:val="0"/>
      <w:marBottom w:val="0"/>
      <w:divBdr>
        <w:top w:val="none" w:sz="0" w:space="0" w:color="auto"/>
        <w:left w:val="none" w:sz="0" w:space="0" w:color="auto"/>
        <w:bottom w:val="none" w:sz="0" w:space="0" w:color="auto"/>
        <w:right w:val="none" w:sz="0" w:space="0" w:color="auto"/>
      </w:divBdr>
    </w:div>
    <w:div w:id="1110398643">
      <w:bodyDiv w:val="1"/>
      <w:marLeft w:val="0"/>
      <w:marRight w:val="0"/>
      <w:marTop w:val="0"/>
      <w:marBottom w:val="0"/>
      <w:divBdr>
        <w:top w:val="none" w:sz="0" w:space="0" w:color="auto"/>
        <w:left w:val="none" w:sz="0" w:space="0" w:color="auto"/>
        <w:bottom w:val="none" w:sz="0" w:space="0" w:color="auto"/>
        <w:right w:val="none" w:sz="0" w:space="0" w:color="auto"/>
      </w:divBdr>
    </w:div>
    <w:div w:id="1327052596">
      <w:bodyDiv w:val="1"/>
      <w:marLeft w:val="0"/>
      <w:marRight w:val="0"/>
      <w:marTop w:val="0"/>
      <w:marBottom w:val="0"/>
      <w:divBdr>
        <w:top w:val="none" w:sz="0" w:space="0" w:color="auto"/>
        <w:left w:val="none" w:sz="0" w:space="0" w:color="auto"/>
        <w:bottom w:val="none" w:sz="0" w:space="0" w:color="auto"/>
        <w:right w:val="none" w:sz="0" w:space="0" w:color="auto"/>
      </w:divBdr>
    </w:div>
    <w:div w:id="1483692327">
      <w:bodyDiv w:val="1"/>
      <w:marLeft w:val="0"/>
      <w:marRight w:val="0"/>
      <w:marTop w:val="0"/>
      <w:marBottom w:val="0"/>
      <w:divBdr>
        <w:top w:val="none" w:sz="0" w:space="0" w:color="auto"/>
        <w:left w:val="none" w:sz="0" w:space="0" w:color="auto"/>
        <w:bottom w:val="none" w:sz="0" w:space="0" w:color="auto"/>
        <w:right w:val="none" w:sz="0" w:space="0" w:color="auto"/>
      </w:divBdr>
    </w:div>
    <w:div w:id="1597060546">
      <w:bodyDiv w:val="1"/>
      <w:marLeft w:val="0"/>
      <w:marRight w:val="0"/>
      <w:marTop w:val="0"/>
      <w:marBottom w:val="0"/>
      <w:divBdr>
        <w:top w:val="none" w:sz="0" w:space="0" w:color="auto"/>
        <w:left w:val="none" w:sz="0" w:space="0" w:color="auto"/>
        <w:bottom w:val="none" w:sz="0" w:space="0" w:color="auto"/>
        <w:right w:val="none" w:sz="0" w:space="0" w:color="auto"/>
      </w:divBdr>
    </w:div>
    <w:div w:id="1624075225">
      <w:bodyDiv w:val="1"/>
      <w:marLeft w:val="0"/>
      <w:marRight w:val="0"/>
      <w:marTop w:val="0"/>
      <w:marBottom w:val="0"/>
      <w:divBdr>
        <w:top w:val="none" w:sz="0" w:space="0" w:color="auto"/>
        <w:left w:val="none" w:sz="0" w:space="0" w:color="auto"/>
        <w:bottom w:val="none" w:sz="0" w:space="0" w:color="auto"/>
        <w:right w:val="none" w:sz="0" w:space="0" w:color="auto"/>
      </w:divBdr>
    </w:div>
    <w:div w:id="1667048768">
      <w:bodyDiv w:val="1"/>
      <w:marLeft w:val="0"/>
      <w:marRight w:val="0"/>
      <w:marTop w:val="0"/>
      <w:marBottom w:val="0"/>
      <w:divBdr>
        <w:top w:val="none" w:sz="0" w:space="0" w:color="auto"/>
        <w:left w:val="none" w:sz="0" w:space="0" w:color="auto"/>
        <w:bottom w:val="none" w:sz="0" w:space="0" w:color="auto"/>
        <w:right w:val="none" w:sz="0" w:space="0" w:color="auto"/>
      </w:divBdr>
    </w:div>
    <w:div w:id="1712992402">
      <w:bodyDiv w:val="1"/>
      <w:marLeft w:val="0"/>
      <w:marRight w:val="0"/>
      <w:marTop w:val="0"/>
      <w:marBottom w:val="0"/>
      <w:divBdr>
        <w:top w:val="none" w:sz="0" w:space="0" w:color="auto"/>
        <w:left w:val="none" w:sz="0" w:space="0" w:color="auto"/>
        <w:bottom w:val="none" w:sz="0" w:space="0" w:color="auto"/>
        <w:right w:val="none" w:sz="0" w:space="0" w:color="auto"/>
      </w:divBdr>
    </w:div>
    <w:div w:id="1723478759">
      <w:bodyDiv w:val="1"/>
      <w:marLeft w:val="0"/>
      <w:marRight w:val="0"/>
      <w:marTop w:val="0"/>
      <w:marBottom w:val="0"/>
      <w:divBdr>
        <w:top w:val="none" w:sz="0" w:space="0" w:color="auto"/>
        <w:left w:val="none" w:sz="0" w:space="0" w:color="auto"/>
        <w:bottom w:val="none" w:sz="0" w:space="0" w:color="auto"/>
        <w:right w:val="none" w:sz="0" w:space="0" w:color="auto"/>
      </w:divBdr>
    </w:div>
    <w:div w:id="1735009497">
      <w:bodyDiv w:val="1"/>
      <w:marLeft w:val="0"/>
      <w:marRight w:val="0"/>
      <w:marTop w:val="0"/>
      <w:marBottom w:val="0"/>
      <w:divBdr>
        <w:top w:val="none" w:sz="0" w:space="0" w:color="auto"/>
        <w:left w:val="none" w:sz="0" w:space="0" w:color="auto"/>
        <w:bottom w:val="none" w:sz="0" w:space="0" w:color="auto"/>
        <w:right w:val="none" w:sz="0" w:space="0" w:color="auto"/>
      </w:divBdr>
    </w:div>
    <w:div w:id="1930043616">
      <w:bodyDiv w:val="1"/>
      <w:marLeft w:val="0"/>
      <w:marRight w:val="0"/>
      <w:marTop w:val="0"/>
      <w:marBottom w:val="0"/>
      <w:divBdr>
        <w:top w:val="none" w:sz="0" w:space="0" w:color="auto"/>
        <w:left w:val="none" w:sz="0" w:space="0" w:color="auto"/>
        <w:bottom w:val="none" w:sz="0" w:space="0" w:color="auto"/>
        <w:right w:val="none" w:sz="0" w:space="0" w:color="auto"/>
      </w:divBdr>
    </w:div>
    <w:div w:id="1952977947">
      <w:bodyDiv w:val="1"/>
      <w:marLeft w:val="0"/>
      <w:marRight w:val="0"/>
      <w:marTop w:val="0"/>
      <w:marBottom w:val="0"/>
      <w:divBdr>
        <w:top w:val="none" w:sz="0" w:space="0" w:color="auto"/>
        <w:left w:val="none" w:sz="0" w:space="0" w:color="auto"/>
        <w:bottom w:val="none" w:sz="0" w:space="0" w:color="auto"/>
        <w:right w:val="none" w:sz="0" w:space="0" w:color="auto"/>
      </w:divBdr>
    </w:div>
    <w:div w:id="2018580910">
      <w:bodyDiv w:val="1"/>
      <w:marLeft w:val="0"/>
      <w:marRight w:val="0"/>
      <w:marTop w:val="0"/>
      <w:marBottom w:val="0"/>
      <w:divBdr>
        <w:top w:val="none" w:sz="0" w:space="0" w:color="auto"/>
        <w:left w:val="none" w:sz="0" w:space="0" w:color="auto"/>
        <w:bottom w:val="none" w:sz="0" w:space="0" w:color="auto"/>
        <w:right w:val="none" w:sz="0" w:space="0" w:color="auto"/>
      </w:divBdr>
    </w:div>
    <w:div w:id="2131049811">
      <w:bodyDiv w:val="1"/>
      <w:marLeft w:val="0"/>
      <w:marRight w:val="0"/>
      <w:marTop w:val="0"/>
      <w:marBottom w:val="0"/>
      <w:divBdr>
        <w:top w:val="none" w:sz="0" w:space="0" w:color="auto"/>
        <w:left w:val="none" w:sz="0" w:space="0" w:color="auto"/>
        <w:bottom w:val="none" w:sz="0" w:space="0" w:color="auto"/>
        <w:right w:val="none" w:sz="0" w:space="0" w:color="auto"/>
      </w:divBdr>
    </w:div>
    <w:div w:id="213551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volumeissuelinkhandler/1818258/Fifteenth+Century+Studies/01983Y01Y01$23Jan+1,+1983$3b++Vol.+6/6/$B?accountid=130472" TargetMode="External"/><Relationship Id="rId13" Type="http://schemas.openxmlformats.org/officeDocument/2006/relationships/hyperlink" Target="http://www.oxfordreference.com/view/10.1093/oi/authority.2011080310022352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dodedans.com/Eparis-verard.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quod.lib.umich.edu/c/cme/EEWills/1:56?rgn=div1;view=fulltex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bav.bodleian.ox.ac.uk/news/ars-moriendi-the-art-of-dying" TargetMode="External"/><Relationship Id="rId4" Type="http://schemas.openxmlformats.org/officeDocument/2006/relationships/settings" Target="settings.xml"/><Relationship Id="rId9" Type="http://schemas.openxmlformats.org/officeDocument/2006/relationships/hyperlink" Target="https://gallica.bnf.fr/ark:/12148/btv1b10542297k/f15"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nigulistemuuseum.ekm.ee/en/tallinns-idance-of-deathi/" TargetMode="External"/><Relationship Id="rId2" Type="http://schemas.openxmlformats.org/officeDocument/2006/relationships/hyperlink" Target="https://www.etoncollege.com/briefhistory.aspx" TargetMode="External"/><Relationship Id="rId1" Type="http://schemas.openxmlformats.org/officeDocument/2006/relationships/hyperlink" Target="http://www.oxfordreference.com/view/10.1093/oi/authority.20110803100223527" TargetMode="External"/><Relationship Id="rId5" Type="http://schemas.openxmlformats.org/officeDocument/2006/relationships/hyperlink" Target="https://search-proquest-com.ezproxy.uwtsd.ac.uk/indexingvolumeissuelinkhandler/1818258/Fifteenth+Century+Studies/01983Y01Y01$23Jan+1,+1983$3b++Vol.+6/6/$B?accountid=130472" TargetMode="External"/><Relationship Id="rId4" Type="http://schemas.openxmlformats.org/officeDocument/2006/relationships/hyperlink" Target="https://www.bl.uk/medieval-literature/articles/william-caxton-and-the-introduction-of-printing-to-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04AB7-79C3-446F-B433-0A97D6693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1701</TotalTime>
  <Pages>13</Pages>
  <Words>3673</Words>
  <Characters>20937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 (1402066)</dc:creator>
  <cp:keywords/>
  <dc:description/>
  <cp:lastModifiedBy>Natasha Coombs (1402066)</cp:lastModifiedBy>
  <cp:revision>90</cp:revision>
  <dcterms:created xsi:type="dcterms:W3CDTF">2019-01-26T12:11:00Z</dcterms:created>
  <dcterms:modified xsi:type="dcterms:W3CDTF">2019-02-01T12:17:00Z</dcterms:modified>
</cp:coreProperties>
</file>