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ACA38" w14:textId="77777777" w:rsidR="007F75CD" w:rsidRDefault="007F75CD">
      <w:pPr>
        <w:tabs>
          <w:tab w:val="left" w:pos="6540"/>
        </w:tabs>
        <w:spacing w:before="0" w:after="0"/>
        <w:jc w:val="left"/>
        <w:rPr>
          <w:sz w:val="36"/>
          <w:szCs w:val="36"/>
        </w:rPr>
      </w:pPr>
    </w:p>
    <w:p w14:paraId="169CA3A2" w14:textId="5458C14E" w:rsidR="007F75CD" w:rsidRDefault="00000000">
      <w:pPr>
        <w:tabs>
          <w:tab w:val="left" w:pos="6540"/>
        </w:tabs>
        <w:spacing w:before="0" w:after="0"/>
        <w:jc w:val="left"/>
        <w:rPr>
          <w:b/>
          <w:bCs/>
          <w:sz w:val="36"/>
          <w:szCs w:val="36"/>
        </w:rPr>
      </w:pPr>
      <w:r>
        <w:rPr>
          <w:b/>
          <w:bCs/>
          <w:sz w:val="36"/>
          <w:szCs w:val="36"/>
        </w:rPr>
        <w:t>Student name:</w:t>
      </w:r>
      <w:r w:rsidR="00067FA5">
        <w:rPr>
          <w:b/>
          <w:bCs/>
          <w:sz w:val="36"/>
          <w:szCs w:val="36"/>
        </w:rPr>
        <w:t xml:space="preserve"> Sheneya Akther Peya</w:t>
      </w:r>
    </w:p>
    <w:p w14:paraId="123E36CD" w14:textId="3896869C" w:rsidR="007F75CD" w:rsidRDefault="00000000">
      <w:pPr>
        <w:tabs>
          <w:tab w:val="left" w:pos="6540"/>
        </w:tabs>
        <w:spacing w:before="0" w:after="0"/>
        <w:jc w:val="left"/>
        <w:rPr>
          <w:b/>
          <w:bCs/>
          <w:sz w:val="36"/>
          <w:szCs w:val="36"/>
        </w:rPr>
      </w:pPr>
      <w:r>
        <w:rPr>
          <w:b/>
          <w:bCs/>
          <w:sz w:val="36"/>
          <w:szCs w:val="36"/>
        </w:rPr>
        <w:t>Student ID:</w:t>
      </w:r>
      <w:r w:rsidR="00067FA5">
        <w:rPr>
          <w:b/>
          <w:bCs/>
          <w:sz w:val="36"/>
          <w:szCs w:val="36"/>
        </w:rPr>
        <w:t>2442413</w:t>
      </w:r>
    </w:p>
    <w:p w14:paraId="77C90BBE" w14:textId="77777777" w:rsidR="007F75CD" w:rsidRDefault="00000000">
      <w:pPr>
        <w:tabs>
          <w:tab w:val="left" w:pos="6540"/>
        </w:tabs>
        <w:spacing w:before="0" w:after="0"/>
        <w:jc w:val="left"/>
        <w:rPr>
          <w:b/>
          <w:bCs/>
          <w:sz w:val="36"/>
          <w:szCs w:val="36"/>
        </w:rPr>
      </w:pPr>
      <w:r>
        <w:rPr>
          <w:b/>
          <w:bCs/>
          <w:sz w:val="36"/>
          <w:szCs w:val="36"/>
        </w:rPr>
        <w:t>Module name: Principles of Health and Social Care Practice</w:t>
      </w:r>
    </w:p>
    <w:p w14:paraId="76D47DD8" w14:textId="77777777" w:rsidR="007F75CD" w:rsidRDefault="00000000">
      <w:pPr>
        <w:tabs>
          <w:tab w:val="left" w:pos="6540"/>
        </w:tabs>
        <w:spacing w:before="0" w:after="0"/>
        <w:jc w:val="left"/>
        <w:rPr>
          <w:b/>
          <w:bCs/>
          <w:sz w:val="36"/>
          <w:szCs w:val="36"/>
        </w:rPr>
      </w:pPr>
      <w:r>
        <w:rPr>
          <w:b/>
          <w:bCs/>
          <w:sz w:val="36"/>
          <w:szCs w:val="36"/>
        </w:rPr>
        <w:t>Module code: BMHP5016</w:t>
      </w:r>
    </w:p>
    <w:p w14:paraId="50ECB131" w14:textId="7A16C32D" w:rsidR="007F75CD" w:rsidRDefault="00000000">
      <w:pPr>
        <w:tabs>
          <w:tab w:val="left" w:pos="6540"/>
        </w:tabs>
        <w:spacing w:before="0" w:after="0"/>
        <w:jc w:val="left"/>
        <w:rPr>
          <w:b/>
          <w:bCs/>
          <w:sz w:val="36"/>
          <w:szCs w:val="36"/>
        </w:rPr>
      </w:pPr>
      <w:r>
        <w:rPr>
          <w:b/>
          <w:bCs/>
          <w:sz w:val="36"/>
          <w:szCs w:val="36"/>
        </w:rPr>
        <w:t>Lecturer name:</w:t>
      </w:r>
      <w:r w:rsidR="00067FA5">
        <w:rPr>
          <w:b/>
          <w:bCs/>
          <w:sz w:val="36"/>
          <w:szCs w:val="36"/>
        </w:rPr>
        <w:t xml:space="preserve"> Lou wells</w:t>
      </w:r>
      <w:r>
        <w:br w:type="page"/>
      </w:r>
    </w:p>
    <w:p w14:paraId="23568A08" w14:textId="77777777" w:rsidR="007F75CD" w:rsidRDefault="007F75CD">
      <w:pPr>
        <w:tabs>
          <w:tab w:val="left" w:pos="6540"/>
        </w:tabs>
        <w:spacing w:before="0" w:after="0"/>
        <w:jc w:val="center"/>
        <w:rPr>
          <w:b/>
          <w:bCs/>
          <w:sz w:val="28"/>
          <w:szCs w:val="28"/>
        </w:rPr>
      </w:pPr>
    </w:p>
    <w:p w14:paraId="49FA1798" w14:textId="77777777" w:rsidR="007F75CD" w:rsidRDefault="007F75CD">
      <w:pPr>
        <w:tabs>
          <w:tab w:val="left" w:pos="6540"/>
        </w:tabs>
        <w:spacing w:before="0" w:after="0"/>
        <w:jc w:val="center"/>
        <w:rPr>
          <w:b/>
          <w:bCs/>
          <w:sz w:val="28"/>
          <w:szCs w:val="28"/>
        </w:rPr>
      </w:pPr>
    </w:p>
    <w:p w14:paraId="1A67EF06" w14:textId="77777777" w:rsidR="007F75CD" w:rsidRDefault="00000000">
      <w:pPr>
        <w:tabs>
          <w:tab w:val="left" w:pos="6540"/>
        </w:tabs>
        <w:spacing w:before="0" w:after="0"/>
        <w:jc w:val="center"/>
        <w:rPr>
          <w:sz w:val="28"/>
          <w:szCs w:val="28"/>
        </w:rPr>
      </w:pPr>
      <w:r>
        <w:rPr>
          <w:b/>
          <w:bCs/>
          <w:sz w:val="28"/>
          <w:szCs w:val="28"/>
        </w:rPr>
        <w:t>Table of Contents</w:t>
      </w:r>
    </w:p>
    <w:p w14:paraId="204973A0" w14:textId="77777777" w:rsidR="007F75CD" w:rsidRDefault="00000000">
      <w:pPr>
        <w:widowControl w:val="0"/>
        <w:tabs>
          <w:tab w:val="right" w:leader="dot" w:pos="9025"/>
        </w:tabs>
        <w:spacing w:before="60" w:after="0"/>
        <w:jc w:val="left"/>
        <w:rPr>
          <w:color w:val="000000"/>
        </w:rPr>
      </w:pPr>
      <w:r>
        <w:fldChar w:fldCharType="begin"/>
      </w:r>
      <w:r>
        <w:instrText xml:space="preserve"> TOC \h \u \z \t "Heading 1,1,Heading 2,2,Heading 3,3,Heading 4,4,Heading 5,5,Heading 6,6,"</w:instrText>
      </w:r>
      <w:r>
        <w:fldChar w:fldCharType="separate"/>
      </w:r>
      <w:hyperlink w:anchor="_lbc7r2wyidqf" w:history="1">
        <w:r>
          <w:rPr>
            <w:color w:val="000000"/>
          </w:rPr>
          <w:t>Introduction</w:t>
        </w:r>
        <w:r>
          <w:rPr>
            <w:color w:val="000000"/>
          </w:rPr>
          <w:tab/>
        </w:r>
      </w:hyperlink>
      <w:r>
        <w:fldChar w:fldCharType="begin"/>
      </w:r>
      <w:r>
        <w:instrText xml:space="preserve"> PAGEREF _lbc7r2wyidqf \h </w:instrText>
      </w:r>
      <w:r>
        <w:fldChar w:fldCharType="separate"/>
      </w:r>
      <w:r>
        <w:t>3</w:t>
      </w:r>
      <w:r>
        <w:fldChar w:fldCharType="end"/>
      </w:r>
    </w:p>
    <w:p w14:paraId="3CE58EAD" w14:textId="77777777" w:rsidR="007F75CD" w:rsidRDefault="00000000">
      <w:pPr>
        <w:widowControl w:val="0"/>
        <w:tabs>
          <w:tab w:val="right" w:leader="dot" w:pos="9025"/>
        </w:tabs>
        <w:spacing w:before="60" w:after="0"/>
        <w:jc w:val="left"/>
        <w:rPr>
          <w:color w:val="000000"/>
        </w:rPr>
      </w:pPr>
      <w:hyperlink w:anchor="_cxcm1ycf1utd" w:history="1">
        <w:r>
          <w:rPr>
            <w:color w:val="000000"/>
          </w:rPr>
          <w:t>Main Body</w:t>
        </w:r>
        <w:r>
          <w:rPr>
            <w:color w:val="000000"/>
          </w:rPr>
          <w:tab/>
        </w:r>
      </w:hyperlink>
      <w:r>
        <w:fldChar w:fldCharType="begin"/>
      </w:r>
      <w:r>
        <w:instrText xml:space="preserve"> PAGEREF _cxcm1ycf1utd \h </w:instrText>
      </w:r>
      <w:r>
        <w:fldChar w:fldCharType="separate"/>
      </w:r>
      <w:r>
        <w:t>3</w:t>
      </w:r>
      <w:r>
        <w:fldChar w:fldCharType="end"/>
      </w:r>
    </w:p>
    <w:p w14:paraId="4D9F5C9C" w14:textId="77777777" w:rsidR="007F75CD" w:rsidRDefault="00000000">
      <w:pPr>
        <w:widowControl w:val="0"/>
        <w:tabs>
          <w:tab w:val="right" w:leader="dot" w:pos="9025"/>
        </w:tabs>
        <w:spacing w:before="60" w:after="0"/>
        <w:jc w:val="left"/>
        <w:rPr>
          <w:color w:val="000000"/>
        </w:rPr>
      </w:pPr>
      <w:hyperlink w:anchor="_hm860i55iswg" w:history="1">
        <w:r>
          <w:rPr>
            <w:color w:val="000000"/>
          </w:rPr>
          <w:t>Conclusion</w:t>
        </w:r>
        <w:r>
          <w:rPr>
            <w:color w:val="000000"/>
          </w:rPr>
          <w:tab/>
        </w:r>
      </w:hyperlink>
      <w:r>
        <w:fldChar w:fldCharType="begin"/>
      </w:r>
      <w:r>
        <w:instrText xml:space="preserve"> PAGEREF _hm860i55iswg \h </w:instrText>
      </w:r>
      <w:r>
        <w:fldChar w:fldCharType="separate"/>
      </w:r>
      <w:r>
        <w:t>8</w:t>
      </w:r>
      <w:r>
        <w:fldChar w:fldCharType="end"/>
      </w:r>
    </w:p>
    <w:p w14:paraId="75B0BDBC" w14:textId="77777777" w:rsidR="007F75CD" w:rsidRDefault="00000000">
      <w:pPr>
        <w:widowControl w:val="0"/>
        <w:tabs>
          <w:tab w:val="right" w:leader="dot" w:pos="9025"/>
        </w:tabs>
        <w:spacing w:before="60" w:after="0"/>
        <w:jc w:val="left"/>
        <w:rPr>
          <w:color w:val="000000"/>
        </w:rPr>
      </w:pPr>
      <w:hyperlink w:anchor="_2ztltji52h0o" w:history="1">
        <w:r>
          <w:rPr>
            <w:color w:val="000000"/>
          </w:rPr>
          <w:t>References</w:t>
        </w:r>
        <w:r>
          <w:rPr>
            <w:color w:val="000000"/>
          </w:rPr>
          <w:tab/>
        </w:r>
      </w:hyperlink>
      <w:r>
        <w:fldChar w:fldCharType="begin"/>
      </w:r>
      <w:r>
        <w:instrText xml:space="preserve"> PAGEREF _2ztltji52h0o \h </w:instrText>
      </w:r>
      <w:r>
        <w:fldChar w:fldCharType="separate"/>
      </w:r>
      <w:r>
        <w:t>9</w:t>
      </w:r>
      <w:r>
        <w:fldChar w:fldCharType="end"/>
      </w:r>
      <w:r>
        <w:fldChar w:fldCharType="end"/>
      </w:r>
    </w:p>
    <w:p w14:paraId="186BD92C" w14:textId="77777777" w:rsidR="007F75CD" w:rsidRDefault="00000000">
      <w:pPr>
        <w:tabs>
          <w:tab w:val="left" w:pos="6540"/>
        </w:tabs>
        <w:spacing w:before="0" w:after="0"/>
        <w:jc w:val="center"/>
        <w:rPr>
          <w:b/>
          <w:bCs/>
          <w:sz w:val="28"/>
          <w:szCs w:val="28"/>
        </w:rPr>
      </w:pPr>
      <w:r>
        <w:br w:type="page"/>
      </w:r>
    </w:p>
    <w:p w14:paraId="7C773AD5" w14:textId="77777777" w:rsidR="007F75CD" w:rsidRDefault="007F75CD">
      <w:pPr>
        <w:pStyle w:val="Heading1"/>
        <w:spacing w:before="0" w:after="0"/>
      </w:pPr>
      <w:bookmarkStart w:id="0" w:name="_2mw20idjwfh2" w:colFirst="0" w:colLast="0"/>
      <w:bookmarkEnd w:id="0"/>
    </w:p>
    <w:p w14:paraId="0518F305" w14:textId="77777777" w:rsidR="007F75CD" w:rsidRDefault="007F75CD">
      <w:pPr>
        <w:pStyle w:val="Heading1"/>
        <w:spacing w:before="0" w:after="0"/>
      </w:pPr>
      <w:bookmarkStart w:id="1" w:name="_z2y2jomupy10" w:colFirst="0" w:colLast="0"/>
      <w:bookmarkEnd w:id="1"/>
    </w:p>
    <w:p w14:paraId="292FC130" w14:textId="77777777" w:rsidR="007F75CD" w:rsidRDefault="00000000">
      <w:pPr>
        <w:pStyle w:val="Heading1"/>
        <w:spacing w:before="0" w:after="0"/>
      </w:pPr>
      <w:bookmarkStart w:id="2" w:name="_lbc7r2wyidqf" w:colFirst="0" w:colLast="0"/>
      <w:bookmarkEnd w:id="2"/>
      <w:r>
        <w:t>Introduction</w:t>
      </w:r>
    </w:p>
    <w:p w14:paraId="28131506" w14:textId="77777777" w:rsidR="007F75CD" w:rsidRDefault="00000000">
      <w:pPr>
        <w:tabs>
          <w:tab w:val="left" w:pos="6540"/>
        </w:tabs>
        <w:spacing w:before="0" w:after="0"/>
      </w:pPr>
      <w:r>
        <w:t>The Social Model of Disability is a theory of significance in health and social care. It describes the fact that individuals with disabilities are mostly restricted by physical, social and environmental factors instead of their medical conditions and impairments (</w:t>
      </w:r>
      <w:r>
        <w:rPr>
          <w:highlight w:val="white"/>
        </w:rPr>
        <w:t>Gutterman, 2023)</w:t>
      </w:r>
      <w:r>
        <w:t>. This model was created to criticise the conventional medical model, which primarily emphasised the treatment or curing of the disability. Rather, it urges society to eliminate obstacles and develop equal opportunities among all people. The Social Model of Disability advocates respect, inclusion, accessibility, and independence among people with disabilities. The model is significant as it advocates person-centred care within health and social care environments. Person-centred care recognises that every individual has different needs, preferences, and abilities (</w:t>
      </w:r>
      <w:r>
        <w:rPr>
          <w:highlight w:val="white"/>
        </w:rPr>
        <w:t xml:space="preserve">Ahmed </w:t>
      </w:r>
      <w:r>
        <w:rPr>
          <w:i/>
          <w:iCs/>
          <w:highlight w:val="white"/>
        </w:rPr>
        <w:t xml:space="preserve">et al., </w:t>
      </w:r>
      <w:r>
        <w:rPr>
          <w:highlight w:val="white"/>
        </w:rPr>
        <w:t>2022)</w:t>
      </w:r>
      <w:r>
        <w:t xml:space="preserve">. The professionals in health and social care are being invited to collaborate with people and engage them in making decisions regarding their care. The model also assists in curbing discrimination and promotes equal access to services, education, employment and communal life. It has impacted countless health and social care policies and professional practices by encouraging organisations to develop inclusive environments. On the whole, the Social Model of Disability is useful to enhance the quality of life, safeguard the rights of individuals, and provide reasonable and respectful care to everyone. </w:t>
      </w:r>
    </w:p>
    <w:p w14:paraId="7F1A3EB3" w14:textId="77777777" w:rsidR="007F75CD" w:rsidRDefault="00000000">
      <w:pPr>
        <w:pStyle w:val="Heading1"/>
        <w:spacing w:before="0" w:after="0"/>
      </w:pPr>
      <w:bookmarkStart w:id="3" w:name="_cxcm1ycf1utd" w:colFirst="0" w:colLast="0"/>
      <w:bookmarkEnd w:id="3"/>
      <w:r>
        <w:t>Main Body</w:t>
      </w:r>
    </w:p>
    <w:p w14:paraId="2CE449B9" w14:textId="77777777" w:rsidR="007F75CD" w:rsidRDefault="00000000">
      <w:pPr>
        <w:tabs>
          <w:tab w:val="left" w:pos="6540"/>
        </w:tabs>
        <w:spacing w:before="0" w:after="0"/>
        <w:rPr>
          <w:b/>
          <w:bCs/>
        </w:rPr>
      </w:pPr>
      <w:r>
        <w:rPr>
          <w:b/>
          <w:bCs/>
        </w:rPr>
        <w:t>The development of the chosen concept</w:t>
      </w:r>
    </w:p>
    <w:p w14:paraId="4CECF8E0" w14:textId="77777777" w:rsidR="007F75CD" w:rsidRDefault="00000000">
      <w:pPr>
        <w:spacing w:before="0" w:after="0"/>
      </w:pPr>
      <w:r>
        <w:t>The Social Model of Disability was developed as part of the disability rights movement in the United Kingdom in the 1970s (</w:t>
      </w:r>
      <w:r>
        <w:rPr>
          <w:highlight w:val="white"/>
        </w:rPr>
        <w:t>Griffiths, 2022)</w:t>
      </w:r>
      <w:r>
        <w:t>. Prior to this time, the Medical Model of Disability was the primary approach in both health and social care. The Medical Model perceived disability as an issue that is caused by a physical or mental disability of an individual. It concentrated on treatment, rehabilitation and the search for a cure. This approach was, in the view of many disabled people, disregarding the barriers that disabled persons experience in their daily lives. They believed that society was a major cause of the challenges the disabled face by discriminating against them, a lack of access and having negative attitudes towards them. Consequently, there was the creation of a new understanding of disability by disabled activists. One such organisation that played a crucial role in the creation of the Social Model was the Union of the Physically Impaired Against Segregation (UPIAS) (</w:t>
      </w:r>
      <w:r>
        <w:rPr>
          <w:highlight w:val="white"/>
        </w:rPr>
        <w:t>Beesley, 2024)</w:t>
      </w:r>
      <w:r>
        <w:t xml:space="preserve">. </w:t>
      </w:r>
    </w:p>
    <w:p w14:paraId="3A148BD5" w14:textId="77777777" w:rsidR="007F75CD" w:rsidRDefault="007F75CD">
      <w:pPr>
        <w:spacing w:before="0" w:after="0"/>
      </w:pPr>
    </w:p>
    <w:p w14:paraId="414537C8" w14:textId="77777777" w:rsidR="007F75CD" w:rsidRDefault="007F75CD">
      <w:pPr>
        <w:spacing w:before="0" w:after="0"/>
      </w:pPr>
    </w:p>
    <w:p w14:paraId="1779BF7D" w14:textId="77777777" w:rsidR="007F75CD" w:rsidRDefault="00000000">
      <w:pPr>
        <w:spacing w:before="0" w:after="0"/>
      </w:pPr>
      <w:r>
        <w:t xml:space="preserve">Disabled activists in the United Kingdom formed the organisation in the early 1970s. UPIAS suggested that impairment is not the only cause of disability but is created by society. The organisation thought that disabled people could not fully contribute to society due to inaccessible buildings, lack of transport, inequality in education and discrimination. Their thoughts formed the basis of the Social Model of Disability and impacted disability rights movements nationwide. </w:t>
      </w:r>
    </w:p>
    <w:p w14:paraId="34B3CAFE" w14:textId="77777777" w:rsidR="007F75CD" w:rsidRDefault="00000000">
      <w:pPr>
        <w:spacing w:before="0" w:after="0"/>
      </w:pPr>
      <w:r>
        <w:t>The Social Model gained greater publicity as a consequence of the efforts of sociologist and disability activist Mike Oliver. The term Social Model of Disability was first coined by Mike Oliver in 1983 and described in terms of its principles in both scholarly literature and popular discourse (</w:t>
      </w:r>
      <w:r>
        <w:rPr>
          <w:highlight w:val="white"/>
        </w:rPr>
        <w:t>Macmbinji, 2023)</w:t>
      </w:r>
      <w:r>
        <w:t>. He made a clear distinction between the notions of impairment and disability. According to the model, impairment refers to a person's physical, sensory, intellectual, or mental condition. Disability is the obstacles that society has developed to limit participation and equal opportunities. This difference motivated professionals, organisations and governments to work towards the transformation of society rather than attempting to transform disabled persons. The Social Model has developed over time and is likely to be one of the most influential theories in disability studies and health and social care. Its ideas did not just stay within the United Kingdom, but did have an impact on other international policies and human rights movements. Governments and organisations started to appreciate the significance of equality, accessibility, inclusion and independent living (</w:t>
      </w:r>
      <w:r>
        <w:rPr>
          <w:highlight w:val="white"/>
        </w:rPr>
        <w:t>Lawton Smith, 2023)</w:t>
      </w:r>
      <w:r>
        <w:t xml:space="preserve">. There was a growing use of person-centred approaches by health and social care professionals, who recognised the rights, preferences and choices of people with disabilities. The model promoted collaboration between professionals and service users and also empowerment of the service users instead of dictating to them. </w:t>
      </w:r>
    </w:p>
    <w:p w14:paraId="707F4F08" w14:textId="77777777" w:rsidR="007F75CD" w:rsidRDefault="00000000">
      <w:pPr>
        <w:spacing w:before="0" w:after="0"/>
      </w:pPr>
      <w:r>
        <w:t>Key legislation and policy were also shaped by the Social Model. Legal protection against disability discrimination was enacted in the United Kingdom in the Equality Act 2010 (</w:t>
      </w:r>
      <w:r>
        <w:rPr>
          <w:highlight w:val="white"/>
        </w:rPr>
        <w:t>William</w:t>
      </w:r>
      <w:r>
        <w:rPr>
          <w:i/>
          <w:iCs/>
          <w:highlight w:val="white"/>
        </w:rPr>
        <w:t xml:space="preserve"> et al., </w:t>
      </w:r>
      <w:r>
        <w:rPr>
          <w:highlight w:val="white"/>
        </w:rPr>
        <w:t>2025)</w:t>
      </w:r>
      <w:r>
        <w:t xml:space="preserve">. The law obliges employers, education providers and service organisations to make reasonable adjustments in favour of disabled persons. Nowadays, public buildings have features like wheelchair ramps, lifts, accessible toilets, tactile paving, hearing loops and Braille or large print information. There is also an enhancement in the communication strategies of individuals with sensory impairments and learning disabilities by healthcare services. These developments demonstrate how the Social Model has assisted in more inclusive environments. Despite the great success of the Social Model, it has also been criticised in a number of ways. A frequent criticism is that it does not pay sufficient attention to the effects of impairment </w:t>
      </w:r>
    </w:p>
    <w:p w14:paraId="5F07E129" w14:textId="77777777" w:rsidR="007F75CD" w:rsidRDefault="007F75CD">
      <w:pPr>
        <w:spacing w:before="0" w:after="0"/>
      </w:pPr>
    </w:p>
    <w:p w14:paraId="4C55DA74" w14:textId="77777777" w:rsidR="007F75CD" w:rsidRDefault="007F75CD">
      <w:pPr>
        <w:spacing w:before="0" w:after="0"/>
      </w:pPr>
    </w:p>
    <w:p w14:paraId="14AA77F3" w14:textId="77777777" w:rsidR="007F75CD" w:rsidRDefault="00000000">
      <w:pPr>
        <w:spacing w:before="0" w:after="0"/>
      </w:pPr>
      <w:r>
        <w:t>suffered by an individual. Chronic and debilitating pain, persistent exhaustion, progressive diseases, or convoluted health problems that persist and influence everyday living despite the elimination of social obstacles affect many individuals (</w:t>
      </w:r>
      <w:r>
        <w:rPr>
          <w:highlight w:val="white"/>
        </w:rPr>
        <w:t xml:space="preserve">Talmale </w:t>
      </w:r>
      <w:r>
        <w:rPr>
          <w:i/>
          <w:iCs/>
          <w:highlight w:val="white"/>
        </w:rPr>
        <w:t xml:space="preserve">et al., </w:t>
      </w:r>
      <w:r>
        <w:rPr>
          <w:highlight w:val="white"/>
        </w:rPr>
        <w:t>2024)</w:t>
      </w:r>
      <w:r>
        <w:t xml:space="preserve">. According to the critics, medical treatment, rehabilitation, and specialist healthcare are still crucial and should not be disregarded. They are convinced that it is not always possible to refer to environmental or social barriers to explain disability. </w:t>
      </w:r>
    </w:p>
    <w:p w14:paraId="6AC856A7" w14:textId="77777777" w:rsidR="007F75CD" w:rsidRDefault="00000000">
      <w:pPr>
        <w:spacing w:before="0" w:after="0"/>
        <w:rPr>
          <w:b/>
          <w:bCs/>
        </w:rPr>
      </w:pPr>
      <w:r>
        <w:t>Another criticism is that the Social Model does not fully reflect the wide variety of disability experiences. There are people who cannot do without long-term personal attention, specialist devices, or constant medical assistance no matter how accessible the world becomes. Other people have conditions that evolve over time and demand a variety of care. Critics also warn that it might be too easy to separate impairment and disability since medical conditions and social barriers tend to affect individuals simultaneously. Indicatively, an individual with multiple sclerosis might be physically challenged in addition to being inaccessible in terms of transport and discriminated against. Responses to these criticisms by the advocates of the Social Model have been to explain that the model was never meant to overlook health conditions or medical care (</w:t>
      </w:r>
      <w:r>
        <w:rPr>
          <w:highlight w:val="white"/>
        </w:rPr>
        <w:t>Zaks, 2024)</w:t>
      </w:r>
      <w:r>
        <w:t xml:space="preserve">. Rather, it aims to demonstrate that most challenges that disabled individuals are going through are brought about by the obstacles that society has developed. The supporters are in agreement that medical treatment is significant, yet they assert that healthcare is not enough to be able to bring equality. More recent models lie in a synthesis of the Medical Model and the Social Model. These strategies help to promote person-centred care in which they not only meet the medical needs but also eliminate the social barriers, enhance accessibility, safeguard human rights, and foster complete engagement in society. </w:t>
      </w:r>
    </w:p>
    <w:p w14:paraId="22B13969" w14:textId="77777777" w:rsidR="007F75CD" w:rsidRDefault="00000000">
      <w:pPr>
        <w:tabs>
          <w:tab w:val="left" w:pos="6540"/>
        </w:tabs>
        <w:spacing w:before="0" w:after="0"/>
        <w:rPr>
          <w:b/>
          <w:bCs/>
        </w:rPr>
      </w:pPr>
      <w:r>
        <w:rPr>
          <w:b/>
          <w:bCs/>
        </w:rPr>
        <w:t>Application of the concept in practice</w:t>
      </w:r>
    </w:p>
    <w:p w14:paraId="03F424A0" w14:textId="77777777" w:rsidR="007F75CD" w:rsidRDefault="00000000">
      <w:pPr>
        <w:spacing w:before="0" w:after="0"/>
      </w:pPr>
      <w:r>
        <w:t>The Social Model of Disability has significantly impacted health and social care policy and practice. It encourages organisations to eliminate barriers that deny disabled individuals the opportunity to participate in society (</w:t>
      </w:r>
      <w:r>
        <w:rPr>
          <w:highlight w:val="white"/>
        </w:rPr>
        <w:t>Shamsabadipour, 2025)</w:t>
      </w:r>
      <w:r>
        <w:t xml:space="preserve">. The model encourages independence, equality, dignity and participation as opposed to viewing the disabled as passive receivers of care. It also promotes person-centred care as it acknowledges the fact that each person has varied needs, preferences, and capabilities. The health and social care professionals are urged to co-operate with the service users and engage them in making decisions regarding their care and support. Health and social care legislation is one of the areas where the Social </w:t>
      </w:r>
    </w:p>
    <w:p w14:paraId="482DB96F" w14:textId="77777777" w:rsidR="007F75CD" w:rsidRDefault="007F75CD">
      <w:pPr>
        <w:spacing w:before="0" w:after="0"/>
      </w:pPr>
    </w:p>
    <w:p w14:paraId="1D2FB0B7" w14:textId="77777777" w:rsidR="007F75CD" w:rsidRDefault="007F75CD">
      <w:pPr>
        <w:spacing w:before="0" w:after="0"/>
      </w:pPr>
    </w:p>
    <w:p w14:paraId="499B2AB5" w14:textId="77777777" w:rsidR="007F75CD" w:rsidRDefault="00000000">
      <w:pPr>
        <w:spacing w:before="0" w:after="0"/>
      </w:pPr>
      <w:r>
        <w:t>Model is important. The Equality Act 2010 in the United Kingdom safeguards the disabled against discrimination and their organisations against being unfairly treated by making reasonable adjustments (</w:t>
      </w:r>
      <w:r>
        <w:rPr>
          <w:highlight w:val="white"/>
        </w:rPr>
        <w:t xml:space="preserve">Mohammed </w:t>
      </w:r>
      <w:r>
        <w:rPr>
          <w:i/>
          <w:iCs/>
          <w:highlight w:val="white"/>
        </w:rPr>
        <w:t xml:space="preserve">et al., </w:t>
      </w:r>
      <w:r>
        <w:rPr>
          <w:highlight w:val="white"/>
        </w:rPr>
        <w:t>2025)</w:t>
      </w:r>
      <w:r>
        <w:t xml:space="preserve">. Healthcare providers need to make their services accessible to all, irrespective of their physical, sensory, intellectual, and communication needs. The changes have been implemented in hospitals, GP surgeries, community services, and social care organisations to enhance access by disabled people. These legal obligations have contributed to the establishment of more inclusive services and promotion of equal treatment in various healthcare environments. </w:t>
      </w:r>
    </w:p>
    <w:p w14:paraId="60C22D81" w14:textId="77777777" w:rsidR="007F75CD" w:rsidRDefault="00000000">
      <w:pPr>
        <w:spacing w:before="0" w:after="0"/>
      </w:pPr>
      <w:r>
        <w:t>The Social Model is also implemented through enhancing physical access to healthcare settings. The health and social care organisations are supposed to eliminate obstacles that prevent disabled people from accessing services. An example is that wheelchair users might encounter difficulties due to steps, doorways that are too narrow, and unreachable examination rooms. These barriers can be minimised by organisations through the provision of ramps, lifts, automatic doors, accessible toilets, appropriate parking spaces, and adjustable medical equipment. Online consultations and visits to homes can enhance access to individuals who struggle with travelling (</w:t>
      </w:r>
      <w:r>
        <w:rPr>
          <w:highlight w:val="white"/>
        </w:rPr>
        <w:t xml:space="preserve">Anish </w:t>
      </w:r>
      <w:r>
        <w:rPr>
          <w:i/>
          <w:iCs/>
          <w:highlight w:val="white"/>
        </w:rPr>
        <w:t xml:space="preserve">et al., </w:t>
      </w:r>
      <w:r>
        <w:rPr>
          <w:highlight w:val="white"/>
        </w:rPr>
        <w:t>2025)</w:t>
      </w:r>
      <w:r>
        <w:t xml:space="preserve">. The changes enable disabled individuals to access healthcare in a safe and more independent way. Another area that the Social Model has enhanced practice is communication. Several healthcare institutions are now offering the services of British Sign Language translators, hearing loops, Easy Read brochures, large-print documents, Braille information and accessible web pages. These services assist individuals with hearing, visual or learning disabilities to comprehend significant health information. Effective communication enables people to pose questions, comprehend treatment options, give informed consent, and participate in their care decisions. Enhanced communication also enhances trust between professionals and service users as well as positive health outcomes. </w:t>
      </w:r>
    </w:p>
    <w:p w14:paraId="1458A035" w14:textId="77777777" w:rsidR="007F75CD" w:rsidRDefault="00000000">
      <w:pPr>
        <w:spacing w:before="0" w:after="0"/>
      </w:pPr>
      <w:r>
        <w:t xml:space="preserve">Shared decision-making has enhanced person-centred care by the Social Model. Today, health and social care workers encourage people to share their desires, likes and personal aspirations. The care plans are created in collaboration with the service users rather than being determined by professionals alone. As an example, an individual under community care will be able to decide the form of support they require, when they want services, and to set personal objectives to live independently. By doing this, the rights of individuals are honoured, a sense of confidence is fostered, and individuals are also given the opportunity to be in charge of their </w:t>
      </w:r>
    </w:p>
    <w:p w14:paraId="2706CBC6" w14:textId="77777777" w:rsidR="007F75CD" w:rsidRDefault="007F75CD">
      <w:pPr>
        <w:spacing w:before="0" w:after="0"/>
      </w:pPr>
    </w:p>
    <w:p w14:paraId="4AC43F73" w14:textId="77777777" w:rsidR="007F75CD" w:rsidRDefault="007F75CD">
      <w:pPr>
        <w:spacing w:before="0" w:after="0"/>
      </w:pPr>
    </w:p>
    <w:p w14:paraId="65C2F46B" w14:textId="77777777" w:rsidR="007F75CD" w:rsidRDefault="00000000">
      <w:pPr>
        <w:spacing w:before="0" w:after="0"/>
      </w:pPr>
      <w:r>
        <w:t>own lives and are assisted accordingly. Education, employment and broader social policies that impact health and wellbeing have also been impacted by the Social Model. Schools, colleges and places of work are urged to make reasonable adjustments to ensure disabled individuals are afforded an equal opportunity (</w:t>
      </w:r>
      <w:r>
        <w:rPr>
          <w:highlight w:val="white"/>
        </w:rPr>
        <w:t>Olsen, 2024)</w:t>
      </w:r>
      <w:r>
        <w:t xml:space="preserve">. Increased access to education enhances knowledge and prospects. Inclusive workplaces enhance employment, financial autonomy and social inclusion. These enhancements promote physical health, psychological well-being, and quality of life. The model thus acknowledges that health is also influenced by circumstances in society other than healthcare services. </w:t>
      </w:r>
    </w:p>
    <w:p w14:paraId="03279E51" w14:textId="77777777" w:rsidR="007F75CD" w:rsidRDefault="00000000">
      <w:pPr>
        <w:spacing w:before="0" w:after="0"/>
        <w:rPr>
          <w:b/>
          <w:bCs/>
        </w:rPr>
      </w:pPr>
      <w:r>
        <w:t>Though the Social Model has numerous advantages, it may not be easy to use it in practice. Lack of finances can hinder organisations from affording costly building modifications or acquiring special equipment (</w:t>
      </w:r>
      <w:r>
        <w:rPr>
          <w:highlight w:val="white"/>
        </w:rPr>
        <w:t>Zeni and Kikwasi, 2023)</w:t>
      </w:r>
      <w:r>
        <w:t xml:space="preserve">. Old medical facilities that are old are not always easy to alter. The time needed to provide personalised care can also be decreased by staff shortages and rising demand for services. The other issue is the need to strike a balance between independence and protection responsibilities. The professionals are expected to honour the decisions of an individual and at the same time provide safety to those who might be in danger of being hurt. Moreover, not all people with complex or progressive conditions can cease medical treatment, rehabilitation, or palliative care. For this reason, a lot of professionals use the Social Model in combination with medical care to offer safe, effective, and person-centred assistance. </w:t>
      </w:r>
    </w:p>
    <w:p w14:paraId="21F13D0E" w14:textId="77777777" w:rsidR="007F75CD" w:rsidRDefault="00000000">
      <w:pPr>
        <w:tabs>
          <w:tab w:val="left" w:pos="6540"/>
        </w:tabs>
        <w:spacing w:before="0" w:after="0"/>
        <w:rPr>
          <w:b/>
          <w:bCs/>
        </w:rPr>
      </w:pPr>
      <w:r>
        <w:rPr>
          <w:b/>
          <w:bCs/>
        </w:rPr>
        <w:t>Recommendations for policy and practice</w:t>
      </w:r>
    </w:p>
    <w:p w14:paraId="3EBFFB55" w14:textId="77777777" w:rsidR="007F75CD" w:rsidRDefault="00000000">
      <w:pPr>
        <w:tabs>
          <w:tab w:val="left" w:pos="6540"/>
        </w:tabs>
        <w:spacing w:before="0" w:after="0"/>
      </w:pPr>
      <w:r>
        <w:t>Health and social care policy and practice can be enhanced by several recommendations, which are founded on the Social Model of Disability. To begin with, regular disability awareness and equality training for personnel should be offered by all health and social care organisations. The training would assist in enabling the professionals to know the social barriers and to minimise discrimination and enhance communication with individuals with different needs. This will underpin respectful, inclusive and person-centred care (</w:t>
      </w:r>
      <w:r>
        <w:rPr>
          <w:highlight w:val="white"/>
        </w:rPr>
        <w:t xml:space="preserve">Molnar </w:t>
      </w:r>
      <w:r>
        <w:rPr>
          <w:i/>
          <w:iCs/>
          <w:highlight w:val="white"/>
        </w:rPr>
        <w:t xml:space="preserve">et al., </w:t>
      </w:r>
      <w:r>
        <w:rPr>
          <w:highlight w:val="white"/>
        </w:rPr>
        <w:t>2024)</w:t>
      </w:r>
      <w:r>
        <w:t>. Second, organisations must keep enhancing physical and digital access. The buildings, the equipment used in the hospitals, and the community services are supposed to be accessible, and they must have good communication channels. Websites, online appointment systems and virtual consultations should be made in a way that individuals with sensory impairment, learning disabilities or limited digital skills can easily use them.</w:t>
      </w:r>
    </w:p>
    <w:p w14:paraId="6619D407" w14:textId="77777777" w:rsidR="007F75CD" w:rsidRDefault="00000000">
      <w:pPr>
        <w:tabs>
          <w:tab w:val="left" w:pos="6540"/>
        </w:tabs>
        <w:spacing w:before="0" w:after="0"/>
        <w:rPr>
          <w:b/>
          <w:bCs/>
        </w:rPr>
      </w:pPr>
      <w:r>
        <w:t>Third, disabled individuals must be actively engaged in health and social care services planning, designing and reviewing. Their experiences can assist organisations to discover the barriers and enhance the quality of care. This method facilitates co-production and makes services fulfil the actual needs of service users. Lastly, the healthcare providers, local authorities, education services, housing organisations, and voluntary groups should be motivated to work closely in partnership. Collaborations enable organisations to offer co-ordinated support that enhances health, wellbeing, independence, and quality (</w:t>
      </w:r>
      <w:r>
        <w:rPr>
          <w:highlight w:val="white"/>
        </w:rPr>
        <w:t>Kim</w:t>
      </w:r>
      <w:r>
        <w:rPr>
          <w:i/>
          <w:iCs/>
          <w:highlight w:val="white"/>
        </w:rPr>
        <w:t xml:space="preserve"> et al., </w:t>
      </w:r>
      <w:r>
        <w:rPr>
          <w:highlight w:val="white"/>
        </w:rPr>
        <w:t>2026)</w:t>
      </w:r>
      <w:r>
        <w:t xml:space="preserve">. These suggestions have the potential to ensure equality, access, inclusion, and improved long-term outcomes for disabled individuals. </w:t>
      </w:r>
    </w:p>
    <w:p w14:paraId="07E7FCD1" w14:textId="77777777" w:rsidR="007F75CD" w:rsidRDefault="00000000">
      <w:pPr>
        <w:pStyle w:val="Heading1"/>
        <w:spacing w:before="0" w:after="0"/>
      </w:pPr>
      <w:bookmarkStart w:id="4" w:name="_hm860i55iswg" w:colFirst="0" w:colLast="0"/>
      <w:bookmarkEnd w:id="4"/>
      <w:r>
        <w:t>Conclusion</w:t>
      </w:r>
    </w:p>
    <w:p w14:paraId="69DAA375" w14:textId="77777777" w:rsidR="007F75CD" w:rsidRDefault="00000000">
      <w:pPr>
        <w:tabs>
          <w:tab w:val="left" w:pos="6540"/>
        </w:tabs>
        <w:spacing w:before="0" w:after="0"/>
      </w:pPr>
      <w:r>
        <w:t xml:space="preserve">The Social Model of Disability has contributed significantly to health and social care through providing equality, inclusion, accessibility and person-centred care. It shifted the emphasis from treating disability as a personal issue to eliminating the obstacles posed by society. The model has had an impact on legislation, policy, and practice, particularly the Equality Act 2010 and inclusive healthcare provision. Despite the criticism of its role in not giving enough attention to medical needs, a combination of the Social Model and provision of relevant healthcare offers balanced and effective support. </w:t>
      </w:r>
    </w:p>
    <w:p w14:paraId="03BDAEED" w14:textId="77777777" w:rsidR="007F75CD" w:rsidRDefault="007F75CD">
      <w:pPr>
        <w:tabs>
          <w:tab w:val="left" w:pos="6540"/>
        </w:tabs>
        <w:spacing w:before="0" w:after="0"/>
      </w:pPr>
    </w:p>
    <w:p w14:paraId="1EEC7166" w14:textId="77777777" w:rsidR="007F75CD" w:rsidRDefault="00000000">
      <w:pPr>
        <w:pStyle w:val="Heading1"/>
        <w:spacing w:before="0" w:after="0"/>
      </w:pPr>
      <w:bookmarkStart w:id="5" w:name="_uv89db8ubicg" w:colFirst="0" w:colLast="0"/>
      <w:bookmarkEnd w:id="5"/>
      <w:r>
        <w:br w:type="page"/>
      </w:r>
    </w:p>
    <w:p w14:paraId="6FC70B7A" w14:textId="77777777" w:rsidR="007F75CD" w:rsidRDefault="007F75CD">
      <w:pPr>
        <w:pStyle w:val="Heading1"/>
        <w:spacing w:before="0" w:after="0"/>
      </w:pPr>
      <w:bookmarkStart w:id="6" w:name="_59xejdfme9q2" w:colFirst="0" w:colLast="0"/>
      <w:bookmarkEnd w:id="6"/>
    </w:p>
    <w:p w14:paraId="421034B7" w14:textId="77777777" w:rsidR="007F75CD" w:rsidRDefault="007F75CD">
      <w:pPr>
        <w:pStyle w:val="Heading1"/>
        <w:spacing w:before="0" w:after="0"/>
      </w:pPr>
      <w:bookmarkStart w:id="7" w:name="_sjyrgmqyskbz" w:colFirst="0" w:colLast="0"/>
      <w:bookmarkEnd w:id="7"/>
    </w:p>
    <w:p w14:paraId="02C331D1" w14:textId="77777777" w:rsidR="007F75CD" w:rsidRDefault="00000000">
      <w:pPr>
        <w:pStyle w:val="Heading1"/>
        <w:spacing w:before="0" w:after="0"/>
      </w:pPr>
      <w:bookmarkStart w:id="8" w:name="_2ztltji52h0o" w:colFirst="0" w:colLast="0"/>
      <w:bookmarkEnd w:id="8"/>
      <w:r>
        <w:t>References</w:t>
      </w:r>
    </w:p>
    <w:p w14:paraId="155AD088" w14:textId="77777777" w:rsidR="007F75CD" w:rsidRDefault="00000000">
      <w:pPr>
        <w:spacing w:before="0" w:after="0"/>
      </w:pPr>
      <w:r>
        <w:rPr>
          <w:highlight w:val="white"/>
        </w:rPr>
        <w:t xml:space="preserve">Ahmed, A., van den Muijsenbergh, M.E. and Vrijhoef, H.J., 2022. Person‐centred care in primary care: what works for whom, how and in what circumstances?. </w:t>
      </w:r>
      <w:r>
        <w:rPr>
          <w:i/>
          <w:iCs/>
          <w:highlight w:val="white"/>
        </w:rPr>
        <w:t>Health &amp; social care in the community</w:t>
      </w:r>
      <w:r>
        <w:rPr>
          <w:highlight w:val="white"/>
        </w:rPr>
        <w:t xml:space="preserve">, </w:t>
      </w:r>
      <w:r>
        <w:rPr>
          <w:i/>
          <w:iCs/>
          <w:highlight w:val="white"/>
        </w:rPr>
        <w:t>30</w:t>
      </w:r>
      <w:r>
        <w:rPr>
          <w:highlight w:val="white"/>
        </w:rPr>
        <w:t>(6), pp.e3328-e3341.</w:t>
      </w:r>
      <w:r>
        <w:t xml:space="preserve"> </w:t>
      </w:r>
    </w:p>
    <w:p w14:paraId="57FEAE53" w14:textId="77777777" w:rsidR="007F75CD" w:rsidRDefault="00000000">
      <w:pPr>
        <w:spacing w:before="0" w:after="0"/>
      </w:pPr>
      <w:r>
        <w:rPr>
          <w:highlight w:val="white"/>
        </w:rPr>
        <w:t xml:space="preserve">Anish, N., Minnabarriet, H., Hawe, </w:t>
      </w:r>
      <w:r>
        <w:rPr>
          <w:highlight w:val="white"/>
          <w:lang w:val="en-US"/>
        </w:rPr>
        <w:t xml:space="preserve">N </w:t>
      </w:r>
      <w:r>
        <w:rPr>
          <w:highlight w:val="white"/>
        </w:rPr>
        <w:t xml:space="preserve">2025. Navigating the odyssey: The challenges of medical travel for people living in rural and remote communities in Canada—a narrative review. </w:t>
      </w:r>
      <w:r>
        <w:rPr>
          <w:i/>
          <w:iCs/>
          <w:highlight w:val="white"/>
        </w:rPr>
        <w:t>Canadian Journal of General Internal Medicine</w:t>
      </w:r>
      <w:r>
        <w:rPr>
          <w:highlight w:val="white"/>
        </w:rPr>
        <w:t xml:space="preserve">, </w:t>
      </w:r>
      <w:r>
        <w:rPr>
          <w:i/>
          <w:iCs/>
          <w:highlight w:val="white"/>
        </w:rPr>
        <w:t>20</w:t>
      </w:r>
      <w:r>
        <w:rPr>
          <w:highlight w:val="white"/>
        </w:rPr>
        <w:t>(3), pp.162-185.</w:t>
      </w:r>
      <w:r>
        <w:t xml:space="preserve"> </w:t>
      </w:r>
    </w:p>
    <w:p w14:paraId="60728A7B" w14:textId="77777777" w:rsidR="007F75CD" w:rsidRDefault="00000000">
      <w:pPr>
        <w:spacing w:before="0" w:after="0"/>
      </w:pPr>
      <w:r>
        <w:rPr>
          <w:highlight w:val="white"/>
        </w:rPr>
        <w:t xml:space="preserve">Beesley, L., 2024, September. Founders or dissenters? Re-situating the Union of the Physically Impaired Against Segregation in the early Disabled People’s Movement. In </w:t>
      </w:r>
      <w:r>
        <w:rPr>
          <w:i/>
          <w:iCs/>
          <w:highlight w:val="white"/>
        </w:rPr>
        <w:t>Disability Studies Conference: 2024: Centre for Disability Studies: University of Leeds</w:t>
      </w:r>
      <w:r>
        <w:rPr>
          <w:highlight w:val="white"/>
        </w:rPr>
        <w:t>.</w:t>
      </w:r>
      <w:r>
        <w:t xml:space="preserve"> </w:t>
      </w:r>
    </w:p>
    <w:p w14:paraId="253772D7" w14:textId="77777777" w:rsidR="007F75CD" w:rsidRDefault="00000000">
      <w:pPr>
        <w:spacing w:before="0" w:after="0"/>
      </w:pPr>
      <w:r>
        <w:rPr>
          <w:highlight w:val="white"/>
        </w:rPr>
        <w:t xml:space="preserve">Griffiths, M., 2022. UK social model of disability and the quest for emancipation. In </w:t>
      </w:r>
      <w:r>
        <w:rPr>
          <w:i/>
          <w:iCs/>
          <w:highlight w:val="white"/>
        </w:rPr>
        <w:t>Handbook of disability: Critical thought and social change in a globalizing world</w:t>
      </w:r>
      <w:r>
        <w:rPr>
          <w:highlight w:val="white"/>
        </w:rPr>
        <w:t xml:space="preserve"> (pp. 1-15). Singapore: Springer Nature Singapore.</w:t>
      </w:r>
      <w:r>
        <w:t xml:space="preserve"> </w:t>
      </w:r>
    </w:p>
    <w:p w14:paraId="5B3D79FF" w14:textId="77777777" w:rsidR="007F75CD" w:rsidRDefault="00000000">
      <w:pPr>
        <w:spacing w:before="0" w:after="0"/>
      </w:pPr>
      <w:r>
        <w:rPr>
          <w:highlight w:val="white"/>
        </w:rPr>
        <w:t xml:space="preserve">Gutterman, A.S., 2023. Definitions and models of disability. </w:t>
      </w:r>
      <w:r>
        <w:rPr>
          <w:i/>
          <w:iCs/>
          <w:highlight w:val="white"/>
        </w:rPr>
        <w:t>Available at SSRN 4500074</w:t>
      </w:r>
      <w:r>
        <w:rPr>
          <w:highlight w:val="white"/>
        </w:rPr>
        <w:t>.</w:t>
      </w:r>
      <w:r>
        <w:t xml:space="preserve"> </w:t>
      </w:r>
    </w:p>
    <w:p w14:paraId="607E07F2" w14:textId="77777777" w:rsidR="007F75CD" w:rsidRDefault="00000000">
      <w:pPr>
        <w:spacing w:before="0" w:after="0"/>
      </w:pPr>
      <w:r>
        <w:rPr>
          <w:highlight w:val="white"/>
        </w:rPr>
        <w:t xml:space="preserve">Kim, S., Llena-Nozal, A., Lorenzoni, L. and Patrini, V., 2026. How can co‑ordination improve long‑term care delivery?. </w:t>
      </w:r>
      <w:r>
        <w:rPr>
          <w:i/>
          <w:iCs/>
          <w:highlight w:val="white"/>
        </w:rPr>
        <w:t>OECD Health Working Papers</w:t>
      </w:r>
      <w:r>
        <w:rPr>
          <w:highlight w:val="white"/>
        </w:rPr>
        <w:t>.</w:t>
      </w:r>
      <w:r>
        <w:t xml:space="preserve"> </w:t>
      </w:r>
    </w:p>
    <w:p w14:paraId="5E03C6B9" w14:textId="77777777" w:rsidR="007F75CD" w:rsidRDefault="00000000">
      <w:pPr>
        <w:spacing w:before="0" w:after="0"/>
      </w:pPr>
      <w:r>
        <w:rPr>
          <w:highlight w:val="white"/>
        </w:rPr>
        <w:t xml:space="preserve">Lawton Smith, H., 2023. Public spaces, equality, diversity and inclusion: Connecting disabled entrepreneurs to urban spaces. </w:t>
      </w:r>
      <w:r>
        <w:rPr>
          <w:i/>
          <w:iCs/>
          <w:highlight w:val="white"/>
        </w:rPr>
        <w:t>Land</w:t>
      </w:r>
      <w:r>
        <w:rPr>
          <w:highlight w:val="white"/>
        </w:rPr>
        <w:t xml:space="preserve">, </w:t>
      </w:r>
      <w:r>
        <w:rPr>
          <w:i/>
          <w:iCs/>
          <w:highlight w:val="white"/>
        </w:rPr>
        <w:t>12</w:t>
      </w:r>
      <w:r>
        <w:rPr>
          <w:highlight w:val="white"/>
        </w:rPr>
        <w:t>(4), p.873.</w:t>
      </w:r>
      <w:r>
        <w:t xml:space="preserve"> </w:t>
      </w:r>
    </w:p>
    <w:p w14:paraId="51EB920E" w14:textId="77777777" w:rsidR="007F75CD" w:rsidRDefault="00000000">
      <w:pPr>
        <w:spacing w:before="0" w:after="0"/>
      </w:pPr>
      <w:r>
        <w:rPr>
          <w:highlight w:val="white"/>
        </w:rPr>
        <w:t xml:space="preserve">Macmbinji, V., 2023. Disability dynamics in the context of the social model. </w:t>
      </w:r>
      <w:r>
        <w:rPr>
          <w:i/>
          <w:iCs/>
          <w:highlight w:val="white"/>
        </w:rPr>
        <w:t>Journal of African Interdisciplinary Studies</w:t>
      </w:r>
      <w:r>
        <w:rPr>
          <w:highlight w:val="white"/>
        </w:rPr>
        <w:t xml:space="preserve">, </w:t>
      </w:r>
      <w:r>
        <w:rPr>
          <w:i/>
          <w:iCs/>
          <w:highlight w:val="white"/>
        </w:rPr>
        <w:t>7</w:t>
      </w:r>
      <w:r>
        <w:rPr>
          <w:highlight w:val="white"/>
        </w:rPr>
        <w:t>(1), pp.5-12.</w:t>
      </w:r>
      <w:r>
        <w:t xml:space="preserve"> </w:t>
      </w:r>
    </w:p>
    <w:p w14:paraId="554EFDAC" w14:textId="77777777" w:rsidR="007F75CD" w:rsidRDefault="00000000">
      <w:pPr>
        <w:spacing w:before="0" w:after="0"/>
      </w:pPr>
      <w:r>
        <w:rPr>
          <w:highlight w:val="white"/>
        </w:rPr>
        <w:t xml:space="preserve">Mohammed, O.O., Ayeni, V.O. and Fowowe, A.I., 2025. A Comparative Analysis of the Discrimination Against Persons with Disabilities (Prohibition) Act 2018, and The United Kingdom Equality Act 2010: Prospects and Challenges. </w:t>
      </w:r>
      <w:r>
        <w:rPr>
          <w:i/>
          <w:iCs/>
          <w:highlight w:val="white"/>
        </w:rPr>
        <w:t>East African Journal of Law, Policy and Globalization</w:t>
      </w:r>
      <w:r>
        <w:rPr>
          <w:highlight w:val="white"/>
        </w:rPr>
        <w:t xml:space="preserve">, </w:t>
      </w:r>
      <w:r>
        <w:rPr>
          <w:i/>
          <w:iCs/>
          <w:highlight w:val="white"/>
        </w:rPr>
        <w:t>2</w:t>
      </w:r>
      <w:r>
        <w:rPr>
          <w:highlight w:val="white"/>
        </w:rPr>
        <w:t>(1), pp.24-43.</w:t>
      </w:r>
      <w:r>
        <w:t xml:space="preserve"> </w:t>
      </w:r>
    </w:p>
    <w:p w14:paraId="5266A07A" w14:textId="77777777" w:rsidR="007F75CD" w:rsidRDefault="00000000">
      <w:pPr>
        <w:spacing w:before="0" w:after="0"/>
      </w:pPr>
      <w:r>
        <w:rPr>
          <w:highlight w:val="white"/>
        </w:rPr>
        <w:t xml:space="preserve">Molnar, C., Strnadová, I., Dunn, </w:t>
      </w:r>
      <w:r>
        <w:rPr>
          <w:highlight w:val="white"/>
          <w:lang w:val="en-US"/>
        </w:rPr>
        <w:t xml:space="preserve">M </w:t>
      </w:r>
      <w:r>
        <w:rPr>
          <w:highlight w:val="white"/>
        </w:rPr>
        <w:t xml:space="preserve">2024. The need for co-educators to drive a new model of inclusive, person-centred and respectful co-healthcare with people with intellectual disability. </w:t>
      </w:r>
      <w:r>
        <w:rPr>
          <w:i/>
          <w:iCs/>
          <w:highlight w:val="white"/>
        </w:rPr>
        <w:t>Frontiers in Psychiatry</w:t>
      </w:r>
      <w:r>
        <w:rPr>
          <w:highlight w:val="white"/>
        </w:rPr>
        <w:t xml:space="preserve">, </w:t>
      </w:r>
      <w:r>
        <w:rPr>
          <w:i/>
          <w:iCs/>
          <w:highlight w:val="white"/>
        </w:rPr>
        <w:t>15</w:t>
      </w:r>
      <w:r>
        <w:rPr>
          <w:highlight w:val="white"/>
        </w:rPr>
        <w:t>, p.1346423.</w:t>
      </w:r>
      <w:r>
        <w:t xml:space="preserve"> </w:t>
      </w:r>
    </w:p>
    <w:p w14:paraId="46273EDD" w14:textId="77777777" w:rsidR="007F75CD" w:rsidRDefault="007F75CD">
      <w:pPr>
        <w:spacing w:before="0" w:after="0"/>
        <w:rPr>
          <w:highlight w:val="white"/>
        </w:rPr>
      </w:pPr>
    </w:p>
    <w:p w14:paraId="6AA37641" w14:textId="77777777" w:rsidR="007F75CD" w:rsidRDefault="007F75CD">
      <w:pPr>
        <w:spacing w:before="0" w:after="0"/>
        <w:rPr>
          <w:highlight w:val="white"/>
        </w:rPr>
      </w:pPr>
    </w:p>
    <w:p w14:paraId="1BFC90E1" w14:textId="77777777" w:rsidR="007F75CD" w:rsidRDefault="007F75CD">
      <w:pPr>
        <w:spacing w:before="0" w:after="0"/>
        <w:rPr>
          <w:highlight w:val="white"/>
        </w:rPr>
      </w:pPr>
    </w:p>
    <w:p w14:paraId="434EC57B" w14:textId="77777777" w:rsidR="007F75CD" w:rsidRDefault="00000000">
      <w:pPr>
        <w:spacing w:before="0" w:after="0"/>
      </w:pPr>
      <w:r>
        <w:rPr>
          <w:highlight w:val="white"/>
        </w:rPr>
        <w:t xml:space="preserve">Olsen, J., 2024. Employers: Influencing disabled people’s employment through responses to reasonable adjustments. </w:t>
      </w:r>
      <w:r>
        <w:rPr>
          <w:i/>
          <w:iCs/>
          <w:highlight w:val="white"/>
        </w:rPr>
        <w:t>Disability &amp; Society</w:t>
      </w:r>
      <w:r>
        <w:rPr>
          <w:highlight w:val="white"/>
        </w:rPr>
        <w:t xml:space="preserve">, </w:t>
      </w:r>
      <w:r>
        <w:rPr>
          <w:i/>
          <w:iCs/>
          <w:highlight w:val="white"/>
        </w:rPr>
        <w:t>39</w:t>
      </w:r>
      <w:r>
        <w:rPr>
          <w:highlight w:val="white"/>
        </w:rPr>
        <w:t>(3), pp.791-810.</w:t>
      </w:r>
      <w:r>
        <w:t xml:space="preserve"> </w:t>
      </w:r>
    </w:p>
    <w:p w14:paraId="3FFACCEF" w14:textId="77777777" w:rsidR="007F75CD" w:rsidRDefault="00000000">
      <w:pPr>
        <w:spacing w:before="0" w:after="0"/>
      </w:pPr>
      <w:r>
        <w:rPr>
          <w:highlight w:val="white"/>
        </w:rPr>
        <w:t xml:space="preserve">Shamsabadipour, A., 2025. Disability models: Societal impacts and policy implications. In </w:t>
      </w:r>
      <w:r>
        <w:rPr>
          <w:i/>
          <w:iCs/>
          <w:highlight w:val="white"/>
        </w:rPr>
        <w:t>The Palgrave encyclopedia of disability</w:t>
      </w:r>
      <w:r>
        <w:rPr>
          <w:highlight w:val="white"/>
        </w:rPr>
        <w:t xml:space="preserve"> (pp. 1-10). Cham: Springer Nature Switzerland.</w:t>
      </w:r>
      <w:r>
        <w:t xml:space="preserve"> </w:t>
      </w:r>
    </w:p>
    <w:p w14:paraId="1394D115" w14:textId="77777777" w:rsidR="007F75CD" w:rsidRDefault="00000000">
      <w:pPr>
        <w:spacing w:before="0" w:after="0"/>
      </w:pPr>
      <w:r>
        <w:rPr>
          <w:highlight w:val="white"/>
        </w:rPr>
        <w:t xml:space="preserve">Talmale, R., Sonwane, S. and Tiwari, S., 2024, December. Patient education in chronic pain and treatment. In </w:t>
      </w:r>
      <w:r>
        <w:rPr>
          <w:i/>
          <w:iCs/>
          <w:highlight w:val="white"/>
        </w:rPr>
        <w:t>AIP Conference Proceedings</w:t>
      </w:r>
      <w:r>
        <w:rPr>
          <w:highlight w:val="white"/>
        </w:rPr>
        <w:t xml:space="preserve"> (Vol. 3188, No. 1, p. 100091). AIP Publishing LLC.</w:t>
      </w:r>
      <w:r>
        <w:t xml:space="preserve"> </w:t>
      </w:r>
    </w:p>
    <w:p w14:paraId="4F25C774" w14:textId="77777777" w:rsidR="007F75CD" w:rsidRDefault="00000000">
      <w:pPr>
        <w:spacing w:before="0" w:after="0"/>
      </w:pPr>
      <w:r>
        <w:rPr>
          <w:highlight w:val="white"/>
        </w:rPr>
        <w:t xml:space="preserve">William, L., Corby, S. and Pauksztat, B., 2025. The legal framework. In </w:t>
      </w:r>
      <w:r>
        <w:rPr>
          <w:i/>
          <w:iCs/>
          <w:highlight w:val="white"/>
        </w:rPr>
        <w:t>Claiming Disability Discrimination: Assessing Barriers to Justice</w:t>
      </w:r>
      <w:r>
        <w:rPr>
          <w:highlight w:val="white"/>
        </w:rPr>
        <w:t xml:space="preserve"> (pp. 35-56). Cham: Springer Nature Switzerland.</w:t>
      </w:r>
      <w:r>
        <w:t xml:space="preserve"> </w:t>
      </w:r>
    </w:p>
    <w:p w14:paraId="77618926" w14:textId="77777777" w:rsidR="007F75CD" w:rsidRDefault="00000000">
      <w:pPr>
        <w:spacing w:before="0" w:after="0"/>
      </w:pPr>
      <w:r>
        <w:rPr>
          <w:highlight w:val="white"/>
        </w:rPr>
        <w:t xml:space="preserve">Zaks, Z., 2024. Changing the medical model of disability to the normalization model of disability: Clarifying the past to create a new future direction. </w:t>
      </w:r>
      <w:r>
        <w:rPr>
          <w:i/>
          <w:iCs/>
          <w:highlight w:val="white"/>
        </w:rPr>
        <w:t>Disability &amp; Society</w:t>
      </w:r>
      <w:r>
        <w:rPr>
          <w:highlight w:val="white"/>
        </w:rPr>
        <w:t xml:space="preserve">, </w:t>
      </w:r>
      <w:r>
        <w:rPr>
          <w:i/>
          <w:iCs/>
          <w:highlight w:val="white"/>
        </w:rPr>
        <w:t>39</w:t>
      </w:r>
      <w:r>
        <w:rPr>
          <w:highlight w:val="white"/>
        </w:rPr>
        <w:t>(12), pp.3233-3260.</w:t>
      </w:r>
      <w:r>
        <w:t xml:space="preserve"> </w:t>
      </w:r>
    </w:p>
    <w:p w14:paraId="73D7791A" w14:textId="77777777" w:rsidR="007F75CD" w:rsidRDefault="00000000">
      <w:pPr>
        <w:spacing w:before="0" w:after="0"/>
      </w:pPr>
      <w:r>
        <w:rPr>
          <w:highlight w:val="white"/>
        </w:rPr>
        <w:t xml:space="preserve">Zeni, K.S. and Kikwasi, G.J., 2023. Factors affecting maintenance cost of public buildings: case study of Tanzania Buildings Agency and National Housing Corporation. </w:t>
      </w:r>
      <w:r>
        <w:rPr>
          <w:i/>
          <w:iCs/>
          <w:highlight w:val="white"/>
        </w:rPr>
        <w:t>International Journal of Building Pathology and Adaptation</w:t>
      </w:r>
      <w:r>
        <w:rPr>
          <w:highlight w:val="white"/>
        </w:rPr>
        <w:t xml:space="preserve">, </w:t>
      </w:r>
      <w:r>
        <w:rPr>
          <w:i/>
          <w:iCs/>
          <w:highlight w:val="white"/>
        </w:rPr>
        <w:t>41</w:t>
      </w:r>
      <w:r>
        <w:rPr>
          <w:highlight w:val="white"/>
        </w:rPr>
        <w:t>(5), pp.926-941.</w:t>
      </w:r>
      <w:r>
        <w:t xml:space="preserve"> </w:t>
      </w:r>
    </w:p>
    <w:sectPr w:rsidR="007F75CD">
      <w:headerReference w:type="default" r:id="rId6"/>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E7B2C" w14:textId="77777777" w:rsidR="00471D3C" w:rsidRDefault="00471D3C">
      <w:pPr>
        <w:spacing w:before="0" w:after="0" w:line="240" w:lineRule="auto"/>
      </w:pPr>
      <w:r>
        <w:separator/>
      </w:r>
    </w:p>
  </w:endnote>
  <w:endnote w:type="continuationSeparator" w:id="0">
    <w:p w14:paraId="1EDE803C" w14:textId="77777777" w:rsidR="00471D3C" w:rsidRDefault="00471D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embedRegular r:id="rId1" w:fontKey="{9FD233DA-C5D4-4C8B-9586-319704F112B5}"/>
  </w:font>
  <w:font w:name="Calibri">
    <w:panose1 w:val="020F0502020204030204"/>
    <w:charset w:val="00"/>
    <w:family w:val="swiss"/>
    <w:pitch w:val="variable"/>
    <w:sig w:usb0="E4002EFF" w:usb1="C200247B" w:usb2="00000009" w:usb3="00000000" w:csb0="000001FF" w:csb1="00000000"/>
    <w:embedRegular r:id="rId2" w:fontKey="{918BCB48-0142-4938-B835-44D28B4D06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6640B" w14:textId="77777777" w:rsidR="007F75CD" w:rsidRDefault="00000000">
    <w:pPr>
      <w:pStyle w:val="Footer"/>
      <w:jc w:val="right"/>
    </w:pPr>
    <w:r>
      <w:fldChar w:fldCharType="begin"/>
    </w:r>
    <w:r>
      <w:instrText xml:space="preserve"> PAGE   \* MERGEFORMAT </w:instrText>
    </w:r>
    <w:r>
      <w:fldChar w:fldCharType="separate"/>
    </w:r>
    <w:r>
      <w:rPr>
        <w:noProof/>
      </w:rPr>
      <w:t>10</w:t>
    </w:r>
    <w:r>
      <w:rPr>
        <w:noProof/>
      </w:rPr>
      <w:fldChar w:fldCharType="end"/>
    </w:r>
  </w:p>
  <w:p w14:paraId="1DB8F34F" w14:textId="77777777" w:rsidR="007F75CD" w:rsidRDefault="007F7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D84A5" w14:textId="77777777" w:rsidR="00471D3C" w:rsidRDefault="00471D3C">
      <w:pPr>
        <w:spacing w:before="0" w:after="0" w:line="240" w:lineRule="auto"/>
      </w:pPr>
      <w:r>
        <w:separator/>
      </w:r>
    </w:p>
  </w:footnote>
  <w:footnote w:type="continuationSeparator" w:id="0">
    <w:p w14:paraId="7C1F6FC4" w14:textId="77777777" w:rsidR="00471D3C" w:rsidRDefault="00471D3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06F1B" w14:textId="77777777" w:rsidR="007F75CD" w:rsidRDefault="00000000">
    <w:r>
      <w:rPr>
        <w:noProof/>
        <w:lang w:val="en-IN"/>
      </w:rPr>
      <w:drawing>
        <wp:anchor distT="0" distB="0" distL="114300" distR="114300" simplePos="0" relativeHeight="2" behindDoc="0" locked="0" layoutInCell="1" allowOverlap="1" wp14:anchorId="49248DD5" wp14:editId="1A620198">
          <wp:simplePos x="0" y="0"/>
          <wp:positionH relativeFrom="page">
            <wp:posOffset>814303</wp:posOffset>
          </wp:positionH>
          <wp:positionV relativeFrom="page">
            <wp:posOffset>161144</wp:posOffset>
          </wp:positionV>
          <wp:extent cx="1809750" cy="723900"/>
          <wp:effectExtent l="0" t="0" r="0" b="0"/>
          <wp:wrapSquare wrapText="bothSides"/>
          <wp:docPr id="4097" name="image1.png"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cstate="print"/>
                  <a:srcRect/>
                  <a:stretch/>
                </pic:blipFill>
                <pic:spPr>
                  <a:xfrm>
                    <a:off x="0" y="0"/>
                    <a:ext cx="1809750" cy="723900"/>
                  </a:xfrm>
                  <a:prstGeom prst="rect">
                    <a:avLst/>
                  </a:prstGeom>
                  <a:ln w="9525" cap="flat" cmpd="sng">
                    <a:solidFill>
                      <a:srgbClr val="000000"/>
                    </a:solidFill>
                    <a:prstDash val="solid"/>
                    <a:round/>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5CD"/>
    <w:rsid w:val="00067FA5"/>
    <w:rsid w:val="00471D3C"/>
    <w:rsid w:val="00646627"/>
    <w:rsid w:val="007F75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D1BED"/>
  <w15:docId w15:val="{FE3269D8-7A85-43E5-9C16-A0FC6E96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40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tabs>
        <w:tab w:val="left" w:pos="6540"/>
      </w:tabs>
      <w:outlineLvl w:val="0"/>
    </w:pPr>
    <w:rPr>
      <w:b/>
      <w:bCs/>
      <w:sz w:val="32"/>
      <w:szCs w:val="32"/>
    </w:rPr>
  </w:style>
  <w:style w:type="paragraph" w:styleId="Heading2">
    <w:name w:val="heading 2"/>
    <w:basedOn w:val="Normal"/>
    <w:next w:val="Normal"/>
    <w:uiPriority w:val="9"/>
    <w:semiHidden/>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pPr>
      <w:tabs>
        <w:tab w:val="center" w:pos="4513"/>
        <w:tab w:val="right" w:pos="9026"/>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513"/>
        <w:tab w:val="right" w:pos="9026"/>
      </w:tabs>
      <w:spacing w:before="0"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2821</Words>
  <Characters>16085</Characters>
  <Application>Microsoft Office Word</Application>
  <DocSecurity>0</DocSecurity>
  <Lines>134</Lines>
  <Paragraphs>37</Paragraphs>
  <ScaleCrop>false</ScaleCrop>
  <Company/>
  <LinksUpToDate>false</LinksUpToDate>
  <CharactersWithSpaces>18869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Sheneya Akther Peya (2442413)</cp:lastModifiedBy>
  <cp:revision>2</cp:revision>
  <dcterms:created xsi:type="dcterms:W3CDTF">2026-07-17T20:13:00Z</dcterms:created>
  <dcterms:modified xsi:type="dcterms:W3CDTF">2026-08-06T08:40:00Z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10dc047aefc34b0d94943467f50135e9</vt:lpwstr>
  </property>
</Properties>
</file>