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8CA03" w14:textId="77777777" w:rsidR="001E12B6" w:rsidRDefault="001E12B6" w:rsidP="001E12B6">
      <w:pPr>
        <w:jc w:val="both"/>
        <w:rPr>
          <w:b/>
          <w:bCs/>
        </w:rPr>
      </w:pPr>
    </w:p>
    <w:p w14:paraId="1CC39381" w14:textId="68B63237" w:rsidR="001E12B6" w:rsidRPr="001E12B6" w:rsidRDefault="001E12B6" w:rsidP="00774427">
      <w:pPr>
        <w:spacing w:line="360" w:lineRule="auto"/>
        <w:jc w:val="both"/>
        <w:rPr>
          <w:rFonts w:ascii="Arial" w:hAnsi="Arial" w:cs="Arial"/>
          <w:b/>
          <w:bCs/>
          <w:sz w:val="22"/>
          <w:szCs w:val="22"/>
        </w:rPr>
      </w:pPr>
      <w:r w:rsidRPr="001E12B6">
        <w:rPr>
          <w:rFonts w:ascii="Arial" w:hAnsi="Arial" w:cs="Arial"/>
          <w:b/>
          <w:bCs/>
          <w:sz w:val="22"/>
          <w:szCs w:val="22"/>
        </w:rPr>
        <w:t xml:space="preserve">Student: </w:t>
      </w:r>
      <w:r w:rsidRPr="00774427">
        <w:rPr>
          <w:rFonts w:ascii="Arial" w:hAnsi="Arial" w:cs="Arial"/>
          <w:b/>
          <w:bCs/>
          <w:sz w:val="22"/>
          <w:szCs w:val="22"/>
        </w:rPr>
        <w:tab/>
      </w:r>
      <w:r w:rsidRPr="00774427">
        <w:rPr>
          <w:rFonts w:ascii="Arial" w:hAnsi="Arial" w:cs="Arial"/>
          <w:b/>
          <w:bCs/>
          <w:sz w:val="22"/>
          <w:szCs w:val="22"/>
        </w:rPr>
        <w:tab/>
      </w:r>
      <w:r w:rsidRPr="001E12B6">
        <w:rPr>
          <w:rFonts w:ascii="Arial" w:hAnsi="Arial" w:cs="Arial"/>
          <w:b/>
          <w:bCs/>
          <w:sz w:val="22"/>
          <w:szCs w:val="22"/>
        </w:rPr>
        <w:t>Salma Begum</w:t>
      </w:r>
    </w:p>
    <w:p w14:paraId="15FE8CA4" w14:textId="1D7A929B" w:rsidR="001E12B6" w:rsidRPr="001E12B6" w:rsidRDefault="001E12B6" w:rsidP="00774427">
      <w:pPr>
        <w:spacing w:line="360" w:lineRule="auto"/>
        <w:jc w:val="both"/>
        <w:rPr>
          <w:rFonts w:ascii="Arial" w:hAnsi="Arial" w:cs="Arial"/>
          <w:b/>
          <w:bCs/>
          <w:sz w:val="22"/>
          <w:szCs w:val="22"/>
        </w:rPr>
      </w:pPr>
      <w:r w:rsidRPr="001E12B6">
        <w:rPr>
          <w:rFonts w:ascii="Arial" w:hAnsi="Arial" w:cs="Arial"/>
          <w:b/>
          <w:bCs/>
          <w:sz w:val="22"/>
          <w:szCs w:val="22"/>
        </w:rPr>
        <w:t xml:space="preserve">ID: </w:t>
      </w:r>
      <w:r w:rsidRPr="00774427">
        <w:rPr>
          <w:rFonts w:ascii="Arial" w:hAnsi="Arial" w:cs="Arial"/>
          <w:b/>
          <w:bCs/>
          <w:sz w:val="22"/>
          <w:szCs w:val="22"/>
        </w:rPr>
        <w:tab/>
      </w:r>
      <w:r w:rsidRPr="00774427">
        <w:rPr>
          <w:rFonts w:ascii="Arial" w:hAnsi="Arial" w:cs="Arial"/>
          <w:b/>
          <w:bCs/>
          <w:sz w:val="22"/>
          <w:szCs w:val="22"/>
        </w:rPr>
        <w:tab/>
      </w:r>
      <w:r w:rsidRPr="00774427">
        <w:rPr>
          <w:rFonts w:ascii="Arial" w:hAnsi="Arial" w:cs="Arial"/>
          <w:b/>
          <w:bCs/>
          <w:sz w:val="22"/>
          <w:szCs w:val="22"/>
        </w:rPr>
        <w:tab/>
      </w:r>
      <w:r w:rsidRPr="001E12B6">
        <w:rPr>
          <w:rFonts w:ascii="Arial" w:hAnsi="Arial" w:cs="Arial"/>
          <w:b/>
          <w:bCs/>
          <w:sz w:val="22"/>
          <w:szCs w:val="22"/>
        </w:rPr>
        <w:t>2409645</w:t>
      </w:r>
    </w:p>
    <w:p w14:paraId="61661BB6" w14:textId="5F77D427" w:rsidR="001E12B6" w:rsidRPr="001E12B6" w:rsidRDefault="001E12B6" w:rsidP="00774427">
      <w:pPr>
        <w:spacing w:line="360" w:lineRule="auto"/>
        <w:jc w:val="both"/>
        <w:rPr>
          <w:rFonts w:ascii="Arial" w:hAnsi="Arial" w:cs="Arial"/>
          <w:b/>
          <w:bCs/>
          <w:sz w:val="22"/>
          <w:szCs w:val="22"/>
        </w:rPr>
      </w:pPr>
      <w:r w:rsidRPr="001E12B6">
        <w:rPr>
          <w:rFonts w:ascii="Arial" w:hAnsi="Arial" w:cs="Arial"/>
          <w:b/>
          <w:bCs/>
          <w:sz w:val="22"/>
          <w:szCs w:val="22"/>
        </w:rPr>
        <w:t xml:space="preserve">Programme: </w:t>
      </w:r>
      <w:r w:rsidRPr="00774427">
        <w:rPr>
          <w:rFonts w:ascii="Arial" w:hAnsi="Arial" w:cs="Arial"/>
          <w:b/>
          <w:bCs/>
          <w:sz w:val="22"/>
          <w:szCs w:val="22"/>
        </w:rPr>
        <w:tab/>
      </w:r>
      <w:r w:rsidRPr="00774427">
        <w:rPr>
          <w:rFonts w:ascii="Arial" w:hAnsi="Arial" w:cs="Arial"/>
          <w:b/>
          <w:bCs/>
          <w:sz w:val="22"/>
          <w:szCs w:val="22"/>
        </w:rPr>
        <w:tab/>
      </w:r>
      <w:r w:rsidRPr="001E12B6">
        <w:rPr>
          <w:rFonts w:ascii="Arial" w:hAnsi="Arial" w:cs="Arial"/>
          <w:b/>
          <w:bCs/>
          <w:sz w:val="22"/>
          <w:szCs w:val="22"/>
        </w:rPr>
        <w:t>BSc Health and Social Care</w:t>
      </w:r>
    </w:p>
    <w:p w14:paraId="2541EE6F" w14:textId="5261366E" w:rsidR="001E12B6" w:rsidRPr="001E12B6" w:rsidRDefault="001E12B6" w:rsidP="00774427">
      <w:pPr>
        <w:spacing w:line="360" w:lineRule="auto"/>
        <w:jc w:val="both"/>
        <w:rPr>
          <w:rFonts w:ascii="Arial" w:hAnsi="Arial" w:cs="Arial"/>
          <w:b/>
          <w:bCs/>
          <w:sz w:val="22"/>
          <w:szCs w:val="22"/>
        </w:rPr>
      </w:pPr>
      <w:r w:rsidRPr="001E12B6">
        <w:rPr>
          <w:rFonts w:ascii="Arial" w:hAnsi="Arial" w:cs="Arial"/>
          <w:b/>
          <w:bCs/>
          <w:sz w:val="22"/>
          <w:szCs w:val="22"/>
        </w:rPr>
        <w:t xml:space="preserve">Module: </w:t>
      </w:r>
      <w:r w:rsidRPr="00774427">
        <w:rPr>
          <w:rFonts w:ascii="Arial" w:hAnsi="Arial" w:cs="Arial"/>
          <w:b/>
          <w:bCs/>
          <w:sz w:val="22"/>
          <w:szCs w:val="22"/>
        </w:rPr>
        <w:tab/>
      </w:r>
      <w:r w:rsidRPr="00774427">
        <w:rPr>
          <w:rFonts w:ascii="Arial" w:hAnsi="Arial" w:cs="Arial"/>
          <w:b/>
          <w:bCs/>
          <w:sz w:val="22"/>
          <w:szCs w:val="22"/>
        </w:rPr>
        <w:tab/>
      </w:r>
      <w:r w:rsidRPr="001E12B6">
        <w:rPr>
          <w:rFonts w:ascii="Arial" w:hAnsi="Arial" w:cs="Arial"/>
          <w:b/>
          <w:bCs/>
          <w:sz w:val="22"/>
          <w:szCs w:val="22"/>
        </w:rPr>
        <w:t>Principles of Health and Social Care Practice</w:t>
      </w:r>
    </w:p>
    <w:p w14:paraId="0E2B007F" w14:textId="481270FD" w:rsidR="001E12B6" w:rsidRPr="00774427" w:rsidRDefault="001E12B6" w:rsidP="00774427">
      <w:pPr>
        <w:spacing w:line="360" w:lineRule="auto"/>
        <w:jc w:val="both"/>
        <w:rPr>
          <w:rFonts w:ascii="Arial" w:hAnsi="Arial" w:cs="Arial"/>
          <w:b/>
          <w:bCs/>
          <w:sz w:val="22"/>
          <w:szCs w:val="22"/>
        </w:rPr>
      </w:pPr>
      <w:r w:rsidRPr="001E12B6">
        <w:rPr>
          <w:rFonts w:ascii="Arial" w:hAnsi="Arial" w:cs="Arial"/>
          <w:b/>
          <w:bCs/>
          <w:sz w:val="22"/>
          <w:szCs w:val="22"/>
        </w:rPr>
        <w:t xml:space="preserve">Module Code: </w:t>
      </w:r>
      <w:r w:rsidRPr="00774427">
        <w:rPr>
          <w:rFonts w:ascii="Arial" w:hAnsi="Arial" w:cs="Arial"/>
          <w:b/>
          <w:bCs/>
          <w:sz w:val="22"/>
          <w:szCs w:val="22"/>
        </w:rPr>
        <w:tab/>
        <w:t>BMHP5016 C2</w:t>
      </w:r>
      <w:r w:rsidRPr="00774427">
        <w:rPr>
          <w:rFonts w:ascii="Arial" w:hAnsi="Arial" w:cs="Arial"/>
          <w:b/>
          <w:bCs/>
          <w:sz w:val="22"/>
          <w:szCs w:val="22"/>
        </w:rPr>
        <w:tab/>
      </w:r>
    </w:p>
    <w:p w14:paraId="0D410468" w14:textId="01BF423A" w:rsidR="001E12B6" w:rsidRPr="00774427" w:rsidRDefault="001E12B6" w:rsidP="00774427">
      <w:pPr>
        <w:pBdr>
          <w:bottom w:val="single" w:sz="4" w:space="1" w:color="auto"/>
        </w:pBdr>
        <w:spacing w:line="360" w:lineRule="auto"/>
        <w:jc w:val="both"/>
        <w:rPr>
          <w:rFonts w:ascii="Arial" w:hAnsi="Arial" w:cs="Arial"/>
          <w:b/>
          <w:bCs/>
          <w:sz w:val="22"/>
          <w:szCs w:val="22"/>
        </w:rPr>
      </w:pPr>
      <w:r w:rsidRPr="00774427">
        <w:rPr>
          <w:rFonts w:ascii="Arial" w:hAnsi="Arial" w:cs="Arial"/>
          <w:b/>
          <w:bCs/>
          <w:sz w:val="22"/>
          <w:szCs w:val="22"/>
        </w:rPr>
        <w:t>Lecturer:</w:t>
      </w:r>
      <w:r w:rsidRPr="00774427">
        <w:rPr>
          <w:rFonts w:ascii="Arial" w:hAnsi="Arial" w:cs="Arial"/>
          <w:b/>
          <w:bCs/>
          <w:sz w:val="22"/>
          <w:szCs w:val="22"/>
        </w:rPr>
        <w:tab/>
      </w:r>
      <w:r w:rsidRPr="00774427">
        <w:rPr>
          <w:rFonts w:ascii="Arial" w:hAnsi="Arial" w:cs="Arial"/>
          <w:b/>
          <w:bCs/>
          <w:sz w:val="22"/>
          <w:szCs w:val="22"/>
        </w:rPr>
        <w:tab/>
        <w:t>Farah Islam</w:t>
      </w:r>
    </w:p>
    <w:p w14:paraId="3BA6B3DE" w14:textId="77777777" w:rsidR="001E12B6" w:rsidRPr="00774427" w:rsidRDefault="001E12B6" w:rsidP="00774427">
      <w:pPr>
        <w:pBdr>
          <w:bottom w:val="single" w:sz="4" w:space="1" w:color="auto"/>
        </w:pBdr>
        <w:spacing w:line="360" w:lineRule="auto"/>
        <w:jc w:val="both"/>
        <w:rPr>
          <w:rFonts w:ascii="Arial" w:hAnsi="Arial" w:cs="Arial"/>
          <w:b/>
          <w:bCs/>
          <w:sz w:val="22"/>
          <w:szCs w:val="22"/>
        </w:rPr>
      </w:pPr>
    </w:p>
    <w:p w14:paraId="1F6B1B4A" w14:textId="77777777" w:rsidR="00774427" w:rsidRDefault="00774427" w:rsidP="00774427">
      <w:pPr>
        <w:spacing w:line="360" w:lineRule="auto"/>
        <w:jc w:val="both"/>
        <w:rPr>
          <w:rFonts w:ascii="Arial" w:hAnsi="Arial" w:cs="Arial"/>
          <w:b/>
          <w:bCs/>
          <w:sz w:val="22"/>
          <w:szCs w:val="22"/>
        </w:rPr>
      </w:pPr>
    </w:p>
    <w:p w14:paraId="543E4D9E" w14:textId="509280FC"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Table of Contents</w:t>
      </w:r>
    </w:p>
    <w:p w14:paraId="75349118"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Introduction</w:t>
      </w:r>
    </w:p>
    <w:p w14:paraId="7CAF38BB"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Person-Centred Care (PCC)</w:t>
      </w:r>
    </w:p>
    <w:p w14:paraId="6920573E"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Policy Context of PCC</w:t>
      </w:r>
    </w:p>
    <w:p w14:paraId="18BFC25D"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Benefits of PCC</w:t>
      </w:r>
    </w:p>
    <w:p w14:paraId="0F901F4A"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Challenges of PCC</w:t>
      </w:r>
    </w:p>
    <w:p w14:paraId="270D0186"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Partnership Working (PW)</w:t>
      </w:r>
    </w:p>
    <w:p w14:paraId="39002887"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Policy Context of PW</w:t>
      </w:r>
    </w:p>
    <w:p w14:paraId="561F9B62"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Benefits of PW</w:t>
      </w:r>
    </w:p>
    <w:p w14:paraId="1598DE5D"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Challenges of PW</w:t>
      </w:r>
    </w:p>
    <w:p w14:paraId="24974E82"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Interrelationship Between PCC and PW</w:t>
      </w:r>
    </w:p>
    <w:p w14:paraId="5BAB97F5"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Barriers to Integration</w:t>
      </w:r>
    </w:p>
    <w:p w14:paraId="60F17DD3"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Strategies for Improvement</w:t>
      </w:r>
    </w:p>
    <w:p w14:paraId="2B74F01B"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Conclusion</w:t>
      </w:r>
    </w:p>
    <w:p w14:paraId="402BF73A" w14:textId="77777777" w:rsidR="00731B10" w:rsidRPr="00774427" w:rsidRDefault="00731B10" w:rsidP="00774427">
      <w:pPr>
        <w:numPr>
          <w:ilvl w:val="0"/>
          <w:numId w:val="43"/>
        </w:numPr>
        <w:spacing w:line="360" w:lineRule="auto"/>
        <w:jc w:val="both"/>
        <w:rPr>
          <w:rFonts w:ascii="Arial" w:hAnsi="Arial" w:cs="Arial"/>
          <w:sz w:val="22"/>
          <w:szCs w:val="22"/>
        </w:rPr>
      </w:pPr>
      <w:r w:rsidRPr="00774427">
        <w:rPr>
          <w:rFonts w:ascii="Arial" w:hAnsi="Arial" w:cs="Arial"/>
          <w:sz w:val="22"/>
          <w:szCs w:val="22"/>
        </w:rPr>
        <w:t>References</w:t>
      </w:r>
    </w:p>
    <w:p w14:paraId="71B8477B"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1F473D9E">
          <v:rect id="_x0000_i1025" style="width:0;height:1.5pt" o:hralign="center" o:hrstd="t" o:hr="t" fillcolor="#a0a0a0" stroked="f"/>
        </w:pict>
      </w:r>
    </w:p>
    <w:p w14:paraId="61CA21AA" w14:textId="77777777" w:rsidR="00774427" w:rsidRDefault="00774427" w:rsidP="00774427">
      <w:pPr>
        <w:spacing w:line="360" w:lineRule="auto"/>
        <w:jc w:val="both"/>
        <w:rPr>
          <w:rFonts w:ascii="Arial" w:hAnsi="Arial" w:cs="Arial"/>
          <w:b/>
          <w:bCs/>
          <w:sz w:val="22"/>
          <w:szCs w:val="22"/>
        </w:rPr>
      </w:pPr>
    </w:p>
    <w:p w14:paraId="4BE5730F" w14:textId="77777777" w:rsidR="00774427" w:rsidRDefault="00774427" w:rsidP="00774427">
      <w:pPr>
        <w:spacing w:line="360" w:lineRule="auto"/>
        <w:jc w:val="both"/>
        <w:rPr>
          <w:rFonts w:ascii="Arial" w:hAnsi="Arial" w:cs="Arial"/>
          <w:b/>
          <w:bCs/>
          <w:sz w:val="22"/>
          <w:szCs w:val="22"/>
        </w:rPr>
      </w:pPr>
    </w:p>
    <w:p w14:paraId="459B2A9A" w14:textId="227A60EF"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1. Introduction</w:t>
      </w:r>
    </w:p>
    <w:p w14:paraId="6CBE2597" w14:textId="3C7BF62B"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Person-centred care (PCC) and partnership working (PW) are two foundational concepts shaping contemporary health and social care practice across the United Kingdom. As service demands rise due to an ageing population, increasing long</w:t>
      </w:r>
      <w:r w:rsidRPr="00774427">
        <w:rPr>
          <w:rFonts w:ascii="Arial" w:hAnsi="Arial" w:cs="Arial"/>
          <w:sz w:val="22"/>
          <w:szCs w:val="22"/>
        </w:rPr>
        <w:noBreakHyphen/>
        <w:t>term conditions, and growing complexity of care needs, health and social care systems require approaches that promote autonomy, dignity, collaboration, and continuity (NICE, 2021). PCC places the individual at the centre of their care experience, acknowledging their values, lived experiences, and preferences. PW complements PCC by ensuring that professionals and agencies collaborate effectively to provide holistic support.</w:t>
      </w:r>
    </w:p>
    <w:p w14:paraId="55B51547"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Policy reforms across the NHS, local authorities, and social care settings highlight that high</w:t>
      </w:r>
      <w:r w:rsidRPr="00774427">
        <w:rPr>
          <w:rFonts w:ascii="Arial" w:hAnsi="Arial" w:cs="Arial"/>
          <w:sz w:val="22"/>
          <w:szCs w:val="22"/>
        </w:rPr>
        <w:noBreakHyphen/>
        <w:t>quality care cannot be delivered by single agencies working in isolation. Instead, effective care relies on multi</w:t>
      </w:r>
      <w:r w:rsidRPr="00774427">
        <w:rPr>
          <w:rFonts w:ascii="Arial" w:hAnsi="Arial" w:cs="Arial"/>
          <w:sz w:val="22"/>
          <w:szCs w:val="22"/>
        </w:rPr>
        <w:noBreakHyphen/>
        <w:t>disciplinary, multi</w:t>
      </w:r>
      <w:r w:rsidRPr="00774427">
        <w:rPr>
          <w:rFonts w:ascii="Arial" w:hAnsi="Arial" w:cs="Arial"/>
          <w:sz w:val="22"/>
          <w:szCs w:val="22"/>
        </w:rPr>
        <w:noBreakHyphen/>
        <w:t>agency collaboration, combined with service user empowerment. This expanded report provides a deeper critical evaluation of PCC and PW, exploring their principles, strengths, challenges, and how they operate together within professional practice.</w:t>
      </w:r>
    </w:p>
    <w:p w14:paraId="1EFE35B6"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0B139A23">
          <v:rect id="_x0000_i1026" style="width:0;height:1.5pt" o:hralign="center" o:hrstd="t" o:hr="t" fillcolor="#a0a0a0" stroked="f"/>
        </w:pict>
      </w:r>
    </w:p>
    <w:p w14:paraId="195F56B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2. Person-Centred Care (PCC)</w:t>
      </w:r>
    </w:p>
    <w:p w14:paraId="798D9A64"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PCC is an approach that recognises the individual as a unique person rather than a passive recipient of services. It emphasises respect, autonomy, and meaningful engagement. According to McCormack &amp; McCance (2017), PCC is built upon the values of personhood, dignity, and relationships.</w:t>
      </w:r>
    </w:p>
    <w:p w14:paraId="4868E337"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Key Principles of PCC</w:t>
      </w:r>
    </w:p>
    <w:p w14:paraId="7AE19C9A" w14:textId="77777777" w:rsidR="00731B10" w:rsidRPr="00774427" w:rsidRDefault="00731B10" w:rsidP="00774427">
      <w:pPr>
        <w:numPr>
          <w:ilvl w:val="0"/>
          <w:numId w:val="44"/>
        </w:numPr>
        <w:spacing w:line="360" w:lineRule="auto"/>
        <w:jc w:val="both"/>
        <w:rPr>
          <w:rFonts w:ascii="Arial" w:hAnsi="Arial" w:cs="Arial"/>
          <w:sz w:val="22"/>
          <w:szCs w:val="22"/>
        </w:rPr>
      </w:pPr>
      <w:r w:rsidRPr="00774427">
        <w:rPr>
          <w:rFonts w:ascii="Arial" w:hAnsi="Arial" w:cs="Arial"/>
          <w:b/>
          <w:bCs/>
          <w:sz w:val="22"/>
          <w:szCs w:val="22"/>
        </w:rPr>
        <w:t>Respect and individuality:</w:t>
      </w:r>
      <w:r w:rsidRPr="00774427">
        <w:rPr>
          <w:rFonts w:ascii="Arial" w:hAnsi="Arial" w:cs="Arial"/>
          <w:sz w:val="22"/>
          <w:szCs w:val="22"/>
        </w:rPr>
        <w:t xml:space="preserve"> Recognising the life story, preferences, culture, and identity of the person.</w:t>
      </w:r>
    </w:p>
    <w:p w14:paraId="3C41C82A" w14:textId="77777777" w:rsidR="00731B10" w:rsidRPr="00774427" w:rsidRDefault="00731B10" w:rsidP="00774427">
      <w:pPr>
        <w:numPr>
          <w:ilvl w:val="0"/>
          <w:numId w:val="44"/>
        </w:numPr>
        <w:spacing w:line="360" w:lineRule="auto"/>
        <w:jc w:val="both"/>
        <w:rPr>
          <w:rFonts w:ascii="Arial" w:hAnsi="Arial" w:cs="Arial"/>
          <w:sz w:val="22"/>
          <w:szCs w:val="22"/>
        </w:rPr>
      </w:pPr>
      <w:r w:rsidRPr="00774427">
        <w:rPr>
          <w:rFonts w:ascii="Arial" w:hAnsi="Arial" w:cs="Arial"/>
          <w:b/>
          <w:bCs/>
          <w:sz w:val="22"/>
          <w:szCs w:val="22"/>
        </w:rPr>
        <w:t>Holistic approach:</w:t>
      </w:r>
      <w:r w:rsidRPr="00774427">
        <w:rPr>
          <w:rFonts w:ascii="Arial" w:hAnsi="Arial" w:cs="Arial"/>
          <w:sz w:val="22"/>
          <w:szCs w:val="22"/>
        </w:rPr>
        <w:t xml:space="preserve"> Addressing physical, psychological, spiritual, and social needs.</w:t>
      </w:r>
    </w:p>
    <w:p w14:paraId="42A8D5CA" w14:textId="77777777" w:rsidR="00731B10" w:rsidRPr="00774427" w:rsidRDefault="00731B10" w:rsidP="00774427">
      <w:pPr>
        <w:numPr>
          <w:ilvl w:val="0"/>
          <w:numId w:val="44"/>
        </w:numPr>
        <w:spacing w:line="360" w:lineRule="auto"/>
        <w:jc w:val="both"/>
        <w:rPr>
          <w:rFonts w:ascii="Arial" w:hAnsi="Arial" w:cs="Arial"/>
          <w:sz w:val="22"/>
          <w:szCs w:val="22"/>
        </w:rPr>
      </w:pPr>
      <w:r w:rsidRPr="00774427">
        <w:rPr>
          <w:rFonts w:ascii="Arial" w:hAnsi="Arial" w:cs="Arial"/>
          <w:b/>
          <w:bCs/>
          <w:sz w:val="22"/>
          <w:szCs w:val="22"/>
        </w:rPr>
        <w:t>Shared decision-making:</w:t>
      </w:r>
      <w:r w:rsidRPr="00774427">
        <w:rPr>
          <w:rFonts w:ascii="Arial" w:hAnsi="Arial" w:cs="Arial"/>
          <w:sz w:val="22"/>
          <w:szCs w:val="22"/>
        </w:rPr>
        <w:t xml:space="preserve"> Supporting individuals to explore options and choose what matters most to them.</w:t>
      </w:r>
    </w:p>
    <w:p w14:paraId="621E7AC0" w14:textId="77777777" w:rsidR="00731B10" w:rsidRPr="00774427" w:rsidRDefault="00731B10" w:rsidP="00774427">
      <w:pPr>
        <w:numPr>
          <w:ilvl w:val="0"/>
          <w:numId w:val="44"/>
        </w:numPr>
        <w:spacing w:line="360" w:lineRule="auto"/>
        <w:jc w:val="both"/>
        <w:rPr>
          <w:rFonts w:ascii="Arial" w:hAnsi="Arial" w:cs="Arial"/>
          <w:sz w:val="22"/>
          <w:szCs w:val="22"/>
        </w:rPr>
      </w:pPr>
      <w:r w:rsidRPr="00774427">
        <w:rPr>
          <w:rFonts w:ascii="Arial" w:hAnsi="Arial" w:cs="Arial"/>
          <w:b/>
          <w:bCs/>
          <w:sz w:val="22"/>
          <w:szCs w:val="22"/>
        </w:rPr>
        <w:t>Strengths-based practice:</w:t>
      </w:r>
      <w:r w:rsidRPr="00774427">
        <w:rPr>
          <w:rFonts w:ascii="Arial" w:hAnsi="Arial" w:cs="Arial"/>
          <w:sz w:val="22"/>
          <w:szCs w:val="22"/>
        </w:rPr>
        <w:t xml:space="preserve"> Focusing on abilities, potential, and personal resources.</w:t>
      </w:r>
    </w:p>
    <w:p w14:paraId="465805D2" w14:textId="77777777" w:rsidR="00731B10" w:rsidRDefault="00731B10" w:rsidP="00774427">
      <w:pPr>
        <w:numPr>
          <w:ilvl w:val="0"/>
          <w:numId w:val="44"/>
        </w:numPr>
        <w:spacing w:line="360" w:lineRule="auto"/>
        <w:jc w:val="both"/>
        <w:rPr>
          <w:rFonts w:ascii="Arial" w:hAnsi="Arial" w:cs="Arial"/>
          <w:sz w:val="22"/>
          <w:szCs w:val="22"/>
        </w:rPr>
      </w:pPr>
      <w:r w:rsidRPr="00774427">
        <w:rPr>
          <w:rFonts w:ascii="Arial" w:hAnsi="Arial" w:cs="Arial"/>
          <w:b/>
          <w:bCs/>
          <w:sz w:val="22"/>
          <w:szCs w:val="22"/>
        </w:rPr>
        <w:t>Empathy and compassion:</w:t>
      </w:r>
      <w:r w:rsidRPr="00774427">
        <w:rPr>
          <w:rFonts w:ascii="Arial" w:hAnsi="Arial" w:cs="Arial"/>
          <w:sz w:val="22"/>
          <w:szCs w:val="22"/>
        </w:rPr>
        <w:t xml:space="preserve"> Understanding emotional needs and responding with kindness.</w:t>
      </w:r>
    </w:p>
    <w:p w14:paraId="5935110C" w14:textId="77777777" w:rsidR="00774427" w:rsidRPr="00774427" w:rsidRDefault="00774427" w:rsidP="00774427">
      <w:pPr>
        <w:spacing w:line="360" w:lineRule="auto"/>
        <w:ind w:left="720"/>
        <w:jc w:val="both"/>
        <w:rPr>
          <w:rFonts w:ascii="Arial" w:hAnsi="Arial" w:cs="Arial"/>
          <w:sz w:val="22"/>
          <w:szCs w:val="22"/>
        </w:rPr>
      </w:pPr>
    </w:p>
    <w:p w14:paraId="39E41C9C" w14:textId="77777777" w:rsidR="00731B10" w:rsidRPr="00774427" w:rsidRDefault="00731B10" w:rsidP="00774427">
      <w:pPr>
        <w:numPr>
          <w:ilvl w:val="0"/>
          <w:numId w:val="44"/>
        </w:numPr>
        <w:spacing w:line="360" w:lineRule="auto"/>
        <w:jc w:val="both"/>
        <w:rPr>
          <w:rFonts w:ascii="Arial" w:hAnsi="Arial" w:cs="Arial"/>
          <w:sz w:val="22"/>
          <w:szCs w:val="22"/>
        </w:rPr>
      </w:pPr>
      <w:r w:rsidRPr="00774427">
        <w:rPr>
          <w:rFonts w:ascii="Arial" w:hAnsi="Arial" w:cs="Arial"/>
          <w:b/>
          <w:bCs/>
          <w:sz w:val="22"/>
          <w:szCs w:val="22"/>
        </w:rPr>
        <w:t>Partnership with families and carers:</w:t>
      </w:r>
      <w:r w:rsidRPr="00774427">
        <w:rPr>
          <w:rFonts w:ascii="Arial" w:hAnsi="Arial" w:cs="Arial"/>
          <w:sz w:val="22"/>
          <w:szCs w:val="22"/>
        </w:rPr>
        <w:t xml:space="preserve"> Valuing the role of informal carers in delivering continuity.</w:t>
      </w:r>
    </w:p>
    <w:p w14:paraId="7F2A65E8" w14:textId="77777777" w:rsidR="00731B10" w:rsidRPr="00774427" w:rsidRDefault="00731B10" w:rsidP="00774427">
      <w:pPr>
        <w:numPr>
          <w:ilvl w:val="0"/>
          <w:numId w:val="44"/>
        </w:numPr>
        <w:spacing w:line="360" w:lineRule="auto"/>
        <w:jc w:val="both"/>
        <w:rPr>
          <w:rFonts w:ascii="Arial" w:hAnsi="Arial" w:cs="Arial"/>
          <w:sz w:val="22"/>
          <w:szCs w:val="22"/>
        </w:rPr>
      </w:pPr>
      <w:r w:rsidRPr="00774427">
        <w:rPr>
          <w:rFonts w:ascii="Arial" w:hAnsi="Arial" w:cs="Arial"/>
          <w:b/>
          <w:bCs/>
          <w:sz w:val="22"/>
          <w:szCs w:val="22"/>
        </w:rPr>
        <w:t>Accessible communication:</w:t>
      </w:r>
      <w:r w:rsidRPr="00774427">
        <w:rPr>
          <w:rFonts w:ascii="Arial" w:hAnsi="Arial" w:cs="Arial"/>
          <w:sz w:val="22"/>
          <w:szCs w:val="22"/>
        </w:rPr>
        <w:t xml:space="preserve"> Using simple language, visual aids, interpreters, or advocacy when required.</w:t>
      </w:r>
    </w:p>
    <w:p w14:paraId="1894824D"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0A0CEBFD">
          <v:rect id="_x0000_i1027" style="width:0;height:1.5pt" o:hralign="center" o:hrstd="t" o:hr="t" fillcolor="#a0a0a0" stroked="f"/>
        </w:pict>
      </w:r>
    </w:p>
    <w:p w14:paraId="145771C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3. Policy Context of PCC</w:t>
      </w:r>
    </w:p>
    <w:p w14:paraId="79B3D246"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PCC is not only a moral and ethical expectation but also a legal requirement embedded across major UK legislation:</w:t>
      </w:r>
    </w:p>
    <w:p w14:paraId="0296CD7B"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NHS Constitution (2015)</w:t>
      </w:r>
    </w:p>
    <w:p w14:paraId="6E559982"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Highlights patient rights to involvement, respect, privacy, and choice.</w:t>
      </w:r>
    </w:p>
    <w:p w14:paraId="64EF0869"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Care Act 2014</w:t>
      </w:r>
    </w:p>
    <w:p w14:paraId="4122A28C"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Places wellbeing and personalisation at the centre of adult social care, legally requiring services to consider:</w:t>
      </w:r>
    </w:p>
    <w:p w14:paraId="68C2BF1B" w14:textId="77777777" w:rsidR="00731B10" w:rsidRPr="00774427" w:rsidRDefault="00731B10" w:rsidP="00774427">
      <w:pPr>
        <w:numPr>
          <w:ilvl w:val="0"/>
          <w:numId w:val="45"/>
        </w:numPr>
        <w:spacing w:line="360" w:lineRule="auto"/>
        <w:jc w:val="both"/>
        <w:rPr>
          <w:rFonts w:ascii="Arial" w:hAnsi="Arial" w:cs="Arial"/>
          <w:sz w:val="22"/>
          <w:szCs w:val="22"/>
        </w:rPr>
      </w:pPr>
      <w:r w:rsidRPr="00774427">
        <w:rPr>
          <w:rFonts w:ascii="Arial" w:hAnsi="Arial" w:cs="Arial"/>
          <w:sz w:val="22"/>
          <w:szCs w:val="22"/>
        </w:rPr>
        <w:t>emotional wellbeing,</w:t>
      </w:r>
    </w:p>
    <w:p w14:paraId="122A5E61" w14:textId="77777777" w:rsidR="00731B10" w:rsidRPr="00774427" w:rsidRDefault="00731B10" w:rsidP="00774427">
      <w:pPr>
        <w:numPr>
          <w:ilvl w:val="0"/>
          <w:numId w:val="45"/>
        </w:numPr>
        <w:spacing w:line="360" w:lineRule="auto"/>
        <w:jc w:val="both"/>
        <w:rPr>
          <w:rFonts w:ascii="Arial" w:hAnsi="Arial" w:cs="Arial"/>
          <w:sz w:val="22"/>
          <w:szCs w:val="22"/>
        </w:rPr>
      </w:pPr>
      <w:r w:rsidRPr="00774427">
        <w:rPr>
          <w:rFonts w:ascii="Arial" w:hAnsi="Arial" w:cs="Arial"/>
          <w:sz w:val="22"/>
          <w:szCs w:val="22"/>
        </w:rPr>
        <w:t>autonomy,</w:t>
      </w:r>
    </w:p>
    <w:p w14:paraId="7E737478" w14:textId="77777777" w:rsidR="00731B10" w:rsidRPr="00774427" w:rsidRDefault="00731B10" w:rsidP="00774427">
      <w:pPr>
        <w:numPr>
          <w:ilvl w:val="0"/>
          <w:numId w:val="45"/>
        </w:numPr>
        <w:spacing w:line="360" w:lineRule="auto"/>
        <w:jc w:val="both"/>
        <w:rPr>
          <w:rFonts w:ascii="Arial" w:hAnsi="Arial" w:cs="Arial"/>
          <w:sz w:val="22"/>
          <w:szCs w:val="22"/>
        </w:rPr>
      </w:pPr>
      <w:r w:rsidRPr="00774427">
        <w:rPr>
          <w:rFonts w:ascii="Arial" w:hAnsi="Arial" w:cs="Arial"/>
          <w:sz w:val="22"/>
          <w:szCs w:val="22"/>
        </w:rPr>
        <w:t>personal relationships,</w:t>
      </w:r>
    </w:p>
    <w:p w14:paraId="2E481981" w14:textId="77777777" w:rsidR="00731B10" w:rsidRPr="00774427" w:rsidRDefault="00731B10" w:rsidP="00774427">
      <w:pPr>
        <w:numPr>
          <w:ilvl w:val="0"/>
          <w:numId w:val="45"/>
        </w:numPr>
        <w:spacing w:line="360" w:lineRule="auto"/>
        <w:jc w:val="both"/>
        <w:rPr>
          <w:rFonts w:ascii="Arial" w:hAnsi="Arial" w:cs="Arial"/>
          <w:sz w:val="22"/>
          <w:szCs w:val="22"/>
        </w:rPr>
      </w:pPr>
      <w:r w:rsidRPr="00774427">
        <w:rPr>
          <w:rFonts w:ascii="Arial" w:hAnsi="Arial" w:cs="Arial"/>
          <w:sz w:val="22"/>
          <w:szCs w:val="22"/>
        </w:rPr>
        <w:t>dignity and domestic routines.</w:t>
      </w:r>
    </w:p>
    <w:p w14:paraId="1F0731B9"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Mental Capacity Act (MCA) 2005</w:t>
      </w:r>
    </w:p>
    <w:p w14:paraId="720B4119"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Reinforces the principle that every adult has the right to make their own decisions unless proven otherwise.</w:t>
      </w:r>
    </w:p>
    <w:p w14:paraId="34CD537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NICE (2021)</w:t>
      </w:r>
    </w:p>
    <w:p w14:paraId="4406FD87"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Guidelines emphasise that PCC leads to improved outcomes, reduced inequalities, and better safety.</w:t>
      </w:r>
    </w:p>
    <w:p w14:paraId="5B38F7F6"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Health and Social Care Act 2012</w:t>
      </w:r>
    </w:p>
    <w:p w14:paraId="338D82FE"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Promotes patient voice, choice, and shared control.</w:t>
      </w:r>
    </w:p>
    <w:p w14:paraId="56E70FF5"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These frameworks collectively establish PCC as a non-negotiable component of professional practice across the health and social care sectors.</w:t>
      </w:r>
    </w:p>
    <w:p w14:paraId="795C00FE"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lastRenderedPageBreak/>
        <w:pict w14:anchorId="2CC5F006">
          <v:rect id="_x0000_i1028" style="width:0;height:1.5pt" o:hralign="center" o:hrstd="t" o:hr="t" fillcolor="#a0a0a0" stroked="f"/>
        </w:pict>
      </w:r>
    </w:p>
    <w:p w14:paraId="599F0C0E"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4. Benefits of PCC</w:t>
      </w:r>
    </w:p>
    <w:p w14:paraId="459E519F"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Benefits</w:t>
      </w:r>
    </w:p>
    <w:p w14:paraId="65AE271D" w14:textId="77777777" w:rsidR="00731B10" w:rsidRPr="00774427" w:rsidRDefault="00731B10" w:rsidP="00774427">
      <w:pPr>
        <w:numPr>
          <w:ilvl w:val="0"/>
          <w:numId w:val="46"/>
        </w:numPr>
        <w:spacing w:line="360" w:lineRule="auto"/>
        <w:jc w:val="both"/>
        <w:rPr>
          <w:rFonts w:ascii="Arial" w:hAnsi="Arial" w:cs="Arial"/>
          <w:sz w:val="22"/>
          <w:szCs w:val="22"/>
        </w:rPr>
      </w:pPr>
      <w:r w:rsidRPr="00774427">
        <w:rPr>
          <w:rFonts w:ascii="Arial" w:hAnsi="Arial" w:cs="Arial"/>
          <w:b/>
          <w:bCs/>
          <w:sz w:val="22"/>
          <w:szCs w:val="22"/>
        </w:rPr>
        <w:t>Improved clinical and wellbeing outcomes:</w:t>
      </w:r>
      <w:r w:rsidRPr="00774427">
        <w:rPr>
          <w:rFonts w:ascii="Arial" w:hAnsi="Arial" w:cs="Arial"/>
          <w:sz w:val="22"/>
          <w:szCs w:val="22"/>
        </w:rPr>
        <w:t xml:space="preserve"> Research shows that service users are more likely to adhere to treatment when involved in decisions (NICE, 2021).</w:t>
      </w:r>
    </w:p>
    <w:p w14:paraId="1AB4CCF2" w14:textId="38B44468" w:rsidR="001E12B6" w:rsidRPr="00774427" w:rsidRDefault="00731B10" w:rsidP="00774427">
      <w:pPr>
        <w:numPr>
          <w:ilvl w:val="0"/>
          <w:numId w:val="46"/>
        </w:numPr>
        <w:spacing w:line="360" w:lineRule="auto"/>
        <w:jc w:val="both"/>
        <w:rPr>
          <w:rFonts w:ascii="Arial" w:hAnsi="Arial" w:cs="Arial"/>
          <w:sz w:val="22"/>
          <w:szCs w:val="22"/>
        </w:rPr>
      </w:pPr>
      <w:r w:rsidRPr="00774427">
        <w:rPr>
          <w:rFonts w:ascii="Arial" w:hAnsi="Arial" w:cs="Arial"/>
          <w:b/>
          <w:bCs/>
          <w:sz w:val="22"/>
          <w:szCs w:val="22"/>
        </w:rPr>
        <w:t>Enhanced emotional wellbeing:</w:t>
      </w:r>
      <w:r w:rsidRPr="00774427">
        <w:rPr>
          <w:rFonts w:ascii="Arial" w:hAnsi="Arial" w:cs="Arial"/>
          <w:sz w:val="22"/>
          <w:szCs w:val="22"/>
        </w:rPr>
        <w:t xml:space="preserve"> Feeling listened to promotes trust, reduces anxiety, and supports recovery.</w:t>
      </w:r>
    </w:p>
    <w:p w14:paraId="00003588" w14:textId="77777777" w:rsidR="00731B10" w:rsidRPr="00774427" w:rsidRDefault="00731B10" w:rsidP="00774427">
      <w:pPr>
        <w:numPr>
          <w:ilvl w:val="0"/>
          <w:numId w:val="46"/>
        </w:numPr>
        <w:spacing w:line="360" w:lineRule="auto"/>
        <w:jc w:val="both"/>
        <w:rPr>
          <w:rFonts w:ascii="Arial" w:hAnsi="Arial" w:cs="Arial"/>
          <w:sz w:val="22"/>
          <w:szCs w:val="22"/>
        </w:rPr>
      </w:pPr>
      <w:r w:rsidRPr="00774427">
        <w:rPr>
          <w:rFonts w:ascii="Arial" w:hAnsi="Arial" w:cs="Arial"/>
          <w:b/>
          <w:bCs/>
          <w:sz w:val="22"/>
          <w:szCs w:val="22"/>
        </w:rPr>
        <w:t>Reduction in safeguarding risks:</w:t>
      </w:r>
      <w:r w:rsidRPr="00774427">
        <w:rPr>
          <w:rFonts w:ascii="Arial" w:hAnsi="Arial" w:cs="Arial"/>
          <w:sz w:val="22"/>
          <w:szCs w:val="22"/>
        </w:rPr>
        <w:t xml:space="preserve"> Transparency and communication reduce risks of neglect or abuse.</w:t>
      </w:r>
    </w:p>
    <w:p w14:paraId="23126279" w14:textId="77777777" w:rsidR="00731B10" w:rsidRPr="00774427" w:rsidRDefault="00731B10" w:rsidP="00774427">
      <w:pPr>
        <w:numPr>
          <w:ilvl w:val="0"/>
          <w:numId w:val="46"/>
        </w:numPr>
        <w:spacing w:line="360" w:lineRule="auto"/>
        <w:jc w:val="both"/>
        <w:rPr>
          <w:rFonts w:ascii="Arial" w:hAnsi="Arial" w:cs="Arial"/>
          <w:sz w:val="22"/>
          <w:szCs w:val="22"/>
        </w:rPr>
      </w:pPr>
      <w:r w:rsidRPr="00774427">
        <w:rPr>
          <w:rFonts w:ascii="Arial" w:hAnsi="Arial" w:cs="Arial"/>
          <w:b/>
          <w:bCs/>
          <w:sz w:val="22"/>
          <w:szCs w:val="22"/>
        </w:rPr>
        <w:t>Greater independence:</w:t>
      </w:r>
      <w:r w:rsidRPr="00774427">
        <w:rPr>
          <w:rFonts w:ascii="Arial" w:hAnsi="Arial" w:cs="Arial"/>
          <w:sz w:val="22"/>
          <w:szCs w:val="22"/>
        </w:rPr>
        <w:t xml:space="preserve"> PCC encourages individuals to self-manage their conditions, supporting independence.</w:t>
      </w:r>
    </w:p>
    <w:p w14:paraId="13587B0D" w14:textId="77777777" w:rsidR="00731B10" w:rsidRPr="00774427" w:rsidRDefault="00731B10" w:rsidP="00774427">
      <w:pPr>
        <w:numPr>
          <w:ilvl w:val="0"/>
          <w:numId w:val="46"/>
        </w:numPr>
        <w:spacing w:line="360" w:lineRule="auto"/>
        <w:jc w:val="both"/>
        <w:rPr>
          <w:rFonts w:ascii="Arial" w:hAnsi="Arial" w:cs="Arial"/>
          <w:sz w:val="22"/>
          <w:szCs w:val="22"/>
        </w:rPr>
      </w:pPr>
      <w:r w:rsidRPr="00774427">
        <w:rPr>
          <w:rFonts w:ascii="Arial" w:hAnsi="Arial" w:cs="Arial"/>
          <w:b/>
          <w:bCs/>
          <w:sz w:val="22"/>
          <w:szCs w:val="22"/>
        </w:rPr>
        <w:t>Higher satisfaction:</w:t>
      </w:r>
      <w:r w:rsidRPr="00774427">
        <w:rPr>
          <w:rFonts w:ascii="Arial" w:hAnsi="Arial" w:cs="Arial"/>
          <w:sz w:val="22"/>
          <w:szCs w:val="22"/>
        </w:rPr>
        <w:t xml:space="preserve"> PCC consistently increases satisfaction ratings across NHS and social care settings.</w:t>
      </w:r>
    </w:p>
    <w:p w14:paraId="447560BD" w14:textId="77777777" w:rsidR="00731B10" w:rsidRPr="00774427" w:rsidRDefault="00731B10" w:rsidP="00774427">
      <w:pPr>
        <w:numPr>
          <w:ilvl w:val="0"/>
          <w:numId w:val="46"/>
        </w:numPr>
        <w:spacing w:line="360" w:lineRule="auto"/>
        <w:jc w:val="both"/>
        <w:rPr>
          <w:rFonts w:ascii="Arial" w:hAnsi="Arial" w:cs="Arial"/>
          <w:sz w:val="22"/>
          <w:szCs w:val="22"/>
        </w:rPr>
      </w:pPr>
      <w:r w:rsidRPr="00774427">
        <w:rPr>
          <w:rFonts w:ascii="Arial" w:hAnsi="Arial" w:cs="Arial"/>
          <w:b/>
          <w:bCs/>
          <w:sz w:val="22"/>
          <w:szCs w:val="22"/>
        </w:rPr>
        <w:t>Better continuity of care:</w:t>
      </w:r>
      <w:r w:rsidRPr="00774427">
        <w:rPr>
          <w:rFonts w:ascii="Arial" w:hAnsi="Arial" w:cs="Arial"/>
          <w:sz w:val="22"/>
          <w:szCs w:val="22"/>
        </w:rPr>
        <w:t xml:space="preserve"> When the care plan is meaningful to the person, engagement becomes consistent.</w:t>
      </w:r>
    </w:p>
    <w:p w14:paraId="660D0348"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4095E8FA">
          <v:rect id="_x0000_i1029" style="width:0;height:1.5pt" o:hralign="center" o:hrstd="t" o:hr="t" fillcolor="#a0a0a0" stroked="f"/>
        </w:pict>
      </w:r>
    </w:p>
    <w:p w14:paraId="1C43CC15"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5. Challenges of PCC</w:t>
      </w:r>
    </w:p>
    <w:p w14:paraId="6FF8FCD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Challenges</w:t>
      </w:r>
    </w:p>
    <w:p w14:paraId="3E07F129" w14:textId="77777777" w:rsidR="00731B10" w:rsidRPr="00774427" w:rsidRDefault="00731B10" w:rsidP="00774427">
      <w:pPr>
        <w:numPr>
          <w:ilvl w:val="0"/>
          <w:numId w:val="47"/>
        </w:numPr>
        <w:spacing w:line="360" w:lineRule="auto"/>
        <w:jc w:val="both"/>
        <w:rPr>
          <w:rFonts w:ascii="Arial" w:hAnsi="Arial" w:cs="Arial"/>
          <w:sz w:val="22"/>
          <w:szCs w:val="22"/>
        </w:rPr>
      </w:pPr>
      <w:r w:rsidRPr="00774427">
        <w:rPr>
          <w:rFonts w:ascii="Arial" w:hAnsi="Arial" w:cs="Arial"/>
          <w:b/>
          <w:bCs/>
          <w:sz w:val="22"/>
          <w:szCs w:val="22"/>
        </w:rPr>
        <w:t>Resource pressures:</w:t>
      </w:r>
      <w:r w:rsidRPr="00774427">
        <w:rPr>
          <w:rFonts w:ascii="Arial" w:hAnsi="Arial" w:cs="Arial"/>
          <w:sz w:val="22"/>
          <w:szCs w:val="22"/>
        </w:rPr>
        <w:t xml:space="preserve"> High caseloads and staff shortages limit time for personalised conversations.</w:t>
      </w:r>
    </w:p>
    <w:p w14:paraId="51BB88E3" w14:textId="77777777" w:rsidR="00731B10" w:rsidRPr="00774427" w:rsidRDefault="00731B10" w:rsidP="00774427">
      <w:pPr>
        <w:numPr>
          <w:ilvl w:val="0"/>
          <w:numId w:val="47"/>
        </w:numPr>
        <w:spacing w:line="360" w:lineRule="auto"/>
        <w:jc w:val="both"/>
        <w:rPr>
          <w:rFonts w:ascii="Arial" w:hAnsi="Arial" w:cs="Arial"/>
          <w:sz w:val="22"/>
          <w:szCs w:val="22"/>
        </w:rPr>
      </w:pPr>
      <w:r w:rsidRPr="00774427">
        <w:rPr>
          <w:rFonts w:ascii="Arial" w:hAnsi="Arial" w:cs="Arial"/>
          <w:b/>
          <w:bCs/>
          <w:sz w:val="22"/>
          <w:szCs w:val="22"/>
        </w:rPr>
        <w:t>Lack of training:</w:t>
      </w:r>
      <w:r w:rsidRPr="00774427">
        <w:rPr>
          <w:rFonts w:ascii="Arial" w:hAnsi="Arial" w:cs="Arial"/>
          <w:sz w:val="22"/>
          <w:szCs w:val="22"/>
        </w:rPr>
        <w:t xml:space="preserve"> Not all staff feel confident in promoting autonomy or shared decision-making.</w:t>
      </w:r>
    </w:p>
    <w:p w14:paraId="227F41E3" w14:textId="77777777" w:rsidR="00731B10" w:rsidRPr="00774427" w:rsidRDefault="00731B10" w:rsidP="00774427">
      <w:pPr>
        <w:numPr>
          <w:ilvl w:val="0"/>
          <w:numId w:val="47"/>
        </w:numPr>
        <w:spacing w:line="360" w:lineRule="auto"/>
        <w:jc w:val="both"/>
        <w:rPr>
          <w:rFonts w:ascii="Arial" w:hAnsi="Arial" w:cs="Arial"/>
          <w:sz w:val="22"/>
          <w:szCs w:val="22"/>
        </w:rPr>
      </w:pPr>
      <w:r w:rsidRPr="00774427">
        <w:rPr>
          <w:rFonts w:ascii="Arial" w:hAnsi="Arial" w:cs="Arial"/>
          <w:b/>
          <w:bCs/>
          <w:sz w:val="22"/>
          <w:szCs w:val="22"/>
        </w:rPr>
        <w:t>Communication barriers:</w:t>
      </w:r>
      <w:r w:rsidRPr="00774427">
        <w:rPr>
          <w:rFonts w:ascii="Arial" w:hAnsi="Arial" w:cs="Arial"/>
          <w:sz w:val="22"/>
          <w:szCs w:val="22"/>
        </w:rPr>
        <w:t xml:space="preserve"> Cognitive impairment, cultural differences, or language issues can make PCC difficult.</w:t>
      </w:r>
    </w:p>
    <w:p w14:paraId="070F57A4" w14:textId="77777777" w:rsidR="00731B10" w:rsidRPr="00774427" w:rsidRDefault="00731B10" w:rsidP="00774427">
      <w:pPr>
        <w:numPr>
          <w:ilvl w:val="0"/>
          <w:numId w:val="47"/>
        </w:numPr>
        <w:spacing w:line="360" w:lineRule="auto"/>
        <w:jc w:val="both"/>
        <w:rPr>
          <w:rFonts w:ascii="Arial" w:hAnsi="Arial" w:cs="Arial"/>
          <w:sz w:val="22"/>
          <w:szCs w:val="22"/>
        </w:rPr>
      </w:pPr>
      <w:r w:rsidRPr="00774427">
        <w:rPr>
          <w:rFonts w:ascii="Arial" w:hAnsi="Arial" w:cs="Arial"/>
          <w:b/>
          <w:bCs/>
          <w:sz w:val="22"/>
          <w:szCs w:val="22"/>
        </w:rPr>
        <w:t>Organisational priorities:</w:t>
      </w:r>
      <w:r w:rsidRPr="00774427">
        <w:rPr>
          <w:rFonts w:ascii="Arial" w:hAnsi="Arial" w:cs="Arial"/>
          <w:sz w:val="22"/>
          <w:szCs w:val="22"/>
        </w:rPr>
        <w:t xml:space="preserve"> Environments focused on efficiency may undermine in-depth personalised care.</w:t>
      </w:r>
    </w:p>
    <w:p w14:paraId="72A1EE90" w14:textId="77777777" w:rsidR="00731B10" w:rsidRDefault="00731B10" w:rsidP="00774427">
      <w:pPr>
        <w:numPr>
          <w:ilvl w:val="0"/>
          <w:numId w:val="47"/>
        </w:numPr>
        <w:spacing w:line="360" w:lineRule="auto"/>
        <w:jc w:val="both"/>
        <w:rPr>
          <w:rFonts w:ascii="Arial" w:hAnsi="Arial" w:cs="Arial"/>
          <w:sz w:val="22"/>
          <w:szCs w:val="22"/>
        </w:rPr>
      </w:pPr>
      <w:r w:rsidRPr="00774427">
        <w:rPr>
          <w:rFonts w:ascii="Arial" w:hAnsi="Arial" w:cs="Arial"/>
          <w:b/>
          <w:bCs/>
          <w:sz w:val="22"/>
          <w:szCs w:val="22"/>
        </w:rPr>
        <w:t>Poor record keeping:</w:t>
      </w:r>
      <w:r w:rsidRPr="00774427">
        <w:rPr>
          <w:rFonts w:ascii="Arial" w:hAnsi="Arial" w:cs="Arial"/>
          <w:sz w:val="22"/>
          <w:szCs w:val="22"/>
        </w:rPr>
        <w:t xml:space="preserve"> Inaccurate or fragmented documentation can affect personalised planning.</w:t>
      </w:r>
    </w:p>
    <w:p w14:paraId="032F2DC4" w14:textId="77777777" w:rsidR="00774427" w:rsidRDefault="00774427" w:rsidP="00774427">
      <w:pPr>
        <w:spacing w:line="360" w:lineRule="auto"/>
        <w:ind w:left="720"/>
        <w:jc w:val="both"/>
        <w:rPr>
          <w:rFonts w:ascii="Arial" w:hAnsi="Arial" w:cs="Arial"/>
          <w:b/>
          <w:bCs/>
          <w:sz w:val="22"/>
          <w:szCs w:val="22"/>
        </w:rPr>
      </w:pPr>
    </w:p>
    <w:p w14:paraId="21922A8A" w14:textId="77777777" w:rsidR="00774427" w:rsidRPr="00774427" w:rsidRDefault="00774427" w:rsidP="00774427">
      <w:pPr>
        <w:spacing w:line="360" w:lineRule="auto"/>
        <w:ind w:left="720"/>
        <w:jc w:val="both"/>
        <w:rPr>
          <w:rFonts w:ascii="Arial" w:hAnsi="Arial" w:cs="Arial"/>
          <w:sz w:val="22"/>
          <w:szCs w:val="22"/>
        </w:rPr>
      </w:pPr>
    </w:p>
    <w:p w14:paraId="494A0F29" w14:textId="77777777" w:rsidR="00731B10" w:rsidRPr="00774427" w:rsidRDefault="00731B10" w:rsidP="00774427">
      <w:pPr>
        <w:numPr>
          <w:ilvl w:val="0"/>
          <w:numId w:val="47"/>
        </w:numPr>
        <w:spacing w:line="360" w:lineRule="auto"/>
        <w:jc w:val="both"/>
        <w:rPr>
          <w:rFonts w:ascii="Arial" w:hAnsi="Arial" w:cs="Arial"/>
          <w:sz w:val="22"/>
          <w:szCs w:val="22"/>
        </w:rPr>
      </w:pPr>
      <w:r w:rsidRPr="00774427">
        <w:rPr>
          <w:rFonts w:ascii="Arial" w:hAnsi="Arial" w:cs="Arial"/>
          <w:b/>
          <w:bCs/>
          <w:sz w:val="22"/>
          <w:szCs w:val="22"/>
        </w:rPr>
        <w:t>Risk-averse cultures:</w:t>
      </w:r>
      <w:r w:rsidRPr="00774427">
        <w:rPr>
          <w:rFonts w:ascii="Arial" w:hAnsi="Arial" w:cs="Arial"/>
          <w:sz w:val="22"/>
          <w:szCs w:val="22"/>
        </w:rPr>
        <w:t xml:space="preserve"> Staff may avoid empowering service users due to fear of errors or liability.</w:t>
      </w:r>
    </w:p>
    <w:p w14:paraId="393473AF"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52178DA5">
          <v:rect id="_x0000_i1030" style="width:0;height:1.5pt" o:hralign="center" o:hrstd="t" o:hr="t" fillcolor="#a0a0a0" stroked="f"/>
        </w:pict>
      </w:r>
    </w:p>
    <w:p w14:paraId="2C46C79C"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6. Partnership Working (PW)</w:t>
      </w:r>
    </w:p>
    <w:p w14:paraId="326466A4"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PW refers to collaborative working between professionals, agencies, service users, carers, and communities to deliver coherent and holistic support. Glasby &amp; Dickinson (2014) argue that effective PW is essential for supporting individuals with complex needs.</w:t>
      </w:r>
    </w:p>
    <w:p w14:paraId="50C2798B"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Key Principles</w:t>
      </w:r>
    </w:p>
    <w:p w14:paraId="6A8B7E3B" w14:textId="5D59928E" w:rsidR="001E12B6" w:rsidRPr="00774427" w:rsidRDefault="00731B10" w:rsidP="00774427">
      <w:pPr>
        <w:numPr>
          <w:ilvl w:val="0"/>
          <w:numId w:val="48"/>
        </w:numPr>
        <w:spacing w:line="360" w:lineRule="auto"/>
        <w:jc w:val="both"/>
        <w:rPr>
          <w:rFonts w:ascii="Arial" w:hAnsi="Arial" w:cs="Arial"/>
          <w:sz w:val="22"/>
          <w:szCs w:val="22"/>
        </w:rPr>
      </w:pPr>
      <w:r w:rsidRPr="00774427">
        <w:rPr>
          <w:rFonts w:ascii="Arial" w:hAnsi="Arial" w:cs="Arial"/>
          <w:b/>
          <w:bCs/>
          <w:sz w:val="22"/>
          <w:szCs w:val="22"/>
        </w:rPr>
        <w:t>Shared goals:</w:t>
      </w:r>
      <w:r w:rsidRPr="00774427">
        <w:rPr>
          <w:rFonts w:ascii="Arial" w:hAnsi="Arial" w:cs="Arial"/>
          <w:sz w:val="22"/>
          <w:szCs w:val="22"/>
        </w:rPr>
        <w:t xml:space="preserve"> Partners collaborate around agreed aims.</w:t>
      </w:r>
    </w:p>
    <w:p w14:paraId="3A9A1B9F" w14:textId="77777777" w:rsidR="00731B10" w:rsidRPr="00774427" w:rsidRDefault="00731B10" w:rsidP="00774427">
      <w:pPr>
        <w:numPr>
          <w:ilvl w:val="0"/>
          <w:numId w:val="48"/>
        </w:numPr>
        <w:spacing w:line="360" w:lineRule="auto"/>
        <w:jc w:val="both"/>
        <w:rPr>
          <w:rFonts w:ascii="Arial" w:hAnsi="Arial" w:cs="Arial"/>
          <w:sz w:val="22"/>
          <w:szCs w:val="22"/>
        </w:rPr>
      </w:pPr>
      <w:r w:rsidRPr="00774427">
        <w:rPr>
          <w:rFonts w:ascii="Arial" w:hAnsi="Arial" w:cs="Arial"/>
          <w:b/>
          <w:bCs/>
          <w:sz w:val="22"/>
          <w:szCs w:val="22"/>
        </w:rPr>
        <w:t>Mutual respect:</w:t>
      </w:r>
      <w:r w:rsidRPr="00774427">
        <w:rPr>
          <w:rFonts w:ascii="Arial" w:hAnsi="Arial" w:cs="Arial"/>
          <w:sz w:val="22"/>
          <w:szCs w:val="22"/>
        </w:rPr>
        <w:t xml:space="preserve"> Recognising the expertise of each professional and the lived experience of service users.</w:t>
      </w:r>
    </w:p>
    <w:p w14:paraId="4522679F" w14:textId="77777777" w:rsidR="00731B10" w:rsidRPr="00774427" w:rsidRDefault="00731B10" w:rsidP="00774427">
      <w:pPr>
        <w:numPr>
          <w:ilvl w:val="0"/>
          <w:numId w:val="48"/>
        </w:numPr>
        <w:spacing w:line="360" w:lineRule="auto"/>
        <w:jc w:val="both"/>
        <w:rPr>
          <w:rFonts w:ascii="Arial" w:hAnsi="Arial" w:cs="Arial"/>
          <w:sz w:val="22"/>
          <w:szCs w:val="22"/>
        </w:rPr>
      </w:pPr>
      <w:r w:rsidRPr="00774427">
        <w:rPr>
          <w:rFonts w:ascii="Arial" w:hAnsi="Arial" w:cs="Arial"/>
          <w:b/>
          <w:bCs/>
          <w:sz w:val="22"/>
          <w:szCs w:val="22"/>
        </w:rPr>
        <w:t>Open communication:</w:t>
      </w:r>
      <w:r w:rsidRPr="00774427">
        <w:rPr>
          <w:rFonts w:ascii="Arial" w:hAnsi="Arial" w:cs="Arial"/>
          <w:sz w:val="22"/>
          <w:szCs w:val="22"/>
        </w:rPr>
        <w:t xml:space="preserve"> Ensures accurate and timely information-sharing.</w:t>
      </w:r>
    </w:p>
    <w:p w14:paraId="53EE15D4" w14:textId="77777777" w:rsidR="00731B10" w:rsidRPr="00774427" w:rsidRDefault="00731B10" w:rsidP="00774427">
      <w:pPr>
        <w:numPr>
          <w:ilvl w:val="0"/>
          <w:numId w:val="48"/>
        </w:numPr>
        <w:spacing w:line="360" w:lineRule="auto"/>
        <w:jc w:val="both"/>
        <w:rPr>
          <w:rFonts w:ascii="Arial" w:hAnsi="Arial" w:cs="Arial"/>
          <w:sz w:val="22"/>
          <w:szCs w:val="22"/>
        </w:rPr>
      </w:pPr>
      <w:r w:rsidRPr="00774427">
        <w:rPr>
          <w:rFonts w:ascii="Arial" w:hAnsi="Arial" w:cs="Arial"/>
          <w:b/>
          <w:bCs/>
          <w:sz w:val="22"/>
          <w:szCs w:val="22"/>
        </w:rPr>
        <w:t>Accountability:</w:t>
      </w:r>
      <w:r w:rsidRPr="00774427">
        <w:rPr>
          <w:rFonts w:ascii="Arial" w:hAnsi="Arial" w:cs="Arial"/>
          <w:sz w:val="22"/>
          <w:szCs w:val="22"/>
        </w:rPr>
        <w:t xml:space="preserve"> Clear responsibilities prevent duplication.</w:t>
      </w:r>
    </w:p>
    <w:p w14:paraId="6FC84266" w14:textId="77777777" w:rsidR="00731B10" w:rsidRPr="00774427" w:rsidRDefault="00731B10" w:rsidP="00774427">
      <w:pPr>
        <w:numPr>
          <w:ilvl w:val="0"/>
          <w:numId w:val="48"/>
        </w:numPr>
        <w:spacing w:line="360" w:lineRule="auto"/>
        <w:jc w:val="both"/>
        <w:rPr>
          <w:rFonts w:ascii="Arial" w:hAnsi="Arial" w:cs="Arial"/>
          <w:sz w:val="22"/>
          <w:szCs w:val="22"/>
        </w:rPr>
      </w:pPr>
      <w:r w:rsidRPr="00774427">
        <w:rPr>
          <w:rFonts w:ascii="Arial" w:hAnsi="Arial" w:cs="Arial"/>
          <w:b/>
          <w:bCs/>
          <w:sz w:val="22"/>
          <w:szCs w:val="22"/>
        </w:rPr>
        <w:t>Trust-building:</w:t>
      </w:r>
      <w:r w:rsidRPr="00774427">
        <w:rPr>
          <w:rFonts w:ascii="Arial" w:hAnsi="Arial" w:cs="Arial"/>
          <w:sz w:val="22"/>
          <w:szCs w:val="22"/>
        </w:rPr>
        <w:t xml:space="preserve"> Long</w:t>
      </w:r>
      <w:r w:rsidRPr="00774427">
        <w:rPr>
          <w:rFonts w:ascii="Arial" w:hAnsi="Arial" w:cs="Arial"/>
          <w:sz w:val="22"/>
          <w:szCs w:val="22"/>
        </w:rPr>
        <w:noBreakHyphen/>
        <w:t>term consistency strengthens partnerships.</w:t>
      </w:r>
    </w:p>
    <w:p w14:paraId="70A841D5" w14:textId="77777777" w:rsidR="00731B10" w:rsidRPr="00774427" w:rsidRDefault="00731B10" w:rsidP="00774427">
      <w:pPr>
        <w:numPr>
          <w:ilvl w:val="0"/>
          <w:numId w:val="48"/>
        </w:numPr>
        <w:spacing w:line="360" w:lineRule="auto"/>
        <w:jc w:val="both"/>
        <w:rPr>
          <w:rFonts w:ascii="Arial" w:hAnsi="Arial" w:cs="Arial"/>
          <w:sz w:val="22"/>
          <w:szCs w:val="22"/>
        </w:rPr>
      </w:pPr>
      <w:r w:rsidRPr="00774427">
        <w:rPr>
          <w:rFonts w:ascii="Arial" w:hAnsi="Arial" w:cs="Arial"/>
          <w:b/>
          <w:bCs/>
          <w:sz w:val="22"/>
          <w:szCs w:val="22"/>
        </w:rPr>
        <w:t>Co-production:</w:t>
      </w:r>
      <w:r w:rsidRPr="00774427">
        <w:rPr>
          <w:rFonts w:ascii="Arial" w:hAnsi="Arial" w:cs="Arial"/>
          <w:sz w:val="22"/>
          <w:szCs w:val="22"/>
        </w:rPr>
        <w:t xml:space="preserve"> Service users actively shape services and policies.</w:t>
      </w:r>
    </w:p>
    <w:p w14:paraId="01F26F1C"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6CA1D013">
          <v:rect id="_x0000_i1031" style="width:0;height:1.5pt" o:hralign="center" o:hrstd="t" o:hr="t" fillcolor="#a0a0a0" stroked="f"/>
        </w:pict>
      </w:r>
    </w:p>
    <w:p w14:paraId="4C9D39D9"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7. Policy Context of PW</w:t>
      </w:r>
    </w:p>
    <w:p w14:paraId="46C107E9"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Care Act 2014</w:t>
      </w:r>
    </w:p>
    <w:p w14:paraId="76594A76"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Requires local authorities to collaborate with NHS bodies, housing providers, police, probation, and voluntary organisations.</w:t>
      </w:r>
    </w:p>
    <w:p w14:paraId="5A8A826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Children Act 2004</w:t>
      </w:r>
    </w:p>
    <w:p w14:paraId="0EB8CAA3"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Introduced Local Safeguarding Children Boards (now Multi-Agency Safeguarding Partnerships).</w:t>
      </w:r>
    </w:p>
    <w:p w14:paraId="62428B4E"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Integrated Care Systems (ICS) (2022)</w:t>
      </w:r>
    </w:p>
    <w:p w14:paraId="2DE7231A"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Formalise joined-up care between health, social care, and voluntary services.</w:t>
      </w:r>
    </w:p>
    <w:p w14:paraId="173A6847"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Health and Social Care Act 2012</w:t>
      </w:r>
    </w:p>
    <w:p w14:paraId="36BF1860"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Strengthens integrated working and shared accountability.</w:t>
      </w:r>
    </w:p>
    <w:p w14:paraId="5C16F7A3"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lastRenderedPageBreak/>
        <w:t>Safeguarding Adults and Children’s Frameworks</w:t>
      </w:r>
    </w:p>
    <w:p w14:paraId="7826FD1B"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Require information-sharing and collaborative risk management (LGA, 2020).</w:t>
      </w:r>
    </w:p>
    <w:p w14:paraId="0AC8ED4C"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16B860A4">
          <v:rect id="_x0000_i1032" style="width:0;height:1.5pt" o:hralign="center" o:hrstd="t" o:hr="t" fillcolor="#a0a0a0" stroked="f"/>
        </w:pict>
      </w:r>
    </w:p>
    <w:p w14:paraId="59443315"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8. Benefits of PW</w:t>
      </w:r>
    </w:p>
    <w:p w14:paraId="2868887E"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Benefits</w:t>
      </w:r>
    </w:p>
    <w:p w14:paraId="4D4917C6" w14:textId="77777777" w:rsidR="00731B10" w:rsidRPr="00774427" w:rsidRDefault="00731B10" w:rsidP="00774427">
      <w:pPr>
        <w:numPr>
          <w:ilvl w:val="0"/>
          <w:numId w:val="49"/>
        </w:numPr>
        <w:spacing w:line="360" w:lineRule="auto"/>
        <w:jc w:val="both"/>
        <w:rPr>
          <w:rFonts w:ascii="Arial" w:hAnsi="Arial" w:cs="Arial"/>
          <w:sz w:val="22"/>
          <w:szCs w:val="22"/>
        </w:rPr>
      </w:pPr>
      <w:r w:rsidRPr="00774427">
        <w:rPr>
          <w:rFonts w:ascii="Arial" w:hAnsi="Arial" w:cs="Arial"/>
          <w:b/>
          <w:bCs/>
          <w:sz w:val="22"/>
          <w:szCs w:val="22"/>
        </w:rPr>
        <w:t>Holistic care:</w:t>
      </w:r>
      <w:r w:rsidRPr="00774427">
        <w:rPr>
          <w:rFonts w:ascii="Arial" w:hAnsi="Arial" w:cs="Arial"/>
          <w:sz w:val="22"/>
          <w:szCs w:val="22"/>
        </w:rPr>
        <w:t xml:space="preserve"> Interdisciplinary input ensures all needs are addressed.</w:t>
      </w:r>
    </w:p>
    <w:p w14:paraId="0821E425" w14:textId="77777777" w:rsidR="00731B10" w:rsidRPr="00774427" w:rsidRDefault="00731B10" w:rsidP="00774427">
      <w:pPr>
        <w:numPr>
          <w:ilvl w:val="0"/>
          <w:numId w:val="49"/>
        </w:numPr>
        <w:spacing w:line="360" w:lineRule="auto"/>
        <w:jc w:val="both"/>
        <w:rPr>
          <w:rFonts w:ascii="Arial" w:hAnsi="Arial" w:cs="Arial"/>
          <w:sz w:val="22"/>
          <w:szCs w:val="22"/>
        </w:rPr>
      </w:pPr>
      <w:r w:rsidRPr="00774427">
        <w:rPr>
          <w:rFonts w:ascii="Arial" w:hAnsi="Arial" w:cs="Arial"/>
          <w:b/>
          <w:bCs/>
          <w:sz w:val="22"/>
          <w:szCs w:val="22"/>
        </w:rPr>
        <w:t>Earlier identification of risk:</w:t>
      </w:r>
      <w:r w:rsidRPr="00774427">
        <w:rPr>
          <w:rFonts w:ascii="Arial" w:hAnsi="Arial" w:cs="Arial"/>
          <w:sz w:val="22"/>
          <w:szCs w:val="22"/>
        </w:rPr>
        <w:t xml:space="preserve"> Shared intelligence improves safeguarding.</w:t>
      </w:r>
    </w:p>
    <w:p w14:paraId="01211EC6" w14:textId="33C12C23" w:rsidR="001E12B6" w:rsidRPr="00774427" w:rsidRDefault="00731B10" w:rsidP="00774427">
      <w:pPr>
        <w:numPr>
          <w:ilvl w:val="0"/>
          <w:numId w:val="49"/>
        </w:numPr>
        <w:spacing w:line="360" w:lineRule="auto"/>
        <w:jc w:val="both"/>
        <w:rPr>
          <w:rFonts w:ascii="Arial" w:hAnsi="Arial" w:cs="Arial"/>
          <w:sz w:val="22"/>
          <w:szCs w:val="22"/>
        </w:rPr>
      </w:pPr>
      <w:r w:rsidRPr="00774427">
        <w:rPr>
          <w:rFonts w:ascii="Arial" w:hAnsi="Arial" w:cs="Arial"/>
          <w:b/>
          <w:bCs/>
          <w:sz w:val="22"/>
          <w:szCs w:val="22"/>
        </w:rPr>
        <w:t>Improved efficiency:</w:t>
      </w:r>
      <w:r w:rsidRPr="00774427">
        <w:rPr>
          <w:rFonts w:ascii="Arial" w:hAnsi="Arial" w:cs="Arial"/>
          <w:sz w:val="22"/>
          <w:szCs w:val="22"/>
        </w:rPr>
        <w:t xml:space="preserve"> Reduces duplication of assessments, saving time and resources.</w:t>
      </w:r>
    </w:p>
    <w:p w14:paraId="29BB15A2" w14:textId="77777777" w:rsidR="00731B10" w:rsidRPr="00774427" w:rsidRDefault="00731B10" w:rsidP="00774427">
      <w:pPr>
        <w:numPr>
          <w:ilvl w:val="0"/>
          <w:numId w:val="49"/>
        </w:numPr>
        <w:spacing w:line="360" w:lineRule="auto"/>
        <w:jc w:val="both"/>
        <w:rPr>
          <w:rFonts w:ascii="Arial" w:hAnsi="Arial" w:cs="Arial"/>
          <w:sz w:val="22"/>
          <w:szCs w:val="22"/>
        </w:rPr>
      </w:pPr>
      <w:r w:rsidRPr="00774427">
        <w:rPr>
          <w:rFonts w:ascii="Arial" w:hAnsi="Arial" w:cs="Arial"/>
          <w:b/>
          <w:bCs/>
          <w:sz w:val="22"/>
          <w:szCs w:val="22"/>
        </w:rPr>
        <w:t>Smoother transitions:</w:t>
      </w:r>
      <w:r w:rsidRPr="00774427">
        <w:rPr>
          <w:rFonts w:ascii="Arial" w:hAnsi="Arial" w:cs="Arial"/>
          <w:sz w:val="22"/>
          <w:szCs w:val="22"/>
        </w:rPr>
        <w:t xml:space="preserve"> PW ensures continuity between services, such as hospital discharge planning.</w:t>
      </w:r>
    </w:p>
    <w:p w14:paraId="0939A093" w14:textId="77777777" w:rsidR="00731B10" w:rsidRPr="00774427" w:rsidRDefault="00731B10" w:rsidP="00774427">
      <w:pPr>
        <w:numPr>
          <w:ilvl w:val="0"/>
          <w:numId w:val="49"/>
        </w:numPr>
        <w:spacing w:line="360" w:lineRule="auto"/>
        <w:jc w:val="both"/>
        <w:rPr>
          <w:rFonts w:ascii="Arial" w:hAnsi="Arial" w:cs="Arial"/>
          <w:sz w:val="22"/>
          <w:szCs w:val="22"/>
        </w:rPr>
      </w:pPr>
      <w:r w:rsidRPr="00774427">
        <w:rPr>
          <w:rFonts w:ascii="Arial" w:hAnsi="Arial" w:cs="Arial"/>
          <w:b/>
          <w:bCs/>
          <w:sz w:val="22"/>
          <w:szCs w:val="22"/>
        </w:rPr>
        <w:t>Enhanced problem-solving:</w:t>
      </w:r>
      <w:r w:rsidRPr="00774427">
        <w:rPr>
          <w:rFonts w:ascii="Arial" w:hAnsi="Arial" w:cs="Arial"/>
          <w:sz w:val="22"/>
          <w:szCs w:val="22"/>
        </w:rPr>
        <w:t xml:space="preserve"> Multiple perspectives support better decision-making.</w:t>
      </w:r>
    </w:p>
    <w:p w14:paraId="02D1EE24" w14:textId="77777777" w:rsidR="00731B10" w:rsidRPr="00774427" w:rsidRDefault="00731B10" w:rsidP="00774427">
      <w:pPr>
        <w:numPr>
          <w:ilvl w:val="0"/>
          <w:numId w:val="49"/>
        </w:numPr>
        <w:spacing w:line="360" w:lineRule="auto"/>
        <w:jc w:val="both"/>
        <w:rPr>
          <w:rFonts w:ascii="Arial" w:hAnsi="Arial" w:cs="Arial"/>
          <w:sz w:val="22"/>
          <w:szCs w:val="22"/>
        </w:rPr>
      </w:pPr>
      <w:r w:rsidRPr="00774427">
        <w:rPr>
          <w:rFonts w:ascii="Arial" w:hAnsi="Arial" w:cs="Arial"/>
          <w:b/>
          <w:bCs/>
          <w:sz w:val="22"/>
          <w:szCs w:val="22"/>
        </w:rPr>
        <w:t>Better population health:</w:t>
      </w:r>
      <w:r w:rsidRPr="00774427">
        <w:rPr>
          <w:rFonts w:ascii="Arial" w:hAnsi="Arial" w:cs="Arial"/>
          <w:sz w:val="22"/>
          <w:szCs w:val="22"/>
        </w:rPr>
        <w:t xml:space="preserve"> ICS frameworks improve long-term outcomes.</w:t>
      </w:r>
    </w:p>
    <w:p w14:paraId="4AA97A2C"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3A60313F">
          <v:rect id="_x0000_i1033" style="width:0;height:1.5pt" o:hralign="center" o:hrstd="t" o:hr="t" fillcolor="#a0a0a0" stroked="f"/>
        </w:pict>
      </w:r>
    </w:p>
    <w:p w14:paraId="62C0D26F"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9. Challenges of PW</w:t>
      </w:r>
    </w:p>
    <w:p w14:paraId="1A55E51C"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Challenges</w:t>
      </w:r>
    </w:p>
    <w:p w14:paraId="6C433584" w14:textId="77777777" w:rsidR="00731B10" w:rsidRPr="00774427" w:rsidRDefault="00731B10" w:rsidP="00774427">
      <w:pPr>
        <w:numPr>
          <w:ilvl w:val="0"/>
          <w:numId w:val="50"/>
        </w:numPr>
        <w:spacing w:line="360" w:lineRule="auto"/>
        <w:jc w:val="both"/>
        <w:rPr>
          <w:rFonts w:ascii="Arial" w:hAnsi="Arial" w:cs="Arial"/>
          <w:sz w:val="22"/>
          <w:szCs w:val="22"/>
        </w:rPr>
      </w:pPr>
      <w:r w:rsidRPr="00774427">
        <w:rPr>
          <w:rFonts w:ascii="Arial" w:hAnsi="Arial" w:cs="Arial"/>
          <w:b/>
          <w:bCs/>
          <w:sz w:val="22"/>
          <w:szCs w:val="22"/>
        </w:rPr>
        <w:t>Cultural differences:</w:t>
      </w:r>
      <w:r w:rsidRPr="00774427">
        <w:rPr>
          <w:rFonts w:ascii="Arial" w:hAnsi="Arial" w:cs="Arial"/>
          <w:sz w:val="22"/>
          <w:szCs w:val="22"/>
        </w:rPr>
        <w:t xml:space="preserve"> Medical, social care, and voluntary sectors may have conflicting priorities.</w:t>
      </w:r>
    </w:p>
    <w:p w14:paraId="6968FAB1" w14:textId="77777777" w:rsidR="00731B10" w:rsidRPr="00774427" w:rsidRDefault="00731B10" w:rsidP="00774427">
      <w:pPr>
        <w:numPr>
          <w:ilvl w:val="0"/>
          <w:numId w:val="50"/>
        </w:numPr>
        <w:spacing w:line="360" w:lineRule="auto"/>
        <w:jc w:val="both"/>
        <w:rPr>
          <w:rFonts w:ascii="Arial" w:hAnsi="Arial" w:cs="Arial"/>
          <w:sz w:val="22"/>
          <w:szCs w:val="22"/>
        </w:rPr>
      </w:pPr>
      <w:r w:rsidRPr="00774427">
        <w:rPr>
          <w:rFonts w:ascii="Arial" w:hAnsi="Arial" w:cs="Arial"/>
          <w:b/>
          <w:bCs/>
          <w:sz w:val="22"/>
          <w:szCs w:val="22"/>
        </w:rPr>
        <w:t>Power imbalances:</w:t>
      </w:r>
      <w:r w:rsidRPr="00774427">
        <w:rPr>
          <w:rFonts w:ascii="Arial" w:hAnsi="Arial" w:cs="Arial"/>
          <w:sz w:val="22"/>
          <w:szCs w:val="22"/>
        </w:rPr>
        <w:t xml:space="preserve"> Hierarchical structures may silence certain voices, especially service users.</w:t>
      </w:r>
    </w:p>
    <w:p w14:paraId="7B664E4F" w14:textId="77777777" w:rsidR="00731B10" w:rsidRPr="00774427" w:rsidRDefault="00731B10" w:rsidP="00774427">
      <w:pPr>
        <w:numPr>
          <w:ilvl w:val="0"/>
          <w:numId w:val="50"/>
        </w:numPr>
        <w:spacing w:line="360" w:lineRule="auto"/>
        <w:jc w:val="both"/>
        <w:rPr>
          <w:rFonts w:ascii="Arial" w:hAnsi="Arial" w:cs="Arial"/>
          <w:sz w:val="22"/>
          <w:szCs w:val="22"/>
        </w:rPr>
      </w:pPr>
      <w:r w:rsidRPr="00774427">
        <w:rPr>
          <w:rFonts w:ascii="Arial" w:hAnsi="Arial" w:cs="Arial"/>
          <w:b/>
          <w:bCs/>
          <w:sz w:val="22"/>
          <w:szCs w:val="22"/>
        </w:rPr>
        <w:t>Confidentiality issues:</w:t>
      </w:r>
      <w:r w:rsidRPr="00774427">
        <w:rPr>
          <w:rFonts w:ascii="Arial" w:hAnsi="Arial" w:cs="Arial"/>
          <w:sz w:val="22"/>
          <w:szCs w:val="22"/>
        </w:rPr>
        <w:t xml:space="preserve"> Misinterpretations of data protection laws may restrict appropriate sharing.</w:t>
      </w:r>
    </w:p>
    <w:p w14:paraId="1ED73020" w14:textId="77777777" w:rsidR="00731B10" w:rsidRPr="00774427" w:rsidRDefault="00731B10" w:rsidP="00774427">
      <w:pPr>
        <w:numPr>
          <w:ilvl w:val="0"/>
          <w:numId w:val="50"/>
        </w:numPr>
        <w:spacing w:line="360" w:lineRule="auto"/>
        <w:jc w:val="both"/>
        <w:rPr>
          <w:rFonts w:ascii="Arial" w:hAnsi="Arial" w:cs="Arial"/>
          <w:sz w:val="22"/>
          <w:szCs w:val="22"/>
        </w:rPr>
      </w:pPr>
      <w:r w:rsidRPr="00774427">
        <w:rPr>
          <w:rFonts w:ascii="Arial" w:hAnsi="Arial" w:cs="Arial"/>
          <w:b/>
          <w:bCs/>
          <w:sz w:val="22"/>
          <w:szCs w:val="22"/>
        </w:rPr>
        <w:t>Limited interoperability:</w:t>
      </w:r>
      <w:r w:rsidRPr="00774427">
        <w:rPr>
          <w:rFonts w:ascii="Arial" w:hAnsi="Arial" w:cs="Arial"/>
          <w:sz w:val="22"/>
          <w:szCs w:val="22"/>
        </w:rPr>
        <w:t xml:space="preserve"> Digital systems across agencies may be incompatible.</w:t>
      </w:r>
    </w:p>
    <w:p w14:paraId="405E062E" w14:textId="77777777" w:rsidR="00731B10" w:rsidRPr="00774427" w:rsidRDefault="00731B10" w:rsidP="00774427">
      <w:pPr>
        <w:numPr>
          <w:ilvl w:val="0"/>
          <w:numId w:val="50"/>
        </w:numPr>
        <w:spacing w:line="360" w:lineRule="auto"/>
        <w:jc w:val="both"/>
        <w:rPr>
          <w:rFonts w:ascii="Arial" w:hAnsi="Arial" w:cs="Arial"/>
          <w:sz w:val="22"/>
          <w:szCs w:val="22"/>
        </w:rPr>
      </w:pPr>
      <w:r w:rsidRPr="00774427">
        <w:rPr>
          <w:rFonts w:ascii="Arial" w:hAnsi="Arial" w:cs="Arial"/>
          <w:b/>
          <w:bCs/>
          <w:sz w:val="22"/>
          <w:szCs w:val="22"/>
        </w:rPr>
        <w:t>Time constraints:</w:t>
      </w:r>
      <w:r w:rsidRPr="00774427">
        <w:rPr>
          <w:rFonts w:ascii="Arial" w:hAnsi="Arial" w:cs="Arial"/>
          <w:sz w:val="22"/>
          <w:szCs w:val="22"/>
        </w:rPr>
        <w:t xml:space="preserve"> Professionals may struggle to attend multi-disciplinary meetings.</w:t>
      </w:r>
    </w:p>
    <w:p w14:paraId="721FE248" w14:textId="77777777" w:rsidR="00731B10" w:rsidRPr="00774427" w:rsidRDefault="00731B10" w:rsidP="00774427">
      <w:pPr>
        <w:numPr>
          <w:ilvl w:val="0"/>
          <w:numId w:val="50"/>
        </w:numPr>
        <w:spacing w:line="360" w:lineRule="auto"/>
        <w:jc w:val="both"/>
        <w:rPr>
          <w:rFonts w:ascii="Arial" w:hAnsi="Arial" w:cs="Arial"/>
          <w:sz w:val="22"/>
          <w:szCs w:val="22"/>
        </w:rPr>
      </w:pPr>
      <w:r w:rsidRPr="00774427">
        <w:rPr>
          <w:rFonts w:ascii="Arial" w:hAnsi="Arial" w:cs="Arial"/>
          <w:b/>
          <w:bCs/>
          <w:sz w:val="22"/>
          <w:szCs w:val="22"/>
        </w:rPr>
        <w:t>Lack of trust:</w:t>
      </w:r>
      <w:r w:rsidRPr="00774427">
        <w:rPr>
          <w:rFonts w:ascii="Arial" w:hAnsi="Arial" w:cs="Arial"/>
          <w:sz w:val="22"/>
          <w:szCs w:val="22"/>
        </w:rPr>
        <w:t xml:space="preserve"> Historical failures or previous conflicts can weaken collaboration.</w:t>
      </w:r>
    </w:p>
    <w:p w14:paraId="4C38E09D"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174E042C">
          <v:rect id="_x0000_i1034" style="width:0;height:1.5pt" o:hralign="center" o:hrstd="t" o:hr="t" fillcolor="#a0a0a0" stroked="f"/>
        </w:pict>
      </w:r>
    </w:p>
    <w:p w14:paraId="342FFFFA" w14:textId="77777777" w:rsidR="00774427" w:rsidRDefault="00774427" w:rsidP="00774427">
      <w:pPr>
        <w:spacing w:line="360" w:lineRule="auto"/>
        <w:jc w:val="both"/>
        <w:rPr>
          <w:rFonts w:ascii="Arial" w:hAnsi="Arial" w:cs="Arial"/>
          <w:b/>
          <w:bCs/>
          <w:sz w:val="22"/>
          <w:szCs w:val="22"/>
        </w:rPr>
      </w:pPr>
    </w:p>
    <w:p w14:paraId="19E6FE1E" w14:textId="77777777" w:rsidR="00774427" w:rsidRDefault="00774427" w:rsidP="00774427">
      <w:pPr>
        <w:spacing w:line="360" w:lineRule="auto"/>
        <w:jc w:val="both"/>
        <w:rPr>
          <w:rFonts w:ascii="Arial" w:hAnsi="Arial" w:cs="Arial"/>
          <w:b/>
          <w:bCs/>
          <w:sz w:val="22"/>
          <w:szCs w:val="22"/>
        </w:rPr>
      </w:pPr>
    </w:p>
    <w:p w14:paraId="3D0DB5A3" w14:textId="307BD6AA"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10. Interrelationship Between PCC and PW</w:t>
      </w:r>
    </w:p>
    <w:p w14:paraId="51FDF672"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PCC and PW are interdependent and mutually reinforcing. Together, they create a system where individuals are respected, heard, and supported through coordinated care.</w:t>
      </w:r>
    </w:p>
    <w:p w14:paraId="16E45127"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How They Work Together</w:t>
      </w:r>
    </w:p>
    <w:p w14:paraId="500A018F" w14:textId="77777777" w:rsidR="00731B10" w:rsidRPr="00774427" w:rsidRDefault="00731B10" w:rsidP="00774427">
      <w:pPr>
        <w:numPr>
          <w:ilvl w:val="0"/>
          <w:numId w:val="51"/>
        </w:numPr>
        <w:spacing w:line="360" w:lineRule="auto"/>
        <w:jc w:val="both"/>
        <w:rPr>
          <w:rFonts w:ascii="Arial" w:hAnsi="Arial" w:cs="Arial"/>
          <w:sz w:val="22"/>
          <w:szCs w:val="22"/>
        </w:rPr>
      </w:pPr>
      <w:r w:rsidRPr="00774427">
        <w:rPr>
          <w:rFonts w:ascii="Arial" w:hAnsi="Arial" w:cs="Arial"/>
          <w:sz w:val="22"/>
          <w:szCs w:val="22"/>
        </w:rPr>
        <w:t>PCC identifies the person’s needs, values, and preferences.</w:t>
      </w:r>
    </w:p>
    <w:p w14:paraId="2AEAB43A" w14:textId="77777777" w:rsidR="00731B10" w:rsidRPr="00774427" w:rsidRDefault="00731B10" w:rsidP="00774427">
      <w:pPr>
        <w:numPr>
          <w:ilvl w:val="0"/>
          <w:numId w:val="51"/>
        </w:numPr>
        <w:spacing w:line="360" w:lineRule="auto"/>
        <w:jc w:val="both"/>
        <w:rPr>
          <w:rFonts w:ascii="Arial" w:hAnsi="Arial" w:cs="Arial"/>
          <w:sz w:val="22"/>
          <w:szCs w:val="22"/>
        </w:rPr>
      </w:pPr>
      <w:r w:rsidRPr="00774427">
        <w:rPr>
          <w:rFonts w:ascii="Arial" w:hAnsi="Arial" w:cs="Arial"/>
          <w:sz w:val="22"/>
          <w:szCs w:val="22"/>
        </w:rPr>
        <w:t>PW ensures that professionals from different sectors work together to meet those needs.</w:t>
      </w:r>
    </w:p>
    <w:p w14:paraId="0910D06B" w14:textId="77777777" w:rsidR="00731B10" w:rsidRPr="00774427" w:rsidRDefault="00731B10" w:rsidP="00774427">
      <w:pPr>
        <w:numPr>
          <w:ilvl w:val="0"/>
          <w:numId w:val="51"/>
        </w:numPr>
        <w:spacing w:line="360" w:lineRule="auto"/>
        <w:jc w:val="both"/>
        <w:rPr>
          <w:rFonts w:ascii="Arial" w:hAnsi="Arial" w:cs="Arial"/>
          <w:sz w:val="22"/>
          <w:szCs w:val="22"/>
        </w:rPr>
      </w:pPr>
      <w:r w:rsidRPr="00774427">
        <w:rPr>
          <w:rFonts w:ascii="Arial" w:hAnsi="Arial" w:cs="Arial"/>
          <w:sz w:val="22"/>
          <w:szCs w:val="22"/>
        </w:rPr>
        <w:t>Co</w:t>
      </w:r>
      <w:r w:rsidRPr="00774427">
        <w:rPr>
          <w:rFonts w:ascii="Arial" w:hAnsi="Arial" w:cs="Arial"/>
          <w:sz w:val="22"/>
          <w:szCs w:val="22"/>
        </w:rPr>
        <w:noBreakHyphen/>
        <w:t>production strengthens both PCC and PW by encouraging individuals to participate actively in planning.</w:t>
      </w:r>
    </w:p>
    <w:p w14:paraId="651846F3" w14:textId="77777777" w:rsidR="00731B10" w:rsidRPr="00774427" w:rsidRDefault="00731B10" w:rsidP="00774427">
      <w:pPr>
        <w:numPr>
          <w:ilvl w:val="0"/>
          <w:numId w:val="51"/>
        </w:numPr>
        <w:spacing w:line="360" w:lineRule="auto"/>
        <w:jc w:val="both"/>
        <w:rPr>
          <w:rFonts w:ascii="Arial" w:hAnsi="Arial" w:cs="Arial"/>
          <w:sz w:val="22"/>
          <w:szCs w:val="22"/>
        </w:rPr>
      </w:pPr>
      <w:r w:rsidRPr="00774427">
        <w:rPr>
          <w:rFonts w:ascii="Arial" w:hAnsi="Arial" w:cs="Arial"/>
          <w:sz w:val="22"/>
          <w:szCs w:val="22"/>
        </w:rPr>
        <w:t>Shared decision-making is both a principle of PCC and a requirement for effective PW.</w:t>
      </w:r>
    </w:p>
    <w:p w14:paraId="6F66CD50"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Example</w:t>
      </w:r>
    </w:p>
    <w:p w14:paraId="55DF6BA0"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A person with dementia who also has diabetes and mobility challenges may require:</w:t>
      </w:r>
    </w:p>
    <w:p w14:paraId="7730B2D0" w14:textId="77777777" w:rsidR="00731B10" w:rsidRPr="00774427" w:rsidRDefault="00731B10" w:rsidP="00774427">
      <w:pPr>
        <w:numPr>
          <w:ilvl w:val="0"/>
          <w:numId w:val="52"/>
        </w:numPr>
        <w:spacing w:line="360" w:lineRule="auto"/>
        <w:jc w:val="both"/>
        <w:rPr>
          <w:rFonts w:ascii="Arial" w:hAnsi="Arial" w:cs="Arial"/>
          <w:sz w:val="22"/>
          <w:szCs w:val="22"/>
        </w:rPr>
      </w:pPr>
      <w:r w:rsidRPr="00774427">
        <w:rPr>
          <w:rFonts w:ascii="Arial" w:hAnsi="Arial" w:cs="Arial"/>
          <w:sz w:val="22"/>
          <w:szCs w:val="22"/>
        </w:rPr>
        <w:t>GP clinical input,</w:t>
      </w:r>
    </w:p>
    <w:p w14:paraId="2248BFAA" w14:textId="77777777" w:rsidR="00731B10" w:rsidRPr="00774427" w:rsidRDefault="00731B10" w:rsidP="00774427">
      <w:pPr>
        <w:numPr>
          <w:ilvl w:val="0"/>
          <w:numId w:val="52"/>
        </w:numPr>
        <w:spacing w:line="360" w:lineRule="auto"/>
        <w:jc w:val="both"/>
        <w:rPr>
          <w:rFonts w:ascii="Arial" w:hAnsi="Arial" w:cs="Arial"/>
          <w:sz w:val="22"/>
          <w:szCs w:val="22"/>
        </w:rPr>
      </w:pPr>
      <w:r w:rsidRPr="00774427">
        <w:rPr>
          <w:rFonts w:ascii="Arial" w:hAnsi="Arial" w:cs="Arial"/>
          <w:sz w:val="22"/>
          <w:szCs w:val="22"/>
        </w:rPr>
        <w:t>social care support,</w:t>
      </w:r>
    </w:p>
    <w:p w14:paraId="5BED9806" w14:textId="77777777" w:rsidR="00731B10" w:rsidRPr="00774427" w:rsidRDefault="00731B10" w:rsidP="00774427">
      <w:pPr>
        <w:numPr>
          <w:ilvl w:val="0"/>
          <w:numId w:val="52"/>
        </w:numPr>
        <w:spacing w:line="360" w:lineRule="auto"/>
        <w:jc w:val="both"/>
        <w:rPr>
          <w:rFonts w:ascii="Arial" w:hAnsi="Arial" w:cs="Arial"/>
          <w:sz w:val="22"/>
          <w:szCs w:val="22"/>
        </w:rPr>
      </w:pPr>
      <w:r w:rsidRPr="00774427">
        <w:rPr>
          <w:rFonts w:ascii="Arial" w:hAnsi="Arial" w:cs="Arial"/>
          <w:sz w:val="22"/>
          <w:szCs w:val="22"/>
        </w:rPr>
        <w:t>occupational therapy,</w:t>
      </w:r>
    </w:p>
    <w:p w14:paraId="44EE1205" w14:textId="77777777" w:rsidR="00731B10" w:rsidRPr="00774427" w:rsidRDefault="00731B10" w:rsidP="00774427">
      <w:pPr>
        <w:numPr>
          <w:ilvl w:val="0"/>
          <w:numId w:val="52"/>
        </w:numPr>
        <w:spacing w:line="360" w:lineRule="auto"/>
        <w:jc w:val="both"/>
        <w:rPr>
          <w:rFonts w:ascii="Arial" w:hAnsi="Arial" w:cs="Arial"/>
          <w:sz w:val="22"/>
          <w:szCs w:val="22"/>
        </w:rPr>
      </w:pPr>
      <w:r w:rsidRPr="00774427">
        <w:rPr>
          <w:rFonts w:ascii="Arial" w:hAnsi="Arial" w:cs="Arial"/>
          <w:sz w:val="22"/>
          <w:szCs w:val="22"/>
        </w:rPr>
        <w:t>physiotherapy,</w:t>
      </w:r>
    </w:p>
    <w:p w14:paraId="7C361C9C" w14:textId="77777777" w:rsidR="00731B10" w:rsidRPr="00774427" w:rsidRDefault="00731B10" w:rsidP="00774427">
      <w:pPr>
        <w:numPr>
          <w:ilvl w:val="0"/>
          <w:numId w:val="52"/>
        </w:numPr>
        <w:spacing w:line="360" w:lineRule="auto"/>
        <w:jc w:val="both"/>
        <w:rPr>
          <w:rFonts w:ascii="Arial" w:hAnsi="Arial" w:cs="Arial"/>
          <w:sz w:val="22"/>
          <w:szCs w:val="22"/>
        </w:rPr>
      </w:pPr>
      <w:r w:rsidRPr="00774427">
        <w:rPr>
          <w:rFonts w:ascii="Arial" w:hAnsi="Arial" w:cs="Arial"/>
          <w:sz w:val="22"/>
          <w:szCs w:val="22"/>
        </w:rPr>
        <w:t>family carer involvement.</w:t>
      </w:r>
    </w:p>
    <w:p w14:paraId="42F481DC"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Without PCC, care becomes task-oriented; without PW, care becomes fragmented. Together, they create safe, meaningful, and coordinated support.</w:t>
      </w:r>
    </w:p>
    <w:p w14:paraId="3926B20F"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2702CE00">
          <v:rect id="_x0000_i1035" style="width:0;height:1.5pt" o:hralign="center" o:hrstd="t" o:hr="t" fillcolor="#a0a0a0" stroked="f"/>
        </w:pict>
      </w:r>
    </w:p>
    <w:p w14:paraId="1C89BAD3"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11. Barriers to Integration</w:t>
      </w:r>
    </w:p>
    <w:p w14:paraId="6AD0EE2B"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Barriers</w:t>
      </w:r>
    </w:p>
    <w:p w14:paraId="6C4DC654" w14:textId="77777777" w:rsidR="00731B10" w:rsidRPr="00774427" w:rsidRDefault="00731B10" w:rsidP="00774427">
      <w:pPr>
        <w:numPr>
          <w:ilvl w:val="0"/>
          <w:numId w:val="53"/>
        </w:numPr>
        <w:spacing w:line="360" w:lineRule="auto"/>
        <w:jc w:val="both"/>
        <w:rPr>
          <w:rFonts w:ascii="Arial" w:hAnsi="Arial" w:cs="Arial"/>
          <w:sz w:val="22"/>
          <w:szCs w:val="22"/>
        </w:rPr>
      </w:pPr>
      <w:r w:rsidRPr="00774427">
        <w:rPr>
          <w:rFonts w:ascii="Arial" w:hAnsi="Arial" w:cs="Arial"/>
          <w:b/>
          <w:bCs/>
          <w:sz w:val="22"/>
          <w:szCs w:val="22"/>
        </w:rPr>
        <w:t>Fragmented services:</w:t>
      </w:r>
      <w:r w:rsidRPr="00774427">
        <w:rPr>
          <w:rFonts w:ascii="Arial" w:hAnsi="Arial" w:cs="Arial"/>
          <w:sz w:val="22"/>
          <w:szCs w:val="22"/>
        </w:rPr>
        <w:t xml:space="preserve"> Organisations may still work in silos despite policy expectations.</w:t>
      </w:r>
    </w:p>
    <w:p w14:paraId="7EBE7521" w14:textId="77777777" w:rsidR="00731B10" w:rsidRPr="00774427" w:rsidRDefault="00731B10" w:rsidP="00774427">
      <w:pPr>
        <w:numPr>
          <w:ilvl w:val="0"/>
          <w:numId w:val="53"/>
        </w:numPr>
        <w:spacing w:line="360" w:lineRule="auto"/>
        <w:jc w:val="both"/>
        <w:rPr>
          <w:rFonts w:ascii="Arial" w:hAnsi="Arial" w:cs="Arial"/>
          <w:sz w:val="22"/>
          <w:szCs w:val="22"/>
        </w:rPr>
      </w:pPr>
      <w:r w:rsidRPr="00774427">
        <w:rPr>
          <w:rFonts w:ascii="Arial" w:hAnsi="Arial" w:cs="Arial"/>
          <w:b/>
          <w:bCs/>
          <w:sz w:val="22"/>
          <w:szCs w:val="22"/>
        </w:rPr>
        <w:t>Funding constraints:</w:t>
      </w:r>
      <w:r w:rsidRPr="00774427">
        <w:rPr>
          <w:rFonts w:ascii="Arial" w:hAnsi="Arial" w:cs="Arial"/>
          <w:sz w:val="22"/>
          <w:szCs w:val="22"/>
        </w:rPr>
        <w:t xml:space="preserve"> Budget differences across agencies hinder collaboration.</w:t>
      </w:r>
    </w:p>
    <w:p w14:paraId="6BA0737D" w14:textId="77777777" w:rsidR="00731B10" w:rsidRDefault="00731B10" w:rsidP="00774427">
      <w:pPr>
        <w:numPr>
          <w:ilvl w:val="0"/>
          <w:numId w:val="53"/>
        </w:numPr>
        <w:spacing w:line="360" w:lineRule="auto"/>
        <w:jc w:val="both"/>
        <w:rPr>
          <w:rFonts w:ascii="Arial" w:hAnsi="Arial" w:cs="Arial"/>
          <w:sz w:val="22"/>
          <w:szCs w:val="22"/>
        </w:rPr>
      </w:pPr>
      <w:r w:rsidRPr="00774427">
        <w:rPr>
          <w:rFonts w:ascii="Arial" w:hAnsi="Arial" w:cs="Arial"/>
          <w:b/>
          <w:bCs/>
          <w:sz w:val="22"/>
          <w:szCs w:val="22"/>
        </w:rPr>
        <w:t>Inconsistent digital infrastructure:</w:t>
      </w:r>
      <w:r w:rsidRPr="00774427">
        <w:rPr>
          <w:rFonts w:ascii="Arial" w:hAnsi="Arial" w:cs="Arial"/>
          <w:sz w:val="22"/>
          <w:szCs w:val="22"/>
        </w:rPr>
        <w:t xml:space="preserve"> Limited ability to share records effectively.</w:t>
      </w:r>
    </w:p>
    <w:p w14:paraId="62E2C76E" w14:textId="77777777" w:rsidR="00774427" w:rsidRPr="00774427" w:rsidRDefault="00774427" w:rsidP="00774427">
      <w:pPr>
        <w:spacing w:line="360" w:lineRule="auto"/>
        <w:ind w:left="720"/>
        <w:jc w:val="both"/>
        <w:rPr>
          <w:rFonts w:ascii="Arial" w:hAnsi="Arial" w:cs="Arial"/>
          <w:sz w:val="22"/>
          <w:szCs w:val="22"/>
        </w:rPr>
      </w:pPr>
    </w:p>
    <w:p w14:paraId="057B7009" w14:textId="77777777" w:rsidR="00731B10" w:rsidRPr="00774427" w:rsidRDefault="00731B10" w:rsidP="00774427">
      <w:pPr>
        <w:numPr>
          <w:ilvl w:val="0"/>
          <w:numId w:val="53"/>
        </w:numPr>
        <w:spacing w:line="360" w:lineRule="auto"/>
        <w:jc w:val="both"/>
        <w:rPr>
          <w:rFonts w:ascii="Arial" w:hAnsi="Arial" w:cs="Arial"/>
          <w:sz w:val="22"/>
          <w:szCs w:val="22"/>
        </w:rPr>
      </w:pPr>
      <w:r w:rsidRPr="00774427">
        <w:rPr>
          <w:rFonts w:ascii="Arial" w:hAnsi="Arial" w:cs="Arial"/>
          <w:b/>
          <w:bCs/>
          <w:sz w:val="22"/>
          <w:szCs w:val="22"/>
        </w:rPr>
        <w:t>Skill gaps:</w:t>
      </w:r>
      <w:r w:rsidRPr="00774427">
        <w:rPr>
          <w:rFonts w:ascii="Arial" w:hAnsi="Arial" w:cs="Arial"/>
          <w:sz w:val="22"/>
          <w:szCs w:val="22"/>
        </w:rPr>
        <w:t xml:space="preserve"> Staff may be strong in clinical practice but less confident in communication or co-production.</w:t>
      </w:r>
    </w:p>
    <w:p w14:paraId="6B85B2DA" w14:textId="77777777" w:rsidR="00731B10" w:rsidRPr="00774427" w:rsidRDefault="00731B10" w:rsidP="00774427">
      <w:pPr>
        <w:numPr>
          <w:ilvl w:val="0"/>
          <w:numId w:val="53"/>
        </w:numPr>
        <w:spacing w:line="360" w:lineRule="auto"/>
        <w:jc w:val="both"/>
        <w:rPr>
          <w:rFonts w:ascii="Arial" w:hAnsi="Arial" w:cs="Arial"/>
          <w:sz w:val="22"/>
          <w:szCs w:val="22"/>
        </w:rPr>
      </w:pPr>
      <w:r w:rsidRPr="00774427">
        <w:rPr>
          <w:rFonts w:ascii="Arial" w:hAnsi="Arial" w:cs="Arial"/>
          <w:b/>
          <w:bCs/>
          <w:sz w:val="22"/>
          <w:szCs w:val="22"/>
        </w:rPr>
        <w:t>Tokenistic user engagement:</w:t>
      </w:r>
      <w:r w:rsidRPr="00774427">
        <w:rPr>
          <w:rFonts w:ascii="Arial" w:hAnsi="Arial" w:cs="Arial"/>
          <w:sz w:val="22"/>
          <w:szCs w:val="22"/>
        </w:rPr>
        <w:t xml:space="preserve"> Individuals may be consulted but not genuinely involved in decisions.</w:t>
      </w:r>
    </w:p>
    <w:p w14:paraId="032B4E22" w14:textId="77777777" w:rsidR="00731B10" w:rsidRPr="00774427" w:rsidRDefault="00731B10" w:rsidP="00774427">
      <w:pPr>
        <w:numPr>
          <w:ilvl w:val="0"/>
          <w:numId w:val="53"/>
        </w:numPr>
        <w:spacing w:line="360" w:lineRule="auto"/>
        <w:jc w:val="both"/>
        <w:rPr>
          <w:rFonts w:ascii="Arial" w:hAnsi="Arial" w:cs="Arial"/>
          <w:sz w:val="22"/>
          <w:szCs w:val="22"/>
        </w:rPr>
      </w:pPr>
      <w:r w:rsidRPr="00774427">
        <w:rPr>
          <w:rFonts w:ascii="Arial" w:hAnsi="Arial" w:cs="Arial"/>
          <w:b/>
          <w:bCs/>
          <w:sz w:val="22"/>
          <w:szCs w:val="22"/>
        </w:rPr>
        <w:t>Fear of blame:</w:t>
      </w:r>
      <w:r w:rsidRPr="00774427">
        <w:rPr>
          <w:rFonts w:ascii="Arial" w:hAnsi="Arial" w:cs="Arial"/>
          <w:sz w:val="22"/>
          <w:szCs w:val="22"/>
        </w:rPr>
        <w:t xml:space="preserve"> In safeguarding situations, agencies may focus on protecting themselves rather than collaborating.</w:t>
      </w:r>
    </w:p>
    <w:p w14:paraId="2F61286C"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31A58A73">
          <v:rect id="_x0000_i1036" style="width:0;height:1.5pt" o:hralign="center" o:hrstd="t" o:hr="t" fillcolor="#a0a0a0" stroked="f"/>
        </w:pict>
      </w:r>
    </w:p>
    <w:p w14:paraId="3D58884F"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12. Strategies for Improvement</w:t>
      </w:r>
    </w:p>
    <w:p w14:paraId="08721DB6"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Expanded Strategies</w:t>
      </w:r>
    </w:p>
    <w:p w14:paraId="1CEA8EE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1. Workforce Development</w:t>
      </w:r>
    </w:p>
    <w:p w14:paraId="6D783DAE" w14:textId="77777777" w:rsidR="00731B10" w:rsidRPr="00774427" w:rsidRDefault="00731B10" w:rsidP="00774427">
      <w:pPr>
        <w:numPr>
          <w:ilvl w:val="0"/>
          <w:numId w:val="54"/>
        </w:numPr>
        <w:spacing w:line="360" w:lineRule="auto"/>
        <w:jc w:val="both"/>
        <w:rPr>
          <w:rFonts w:ascii="Arial" w:hAnsi="Arial" w:cs="Arial"/>
          <w:sz w:val="22"/>
          <w:szCs w:val="22"/>
        </w:rPr>
      </w:pPr>
      <w:r w:rsidRPr="00774427">
        <w:rPr>
          <w:rFonts w:ascii="Arial" w:hAnsi="Arial" w:cs="Arial"/>
          <w:sz w:val="22"/>
          <w:szCs w:val="22"/>
        </w:rPr>
        <w:t>Training in communication, cultural competence, trauma-informed practice, and shared decision-making.</w:t>
      </w:r>
    </w:p>
    <w:p w14:paraId="38E32449" w14:textId="77777777" w:rsidR="00731B10" w:rsidRPr="00774427" w:rsidRDefault="00731B10" w:rsidP="00774427">
      <w:pPr>
        <w:numPr>
          <w:ilvl w:val="0"/>
          <w:numId w:val="54"/>
        </w:numPr>
        <w:spacing w:line="360" w:lineRule="auto"/>
        <w:jc w:val="both"/>
        <w:rPr>
          <w:rFonts w:ascii="Arial" w:hAnsi="Arial" w:cs="Arial"/>
          <w:sz w:val="22"/>
          <w:szCs w:val="22"/>
        </w:rPr>
      </w:pPr>
      <w:r w:rsidRPr="00774427">
        <w:rPr>
          <w:rFonts w:ascii="Arial" w:hAnsi="Arial" w:cs="Arial"/>
          <w:sz w:val="22"/>
          <w:szCs w:val="22"/>
        </w:rPr>
        <w:t>Reflective supervision to build confidence and emotional intelligence.</w:t>
      </w:r>
    </w:p>
    <w:p w14:paraId="7CF3E9E5"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2. Stronger Communication Systems</w:t>
      </w:r>
    </w:p>
    <w:p w14:paraId="3460ED2E" w14:textId="77777777" w:rsidR="00731B10" w:rsidRPr="00774427" w:rsidRDefault="00731B10" w:rsidP="00774427">
      <w:pPr>
        <w:numPr>
          <w:ilvl w:val="0"/>
          <w:numId w:val="55"/>
        </w:numPr>
        <w:spacing w:line="360" w:lineRule="auto"/>
        <w:jc w:val="both"/>
        <w:rPr>
          <w:rFonts w:ascii="Arial" w:hAnsi="Arial" w:cs="Arial"/>
          <w:sz w:val="22"/>
          <w:szCs w:val="22"/>
        </w:rPr>
      </w:pPr>
      <w:r w:rsidRPr="00774427">
        <w:rPr>
          <w:rFonts w:ascii="Arial" w:hAnsi="Arial" w:cs="Arial"/>
          <w:sz w:val="22"/>
          <w:szCs w:val="22"/>
        </w:rPr>
        <w:t>Integrated digital records across health and social care.</w:t>
      </w:r>
    </w:p>
    <w:p w14:paraId="0577C246" w14:textId="77777777" w:rsidR="00731B10" w:rsidRPr="00774427" w:rsidRDefault="00731B10" w:rsidP="00774427">
      <w:pPr>
        <w:numPr>
          <w:ilvl w:val="0"/>
          <w:numId w:val="55"/>
        </w:numPr>
        <w:spacing w:line="360" w:lineRule="auto"/>
        <w:jc w:val="both"/>
        <w:rPr>
          <w:rFonts w:ascii="Arial" w:hAnsi="Arial" w:cs="Arial"/>
          <w:sz w:val="22"/>
          <w:szCs w:val="22"/>
        </w:rPr>
      </w:pPr>
      <w:r w:rsidRPr="00774427">
        <w:rPr>
          <w:rFonts w:ascii="Arial" w:hAnsi="Arial" w:cs="Arial"/>
          <w:sz w:val="22"/>
          <w:szCs w:val="22"/>
        </w:rPr>
        <w:t>Regular multidisciplinary team (MDT) meetings.</w:t>
      </w:r>
    </w:p>
    <w:p w14:paraId="5E64B29F" w14:textId="77777777" w:rsidR="00731B10" w:rsidRPr="00774427" w:rsidRDefault="00731B10" w:rsidP="00774427">
      <w:pPr>
        <w:numPr>
          <w:ilvl w:val="0"/>
          <w:numId w:val="55"/>
        </w:numPr>
        <w:spacing w:line="360" w:lineRule="auto"/>
        <w:jc w:val="both"/>
        <w:rPr>
          <w:rFonts w:ascii="Arial" w:hAnsi="Arial" w:cs="Arial"/>
          <w:sz w:val="22"/>
          <w:szCs w:val="22"/>
        </w:rPr>
      </w:pPr>
      <w:r w:rsidRPr="00774427">
        <w:rPr>
          <w:rFonts w:ascii="Arial" w:hAnsi="Arial" w:cs="Arial"/>
          <w:sz w:val="22"/>
          <w:szCs w:val="22"/>
        </w:rPr>
        <w:t>Clear information-sharing guidance based on GDPR principles.</w:t>
      </w:r>
    </w:p>
    <w:p w14:paraId="58256AA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3. Strengthening Co-production</w:t>
      </w:r>
    </w:p>
    <w:p w14:paraId="2E789FC5" w14:textId="77777777" w:rsidR="00731B10" w:rsidRPr="00774427" w:rsidRDefault="00731B10" w:rsidP="00774427">
      <w:pPr>
        <w:numPr>
          <w:ilvl w:val="0"/>
          <w:numId w:val="56"/>
        </w:numPr>
        <w:spacing w:line="360" w:lineRule="auto"/>
        <w:jc w:val="both"/>
        <w:rPr>
          <w:rFonts w:ascii="Arial" w:hAnsi="Arial" w:cs="Arial"/>
          <w:sz w:val="22"/>
          <w:szCs w:val="22"/>
        </w:rPr>
      </w:pPr>
      <w:r w:rsidRPr="00774427">
        <w:rPr>
          <w:rFonts w:ascii="Arial" w:hAnsi="Arial" w:cs="Arial"/>
          <w:sz w:val="22"/>
          <w:szCs w:val="22"/>
        </w:rPr>
        <w:t>Involving service users in assessment, planning, evaluation, and service design.</w:t>
      </w:r>
    </w:p>
    <w:p w14:paraId="64961704" w14:textId="77777777" w:rsidR="00731B10" w:rsidRPr="00774427" w:rsidRDefault="00731B10" w:rsidP="00774427">
      <w:pPr>
        <w:numPr>
          <w:ilvl w:val="0"/>
          <w:numId w:val="56"/>
        </w:numPr>
        <w:spacing w:line="360" w:lineRule="auto"/>
        <w:jc w:val="both"/>
        <w:rPr>
          <w:rFonts w:ascii="Arial" w:hAnsi="Arial" w:cs="Arial"/>
          <w:sz w:val="22"/>
          <w:szCs w:val="22"/>
        </w:rPr>
      </w:pPr>
      <w:r w:rsidRPr="00774427">
        <w:rPr>
          <w:rFonts w:ascii="Arial" w:hAnsi="Arial" w:cs="Arial"/>
          <w:sz w:val="22"/>
          <w:szCs w:val="22"/>
        </w:rPr>
        <w:t>Using interpreters, advocates, and peer support.</w:t>
      </w:r>
    </w:p>
    <w:p w14:paraId="6CFDD51C"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4. Policy and Leadership</w:t>
      </w:r>
    </w:p>
    <w:p w14:paraId="60E57926" w14:textId="77777777" w:rsidR="00731B10" w:rsidRPr="00774427" w:rsidRDefault="00731B10" w:rsidP="00774427">
      <w:pPr>
        <w:numPr>
          <w:ilvl w:val="0"/>
          <w:numId w:val="57"/>
        </w:numPr>
        <w:spacing w:line="360" w:lineRule="auto"/>
        <w:jc w:val="both"/>
        <w:rPr>
          <w:rFonts w:ascii="Arial" w:hAnsi="Arial" w:cs="Arial"/>
          <w:sz w:val="22"/>
          <w:szCs w:val="22"/>
        </w:rPr>
      </w:pPr>
      <w:r w:rsidRPr="00774427">
        <w:rPr>
          <w:rFonts w:ascii="Arial" w:hAnsi="Arial" w:cs="Arial"/>
          <w:sz w:val="22"/>
          <w:szCs w:val="22"/>
        </w:rPr>
        <w:t>Managers should model PCC and PW values.</w:t>
      </w:r>
    </w:p>
    <w:p w14:paraId="5E6588E2" w14:textId="77777777" w:rsidR="00731B10" w:rsidRPr="00774427" w:rsidRDefault="00731B10" w:rsidP="00774427">
      <w:pPr>
        <w:numPr>
          <w:ilvl w:val="0"/>
          <w:numId w:val="57"/>
        </w:numPr>
        <w:spacing w:line="360" w:lineRule="auto"/>
        <w:jc w:val="both"/>
        <w:rPr>
          <w:rFonts w:ascii="Arial" w:hAnsi="Arial" w:cs="Arial"/>
          <w:sz w:val="22"/>
          <w:szCs w:val="22"/>
        </w:rPr>
      </w:pPr>
      <w:r w:rsidRPr="00774427">
        <w:rPr>
          <w:rFonts w:ascii="Arial" w:hAnsi="Arial" w:cs="Arial"/>
          <w:sz w:val="22"/>
          <w:szCs w:val="22"/>
        </w:rPr>
        <w:t>Policies should promote collaboration and flexibility rather than rigid procedures.</w:t>
      </w:r>
    </w:p>
    <w:p w14:paraId="78413D62"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5. Monitoring and Evaluation</w:t>
      </w:r>
    </w:p>
    <w:p w14:paraId="79DCDF65" w14:textId="77777777" w:rsidR="00731B10" w:rsidRPr="00774427" w:rsidRDefault="00731B10" w:rsidP="00774427">
      <w:pPr>
        <w:numPr>
          <w:ilvl w:val="0"/>
          <w:numId w:val="58"/>
        </w:numPr>
        <w:spacing w:line="360" w:lineRule="auto"/>
        <w:jc w:val="both"/>
        <w:rPr>
          <w:rFonts w:ascii="Arial" w:hAnsi="Arial" w:cs="Arial"/>
          <w:sz w:val="22"/>
          <w:szCs w:val="22"/>
        </w:rPr>
      </w:pPr>
      <w:r w:rsidRPr="00774427">
        <w:rPr>
          <w:rFonts w:ascii="Arial" w:hAnsi="Arial" w:cs="Arial"/>
          <w:sz w:val="22"/>
          <w:szCs w:val="22"/>
        </w:rPr>
        <w:t>Audits, service-user feedback, and safeguarding reviews help identify gaps and improvements.</w:t>
      </w:r>
    </w:p>
    <w:p w14:paraId="29731D34"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lastRenderedPageBreak/>
        <w:pict w14:anchorId="36BD3D50">
          <v:rect id="_x0000_i1037" style="width:0;height:1.5pt" o:hralign="center" o:hrstd="t" o:hr="t" fillcolor="#a0a0a0" stroked="f"/>
        </w:pict>
      </w:r>
    </w:p>
    <w:p w14:paraId="403422F1" w14:textId="77777777"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13. Conclusion</w:t>
      </w:r>
    </w:p>
    <w:p w14:paraId="2B2D433B"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PCC and PW are essential for delivering compassionate, effective, and holistic health and social care. PCC centres the individual's voice, dignity, and autonomy, while PW ensures that the multiple services involved collaborate effectively. Together, they support improved outcomes, greater safety, and enhanced wellbeing (CQC, 2022).</w:t>
      </w:r>
    </w:p>
    <w:p w14:paraId="0278F372"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Although significant progress has been achieved in embedding these approaches into UK policy, challenges such as resource pressures, fragmented systems, and communication issues continue to hinder implementation. Strengthening training, digital interoperability, co-production practices, and leadership commitment will be crucial in ensuring these frameworks are consistently applied across all care settings.</w:t>
      </w:r>
    </w:p>
    <w:p w14:paraId="75201B0D" w14:textId="349664F9"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Ultimately, PCC and PW provide the foundation for a modern, effective, and ethical care system—one in which individuals are </w:t>
      </w:r>
      <w:r w:rsidR="001E12B6" w:rsidRPr="00774427">
        <w:rPr>
          <w:rFonts w:ascii="Arial" w:hAnsi="Arial" w:cs="Arial"/>
          <w:sz w:val="22"/>
          <w:szCs w:val="22"/>
        </w:rPr>
        <w:t>empowered,</w:t>
      </w:r>
      <w:r w:rsidRPr="00774427">
        <w:rPr>
          <w:rFonts w:ascii="Arial" w:hAnsi="Arial" w:cs="Arial"/>
          <w:sz w:val="22"/>
          <w:szCs w:val="22"/>
        </w:rPr>
        <w:t xml:space="preserve"> and professionals work together seamlessly to support them.</w:t>
      </w:r>
    </w:p>
    <w:p w14:paraId="6BBABC3B" w14:textId="77777777" w:rsidR="00731B10" w:rsidRPr="00774427" w:rsidRDefault="00000000" w:rsidP="00774427">
      <w:pPr>
        <w:spacing w:line="360" w:lineRule="auto"/>
        <w:jc w:val="both"/>
        <w:rPr>
          <w:rFonts w:ascii="Arial" w:hAnsi="Arial" w:cs="Arial"/>
          <w:sz w:val="22"/>
          <w:szCs w:val="22"/>
        </w:rPr>
      </w:pPr>
      <w:r w:rsidRPr="00774427">
        <w:rPr>
          <w:rFonts w:ascii="Arial" w:hAnsi="Arial" w:cs="Arial"/>
          <w:sz w:val="22"/>
          <w:szCs w:val="22"/>
        </w:rPr>
        <w:pict w14:anchorId="14E5F03F">
          <v:rect id="_x0000_i1038" style="width:0;height:1.5pt" o:hralign="center" o:hrstd="t" o:hr="t" fillcolor="#a0a0a0" stroked="f"/>
        </w:pict>
      </w:r>
    </w:p>
    <w:p w14:paraId="75D41399" w14:textId="3EC9F444" w:rsidR="00731B10" w:rsidRPr="00774427" w:rsidRDefault="00731B10" w:rsidP="00774427">
      <w:pPr>
        <w:spacing w:line="360" w:lineRule="auto"/>
        <w:jc w:val="both"/>
        <w:rPr>
          <w:rFonts w:ascii="Arial" w:hAnsi="Arial" w:cs="Arial"/>
          <w:b/>
          <w:bCs/>
          <w:sz w:val="22"/>
          <w:szCs w:val="22"/>
        </w:rPr>
      </w:pPr>
      <w:r w:rsidRPr="00774427">
        <w:rPr>
          <w:rFonts w:ascii="Arial" w:hAnsi="Arial" w:cs="Arial"/>
          <w:b/>
          <w:bCs/>
          <w:sz w:val="22"/>
          <w:szCs w:val="22"/>
        </w:rPr>
        <w:t>14. References</w:t>
      </w:r>
    </w:p>
    <w:p w14:paraId="6400D1A3"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CQC (2022) </w:t>
      </w:r>
      <w:r w:rsidRPr="00774427">
        <w:rPr>
          <w:rFonts w:ascii="Arial" w:hAnsi="Arial" w:cs="Arial"/>
          <w:i/>
          <w:iCs/>
          <w:sz w:val="22"/>
          <w:szCs w:val="22"/>
        </w:rPr>
        <w:t>State of Care Report</w:t>
      </w:r>
      <w:r w:rsidRPr="00774427">
        <w:rPr>
          <w:rFonts w:ascii="Arial" w:hAnsi="Arial" w:cs="Arial"/>
          <w:sz w:val="22"/>
          <w:szCs w:val="22"/>
        </w:rPr>
        <w:t>. Care Quality Commission.</w:t>
      </w:r>
    </w:p>
    <w:p w14:paraId="0E773A34"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Department of Health and Social Care (2014) </w:t>
      </w:r>
      <w:r w:rsidRPr="00774427">
        <w:rPr>
          <w:rFonts w:ascii="Arial" w:hAnsi="Arial" w:cs="Arial"/>
          <w:i/>
          <w:iCs/>
          <w:sz w:val="22"/>
          <w:szCs w:val="22"/>
        </w:rPr>
        <w:t>Care Act 2014: Statutory Guidance</w:t>
      </w:r>
      <w:r w:rsidRPr="00774427">
        <w:rPr>
          <w:rFonts w:ascii="Arial" w:hAnsi="Arial" w:cs="Arial"/>
          <w:sz w:val="22"/>
          <w:szCs w:val="22"/>
        </w:rPr>
        <w:t>.</w:t>
      </w:r>
    </w:p>
    <w:p w14:paraId="0F008428"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Glasby, J. &amp; Dickinson, H. (2014) </w:t>
      </w:r>
      <w:r w:rsidRPr="00774427">
        <w:rPr>
          <w:rFonts w:ascii="Arial" w:hAnsi="Arial" w:cs="Arial"/>
          <w:i/>
          <w:iCs/>
          <w:sz w:val="22"/>
          <w:szCs w:val="22"/>
        </w:rPr>
        <w:t>Partnership Working in Health and Social Care</w:t>
      </w:r>
      <w:r w:rsidRPr="00774427">
        <w:rPr>
          <w:rFonts w:ascii="Arial" w:hAnsi="Arial" w:cs="Arial"/>
          <w:sz w:val="22"/>
          <w:szCs w:val="22"/>
        </w:rPr>
        <w:t>. Bristol: Policy Press.</w:t>
      </w:r>
    </w:p>
    <w:p w14:paraId="21DAACE7"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LGA (2020) </w:t>
      </w:r>
      <w:r w:rsidRPr="00774427">
        <w:rPr>
          <w:rFonts w:ascii="Arial" w:hAnsi="Arial" w:cs="Arial"/>
          <w:i/>
          <w:iCs/>
          <w:sz w:val="22"/>
          <w:szCs w:val="22"/>
        </w:rPr>
        <w:t>Safeguarding Adults: Multi-Agency Working</w:t>
      </w:r>
      <w:r w:rsidRPr="00774427">
        <w:rPr>
          <w:rFonts w:ascii="Arial" w:hAnsi="Arial" w:cs="Arial"/>
          <w:sz w:val="22"/>
          <w:szCs w:val="22"/>
        </w:rPr>
        <w:t>. Local Government Association.</w:t>
      </w:r>
    </w:p>
    <w:p w14:paraId="5D27E080"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McCormack, B. &amp; McCance, T. (2017) </w:t>
      </w:r>
      <w:r w:rsidRPr="00774427">
        <w:rPr>
          <w:rFonts w:ascii="Arial" w:hAnsi="Arial" w:cs="Arial"/>
          <w:i/>
          <w:iCs/>
          <w:sz w:val="22"/>
          <w:szCs w:val="22"/>
        </w:rPr>
        <w:t>Person-Centred Practice in Nursing and Health Care</w:t>
      </w:r>
      <w:r w:rsidRPr="00774427">
        <w:rPr>
          <w:rFonts w:ascii="Arial" w:hAnsi="Arial" w:cs="Arial"/>
          <w:sz w:val="22"/>
          <w:szCs w:val="22"/>
        </w:rPr>
        <w:t>. 2nd ed. Wiley-Blackwell.</w:t>
      </w:r>
    </w:p>
    <w:p w14:paraId="5DDC6C62"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NHS England (2022) </w:t>
      </w:r>
      <w:r w:rsidRPr="00774427">
        <w:rPr>
          <w:rFonts w:ascii="Arial" w:hAnsi="Arial" w:cs="Arial"/>
          <w:i/>
          <w:iCs/>
          <w:sz w:val="22"/>
          <w:szCs w:val="22"/>
        </w:rPr>
        <w:t>Integrated Care Systems: Guidance and Framework</w:t>
      </w:r>
      <w:r w:rsidRPr="00774427">
        <w:rPr>
          <w:rFonts w:ascii="Arial" w:hAnsi="Arial" w:cs="Arial"/>
          <w:sz w:val="22"/>
          <w:szCs w:val="22"/>
        </w:rPr>
        <w:t>.</w:t>
      </w:r>
    </w:p>
    <w:p w14:paraId="6C36DC4B" w14:textId="77777777" w:rsidR="00731B10" w:rsidRPr="00774427" w:rsidRDefault="00731B10" w:rsidP="00774427">
      <w:pPr>
        <w:spacing w:line="360" w:lineRule="auto"/>
        <w:jc w:val="both"/>
        <w:rPr>
          <w:rFonts w:ascii="Arial" w:hAnsi="Arial" w:cs="Arial"/>
          <w:sz w:val="22"/>
          <w:szCs w:val="22"/>
        </w:rPr>
      </w:pPr>
      <w:r w:rsidRPr="00774427">
        <w:rPr>
          <w:rFonts w:ascii="Arial" w:hAnsi="Arial" w:cs="Arial"/>
          <w:sz w:val="22"/>
          <w:szCs w:val="22"/>
        </w:rPr>
        <w:t xml:space="preserve">NICE (2021) </w:t>
      </w:r>
      <w:r w:rsidRPr="00774427">
        <w:rPr>
          <w:rFonts w:ascii="Arial" w:hAnsi="Arial" w:cs="Arial"/>
          <w:i/>
          <w:iCs/>
          <w:sz w:val="22"/>
          <w:szCs w:val="22"/>
        </w:rPr>
        <w:t>Person-Centred Care Overview</w:t>
      </w:r>
      <w:r w:rsidRPr="00774427">
        <w:rPr>
          <w:rFonts w:ascii="Arial" w:hAnsi="Arial" w:cs="Arial"/>
          <w:sz w:val="22"/>
          <w:szCs w:val="22"/>
        </w:rPr>
        <w:t>. National Institute for Health and Care Excellence.</w:t>
      </w:r>
    </w:p>
    <w:p w14:paraId="759AA5D0" w14:textId="2DD8A6E0" w:rsidR="004B5D63" w:rsidRDefault="004B5D63"/>
    <w:sectPr w:rsidR="004B5D6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3930E" w14:textId="77777777" w:rsidR="00401836" w:rsidRDefault="00401836" w:rsidP="001E12B6">
      <w:pPr>
        <w:spacing w:after="0" w:line="240" w:lineRule="auto"/>
      </w:pPr>
      <w:r>
        <w:separator/>
      </w:r>
    </w:p>
  </w:endnote>
  <w:endnote w:type="continuationSeparator" w:id="0">
    <w:p w14:paraId="6EB9B51D" w14:textId="77777777" w:rsidR="00401836" w:rsidRDefault="00401836" w:rsidP="001E1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7336445"/>
      <w:docPartObj>
        <w:docPartGallery w:val="Page Numbers (Bottom of Page)"/>
        <w:docPartUnique/>
      </w:docPartObj>
    </w:sdtPr>
    <w:sdtEndPr>
      <w:rPr>
        <w:color w:val="7F7F7F" w:themeColor="background1" w:themeShade="7F"/>
        <w:spacing w:val="60"/>
      </w:rPr>
    </w:sdtEndPr>
    <w:sdtContent>
      <w:p w14:paraId="1A743D1A" w14:textId="691672AC" w:rsidR="00774427" w:rsidRDefault="00774427">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3F46E993" w14:textId="77777777" w:rsidR="00774427" w:rsidRDefault="00774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063F2" w14:textId="77777777" w:rsidR="00401836" w:rsidRDefault="00401836" w:rsidP="001E12B6">
      <w:pPr>
        <w:spacing w:after="0" w:line="240" w:lineRule="auto"/>
      </w:pPr>
      <w:r>
        <w:separator/>
      </w:r>
    </w:p>
  </w:footnote>
  <w:footnote w:type="continuationSeparator" w:id="0">
    <w:p w14:paraId="35AAABA2" w14:textId="77777777" w:rsidR="00401836" w:rsidRDefault="00401836" w:rsidP="001E1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CF6F2" w14:textId="3042E83D" w:rsidR="001E12B6" w:rsidRDefault="001E12B6">
    <w:pPr>
      <w:pStyle w:val="Header"/>
    </w:pPr>
    <w:r w:rsidRPr="00A406E5">
      <w:rPr>
        <w:rFonts w:ascii="Arial" w:hAnsi="Arial" w:cs="Arial"/>
        <w:noProof/>
      </w:rPr>
      <w:drawing>
        <wp:anchor distT="0" distB="0" distL="114300" distR="114300" simplePos="0" relativeHeight="251659264" behindDoc="0" locked="0" layoutInCell="1" allowOverlap="1" wp14:anchorId="11D4336C" wp14:editId="35363B8B">
          <wp:simplePos x="0" y="0"/>
          <wp:positionH relativeFrom="margin">
            <wp:posOffset>4654550</wp:posOffset>
          </wp:positionH>
          <wp:positionV relativeFrom="paragraph">
            <wp:posOffset>-89535</wp:posOffset>
          </wp:positionV>
          <wp:extent cx="1409700" cy="5524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09700" cy="5524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40342"/>
    <w:multiLevelType w:val="multilevel"/>
    <w:tmpl w:val="6234D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53A3E"/>
    <w:multiLevelType w:val="multilevel"/>
    <w:tmpl w:val="406CF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90236C"/>
    <w:multiLevelType w:val="multilevel"/>
    <w:tmpl w:val="4AB0A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108D6"/>
    <w:multiLevelType w:val="multilevel"/>
    <w:tmpl w:val="2F88D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184E4B"/>
    <w:multiLevelType w:val="multilevel"/>
    <w:tmpl w:val="94921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5D76DC"/>
    <w:multiLevelType w:val="multilevel"/>
    <w:tmpl w:val="742A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2D1481"/>
    <w:multiLevelType w:val="multilevel"/>
    <w:tmpl w:val="9656C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5A2DDD"/>
    <w:multiLevelType w:val="multilevel"/>
    <w:tmpl w:val="7052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BE16A4"/>
    <w:multiLevelType w:val="multilevel"/>
    <w:tmpl w:val="98A8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053208"/>
    <w:multiLevelType w:val="multilevel"/>
    <w:tmpl w:val="2BF49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7B060F"/>
    <w:multiLevelType w:val="multilevel"/>
    <w:tmpl w:val="53CC1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A65326"/>
    <w:multiLevelType w:val="multilevel"/>
    <w:tmpl w:val="53962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B84C7F"/>
    <w:multiLevelType w:val="multilevel"/>
    <w:tmpl w:val="AF4A2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BD7EAB"/>
    <w:multiLevelType w:val="multilevel"/>
    <w:tmpl w:val="9AFC4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82186A"/>
    <w:multiLevelType w:val="multilevel"/>
    <w:tmpl w:val="79DE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9F6836"/>
    <w:multiLevelType w:val="multilevel"/>
    <w:tmpl w:val="7EE0B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9F5400"/>
    <w:multiLevelType w:val="multilevel"/>
    <w:tmpl w:val="91A25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BD3F6E"/>
    <w:multiLevelType w:val="multilevel"/>
    <w:tmpl w:val="4428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703A29"/>
    <w:multiLevelType w:val="multilevel"/>
    <w:tmpl w:val="CA6AB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4D610D"/>
    <w:multiLevelType w:val="multilevel"/>
    <w:tmpl w:val="FFE6A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BF67A3"/>
    <w:multiLevelType w:val="multilevel"/>
    <w:tmpl w:val="3BD24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BF41F1"/>
    <w:multiLevelType w:val="multilevel"/>
    <w:tmpl w:val="0F30E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241485C"/>
    <w:multiLevelType w:val="multilevel"/>
    <w:tmpl w:val="7362D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33323E9"/>
    <w:multiLevelType w:val="multilevel"/>
    <w:tmpl w:val="9CBE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E9590B"/>
    <w:multiLevelType w:val="multilevel"/>
    <w:tmpl w:val="9D0A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D06712"/>
    <w:multiLevelType w:val="multilevel"/>
    <w:tmpl w:val="C0B0B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021D2A"/>
    <w:multiLevelType w:val="multilevel"/>
    <w:tmpl w:val="3670C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FDA6BDE"/>
    <w:multiLevelType w:val="multilevel"/>
    <w:tmpl w:val="C1DA8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31913EE"/>
    <w:multiLevelType w:val="multilevel"/>
    <w:tmpl w:val="9FE23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3B67917"/>
    <w:multiLevelType w:val="multilevel"/>
    <w:tmpl w:val="72FA6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BD2F32"/>
    <w:multiLevelType w:val="multilevel"/>
    <w:tmpl w:val="B9CC5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CA5380"/>
    <w:multiLevelType w:val="multilevel"/>
    <w:tmpl w:val="56B86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93A1EF7"/>
    <w:multiLevelType w:val="multilevel"/>
    <w:tmpl w:val="5BE2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9F6BE3"/>
    <w:multiLevelType w:val="multilevel"/>
    <w:tmpl w:val="75B2B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732219"/>
    <w:multiLevelType w:val="multilevel"/>
    <w:tmpl w:val="9E92D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21B49C9"/>
    <w:multiLevelType w:val="multilevel"/>
    <w:tmpl w:val="C5BE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2920A79"/>
    <w:multiLevelType w:val="multilevel"/>
    <w:tmpl w:val="C868C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2E91AD8"/>
    <w:multiLevelType w:val="multilevel"/>
    <w:tmpl w:val="ED3E1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56E5AAF"/>
    <w:multiLevelType w:val="multilevel"/>
    <w:tmpl w:val="537C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9A04384"/>
    <w:multiLevelType w:val="multilevel"/>
    <w:tmpl w:val="D7600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00F250E"/>
    <w:multiLevelType w:val="multilevel"/>
    <w:tmpl w:val="61F8E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A070D9E"/>
    <w:multiLevelType w:val="multilevel"/>
    <w:tmpl w:val="4B36B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0F32297"/>
    <w:multiLevelType w:val="multilevel"/>
    <w:tmpl w:val="5A1AF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3C7074C"/>
    <w:multiLevelType w:val="multilevel"/>
    <w:tmpl w:val="3C1E9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5507F92"/>
    <w:multiLevelType w:val="multilevel"/>
    <w:tmpl w:val="9C284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80F58D1"/>
    <w:multiLevelType w:val="multilevel"/>
    <w:tmpl w:val="4632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8332A54"/>
    <w:multiLevelType w:val="multilevel"/>
    <w:tmpl w:val="4B8EE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CF24603"/>
    <w:multiLevelType w:val="multilevel"/>
    <w:tmpl w:val="2EC00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E5A3A51"/>
    <w:multiLevelType w:val="multilevel"/>
    <w:tmpl w:val="EA929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5A220D3"/>
    <w:multiLevelType w:val="multilevel"/>
    <w:tmpl w:val="D4D6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809346C"/>
    <w:multiLevelType w:val="multilevel"/>
    <w:tmpl w:val="A852D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A6B33C4"/>
    <w:multiLevelType w:val="multilevel"/>
    <w:tmpl w:val="4036D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B3150E1"/>
    <w:multiLevelType w:val="multilevel"/>
    <w:tmpl w:val="0DFA9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B9133F2"/>
    <w:multiLevelType w:val="multilevel"/>
    <w:tmpl w:val="2066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BB11B3F"/>
    <w:multiLevelType w:val="multilevel"/>
    <w:tmpl w:val="045CB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C4952F7"/>
    <w:multiLevelType w:val="multilevel"/>
    <w:tmpl w:val="3DE02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E2C2EF5"/>
    <w:multiLevelType w:val="multilevel"/>
    <w:tmpl w:val="5C1C0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ECB183C"/>
    <w:multiLevelType w:val="multilevel"/>
    <w:tmpl w:val="F12EF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7615857">
    <w:abstractNumId w:val="52"/>
  </w:num>
  <w:num w:numId="2" w16cid:durableId="300619750">
    <w:abstractNumId w:val="22"/>
  </w:num>
  <w:num w:numId="3" w16cid:durableId="2095085576">
    <w:abstractNumId w:val="56"/>
  </w:num>
  <w:num w:numId="4" w16cid:durableId="1377319990">
    <w:abstractNumId w:val="13"/>
  </w:num>
  <w:num w:numId="5" w16cid:durableId="1113524945">
    <w:abstractNumId w:val="29"/>
  </w:num>
  <w:num w:numId="6" w16cid:durableId="916403013">
    <w:abstractNumId w:val="28"/>
  </w:num>
  <w:num w:numId="7" w16cid:durableId="1111781775">
    <w:abstractNumId w:val="12"/>
  </w:num>
  <w:num w:numId="8" w16cid:durableId="1692801766">
    <w:abstractNumId w:val="35"/>
  </w:num>
  <w:num w:numId="9" w16cid:durableId="675310352">
    <w:abstractNumId w:val="18"/>
  </w:num>
  <w:num w:numId="10" w16cid:durableId="734200524">
    <w:abstractNumId w:val="20"/>
  </w:num>
  <w:num w:numId="11" w16cid:durableId="773867243">
    <w:abstractNumId w:val="1"/>
  </w:num>
  <w:num w:numId="12" w16cid:durableId="579827170">
    <w:abstractNumId w:val="45"/>
  </w:num>
  <w:num w:numId="13" w16cid:durableId="1927490986">
    <w:abstractNumId w:val="27"/>
  </w:num>
  <w:num w:numId="14" w16cid:durableId="307326460">
    <w:abstractNumId w:val="19"/>
  </w:num>
  <w:num w:numId="15" w16cid:durableId="1175457138">
    <w:abstractNumId w:val="32"/>
  </w:num>
  <w:num w:numId="16" w16cid:durableId="263924204">
    <w:abstractNumId w:val="53"/>
  </w:num>
  <w:num w:numId="17" w16cid:durableId="604852304">
    <w:abstractNumId w:val="54"/>
  </w:num>
  <w:num w:numId="18" w16cid:durableId="2143424732">
    <w:abstractNumId w:val="36"/>
  </w:num>
  <w:num w:numId="19" w16cid:durableId="2123769508">
    <w:abstractNumId w:val="47"/>
  </w:num>
  <w:num w:numId="20" w16cid:durableId="1220899676">
    <w:abstractNumId w:val="8"/>
  </w:num>
  <w:num w:numId="21" w16cid:durableId="1230847651">
    <w:abstractNumId w:val="44"/>
  </w:num>
  <w:num w:numId="22" w16cid:durableId="1895386473">
    <w:abstractNumId w:val="24"/>
  </w:num>
  <w:num w:numId="23" w16cid:durableId="1924948077">
    <w:abstractNumId w:val="9"/>
  </w:num>
  <w:num w:numId="24" w16cid:durableId="149298490">
    <w:abstractNumId w:val="57"/>
  </w:num>
  <w:num w:numId="25" w16cid:durableId="1968123471">
    <w:abstractNumId w:val="50"/>
  </w:num>
  <w:num w:numId="26" w16cid:durableId="1037850224">
    <w:abstractNumId w:val="34"/>
  </w:num>
  <w:num w:numId="27" w16cid:durableId="781651964">
    <w:abstractNumId w:val="4"/>
  </w:num>
  <w:num w:numId="28" w16cid:durableId="1934701264">
    <w:abstractNumId w:val="51"/>
  </w:num>
  <w:num w:numId="29" w16cid:durableId="575407354">
    <w:abstractNumId w:val="3"/>
  </w:num>
  <w:num w:numId="30" w16cid:durableId="354885036">
    <w:abstractNumId w:val="14"/>
  </w:num>
  <w:num w:numId="31" w16cid:durableId="173884882">
    <w:abstractNumId w:val="7"/>
  </w:num>
  <w:num w:numId="32" w16cid:durableId="1464151422">
    <w:abstractNumId w:val="41"/>
  </w:num>
  <w:num w:numId="33" w16cid:durableId="1451313362">
    <w:abstractNumId w:val="0"/>
  </w:num>
  <w:num w:numId="34" w16cid:durableId="308705707">
    <w:abstractNumId w:val="48"/>
  </w:num>
  <w:num w:numId="35" w16cid:durableId="456878133">
    <w:abstractNumId w:val="42"/>
  </w:num>
  <w:num w:numId="36" w16cid:durableId="121853794">
    <w:abstractNumId w:val="15"/>
  </w:num>
  <w:num w:numId="37" w16cid:durableId="1568884407">
    <w:abstractNumId w:val="21"/>
  </w:num>
  <w:num w:numId="38" w16cid:durableId="1031808180">
    <w:abstractNumId w:val="16"/>
  </w:num>
  <w:num w:numId="39" w16cid:durableId="92097833">
    <w:abstractNumId w:val="40"/>
  </w:num>
  <w:num w:numId="40" w16cid:durableId="924071377">
    <w:abstractNumId w:val="46"/>
  </w:num>
  <w:num w:numId="41" w16cid:durableId="1351880949">
    <w:abstractNumId w:val="43"/>
  </w:num>
  <w:num w:numId="42" w16cid:durableId="1063530945">
    <w:abstractNumId w:val="39"/>
  </w:num>
  <w:num w:numId="43" w16cid:durableId="230236302">
    <w:abstractNumId w:val="37"/>
  </w:num>
  <w:num w:numId="44" w16cid:durableId="3291447">
    <w:abstractNumId w:val="10"/>
  </w:num>
  <w:num w:numId="45" w16cid:durableId="1740909114">
    <w:abstractNumId w:val="23"/>
  </w:num>
  <w:num w:numId="46" w16cid:durableId="120195339">
    <w:abstractNumId w:val="25"/>
  </w:num>
  <w:num w:numId="47" w16cid:durableId="1197936867">
    <w:abstractNumId w:val="6"/>
  </w:num>
  <w:num w:numId="48" w16cid:durableId="456535003">
    <w:abstractNumId w:val="55"/>
  </w:num>
  <w:num w:numId="49" w16cid:durableId="868109447">
    <w:abstractNumId w:val="31"/>
  </w:num>
  <w:num w:numId="50" w16cid:durableId="96292555">
    <w:abstractNumId w:val="26"/>
  </w:num>
  <w:num w:numId="51" w16cid:durableId="2006320734">
    <w:abstractNumId w:val="5"/>
  </w:num>
  <w:num w:numId="52" w16cid:durableId="937447186">
    <w:abstractNumId w:val="49"/>
  </w:num>
  <w:num w:numId="53" w16cid:durableId="1095830936">
    <w:abstractNumId w:val="30"/>
  </w:num>
  <w:num w:numId="54" w16cid:durableId="2084182324">
    <w:abstractNumId w:val="38"/>
  </w:num>
  <w:num w:numId="55" w16cid:durableId="1119370997">
    <w:abstractNumId w:val="11"/>
  </w:num>
  <w:num w:numId="56" w16cid:durableId="814418087">
    <w:abstractNumId w:val="2"/>
  </w:num>
  <w:num w:numId="57" w16cid:durableId="933902954">
    <w:abstractNumId w:val="17"/>
  </w:num>
  <w:num w:numId="58" w16cid:durableId="39420877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D63"/>
    <w:rsid w:val="001E12B6"/>
    <w:rsid w:val="00401836"/>
    <w:rsid w:val="004B5D63"/>
    <w:rsid w:val="00731B10"/>
    <w:rsid w:val="00774427"/>
    <w:rsid w:val="00AB371D"/>
    <w:rsid w:val="00E412C7"/>
    <w:rsid w:val="00E44DD2"/>
    <w:rsid w:val="00FE3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A68FA"/>
  <w15:chartTrackingRefBased/>
  <w15:docId w15:val="{82F22460-9D1A-4F9C-8D26-027E1AD94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D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5D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5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D63"/>
    <w:rPr>
      <w:rFonts w:eastAsiaTheme="majorEastAsia" w:cstheme="majorBidi"/>
      <w:color w:val="272727" w:themeColor="text1" w:themeTint="D8"/>
    </w:rPr>
  </w:style>
  <w:style w:type="paragraph" w:styleId="Title">
    <w:name w:val="Title"/>
    <w:basedOn w:val="Normal"/>
    <w:next w:val="Normal"/>
    <w:link w:val="TitleChar"/>
    <w:uiPriority w:val="10"/>
    <w:qFormat/>
    <w:rsid w:val="004B5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D63"/>
    <w:pPr>
      <w:spacing w:before="160"/>
      <w:jc w:val="center"/>
    </w:pPr>
    <w:rPr>
      <w:i/>
      <w:iCs/>
      <w:color w:val="404040" w:themeColor="text1" w:themeTint="BF"/>
    </w:rPr>
  </w:style>
  <w:style w:type="character" w:customStyle="1" w:styleId="QuoteChar">
    <w:name w:val="Quote Char"/>
    <w:basedOn w:val="DefaultParagraphFont"/>
    <w:link w:val="Quote"/>
    <w:uiPriority w:val="29"/>
    <w:rsid w:val="004B5D63"/>
    <w:rPr>
      <w:i/>
      <w:iCs/>
      <w:color w:val="404040" w:themeColor="text1" w:themeTint="BF"/>
    </w:rPr>
  </w:style>
  <w:style w:type="paragraph" w:styleId="ListParagraph">
    <w:name w:val="List Paragraph"/>
    <w:basedOn w:val="Normal"/>
    <w:uiPriority w:val="34"/>
    <w:qFormat/>
    <w:rsid w:val="004B5D63"/>
    <w:pPr>
      <w:ind w:left="720"/>
      <w:contextualSpacing/>
    </w:pPr>
  </w:style>
  <w:style w:type="character" w:styleId="IntenseEmphasis">
    <w:name w:val="Intense Emphasis"/>
    <w:basedOn w:val="DefaultParagraphFont"/>
    <w:uiPriority w:val="21"/>
    <w:qFormat/>
    <w:rsid w:val="004B5D63"/>
    <w:rPr>
      <w:i/>
      <w:iCs/>
      <w:color w:val="0F4761" w:themeColor="accent1" w:themeShade="BF"/>
    </w:rPr>
  </w:style>
  <w:style w:type="paragraph" w:styleId="IntenseQuote">
    <w:name w:val="Intense Quote"/>
    <w:basedOn w:val="Normal"/>
    <w:next w:val="Normal"/>
    <w:link w:val="IntenseQuoteChar"/>
    <w:uiPriority w:val="30"/>
    <w:qFormat/>
    <w:rsid w:val="004B5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D63"/>
    <w:rPr>
      <w:i/>
      <w:iCs/>
      <w:color w:val="0F4761" w:themeColor="accent1" w:themeShade="BF"/>
    </w:rPr>
  </w:style>
  <w:style w:type="character" w:styleId="IntenseReference">
    <w:name w:val="Intense Reference"/>
    <w:basedOn w:val="DefaultParagraphFont"/>
    <w:uiPriority w:val="32"/>
    <w:qFormat/>
    <w:rsid w:val="004B5D63"/>
    <w:rPr>
      <w:b/>
      <w:bCs/>
      <w:smallCaps/>
      <w:color w:val="0F4761" w:themeColor="accent1" w:themeShade="BF"/>
      <w:spacing w:val="5"/>
    </w:rPr>
  </w:style>
  <w:style w:type="paragraph" w:styleId="Header">
    <w:name w:val="header"/>
    <w:basedOn w:val="Normal"/>
    <w:link w:val="HeaderChar"/>
    <w:uiPriority w:val="99"/>
    <w:unhideWhenUsed/>
    <w:rsid w:val="001E1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2B6"/>
  </w:style>
  <w:style w:type="paragraph" w:styleId="Footer">
    <w:name w:val="footer"/>
    <w:basedOn w:val="Normal"/>
    <w:link w:val="FooterChar"/>
    <w:uiPriority w:val="99"/>
    <w:unhideWhenUsed/>
    <w:rsid w:val="001E1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2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1697</Words>
  <Characters>9676</Characters>
  <Application>Microsoft Office Word</Application>
  <DocSecurity>0</DocSecurity>
  <Lines>80</Lines>
  <Paragraphs>22</Paragraphs>
  <ScaleCrop>false</ScaleCrop>
  <Company/>
  <LinksUpToDate>false</LinksUpToDate>
  <CharactersWithSpaces>11351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Abs Bashar</dc:creator>
  <cp:keywords/>
  <dc:description/>
  <cp:lastModifiedBy>Salma Begum (2409645)</cp:lastModifiedBy>
  <cp:revision>7</cp:revision>
  <dcterms:created xsi:type="dcterms:W3CDTF">2025-11-16T10:12:00Z</dcterms:created>
  <dcterms:modified xsi:type="dcterms:W3CDTF">2025-11-17T11:56:00Z</dcterms:modified>
</cp:coreProperties>
</file>