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EF81F7" w14:textId="6FDFCA8A" w:rsidR="00300E41" w:rsidRDefault="00300E41">
      <w:r w:rsidRPr="00074402">
        <w:rPr>
          <w:rFonts w:ascii="Arial" w:hAnsi="Arial" w:cs="Arial"/>
          <w:noProof/>
        </w:rPr>
        <w:drawing>
          <wp:anchor distT="0" distB="0" distL="114300" distR="114300" simplePos="0" relativeHeight="251659264" behindDoc="0" locked="0" layoutInCell="1" allowOverlap="1" wp14:anchorId="7ABE323E" wp14:editId="6B48C5E5">
            <wp:simplePos x="0" y="0"/>
            <wp:positionH relativeFrom="column">
              <wp:posOffset>-564515</wp:posOffset>
            </wp:positionH>
            <wp:positionV relativeFrom="page">
              <wp:posOffset>700108</wp:posOffset>
            </wp:positionV>
            <wp:extent cx="1809750" cy="723900"/>
            <wp:effectExtent l="0" t="0" r="6350" b="0"/>
            <wp:wrapTopAndBottom/>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FE69DB8" w14:textId="3538D4D9" w:rsidR="00300E41" w:rsidRPr="00EC00BB" w:rsidRDefault="00300E41">
      <w:pPr>
        <w:rPr>
          <w:sz w:val="22"/>
          <w:szCs w:val="22"/>
        </w:rPr>
      </w:pPr>
    </w:p>
    <w:p w14:paraId="6F5BB664" w14:textId="4B7ED1E5" w:rsidR="00300E41" w:rsidRPr="00EC00BB" w:rsidRDefault="00300E41" w:rsidP="00300E41">
      <w:pPr>
        <w:tabs>
          <w:tab w:val="left" w:pos="6540"/>
        </w:tabs>
        <w:spacing w:line="360" w:lineRule="auto"/>
        <w:rPr>
          <w:rFonts w:ascii="Arial" w:hAnsi="Arial" w:cs="Arial"/>
        </w:rPr>
      </w:pPr>
      <w:bookmarkStart w:id="0" w:name="_Hlk119323191"/>
      <w:r w:rsidRPr="00EC00BB">
        <w:rPr>
          <w:rFonts w:ascii="Arial" w:hAnsi="Arial" w:cs="Arial"/>
          <w:b/>
          <w:bCs/>
        </w:rPr>
        <w:t>Student name</w:t>
      </w:r>
      <w:r w:rsidRPr="00EC00BB">
        <w:rPr>
          <w:rFonts w:ascii="Arial" w:hAnsi="Arial" w:cs="Arial"/>
        </w:rPr>
        <w:t xml:space="preserve">: </w:t>
      </w:r>
      <w:r w:rsidR="00392D54" w:rsidRPr="00EC00BB">
        <w:rPr>
          <w:rFonts w:ascii="Arial" w:hAnsi="Arial" w:cs="Arial"/>
          <w:b/>
          <w:bCs/>
        </w:rPr>
        <w:t>Meherun Nessa Chowdhury</w:t>
      </w:r>
    </w:p>
    <w:p w14:paraId="2C711895" w14:textId="69FCAF3A" w:rsidR="00300E41" w:rsidRPr="00EC00BB" w:rsidRDefault="00300E41" w:rsidP="00300E41">
      <w:pPr>
        <w:tabs>
          <w:tab w:val="left" w:pos="6540"/>
        </w:tabs>
        <w:spacing w:line="360" w:lineRule="auto"/>
        <w:rPr>
          <w:rFonts w:ascii="Arial" w:hAnsi="Arial" w:cs="Arial"/>
          <w:b/>
          <w:bCs/>
          <w:lang w:val="nl-NL"/>
        </w:rPr>
      </w:pPr>
      <w:r w:rsidRPr="00EC00BB">
        <w:rPr>
          <w:rFonts w:ascii="Arial" w:hAnsi="Arial" w:cs="Arial"/>
          <w:b/>
          <w:bCs/>
          <w:lang w:val="nl-NL"/>
        </w:rPr>
        <w:t xml:space="preserve">Student </w:t>
      </w:r>
      <w:r w:rsidR="00327118" w:rsidRPr="00EC00BB">
        <w:rPr>
          <w:rFonts w:ascii="Arial" w:hAnsi="Arial" w:cs="Arial"/>
          <w:b/>
          <w:bCs/>
          <w:lang w:val="nl-NL"/>
        </w:rPr>
        <w:t>ID</w:t>
      </w:r>
      <w:r w:rsidR="00327118" w:rsidRPr="00EC00BB">
        <w:rPr>
          <w:rFonts w:ascii="Arial" w:hAnsi="Arial" w:cs="Arial"/>
          <w:lang w:val="nl-NL"/>
        </w:rPr>
        <w:t xml:space="preserve">: </w:t>
      </w:r>
      <w:r w:rsidR="00327118" w:rsidRPr="00EC00BB">
        <w:rPr>
          <w:rFonts w:ascii="Arial" w:hAnsi="Arial" w:cs="Arial"/>
          <w:b/>
          <w:bCs/>
          <w:lang w:val="nl-NL"/>
        </w:rPr>
        <w:t>2516013</w:t>
      </w:r>
    </w:p>
    <w:p w14:paraId="09C8E885" w14:textId="77777777" w:rsidR="00300E41" w:rsidRPr="00EC00BB" w:rsidRDefault="00300E41" w:rsidP="00300E41">
      <w:pPr>
        <w:tabs>
          <w:tab w:val="left" w:pos="6540"/>
        </w:tabs>
        <w:spacing w:line="360" w:lineRule="auto"/>
        <w:rPr>
          <w:rFonts w:ascii="Arial" w:hAnsi="Arial" w:cs="Arial"/>
          <w:lang w:val="nl-NL"/>
        </w:rPr>
      </w:pPr>
    </w:p>
    <w:p w14:paraId="7B8CE85D" w14:textId="15D99ABC" w:rsidR="00300E41" w:rsidRPr="00EC00BB" w:rsidRDefault="00300E41" w:rsidP="00300E41">
      <w:pPr>
        <w:pStyle w:val="p1"/>
        <w:rPr>
          <w:sz w:val="16"/>
          <w:szCs w:val="16"/>
        </w:rPr>
      </w:pPr>
      <w:r w:rsidRPr="00EC00BB">
        <w:rPr>
          <w:b/>
          <w:bCs/>
          <w:sz w:val="24"/>
          <w:szCs w:val="24"/>
          <w:lang w:val="nl-NL"/>
        </w:rPr>
        <w:t>Module name</w:t>
      </w:r>
      <w:r w:rsidRPr="00EC00BB">
        <w:rPr>
          <w:sz w:val="24"/>
          <w:szCs w:val="24"/>
          <w:lang w:val="nl-NL"/>
        </w:rPr>
        <w:t xml:space="preserve">: </w:t>
      </w:r>
      <w:r w:rsidRPr="00EC00BB">
        <w:rPr>
          <w:b/>
          <w:bCs/>
          <w:i/>
          <w:iCs/>
          <w:sz w:val="24"/>
          <w:szCs w:val="24"/>
        </w:rPr>
        <w:t>INTRODUCTION TO PUBLIC HEALTH</w:t>
      </w:r>
    </w:p>
    <w:p w14:paraId="67BB44DF" w14:textId="77777777" w:rsidR="00300E41" w:rsidRPr="00EC00BB" w:rsidRDefault="00300E41" w:rsidP="00300E41">
      <w:pPr>
        <w:tabs>
          <w:tab w:val="left" w:pos="6540"/>
        </w:tabs>
        <w:spacing w:line="360" w:lineRule="auto"/>
        <w:rPr>
          <w:rFonts w:ascii="Arial" w:hAnsi="Arial" w:cs="Arial"/>
          <w:lang w:val="nl-NL"/>
        </w:rPr>
      </w:pPr>
    </w:p>
    <w:p w14:paraId="164E206A" w14:textId="2B99AC09" w:rsidR="00300E41" w:rsidRPr="00EC00BB" w:rsidRDefault="00300E41" w:rsidP="00300E41">
      <w:pPr>
        <w:pStyle w:val="p1"/>
        <w:rPr>
          <w:sz w:val="16"/>
          <w:szCs w:val="16"/>
        </w:rPr>
      </w:pPr>
      <w:r w:rsidRPr="00EC00BB">
        <w:rPr>
          <w:b/>
          <w:bCs/>
          <w:sz w:val="24"/>
          <w:szCs w:val="24"/>
        </w:rPr>
        <w:t>Module code</w:t>
      </w:r>
      <w:r w:rsidRPr="00EC00BB">
        <w:rPr>
          <w:sz w:val="24"/>
          <w:szCs w:val="24"/>
        </w:rPr>
        <w:t xml:space="preserve">: </w:t>
      </w:r>
      <w:r w:rsidRPr="00EC00BB">
        <w:rPr>
          <w:b/>
          <w:bCs/>
          <w:sz w:val="24"/>
          <w:szCs w:val="24"/>
        </w:rPr>
        <w:t>LCHS4008</w:t>
      </w:r>
    </w:p>
    <w:p w14:paraId="4E3E5095" w14:textId="77777777" w:rsidR="00300E41" w:rsidRPr="00EC00BB" w:rsidRDefault="00300E41" w:rsidP="00300E41">
      <w:pPr>
        <w:tabs>
          <w:tab w:val="left" w:pos="6540"/>
        </w:tabs>
        <w:spacing w:line="360" w:lineRule="auto"/>
        <w:rPr>
          <w:rFonts w:ascii="Arial" w:hAnsi="Arial" w:cs="Arial"/>
        </w:rPr>
      </w:pPr>
    </w:p>
    <w:p w14:paraId="3A692BC5" w14:textId="4C64BBC7" w:rsidR="00300E41" w:rsidRPr="00EC00BB" w:rsidRDefault="00300E41" w:rsidP="00300E41">
      <w:pPr>
        <w:rPr>
          <w:sz w:val="22"/>
          <w:szCs w:val="22"/>
        </w:rPr>
      </w:pPr>
      <w:r w:rsidRPr="00EC00BB">
        <w:rPr>
          <w:rFonts w:ascii="Arial" w:hAnsi="Arial" w:cs="Arial"/>
          <w:b/>
          <w:bCs/>
        </w:rPr>
        <w:t>Lecturer name</w:t>
      </w:r>
      <w:bookmarkEnd w:id="0"/>
      <w:r w:rsidRPr="00EC00BB">
        <w:rPr>
          <w:rFonts w:ascii="Arial" w:hAnsi="Arial" w:cs="Arial"/>
          <w:b/>
          <w:bCs/>
        </w:rPr>
        <w:t>: Caroline Salami</w:t>
      </w:r>
    </w:p>
    <w:p w14:paraId="7962B18C" w14:textId="5B6C9F4D" w:rsidR="00300E41" w:rsidRDefault="00300E41"/>
    <w:p w14:paraId="385567B5" w14:textId="77777777" w:rsidR="00300E41" w:rsidRDefault="00300E41"/>
    <w:p w14:paraId="1B46A8B9" w14:textId="0244CD41" w:rsidR="00300E41" w:rsidRDefault="00300E41"/>
    <w:p w14:paraId="1359DAD2" w14:textId="03863F19" w:rsidR="002A77E0" w:rsidRDefault="00300E41">
      <w:r>
        <w:br w:type="page"/>
      </w:r>
    </w:p>
    <w:p w14:paraId="28005256" w14:textId="77777777" w:rsidR="00300E41" w:rsidRDefault="00300E41"/>
    <w:p w14:paraId="6C3E2427" w14:textId="3D1DAC3C" w:rsidR="00392D54" w:rsidRPr="006630E8" w:rsidRDefault="00392D54" w:rsidP="00FE70A5">
      <w:pPr>
        <w:spacing w:line="360" w:lineRule="auto"/>
        <w:jc w:val="center"/>
        <w:rPr>
          <w:rFonts w:ascii="Arial" w:hAnsi="Arial" w:cs="Arial"/>
          <w:b/>
          <w:bCs/>
          <w:sz w:val="28"/>
          <w:szCs w:val="28"/>
        </w:rPr>
      </w:pPr>
      <w:r w:rsidRPr="006630E8">
        <w:rPr>
          <w:rFonts w:ascii="Arial" w:hAnsi="Arial" w:cs="Arial"/>
          <w:b/>
          <w:bCs/>
          <w:sz w:val="28"/>
          <w:szCs w:val="28"/>
        </w:rPr>
        <w:t>Introduction</w:t>
      </w:r>
    </w:p>
    <w:p w14:paraId="3911DD7B" w14:textId="29DBB1BB" w:rsidR="00506C90" w:rsidRPr="00EC00BB" w:rsidRDefault="00506C90" w:rsidP="00FE70A5">
      <w:pPr>
        <w:spacing w:line="360" w:lineRule="auto"/>
        <w:rPr>
          <w:rFonts w:ascii="Arial" w:hAnsi="Arial" w:cs="Arial"/>
          <w:sz w:val="22"/>
          <w:szCs w:val="22"/>
        </w:rPr>
      </w:pPr>
      <w:r w:rsidRPr="00EC00BB">
        <w:rPr>
          <w:rFonts w:ascii="Arial" w:hAnsi="Arial" w:cs="Arial"/>
          <w:sz w:val="22"/>
          <w:szCs w:val="22"/>
        </w:rPr>
        <w:t xml:space="preserve">Dementia is a progressive neurological condition that affects memory, thinking, behaviour, and the ability to perform everyday activities. It is not a single disease but an umbrella term for disorders caused by damage to the brain, with Alzheimer’s disease being the most common form (NHS 2023). Dementia affects older adults, although it is not a normal part of ageing. </w:t>
      </w:r>
    </w:p>
    <w:p w14:paraId="2433F4A2" w14:textId="77777777" w:rsidR="006630E8" w:rsidRPr="00EC00BB" w:rsidRDefault="006630E8" w:rsidP="00FE70A5">
      <w:pPr>
        <w:spacing w:line="360" w:lineRule="auto"/>
        <w:rPr>
          <w:rFonts w:ascii="Arial" w:hAnsi="Arial" w:cs="Arial"/>
          <w:sz w:val="22"/>
          <w:szCs w:val="22"/>
        </w:rPr>
      </w:pPr>
    </w:p>
    <w:p w14:paraId="6C8605E8" w14:textId="4F8646C7" w:rsidR="00660BEB" w:rsidRPr="00EC00BB" w:rsidRDefault="00660BEB" w:rsidP="00FE70A5">
      <w:pPr>
        <w:pStyle w:val="NoSpacing"/>
        <w:spacing w:line="360" w:lineRule="auto"/>
        <w:rPr>
          <w:rFonts w:ascii="Arial" w:hAnsi="Arial" w:cs="Arial"/>
          <w:b/>
          <w:bCs/>
        </w:rPr>
      </w:pPr>
      <w:r w:rsidRPr="00EC00BB">
        <w:rPr>
          <w:rFonts w:ascii="Arial" w:hAnsi="Arial" w:cs="Arial"/>
          <w:b/>
          <w:bCs/>
        </w:rPr>
        <w:t>Signs and Symptoms</w:t>
      </w:r>
    </w:p>
    <w:p w14:paraId="4521D1AB" w14:textId="77777777" w:rsidR="006630E8" w:rsidRPr="00EC00BB" w:rsidRDefault="006630E8" w:rsidP="00FE70A5">
      <w:pPr>
        <w:pStyle w:val="NoSpacing"/>
        <w:spacing w:line="360" w:lineRule="auto"/>
        <w:rPr>
          <w:rFonts w:ascii="Arial" w:hAnsi="Arial" w:cs="Arial"/>
          <w:b/>
          <w:bCs/>
        </w:rPr>
      </w:pPr>
    </w:p>
    <w:p w14:paraId="56E1385B" w14:textId="23515F41" w:rsidR="00506C90" w:rsidRPr="00EC00BB" w:rsidRDefault="00506C90" w:rsidP="00FE70A5">
      <w:pPr>
        <w:pStyle w:val="NoSpacing"/>
        <w:spacing w:line="360" w:lineRule="auto"/>
        <w:rPr>
          <w:rFonts w:ascii="Arial" w:hAnsi="Arial" w:cs="Arial"/>
        </w:rPr>
      </w:pPr>
      <w:r w:rsidRPr="00EC00BB">
        <w:rPr>
          <w:rFonts w:ascii="Arial" w:hAnsi="Arial" w:cs="Arial"/>
        </w:rPr>
        <w:t xml:space="preserve">Common signs and symptoms include memory loss, confusion, difficulty with communication, impaired reasoning, mood changes, and reduced ability to carry out daily tasks. As the condition progresses, individuals may require full time care. </w:t>
      </w:r>
    </w:p>
    <w:p w14:paraId="4AC176F4" w14:textId="77777777" w:rsidR="00660BEB" w:rsidRPr="00EC00BB" w:rsidRDefault="00660BEB" w:rsidP="00FE70A5">
      <w:pPr>
        <w:pStyle w:val="NoSpacing"/>
        <w:spacing w:line="360" w:lineRule="auto"/>
        <w:rPr>
          <w:rFonts w:ascii="Arial" w:hAnsi="Arial" w:cs="Arial"/>
        </w:rPr>
      </w:pPr>
    </w:p>
    <w:p w14:paraId="782F53E5" w14:textId="1B097DCC" w:rsidR="00392D54" w:rsidRPr="00EC00BB" w:rsidRDefault="00506C90" w:rsidP="00FE70A5">
      <w:pPr>
        <w:spacing w:line="360" w:lineRule="auto"/>
        <w:rPr>
          <w:rFonts w:ascii="Arial" w:hAnsi="Arial" w:cs="Arial"/>
          <w:sz w:val="22"/>
          <w:szCs w:val="22"/>
        </w:rPr>
      </w:pPr>
      <w:r w:rsidRPr="00EC00BB">
        <w:rPr>
          <w:rFonts w:ascii="Arial" w:hAnsi="Arial" w:cs="Arial"/>
          <w:sz w:val="22"/>
          <w:szCs w:val="22"/>
        </w:rPr>
        <w:t>Dementia is a growing global health concern. According to the World Health Organisation (WHO), over 55 million people worldwide live with dementia, with nearly 10 million new cases each year (WHO, 2023). In the UK, roughly 944,000 people are living with dementia, a figure expected to rise significantly due to an ageing population (Alzheimer’s Society, 2024). These statistics show the severity and impact of dementia on individuals’ family’s and healthcare systems.</w:t>
      </w:r>
    </w:p>
    <w:p w14:paraId="6878D843" w14:textId="1B3090CA" w:rsidR="006630E8" w:rsidRPr="00EC00BB" w:rsidRDefault="006630E8" w:rsidP="00FE70A5">
      <w:pPr>
        <w:spacing w:line="360" w:lineRule="auto"/>
        <w:rPr>
          <w:rFonts w:ascii="Arial" w:hAnsi="Arial" w:cs="Arial"/>
          <w:sz w:val="22"/>
          <w:szCs w:val="22"/>
        </w:rPr>
      </w:pPr>
      <w:r w:rsidRPr="00EC00BB">
        <w:rPr>
          <w:rFonts w:ascii="Arial" w:hAnsi="Arial" w:cs="Arial"/>
          <w:sz w:val="22"/>
          <w:szCs w:val="22"/>
        </w:rPr>
        <w:t xml:space="preserve">Economically, dementia is one of the </w:t>
      </w:r>
      <w:proofErr w:type="gramStart"/>
      <w:r w:rsidRPr="00EC00BB">
        <w:rPr>
          <w:rFonts w:ascii="Arial" w:hAnsi="Arial" w:cs="Arial"/>
          <w:sz w:val="22"/>
          <w:szCs w:val="22"/>
        </w:rPr>
        <w:t>most costly</w:t>
      </w:r>
      <w:proofErr w:type="gramEnd"/>
      <w:r w:rsidRPr="00EC00BB">
        <w:rPr>
          <w:rFonts w:ascii="Arial" w:hAnsi="Arial" w:cs="Arial"/>
          <w:sz w:val="22"/>
          <w:szCs w:val="22"/>
        </w:rPr>
        <w:t xml:space="preserve"> health conditions. The total cost of dementia in the UK is estimated to exceed 25 billion pounds per year (Alzheimer’s Society, 2024). This includes healthcare costs, social care and unpaid caregiving. </w:t>
      </w:r>
    </w:p>
    <w:p w14:paraId="79A5F529" w14:textId="77777777" w:rsidR="006630E8" w:rsidRPr="00EC00BB" w:rsidRDefault="006630E8" w:rsidP="00FE70A5">
      <w:pPr>
        <w:spacing w:line="360" w:lineRule="auto"/>
        <w:rPr>
          <w:rFonts w:ascii="Arial" w:hAnsi="Arial" w:cs="Arial"/>
        </w:rPr>
      </w:pPr>
    </w:p>
    <w:p w14:paraId="33B0BFDC" w14:textId="77777777" w:rsidR="00EC00BB" w:rsidRDefault="00EC00BB" w:rsidP="00FE70A5">
      <w:pPr>
        <w:pStyle w:val="NoSpacing"/>
        <w:spacing w:line="360" w:lineRule="auto"/>
        <w:rPr>
          <w:rFonts w:ascii="Arial" w:hAnsi="Arial" w:cs="Arial"/>
          <w:b/>
          <w:bCs/>
          <w:sz w:val="28"/>
          <w:szCs w:val="28"/>
        </w:rPr>
      </w:pPr>
    </w:p>
    <w:p w14:paraId="5C6165B7" w14:textId="77777777" w:rsidR="00EC00BB" w:rsidRDefault="00EC00BB" w:rsidP="00FE70A5">
      <w:pPr>
        <w:pStyle w:val="NoSpacing"/>
        <w:spacing w:line="360" w:lineRule="auto"/>
        <w:rPr>
          <w:rFonts w:ascii="Arial" w:hAnsi="Arial" w:cs="Arial"/>
          <w:b/>
          <w:bCs/>
          <w:sz w:val="28"/>
          <w:szCs w:val="28"/>
        </w:rPr>
      </w:pPr>
    </w:p>
    <w:p w14:paraId="4215E932" w14:textId="77777777" w:rsidR="00EC00BB" w:rsidRDefault="00EC00BB" w:rsidP="00FE70A5">
      <w:pPr>
        <w:pStyle w:val="NoSpacing"/>
        <w:spacing w:line="360" w:lineRule="auto"/>
        <w:rPr>
          <w:rFonts w:ascii="Arial" w:hAnsi="Arial" w:cs="Arial"/>
          <w:b/>
          <w:bCs/>
          <w:sz w:val="28"/>
          <w:szCs w:val="28"/>
        </w:rPr>
      </w:pPr>
    </w:p>
    <w:p w14:paraId="5FF8C72B" w14:textId="77777777" w:rsidR="00EC00BB" w:rsidRDefault="00EC00BB" w:rsidP="00FE70A5">
      <w:pPr>
        <w:pStyle w:val="NoSpacing"/>
        <w:spacing w:line="360" w:lineRule="auto"/>
        <w:rPr>
          <w:rFonts w:ascii="Arial" w:hAnsi="Arial" w:cs="Arial"/>
          <w:b/>
          <w:bCs/>
          <w:sz w:val="28"/>
          <w:szCs w:val="28"/>
        </w:rPr>
      </w:pPr>
    </w:p>
    <w:p w14:paraId="4F679D2C" w14:textId="77777777" w:rsidR="00EC00BB" w:rsidRDefault="00EC00BB" w:rsidP="00FE70A5">
      <w:pPr>
        <w:pStyle w:val="NoSpacing"/>
        <w:spacing w:line="360" w:lineRule="auto"/>
        <w:rPr>
          <w:rFonts w:ascii="Arial" w:hAnsi="Arial" w:cs="Arial"/>
          <w:b/>
          <w:bCs/>
          <w:sz w:val="28"/>
          <w:szCs w:val="28"/>
        </w:rPr>
      </w:pPr>
    </w:p>
    <w:p w14:paraId="4FD83038" w14:textId="77777777" w:rsidR="00EC00BB" w:rsidRDefault="00EC00BB" w:rsidP="00FE70A5">
      <w:pPr>
        <w:pStyle w:val="NoSpacing"/>
        <w:spacing w:line="360" w:lineRule="auto"/>
        <w:rPr>
          <w:rFonts w:ascii="Arial" w:hAnsi="Arial" w:cs="Arial"/>
          <w:b/>
          <w:bCs/>
          <w:sz w:val="28"/>
          <w:szCs w:val="28"/>
        </w:rPr>
      </w:pPr>
    </w:p>
    <w:p w14:paraId="09F3A394" w14:textId="77777777" w:rsidR="00EC00BB" w:rsidRDefault="00EC00BB" w:rsidP="00FE70A5">
      <w:pPr>
        <w:pStyle w:val="NoSpacing"/>
        <w:spacing w:line="360" w:lineRule="auto"/>
        <w:rPr>
          <w:rFonts w:ascii="Arial" w:hAnsi="Arial" w:cs="Arial"/>
          <w:b/>
          <w:bCs/>
          <w:sz w:val="28"/>
          <w:szCs w:val="28"/>
        </w:rPr>
      </w:pPr>
    </w:p>
    <w:p w14:paraId="470DEF2E" w14:textId="12E22D61" w:rsidR="006630E8" w:rsidRPr="006630E8" w:rsidRDefault="00660BEB" w:rsidP="00FE70A5">
      <w:pPr>
        <w:pStyle w:val="NoSpacing"/>
        <w:spacing w:line="360" w:lineRule="auto"/>
        <w:rPr>
          <w:rFonts w:ascii="Arial" w:hAnsi="Arial" w:cs="Arial"/>
          <w:b/>
          <w:bCs/>
          <w:sz w:val="28"/>
          <w:szCs w:val="28"/>
        </w:rPr>
      </w:pPr>
      <w:r w:rsidRPr="006630E8">
        <w:rPr>
          <w:rFonts w:ascii="Arial" w:hAnsi="Arial" w:cs="Arial"/>
          <w:b/>
          <w:bCs/>
          <w:sz w:val="28"/>
          <w:szCs w:val="28"/>
        </w:rPr>
        <w:lastRenderedPageBreak/>
        <w:t>Measuring and monitoring</w:t>
      </w:r>
    </w:p>
    <w:p w14:paraId="56B41757" w14:textId="77777777" w:rsidR="006630E8" w:rsidRPr="00EC00BB" w:rsidRDefault="00506C90" w:rsidP="00FE70A5">
      <w:pPr>
        <w:pStyle w:val="NoSpacing"/>
        <w:spacing w:line="360" w:lineRule="auto"/>
        <w:rPr>
          <w:rFonts w:ascii="Arial" w:hAnsi="Arial" w:cs="Arial"/>
          <w:color w:val="EE0000"/>
        </w:rPr>
      </w:pPr>
      <w:r w:rsidRPr="00EC00BB">
        <w:rPr>
          <w:rFonts w:ascii="Arial" w:hAnsi="Arial" w:cs="Arial"/>
        </w:rPr>
        <w:t>Dementia is measured and monitored using a combination of clinical assessments, diagnostic tools, and population level data collection. At an individual level, healthcare professionals use cognitive assessments such as the Mini Mental State Examination (MMSE) and Montreal Cognitive Assessment (MoCA) to evaluate memory, attention and language abilities (NICE, 2022). Brain imaging techniques such as MRI and CT scans are also used to detect structural changes in the brain. Blood tests may be conducted to rule out other conditions that could cause similar symptoms</w:t>
      </w:r>
      <w:r w:rsidRPr="00EC00BB">
        <w:rPr>
          <w:rFonts w:ascii="Arial" w:hAnsi="Arial" w:cs="Arial"/>
          <w:color w:val="EE0000"/>
        </w:rPr>
        <w:t xml:space="preserve">. </w:t>
      </w:r>
    </w:p>
    <w:p w14:paraId="7D4D84EF" w14:textId="77777777" w:rsidR="006630E8" w:rsidRPr="00EC00BB" w:rsidRDefault="006630E8" w:rsidP="00FE70A5">
      <w:pPr>
        <w:pStyle w:val="NoSpacing"/>
        <w:spacing w:line="360" w:lineRule="auto"/>
        <w:rPr>
          <w:rFonts w:ascii="Arial" w:hAnsi="Arial" w:cs="Arial"/>
          <w:color w:val="EE0000"/>
          <w:sz w:val="28"/>
          <w:szCs w:val="28"/>
        </w:rPr>
      </w:pPr>
    </w:p>
    <w:p w14:paraId="62608815" w14:textId="2C64A31B" w:rsidR="00AF754A" w:rsidRPr="00EC00BB" w:rsidRDefault="00AF754A" w:rsidP="00FE70A5">
      <w:pPr>
        <w:pStyle w:val="NoSpacing"/>
        <w:spacing w:line="360" w:lineRule="auto"/>
        <w:rPr>
          <w:rFonts w:ascii="Arial" w:hAnsi="Arial" w:cs="Arial"/>
          <w:b/>
          <w:bCs/>
          <w:color w:val="000000" w:themeColor="text1"/>
          <w:sz w:val="28"/>
          <w:szCs w:val="28"/>
        </w:rPr>
      </w:pPr>
      <w:r w:rsidRPr="00EC00BB">
        <w:rPr>
          <w:rFonts w:ascii="Arial" w:hAnsi="Arial" w:cs="Arial"/>
          <w:b/>
          <w:bCs/>
          <w:color w:val="000000" w:themeColor="text1"/>
          <w:sz w:val="28"/>
          <w:szCs w:val="28"/>
        </w:rPr>
        <w:t xml:space="preserve">NHS Health Checks </w:t>
      </w:r>
    </w:p>
    <w:p w14:paraId="1B840867" w14:textId="4615EA56" w:rsidR="00506C90" w:rsidRPr="00EC00BB" w:rsidRDefault="00506C90" w:rsidP="00FE70A5">
      <w:pPr>
        <w:spacing w:line="360" w:lineRule="auto"/>
        <w:rPr>
          <w:rFonts w:ascii="Arial" w:hAnsi="Arial" w:cs="Arial"/>
          <w:sz w:val="22"/>
          <w:szCs w:val="22"/>
        </w:rPr>
      </w:pPr>
      <w:r w:rsidRPr="00EC00BB">
        <w:rPr>
          <w:rFonts w:ascii="Arial" w:hAnsi="Arial" w:cs="Arial"/>
          <w:sz w:val="22"/>
          <w:szCs w:val="22"/>
        </w:rPr>
        <w:t xml:space="preserve">Monitoring dementia progression involves regular follow ups to assess changes in cognitive function, behaviour, and daily living abilities. Care plans are adjusted accordingly to meet the evolving needs of the individual. At a population level, dementia is monitored through national health databases and public health surveillance systems. In the UK, organisations such as NHS Digital and Public health England collect data on diagnosis rates, hospital admissions, and mortality. This data helps to identify trends, allocate resources, and develop public health policies. </w:t>
      </w:r>
    </w:p>
    <w:p w14:paraId="02CCDACC" w14:textId="77777777" w:rsidR="00506C90" w:rsidRPr="00EC00BB" w:rsidRDefault="00506C90" w:rsidP="00FE70A5">
      <w:pPr>
        <w:spacing w:line="360" w:lineRule="auto"/>
        <w:rPr>
          <w:rFonts w:ascii="Arial" w:hAnsi="Arial" w:cs="Arial"/>
          <w:sz w:val="22"/>
          <w:szCs w:val="22"/>
        </w:rPr>
      </w:pPr>
      <w:r w:rsidRPr="00EC00BB">
        <w:rPr>
          <w:rFonts w:ascii="Arial" w:hAnsi="Arial" w:cs="Arial"/>
          <w:sz w:val="22"/>
          <w:szCs w:val="22"/>
        </w:rPr>
        <w:t xml:space="preserve">Measures such as prevalence and incidence rates are used to understand the scale of the disease. Prevalence refers to the total number of people living with dementia at a given time, while incidence measures the number of new cases. These systems are essential for planning services and predicting future demand. </w:t>
      </w:r>
    </w:p>
    <w:p w14:paraId="2724EC89" w14:textId="77777777" w:rsidR="00506C90" w:rsidRPr="00EC00BB" w:rsidRDefault="00506C90" w:rsidP="00FE70A5">
      <w:pPr>
        <w:spacing w:line="360" w:lineRule="auto"/>
        <w:rPr>
          <w:rFonts w:ascii="Arial" w:hAnsi="Arial" w:cs="Arial"/>
          <w:sz w:val="22"/>
          <w:szCs w:val="22"/>
        </w:rPr>
      </w:pPr>
      <w:r w:rsidRPr="00EC00BB">
        <w:rPr>
          <w:rFonts w:ascii="Arial" w:hAnsi="Arial" w:cs="Arial"/>
          <w:sz w:val="22"/>
          <w:szCs w:val="22"/>
        </w:rPr>
        <w:t xml:space="preserve">Screening programs are less common for dementia compared to other diseases, mainly because early diagnosis can be complex. However, increases awareness campaigns encourage early help seeking, which supports earlier diagnosis and intervention. </w:t>
      </w:r>
    </w:p>
    <w:p w14:paraId="7683FE74" w14:textId="47217B39" w:rsidR="00506C90" w:rsidRPr="00EC00BB" w:rsidRDefault="00506C90" w:rsidP="00FE70A5">
      <w:pPr>
        <w:spacing w:line="360" w:lineRule="auto"/>
        <w:rPr>
          <w:rFonts w:ascii="Arial" w:hAnsi="Arial" w:cs="Arial"/>
          <w:sz w:val="22"/>
          <w:szCs w:val="22"/>
        </w:rPr>
      </w:pPr>
      <w:r w:rsidRPr="00EC00BB">
        <w:rPr>
          <w:rFonts w:ascii="Arial" w:hAnsi="Arial" w:cs="Arial"/>
          <w:sz w:val="22"/>
          <w:szCs w:val="22"/>
        </w:rPr>
        <w:t xml:space="preserve">Although there is currently no cure for most forms of dementia, several strategies are used to control its impact and reduce risk. Primary prevention focuses on reducing risk factors. Research shows that lifestyle factors such as smoking, lack of </w:t>
      </w:r>
      <w:r w:rsidR="00C0583C" w:rsidRPr="00EC00BB">
        <w:rPr>
          <w:rFonts w:ascii="Arial" w:hAnsi="Arial" w:cs="Arial"/>
          <w:sz w:val="22"/>
          <w:szCs w:val="22"/>
        </w:rPr>
        <w:t>physical</w:t>
      </w:r>
      <w:r w:rsidRPr="00EC00BB">
        <w:rPr>
          <w:rFonts w:ascii="Arial" w:hAnsi="Arial" w:cs="Arial"/>
          <w:sz w:val="22"/>
          <w:szCs w:val="22"/>
        </w:rPr>
        <w:t xml:space="preserve"> activity, poor diet and excessive alcohol consumption increase the risk of developing dementia (Livingston et al, 2020). Public health initiatives promote healthy lifestyles, including regular exercise, balanced diets, and cardiovascular health management. </w:t>
      </w:r>
    </w:p>
    <w:p w14:paraId="6EF6F7F7" w14:textId="7308BA54" w:rsidR="00C043E4" w:rsidRPr="00EC00BB" w:rsidRDefault="00506C90" w:rsidP="00FE70A5">
      <w:pPr>
        <w:spacing w:line="360" w:lineRule="auto"/>
        <w:rPr>
          <w:rFonts w:ascii="Arial" w:hAnsi="Arial" w:cs="Arial"/>
          <w:sz w:val="22"/>
          <w:szCs w:val="22"/>
        </w:rPr>
      </w:pPr>
      <w:r w:rsidRPr="00EC00BB">
        <w:rPr>
          <w:rFonts w:ascii="Arial" w:hAnsi="Arial" w:cs="Arial"/>
          <w:sz w:val="22"/>
          <w:szCs w:val="22"/>
        </w:rPr>
        <w:t xml:space="preserve">Secondary prevention involves early diagnosis and intervention. Early detection allows individuals to access treatments and support services that can slow disease progression and improve quality of life. </w:t>
      </w:r>
      <w:r w:rsidR="00FA13B3" w:rsidRPr="00EC00BB">
        <w:rPr>
          <w:rFonts w:ascii="Arial" w:hAnsi="Arial" w:cs="Arial"/>
          <w:sz w:val="22"/>
          <w:szCs w:val="22"/>
        </w:rPr>
        <w:t xml:space="preserve">Tertiary prevention focuses on managing symptoms and reducing </w:t>
      </w:r>
      <w:r w:rsidR="00FA13B3" w:rsidRPr="00EC00BB">
        <w:rPr>
          <w:rFonts w:ascii="Arial" w:hAnsi="Arial" w:cs="Arial"/>
          <w:sz w:val="22"/>
          <w:szCs w:val="22"/>
        </w:rPr>
        <w:lastRenderedPageBreak/>
        <w:t>complications. This involves providing psychological support, occupational therapy, and personalised care plans to maintain independence for as long as possible.</w:t>
      </w:r>
    </w:p>
    <w:p w14:paraId="0008DC45" w14:textId="4E765340" w:rsidR="00C043E4" w:rsidRPr="00EC00BB" w:rsidRDefault="00EC00BB" w:rsidP="00FE70A5">
      <w:pPr>
        <w:spacing w:line="360" w:lineRule="auto"/>
        <w:rPr>
          <w:rFonts w:ascii="Arial" w:hAnsi="Arial" w:cs="Arial"/>
          <w:b/>
          <w:bCs/>
          <w:color w:val="000000" w:themeColor="text1"/>
          <w:sz w:val="28"/>
          <w:szCs w:val="28"/>
        </w:rPr>
      </w:pPr>
      <w:r w:rsidRPr="00EC00BB">
        <w:rPr>
          <w:rFonts w:ascii="Arial" w:hAnsi="Arial" w:cs="Arial"/>
          <w:b/>
          <w:bCs/>
          <w:color w:val="000000" w:themeColor="text1"/>
          <w:sz w:val="28"/>
          <w:szCs w:val="28"/>
        </w:rPr>
        <w:t>Disease is controlled</w:t>
      </w:r>
    </w:p>
    <w:p w14:paraId="18014D8E" w14:textId="77777777" w:rsidR="00C043E4" w:rsidRPr="00EC00BB" w:rsidRDefault="00FA13B3" w:rsidP="00FE70A5">
      <w:pPr>
        <w:spacing w:line="360" w:lineRule="auto"/>
        <w:rPr>
          <w:rFonts w:ascii="Arial" w:hAnsi="Arial" w:cs="Arial"/>
          <w:sz w:val="22"/>
          <w:szCs w:val="22"/>
        </w:rPr>
      </w:pPr>
      <w:r w:rsidRPr="00EC00BB">
        <w:rPr>
          <w:rFonts w:ascii="Arial" w:hAnsi="Arial" w:cs="Arial"/>
          <w:sz w:val="22"/>
          <w:szCs w:val="22"/>
        </w:rPr>
        <w:t xml:space="preserve">Policy frameworks also play a significant role in controlling dementia. In the UK, the “Prime Minister’s Challenge on Dementia” has aimed to improve awareness, diagnosis rates, and care quality. </w:t>
      </w:r>
    </w:p>
    <w:p w14:paraId="4F71A768" w14:textId="184DA2F4" w:rsidR="00FA13B3" w:rsidRPr="00EC00BB" w:rsidRDefault="00C043E4" w:rsidP="00FE70A5">
      <w:pPr>
        <w:spacing w:line="360" w:lineRule="auto"/>
        <w:rPr>
          <w:rFonts w:ascii="Arial" w:hAnsi="Arial" w:cs="Arial"/>
          <w:sz w:val="22"/>
          <w:szCs w:val="22"/>
        </w:rPr>
      </w:pPr>
      <w:r w:rsidRPr="00EC00BB">
        <w:rPr>
          <w:rFonts w:ascii="Arial" w:hAnsi="Arial" w:cs="Arial"/>
          <w:color w:val="000000" w:themeColor="text1"/>
          <w:sz w:val="22"/>
          <w:szCs w:val="22"/>
        </w:rPr>
        <w:t>Community based</w:t>
      </w:r>
      <w:r w:rsidR="00FA13B3" w:rsidRPr="00EC00BB">
        <w:rPr>
          <w:rFonts w:ascii="Arial" w:hAnsi="Arial" w:cs="Arial"/>
          <w:sz w:val="22"/>
          <w:szCs w:val="22"/>
        </w:rPr>
        <w:t xml:space="preserve"> programmes and dementia friendly initiatives help create supportive environments for affected individuals. </w:t>
      </w:r>
    </w:p>
    <w:p w14:paraId="1CC7C21B" w14:textId="0AB96F7A" w:rsidR="00FA13B3" w:rsidRPr="00EC00BB" w:rsidRDefault="00FA13B3" w:rsidP="00FE70A5">
      <w:pPr>
        <w:spacing w:line="360" w:lineRule="auto"/>
        <w:rPr>
          <w:rFonts w:ascii="Arial" w:hAnsi="Arial" w:cs="Arial"/>
          <w:sz w:val="22"/>
          <w:szCs w:val="22"/>
        </w:rPr>
      </w:pPr>
      <w:r w:rsidRPr="00EC00BB">
        <w:rPr>
          <w:rFonts w:ascii="Arial" w:hAnsi="Arial" w:cs="Arial"/>
          <w:sz w:val="22"/>
          <w:szCs w:val="22"/>
        </w:rPr>
        <w:t xml:space="preserve">Dementia has wide ranging consequences that affect not only individuals but also families, caregivers and </w:t>
      </w:r>
      <w:r w:rsidR="00686900" w:rsidRPr="00EC00BB">
        <w:rPr>
          <w:rFonts w:ascii="Arial" w:hAnsi="Arial" w:cs="Arial"/>
          <w:sz w:val="22"/>
          <w:szCs w:val="22"/>
        </w:rPr>
        <w:t>society</w:t>
      </w:r>
      <w:r w:rsidRPr="00EC00BB">
        <w:rPr>
          <w:rFonts w:ascii="Arial" w:hAnsi="Arial" w:cs="Arial"/>
          <w:sz w:val="22"/>
          <w:szCs w:val="22"/>
        </w:rPr>
        <w:t xml:space="preserve">. </w:t>
      </w:r>
    </w:p>
    <w:p w14:paraId="797A6D0A" w14:textId="77777777" w:rsidR="00FA13B3" w:rsidRPr="00EC00BB" w:rsidRDefault="00FA13B3" w:rsidP="00FE70A5">
      <w:pPr>
        <w:spacing w:line="360" w:lineRule="auto"/>
        <w:rPr>
          <w:rFonts w:ascii="Arial" w:hAnsi="Arial" w:cs="Arial"/>
          <w:sz w:val="22"/>
          <w:szCs w:val="22"/>
        </w:rPr>
      </w:pPr>
      <w:r w:rsidRPr="00EC00BB">
        <w:rPr>
          <w:rFonts w:ascii="Arial" w:hAnsi="Arial" w:cs="Arial"/>
          <w:sz w:val="22"/>
          <w:szCs w:val="22"/>
        </w:rPr>
        <w:t xml:space="preserve">For individuals, dementia leads to progressive cognitive decline, loss of independence, and increased reliance on others for daily activities. Emotional and psychological impacts are also significant, including anxiety, depression and social withdrawal. As the disease progresses, individuals may lose the ability to communicate and recognise loved ones. </w:t>
      </w:r>
    </w:p>
    <w:p w14:paraId="0D4E4B20" w14:textId="7BCE338F" w:rsidR="00FA13B3" w:rsidRPr="00EC00BB" w:rsidRDefault="00FA13B3" w:rsidP="00FE70A5">
      <w:pPr>
        <w:spacing w:line="360" w:lineRule="auto"/>
        <w:rPr>
          <w:rFonts w:ascii="Arial" w:hAnsi="Arial" w:cs="Arial"/>
          <w:sz w:val="22"/>
          <w:szCs w:val="22"/>
        </w:rPr>
      </w:pPr>
      <w:r w:rsidRPr="00EC00BB">
        <w:rPr>
          <w:rFonts w:ascii="Arial" w:hAnsi="Arial" w:cs="Arial"/>
          <w:sz w:val="22"/>
          <w:szCs w:val="22"/>
        </w:rPr>
        <w:t xml:space="preserve">Families and caregivers often experience physical, emotional and financial strain. Many carers provide unpaid support, which can lead to stress, burnout and reduced quality of life. According to the Alzheimer’s Society (2024) carers save the UK economy billions of pounds annually but often receive limited support. </w:t>
      </w:r>
    </w:p>
    <w:p w14:paraId="0E84615E" w14:textId="32073386" w:rsidR="00FA13B3" w:rsidRPr="00EC00BB" w:rsidRDefault="00FA13B3" w:rsidP="00FE70A5">
      <w:pPr>
        <w:spacing w:line="360" w:lineRule="auto"/>
        <w:rPr>
          <w:rFonts w:ascii="Arial" w:hAnsi="Arial" w:cs="Arial"/>
          <w:sz w:val="22"/>
          <w:szCs w:val="22"/>
        </w:rPr>
      </w:pPr>
      <w:r w:rsidRPr="00EC00BB">
        <w:rPr>
          <w:rFonts w:ascii="Arial" w:hAnsi="Arial" w:cs="Arial"/>
          <w:sz w:val="22"/>
          <w:szCs w:val="22"/>
        </w:rPr>
        <w:t xml:space="preserve">At a community level, dementia places a significant burden on health and social care systems. Increased demand for services such as home care, residential care, and hospital admissions leads to higher healthcare costs. Dementia is one of the leading causes of disability and dependency among older people. </w:t>
      </w:r>
    </w:p>
    <w:p w14:paraId="7D381251" w14:textId="2176D097" w:rsidR="00FA13B3" w:rsidRPr="00EC00BB" w:rsidRDefault="00FA13B3" w:rsidP="00FE70A5">
      <w:pPr>
        <w:spacing w:line="360" w:lineRule="auto"/>
        <w:rPr>
          <w:rFonts w:ascii="Arial" w:hAnsi="Arial" w:cs="Arial"/>
          <w:sz w:val="22"/>
          <w:szCs w:val="22"/>
        </w:rPr>
      </w:pPr>
      <w:r w:rsidRPr="00EC00BB">
        <w:rPr>
          <w:rFonts w:ascii="Arial" w:hAnsi="Arial" w:cs="Arial"/>
          <w:sz w:val="22"/>
          <w:szCs w:val="22"/>
        </w:rPr>
        <w:t xml:space="preserve">There are also broader social consequences, including stigma and discrimination. Individuals with dementia may face social exclusion due to a lack of understanding about the condition. This can further impact mental health and reduce access to community support. </w:t>
      </w:r>
    </w:p>
    <w:p w14:paraId="2C884B9C" w14:textId="71B3A6D5" w:rsidR="00FA13B3" w:rsidRPr="00EC00BB" w:rsidRDefault="00FA13B3" w:rsidP="00FE70A5">
      <w:pPr>
        <w:spacing w:line="360" w:lineRule="auto"/>
        <w:rPr>
          <w:rFonts w:ascii="Arial" w:hAnsi="Arial" w:cs="Arial"/>
          <w:sz w:val="22"/>
          <w:szCs w:val="22"/>
        </w:rPr>
      </w:pPr>
      <w:r w:rsidRPr="00EC00BB">
        <w:rPr>
          <w:rFonts w:ascii="Arial" w:hAnsi="Arial" w:cs="Arial"/>
          <w:sz w:val="22"/>
          <w:szCs w:val="22"/>
        </w:rPr>
        <w:t xml:space="preserve">A wide range of health and social care services are required to support individuals living with dementia and their families. Primacy care services, particularly GP’s play a key role in early diagnosis and ongoing management. They act as the first point of contact and coordinate referrals to specialist services such as memory clinics. </w:t>
      </w:r>
    </w:p>
    <w:p w14:paraId="678FF3D6" w14:textId="3BAC7620" w:rsidR="00FA13B3" w:rsidRPr="00EC00BB" w:rsidRDefault="00FA13B3" w:rsidP="00FE70A5">
      <w:pPr>
        <w:spacing w:line="360" w:lineRule="auto"/>
        <w:rPr>
          <w:rFonts w:ascii="Arial" w:hAnsi="Arial" w:cs="Arial"/>
          <w:sz w:val="22"/>
          <w:szCs w:val="22"/>
        </w:rPr>
      </w:pPr>
      <w:r w:rsidRPr="00EC00BB">
        <w:rPr>
          <w:rFonts w:ascii="Arial" w:hAnsi="Arial" w:cs="Arial"/>
          <w:sz w:val="22"/>
          <w:szCs w:val="22"/>
        </w:rPr>
        <w:t xml:space="preserve">Memory clinics provide comprehensive assessments, diagnosis, and treatment plans. </w:t>
      </w:r>
      <w:r w:rsidR="00490F58" w:rsidRPr="00EC00BB">
        <w:rPr>
          <w:rFonts w:ascii="Arial" w:hAnsi="Arial" w:cs="Arial"/>
          <w:sz w:val="22"/>
          <w:szCs w:val="22"/>
        </w:rPr>
        <w:t xml:space="preserve">These multidisciplinary teams often include neurologists, psychiatrists, psychologists and nurses. </w:t>
      </w:r>
    </w:p>
    <w:p w14:paraId="43D77D12" w14:textId="0308A20D" w:rsidR="00490F58" w:rsidRPr="00EC00BB" w:rsidRDefault="00490F58" w:rsidP="00FE70A5">
      <w:pPr>
        <w:spacing w:line="360" w:lineRule="auto"/>
        <w:rPr>
          <w:rFonts w:ascii="Arial" w:hAnsi="Arial" w:cs="Arial"/>
          <w:sz w:val="22"/>
          <w:szCs w:val="22"/>
        </w:rPr>
      </w:pPr>
      <w:r w:rsidRPr="00EC00BB">
        <w:rPr>
          <w:rFonts w:ascii="Arial" w:hAnsi="Arial" w:cs="Arial"/>
          <w:sz w:val="22"/>
          <w:szCs w:val="22"/>
        </w:rPr>
        <w:lastRenderedPageBreak/>
        <w:t xml:space="preserve">Community bases services are essential in supporting individuals to live independently. These include home care services, day centres and community mental health teams. Occupational therapists help individuals maintain daily living skills, while social workers assess care needs and arrange support packages. </w:t>
      </w:r>
    </w:p>
    <w:p w14:paraId="38A31646" w14:textId="216AE866" w:rsidR="00490F58" w:rsidRPr="00EC00BB" w:rsidRDefault="00490F58" w:rsidP="00FE70A5">
      <w:pPr>
        <w:spacing w:line="360" w:lineRule="auto"/>
        <w:rPr>
          <w:rFonts w:ascii="Arial" w:hAnsi="Arial" w:cs="Arial"/>
          <w:sz w:val="22"/>
          <w:szCs w:val="22"/>
        </w:rPr>
      </w:pPr>
      <w:r w:rsidRPr="00EC00BB">
        <w:rPr>
          <w:rFonts w:ascii="Arial" w:hAnsi="Arial" w:cs="Arial"/>
          <w:sz w:val="22"/>
          <w:szCs w:val="22"/>
        </w:rPr>
        <w:t xml:space="preserve">Residential and nursing care homes provide long term care for individuals with advances dementia who can no longer live independently. These facilities offer </w:t>
      </w:r>
      <w:r w:rsidR="00C136E0" w:rsidRPr="00EC00BB">
        <w:rPr>
          <w:rFonts w:ascii="Arial" w:hAnsi="Arial" w:cs="Arial"/>
          <w:sz w:val="22"/>
          <w:szCs w:val="22"/>
        </w:rPr>
        <w:t>24-hour</w:t>
      </w:r>
      <w:r w:rsidRPr="00EC00BB">
        <w:rPr>
          <w:rFonts w:ascii="Arial" w:hAnsi="Arial" w:cs="Arial"/>
          <w:sz w:val="22"/>
          <w:szCs w:val="22"/>
        </w:rPr>
        <w:t xml:space="preserve"> support and specialised dementia care. </w:t>
      </w:r>
    </w:p>
    <w:p w14:paraId="027D1E2E" w14:textId="38F78258" w:rsidR="00490F58" w:rsidRPr="00EC00BB" w:rsidRDefault="00490F58" w:rsidP="00FE70A5">
      <w:pPr>
        <w:spacing w:line="360" w:lineRule="auto"/>
        <w:rPr>
          <w:rFonts w:ascii="Arial" w:hAnsi="Arial" w:cs="Arial"/>
          <w:sz w:val="22"/>
          <w:szCs w:val="22"/>
        </w:rPr>
      </w:pPr>
      <w:r w:rsidRPr="00EC00BB">
        <w:rPr>
          <w:rFonts w:ascii="Arial" w:hAnsi="Arial" w:cs="Arial"/>
          <w:sz w:val="22"/>
          <w:szCs w:val="22"/>
        </w:rPr>
        <w:t xml:space="preserve">Support for carers is also crucial. Services such as respite care provide temporary relief for caregivers, whilst support groups offer emotional support and information. Organisations such as the Alzheimer’s Society provide helplines, education, and community programs. </w:t>
      </w:r>
    </w:p>
    <w:p w14:paraId="6537872E" w14:textId="4565A0F0" w:rsidR="00490F58" w:rsidRPr="00EC00BB" w:rsidRDefault="00490F58" w:rsidP="00FE70A5">
      <w:pPr>
        <w:spacing w:line="360" w:lineRule="auto"/>
        <w:rPr>
          <w:rFonts w:ascii="Arial" w:hAnsi="Arial" w:cs="Arial"/>
          <w:sz w:val="22"/>
          <w:szCs w:val="22"/>
        </w:rPr>
      </w:pPr>
      <w:r w:rsidRPr="00EC00BB">
        <w:rPr>
          <w:rFonts w:ascii="Arial" w:hAnsi="Arial" w:cs="Arial"/>
          <w:sz w:val="22"/>
          <w:szCs w:val="22"/>
        </w:rPr>
        <w:t xml:space="preserve">Technological solutions are increasingly used to support dementia care. For example, assistive technologies such as GPS trackers, reminder systems, and smart home devices help to improve safety and independence. </w:t>
      </w:r>
    </w:p>
    <w:p w14:paraId="20249AEC" w14:textId="754559DF" w:rsidR="00490F58" w:rsidRPr="00EC00BB" w:rsidRDefault="00490F58" w:rsidP="00FE70A5">
      <w:pPr>
        <w:spacing w:line="360" w:lineRule="auto"/>
        <w:rPr>
          <w:rFonts w:ascii="Arial" w:hAnsi="Arial" w:cs="Arial"/>
          <w:sz w:val="22"/>
          <w:szCs w:val="22"/>
        </w:rPr>
      </w:pPr>
      <w:r w:rsidRPr="00EC00BB">
        <w:rPr>
          <w:rFonts w:ascii="Arial" w:hAnsi="Arial" w:cs="Arial"/>
          <w:sz w:val="22"/>
          <w:szCs w:val="22"/>
        </w:rPr>
        <w:t xml:space="preserve">In practice professionals must adopt a person centres approach to care. This involves tailoring support to the individual’s needs, preferences and abilities. Communication strategies, environmental adaptations, and consistent routines can significantly improve quality of life. </w:t>
      </w:r>
    </w:p>
    <w:p w14:paraId="02724546" w14:textId="0F980838" w:rsidR="00490F58" w:rsidRPr="00EC00BB" w:rsidRDefault="00490F58" w:rsidP="00FE70A5">
      <w:pPr>
        <w:spacing w:line="360" w:lineRule="auto"/>
        <w:rPr>
          <w:rFonts w:ascii="Arial" w:hAnsi="Arial" w:cs="Arial"/>
          <w:sz w:val="22"/>
          <w:szCs w:val="22"/>
        </w:rPr>
      </w:pPr>
      <w:r w:rsidRPr="00EC00BB">
        <w:rPr>
          <w:rFonts w:ascii="Arial" w:hAnsi="Arial" w:cs="Arial"/>
          <w:sz w:val="22"/>
          <w:szCs w:val="22"/>
        </w:rPr>
        <w:t xml:space="preserve">Effective collaboration between health and social care professionals is essential. Integrated care models ensure that services are coordinated, reducing gaps in care and improving outcomes for individuals. </w:t>
      </w:r>
    </w:p>
    <w:p w14:paraId="7D40C413" w14:textId="77777777" w:rsidR="006630E8" w:rsidRPr="00EC00BB" w:rsidRDefault="006630E8" w:rsidP="00FE70A5">
      <w:pPr>
        <w:spacing w:line="360" w:lineRule="auto"/>
        <w:rPr>
          <w:rFonts w:ascii="Arial" w:hAnsi="Arial" w:cs="Arial"/>
          <w:sz w:val="22"/>
          <w:szCs w:val="22"/>
        </w:rPr>
      </w:pPr>
    </w:p>
    <w:p w14:paraId="61AF5CF3" w14:textId="77777777" w:rsidR="00EC00BB" w:rsidRPr="00EC00BB" w:rsidRDefault="00EC00BB" w:rsidP="00FE70A5">
      <w:pPr>
        <w:spacing w:line="360" w:lineRule="auto"/>
        <w:jc w:val="center"/>
        <w:rPr>
          <w:rFonts w:ascii="Arial" w:hAnsi="Arial" w:cs="Arial"/>
          <w:b/>
          <w:bCs/>
        </w:rPr>
      </w:pPr>
    </w:p>
    <w:p w14:paraId="1E16CD9E" w14:textId="77777777" w:rsidR="00EC00BB" w:rsidRPr="00EC00BB" w:rsidRDefault="00EC00BB" w:rsidP="00FE70A5">
      <w:pPr>
        <w:spacing w:line="360" w:lineRule="auto"/>
        <w:jc w:val="center"/>
        <w:rPr>
          <w:rFonts w:ascii="Arial" w:hAnsi="Arial" w:cs="Arial"/>
          <w:b/>
          <w:bCs/>
        </w:rPr>
      </w:pPr>
    </w:p>
    <w:p w14:paraId="589FB638" w14:textId="77777777" w:rsidR="00EC00BB" w:rsidRDefault="00EC00BB" w:rsidP="00FE70A5">
      <w:pPr>
        <w:spacing w:line="360" w:lineRule="auto"/>
        <w:jc w:val="center"/>
        <w:rPr>
          <w:rFonts w:ascii="Arial" w:hAnsi="Arial" w:cs="Arial"/>
          <w:b/>
          <w:bCs/>
        </w:rPr>
      </w:pPr>
    </w:p>
    <w:p w14:paraId="63305852" w14:textId="77777777" w:rsidR="00EC00BB" w:rsidRDefault="00EC00BB" w:rsidP="00FE70A5">
      <w:pPr>
        <w:spacing w:line="360" w:lineRule="auto"/>
        <w:jc w:val="center"/>
        <w:rPr>
          <w:rFonts w:ascii="Arial" w:hAnsi="Arial" w:cs="Arial"/>
          <w:b/>
          <w:bCs/>
        </w:rPr>
      </w:pPr>
    </w:p>
    <w:p w14:paraId="6A62A145" w14:textId="77777777" w:rsidR="00EC00BB" w:rsidRDefault="00EC00BB" w:rsidP="00FE70A5">
      <w:pPr>
        <w:spacing w:line="360" w:lineRule="auto"/>
        <w:jc w:val="center"/>
        <w:rPr>
          <w:rFonts w:ascii="Arial" w:hAnsi="Arial" w:cs="Arial"/>
          <w:b/>
          <w:bCs/>
        </w:rPr>
      </w:pPr>
    </w:p>
    <w:p w14:paraId="5F47FE11" w14:textId="77777777" w:rsidR="00EC00BB" w:rsidRDefault="00EC00BB" w:rsidP="00FE70A5">
      <w:pPr>
        <w:spacing w:line="360" w:lineRule="auto"/>
        <w:jc w:val="center"/>
        <w:rPr>
          <w:rFonts w:ascii="Arial" w:hAnsi="Arial" w:cs="Arial"/>
          <w:b/>
          <w:bCs/>
        </w:rPr>
      </w:pPr>
    </w:p>
    <w:p w14:paraId="0A999D96" w14:textId="77777777" w:rsidR="00EC00BB" w:rsidRDefault="00EC00BB" w:rsidP="002A77E0">
      <w:pPr>
        <w:spacing w:line="360" w:lineRule="auto"/>
        <w:rPr>
          <w:rFonts w:ascii="Arial" w:hAnsi="Arial" w:cs="Arial"/>
          <w:b/>
          <w:bCs/>
          <w:sz w:val="28"/>
          <w:szCs w:val="28"/>
        </w:rPr>
      </w:pPr>
    </w:p>
    <w:p w14:paraId="0DF047FC" w14:textId="77777777" w:rsidR="00EC00BB" w:rsidRDefault="00EC00BB" w:rsidP="00FE70A5">
      <w:pPr>
        <w:spacing w:line="360" w:lineRule="auto"/>
        <w:jc w:val="center"/>
        <w:rPr>
          <w:rFonts w:ascii="Arial" w:hAnsi="Arial" w:cs="Arial"/>
          <w:b/>
          <w:bCs/>
          <w:sz w:val="28"/>
          <w:szCs w:val="28"/>
        </w:rPr>
      </w:pPr>
    </w:p>
    <w:p w14:paraId="2FF546C7" w14:textId="423F3565" w:rsidR="006630E8" w:rsidRPr="00EC00BB" w:rsidRDefault="00392D54" w:rsidP="00FE70A5">
      <w:pPr>
        <w:spacing w:line="360" w:lineRule="auto"/>
        <w:jc w:val="center"/>
        <w:rPr>
          <w:rFonts w:ascii="Arial" w:hAnsi="Arial" w:cs="Arial"/>
          <w:b/>
          <w:bCs/>
          <w:sz w:val="28"/>
          <w:szCs w:val="28"/>
        </w:rPr>
      </w:pPr>
      <w:r w:rsidRPr="00EC00BB">
        <w:rPr>
          <w:rFonts w:ascii="Arial" w:hAnsi="Arial" w:cs="Arial"/>
          <w:b/>
          <w:bCs/>
          <w:sz w:val="28"/>
          <w:szCs w:val="28"/>
        </w:rPr>
        <w:lastRenderedPageBreak/>
        <w:t>Conclusion</w:t>
      </w:r>
    </w:p>
    <w:p w14:paraId="01CD1238" w14:textId="77777777" w:rsidR="00EC00BB" w:rsidRPr="00EC00BB" w:rsidRDefault="00EC00BB" w:rsidP="00FE70A5">
      <w:pPr>
        <w:spacing w:line="360" w:lineRule="auto"/>
        <w:jc w:val="center"/>
        <w:rPr>
          <w:rFonts w:ascii="Arial" w:hAnsi="Arial" w:cs="Arial"/>
          <w:b/>
          <w:bCs/>
        </w:rPr>
      </w:pPr>
    </w:p>
    <w:p w14:paraId="605DE4A0" w14:textId="29FF7BB5" w:rsidR="00490F58" w:rsidRPr="00EC00BB" w:rsidRDefault="00490F58" w:rsidP="00EC00BB">
      <w:pPr>
        <w:spacing w:line="360" w:lineRule="auto"/>
        <w:rPr>
          <w:rFonts w:ascii="Arial" w:hAnsi="Arial" w:cs="Arial"/>
          <w:sz w:val="22"/>
          <w:szCs w:val="22"/>
        </w:rPr>
      </w:pPr>
      <w:r w:rsidRPr="00EC00BB">
        <w:rPr>
          <w:rFonts w:ascii="Arial" w:hAnsi="Arial" w:cs="Arial"/>
          <w:sz w:val="22"/>
          <w:szCs w:val="22"/>
        </w:rPr>
        <w:t xml:space="preserve">In conclusion, dementia is a complex and progressive condition that poses significant challenges for individuals, families and healthcare systems. With rising global and UK prevalence, it represents a major public health issue that requires ongoing attention and resources. </w:t>
      </w:r>
    </w:p>
    <w:p w14:paraId="43170BA0" w14:textId="7EC9BD43" w:rsidR="00490F58" w:rsidRPr="00EC00BB" w:rsidRDefault="00490F58" w:rsidP="00EC00BB">
      <w:pPr>
        <w:spacing w:line="360" w:lineRule="auto"/>
        <w:rPr>
          <w:rFonts w:ascii="Arial" w:hAnsi="Arial" w:cs="Arial"/>
          <w:sz w:val="22"/>
          <w:szCs w:val="22"/>
        </w:rPr>
      </w:pPr>
      <w:r w:rsidRPr="00EC00BB">
        <w:rPr>
          <w:rFonts w:ascii="Arial" w:hAnsi="Arial" w:cs="Arial"/>
          <w:sz w:val="22"/>
          <w:szCs w:val="22"/>
        </w:rPr>
        <w:t xml:space="preserve">Effective measurement and monitoring systems are essential for understanding the scale of dementia and planning appropriate services. While there is currently no cure, strategies focused on prevention, early diagnosis, and symptom management can help reduce its impact. </w:t>
      </w:r>
    </w:p>
    <w:p w14:paraId="5ED94295" w14:textId="754A5AEA" w:rsidR="00490F58" w:rsidRPr="00EC00BB" w:rsidRDefault="00490F58" w:rsidP="00EC00BB">
      <w:pPr>
        <w:spacing w:line="360" w:lineRule="auto"/>
        <w:rPr>
          <w:rFonts w:ascii="Arial" w:hAnsi="Arial" w:cs="Arial"/>
          <w:sz w:val="22"/>
          <w:szCs w:val="22"/>
        </w:rPr>
      </w:pPr>
      <w:r w:rsidRPr="00EC00BB">
        <w:rPr>
          <w:rFonts w:ascii="Arial" w:hAnsi="Arial" w:cs="Arial"/>
          <w:sz w:val="22"/>
          <w:szCs w:val="22"/>
        </w:rPr>
        <w:t xml:space="preserve">The consequences of dementia extend beyond the individual, affective caregivers and placing substantial demands on health and social care services. Therefore, a comprehensive approach involving medical treatment, social support, and community awareness is necessary. </w:t>
      </w:r>
    </w:p>
    <w:p w14:paraId="40343CBE" w14:textId="51B58212" w:rsidR="00490F58" w:rsidRPr="00EC00BB" w:rsidRDefault="00490F58" w:rsidP="00EC00BB">
      <w:pPr>
        <w:spacing w:line="360" w:lineRule="auto"/>
        <w:rPr>
          <w:rFonts w:ascii="Arial" w:hAnsi="Arial" w:cs="Arial"/>
          <w:sz w:val="22"/>
          <w:szCs w:val="22"/>
        </w:rPr>
      </w:pPr>
      <w:r w:rsidRPr="00EC00BB">
        <w:rPr>
          <w:rFonts w:ascii="Arial" w:hAnsi="Arial" w:cs="Arial"/>
          <w:sz w:val="22"/>
          <w:szCs w:val="22"/>
        </w:rPr>
        <w:t xml:space="preserve">By improving access to support services, promoting person centres care, and investing in research and prevention, society can better meet the needs of individuals living with dementia and enhance their quality of life. </w:t>
      </w:r>
    </w:p>
    <w:p w14:paraId="45BB37C1" w14:textId="77777777" w:rsidR="006630E8" w:rsidRPr="00EC00BB" w:rsidRDefault="006630E8" w:rsidP="00FE70A5">
      <w:pPr>
        <w:spacing w:line="360" w:lineRule="auto"/>
        <w:rPr>
          <w:rFonts w:ascii="Arial" w:hAnsi="Arial" w:cs="Arial"/>
          <w:sz w:val="22"/>
          <w:szCs w:val="22"/>
        </w:rPr>
      </w:pPr>
    </w:p>
    <w:p w14:paraId="2FC484D4" w14:textId="77777777" w:rsidR="006630E8" w:rsidRPr="00EC00BB" w:rsidRDefault="006630E8" w:rsidP="00FE70A5">
      <w:pPr>
        <w:spacing w:line="360" w:lineRule="auto"/>
        <w:rPr>
          <w:rFonts w:ascii="Arial" w:hAnsi="Arial" w:cs="Arial"/>
          <w:sz w:val="22"/>
          <w:szCs w:val="22"/>
        </w:rPr>
      </w:pPr>
    </w:p>
    <w:p w14:paraId="29B10E99" w14:textId="77777777" w:rsidR="006630E8" w:rsidRPr="00EC00BB" w:rsidRDefault="006630E8" w:rsidP="00FE70A5">
      <w:pPr>
        <w:spacing w:line="360" w:lineRule="auto"/>
        <w:rPr>
          <w:rFonts w:ascii="Arial" w:hAnsi="Arial" w:cs="Arial"/>
          <w:sz w:val="22"/>
          <w:szCs w:val="22"/>
        </w:rPr>
      </w:pPr>
    </w:p>
    <w:p w14:paraId="2A4B5D91" w14:textId="77777777" w:rsidR="006630E8" w:rsidRPr="00EC00BB" w:rsidRDefault="006630E8" w:rsidP="00FE70A5">
      <w:pPr>
        <w:spacing w:line="360" w:lineRule="auto"/>
        <w:rPr>
          <w:rFonts w:ascii="Arial" w:hAnsi="Arial" w:cs="Arial"/>
          <w:sz w:val="22"/>
          <w:szCs w:val="22"/>
        </w:rPr>
      </w:pPr>
    </w:p>
    <w:p w14:paraId="508F4FE3" w14:textId="77777777" w:rsidR="006630E8" w:rsidRPr="00EC00BB" w:rsidRDefault="006630E8" w:rsidP="00FE70A5">
      <w:pPr>
        <w:spacing w:line="360" w:lineRule="auto"/>
        <w:rPr>
          <w:rFonts w:ascii="Arial" w:hAnsi="Arial" w:cs="Arial"/>
          <w:sz w:val="22"/>
          <w:szCs w:val="22"/>
        </w:rPr>
      </w:pPr>
    </w:p>
    <w:p w14:paraId="72498835" w14:textId="77777777" w:rsidR="006630E8" w:rsidRPr="00EC00BB" w:rsidRDefault="006630E8" w:rsidP="00FE70A5">
      <w:pPr>
        <w:spacing w:line="360" w:lineRule="auto"/>
        <w:rPr>
          <w:rFonts w:ascii="Arial" w:hAnsi="Arial" w:cs="Arial"/>
          <w:sz w:val="22"/>
          <w:szCs w:val="22"/>
        </w:rPr>
      </w:pPr>
    </w:p>
    <w:p w14:paraId="0944FF08" w14:textId="77777777" w:rsidR="006630E8" w:rsidRPr="00EC00BB" w:rsidRDefault="006630E8" w:rsidP="00FE70A5">
      <w:pPr>
        <w:spacing w:line="360" w:lineRule="auto"/>
        <w:rPr>
          <w:rFonts w:ascii="Arial" w:hAnsi="Arial" w:cs="Arial"/>
          <w:sz w:val="22"/>
          <w:szCs w:val="22"/>
        </w:rPr>
      </w:pPr>
    </w:p>
    <w:p w14:paraId="79509409" w14:textId="77777777" w:rsidR="006630E8" w:rsidRPr="00EC00BB" w:rsidRDefault="006630E8" w:rsidP="00FE70A5">
      <w:pPr>
        <w:spacing w:line="360" w:lineRule="auto"/>
        <w:rPr>
          <w:rFonts w:ascii="Arial" w:hAnsi="Arial" w:cs="Arial"/>
          <w:sz w:val="22"/>
          <w:szCs w:val="22"/>
        </w:rPr>
      </w:pPr>
    </w:p>
    <w:p w14:paraId="1E413828" w14:textId="77777777" w:rsidR="006630E8" w:rsidRPr="00EC00BB" w:rsidRDefault="006630E8" w:rsidP="00FE70A5">
      <w:pPr>
        <w:spacing w:line="360" w:lineRule="auto"/>
        <w:rPr>
          <w:rFonts w:ascii="Arial" w:hAnsi="Arial" w:cs="Arial"/>
          <w:sz w:val="22"/>
          <w:szCs w:val="22"/>
        </w:rPr>
      </w:pPr>
    </w:p>
    <w:p w14:paraId="670FFD8D" w14:textId="77777777" w:rsidR="006630E8" w:rsidRPr="00EC00BB" w:rsidRDefault="006630E8" w:rsidP="00FE70A5">
      <w:pPr>
        <w:spacing w:line="360" w:lineRule="auto"/>
        <w:rPr>
          <w:rFonts w:ascii="Arial" w:hAnsi="Arial" w:cs="Arial"/>
          <w:sz w:val="22"/>
          <w:szCs w:val="22"/>
        </w:rPr>
      </w:pPr>
    </w:p>
    <w:p w14:paraId="43F47826" w14:textId="77777777" w:rsidR="00EC00BB" w:rsidRDefault="00EC00BB" w:rsidP="00EC00BB">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49AD6C0E" w14:textId="7A93B525" w:rsidR="00490F58" w:rsidRPr="00EC00BB" w:rsidRDefault="00490F58" w:rsidP="00EC00BB">
      <w:pPr>
        <w:spacing w:before="100" w:beforeAutospacing="1" w:after="100" w:afterAutospacing="1" w:line="360" w:lineRule="auto"/>
        <w:jc w:val="center"/>
        <w:outlineLvl w:val="1"/>
        <w:rPr>
          <w:rFonts w:ascii="Arial" w:eastAsia="Times New Roman" w:hAnsi="Arial" w:cs="Arial"/>
          <w:b/>
          <w:bCs/>
          <w:kern w:val="0"/>
          <w:sz w:val="28"/>
          <w:szCs w:val="28"/>
          <w:lang w:eastAsia="en-GB"/>
          <w14:ligatures w14:val="none"/>
        </w:rPr>
      </w:pPr>
      <w:r w:rsidRPr="00EC00BB">
        <w:rPr>
          <w:rFonts w:ascii="Arial" w:eastAsia="Times New Roman" w:hAnsi="Arial" w:cs="Arial"/>
          <w:b/>
          <w:bCs/>
          <w:kern w:val="0"/>
          <w:sz w:val="28"/>
          <w:szCs w:val="28"/>
          <w:lang w:eastAsia="en-GB"/>
          <w14:ligatures w14:val="none"/>
        </w:rPr>
        <w:lastRenderedPageBreak/>
        <w:t>Reference List</w:t>
      </w:r>
    </w:p>
    <w:p w14:paraId="0197E21B" w14:textId="77777777" w:rsidR="006630E8" w:rsidRPr="00EC00BB" w:rsidRDefault="006630E8" w:rsidP="00EC00BB">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1D173EAA" w14:textId="77777777" w:rsidR="00490F58" w:rsidRPr="00EC00BB" w:rsidRDefault="00490F58" w:rsidP="00EC00BB">
      <w:pPr>
        <w:pStyle w:val="ListParagraph"/>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C00BB">
        <w:rPr>
          <w:rFonts w:ascii="Arial" w:eastAsia="Times New Roman" w:hAnsi="Arial" w:cs="Arial"/>
          <w:kern w:val="0"/>
          <w:sz w:val="22"/>
          <w:szCs w:val="22"/>
          <w:lang w:eastAsia="en-GB"/>
          <w14:ligatures w14:val="none"/>
        </w:rPr>
        <w:t xml:space="preserve">Alzheimer’s Society (2024) </w:t>
      </w:r>
      <w:r w:rsidRPr="00EC00BB">
        <w:rPr>
          <w:rFonts w:ascii="Arial" w:eastAsia="Times New Roman" w:hAnsi="Arial" w:cs="Arial"/>
          <w:i/>
          <w:iCs/>
          <w:kern w:val="0"/>
          <w:sz w:val="22"/>
          <w:szCs w:val="22"/>
          <w:lang w:eastAsia="en-GB"/>
          <w14:ligatures w14:val="none"/>
        </w:rPr>
        <w:t>Dementia UK Update</w:t>
      </w:r>
      <w:r w:rsidRPr="00EC00BB">
        <w:rPr>
          <w:rFonts w:ascii="Arial" w:eastAsia="Times New Roman" w:hAnsi="Arial" w:cs="Arial"/>
          <w:kern w:val="0"/>
          <w:sz w:val="22"/>
          <w:szCs w:val="22"/>
          <w:lang w:eastAsia="en-GB"/>
          <w14:ligatures w14:val="none"/>
        </w:rPr>
        <w:t xml:space="preserve">. Available at: </w:t>
      </w:r>
      <w:hyperlink r:id="rId10" w:tgtFrame="_new" w:history="1">
        <w:r w:rsidRPr="00EC00BB">
          <w:rPr>
            <w:rFonts w:ascii="Arial" w:eastAsia="Times New Roman" w:hAnsi="Arial" w:cs="Arial"/>
            <w:color w:val="0000FF"/>
            <w:kern w:val="0"/>
            <w:sz w:val="22"/>
            <w:szCs w:val="22"/>
            <w:u w:val="single"/>
            <w:lang w:eastAsia="en-GB"/>
            <w14:ligatures w14:val="none"/>
          </w:rPr>
          <w:t>https://www.alzheimers.org.uk</w:t>
        </w:r>
      </w:hyperlink>
    </w:p>
    <w:p w14:paraId="1FCBB09D" w14:textId="77777777" w:rsidR="00490F58" w:rsidRPr="00EC00BB" w:rsidRDefault="00490F58" w:rsidP="00EC00BB">
      <w:pPr>
        <w:pStyle w:val="ListParagraph"/>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C00BB">
        <w:rPr>
          <w:rFonts w:ascii="Arial" w:eastAsia="Times New Roman" w:hAnsi="Arial" w:cs="Arial"/>
          <w:kern w:val="0"/>
          <w:sz w:val="22"/>
          <w:szCs w:val="22"/>
          <w:lang w:eastAsia="en-GB"/>
          <w14:ligatures w14:val="none"/>
        </w:rPr>
        <w:t xml:space="preserve">Livingston, G. et al. (2020) ‘Dementia prevention, intervention, and care: 2020 report of the Lancet Commission’, </w:t>
      </w:r>
      <w:r w:rsidRPr="00EC00BB">
        <w:rPr>
          <w:rFonts w:ascii="Arial" w:eastAsia="Times New Roman" w:hAnsi="Arial" w:cs="Arial"/>
          <w:i/>
          <w:iCs/>
          <w:kern w:val="0"/>
          <w:sz w:val="22"/>
          <w:szCs w:val="22"/>
          <w:lang w:eastAsia="en-GB"/>
          <w14:ligatures w14:val="none"/>
        </w:rPr>
        <w:t>The Lancet</w:t>
      </w:r>
      <w:r w:rsidRPr="00EC00BB">
        <w:rPr>
          <w:rFonts w:ascii="Arial" w:eastAsia="Times New Roman" w:hAnsi="Arial" w:cs="Arial"/>
          <w:kern w:val="0"/>
          <w:sz w:val="22"/>
          <w:szCs w:val="22"/>
          <w:lang w:eastAsia="en-GB"/>
          <w14:ligatures w14:val="none"/>
        </w:rPr>
        <w:t>, 396(10248), pp. 413–446.</w:t>
      </w:r>
    </w:p>
    <w:p w14:paraId="64433AFE" w14:textId="77777777" w:rsidR="00490F58" w:rsidRPr="00EC00BB" w:rsidRDefault="00490F58" w:rsidP="00EC00BB">
      <w:pPr>
        <w:pStyle w:val="ListParagraph"/>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C00BB">
        <w:rPr>
          <w:rFonts w:ascii="Arial" w:eastAsia="Times New Roman" w:hAnsi="Arial" w:cs="Arial"/>
          <w:kern w:val="0"/>
          <w:sz w:val="22"/>
          <w:szCs w:val="22"/>
          <w:lang w:eastAsia="en-GB"/>
          <w14:ligatures w14:val="none"/>
        </w:rPr>
        <w:t xml:space="preserve">NHS (2023) </w:t>
      </w:r>
      <w:r w:rsidRPr="00EC00BB">
        <w:rPr>
          <w:rFonts w:ascii="Arial" w:eastAsia="Times New Roman" w:hAnsi="Arial" w:cs="Arial"/>
          <w:i/>
          <w:iCs/>
          <w:kern w:val="0"/>
          <w:sz w:val="22"/>
          <w:szCs w:val="22"/>
          <w:lang w:eastAsia="en-GB"/>
          <w14:ligatures w14:val="none"/>
        </w:rPr>
        <w:t>Dementia Overview</w:t>
      </w:r>
      <w:r w:rsidRPr="00EC00BB">
        <w:rPr>
          <w:rFonts w:ascii="Arial" w:eastAsia="Times New Roman" w:hAnsi="Arial" w:cs="Arial"/>
          <w:kern w:val="0"/>
          <w:sz w:val="22"/>
          <w:szCs w:val="22"/>
          <w:lang w:eastAsia="en-GB"/>
          <w14:ligatures w14:val="none"/>
        </w:rPr>
        <w:t xml:space="preserve">. Available at: </w:t>
      </w:r>
      <w:hyperlink r:id="rId11" w:tgtFrame="_new" w:history="1">
        <w:r w:rsidRPr="00EC00BB">
          <w:rPr>
            <w:rFonts w:ascii="Arial" w:eastAsia="Times New Roman" w:hAnsi="Arial" w:cs="Arial"/>
            <w:color w:val="0000FF"/>
            <w:kern w:val="0"/>
            <w:sz w:val="22"/>
            <w:szCs w:val="22"/>
            <w:u w:val="single"/>
            <w:lang w:eastAsia="en-GB"/>
            <w14:ligatures w14:val="none"/>
          </w:rPr>
          <w:t>https://www.nhs.uk</w:t>
        </w:r>
      </w:hyperlink>
    </w:p>
    <w:p w14:paraId="023B18D0" w14:textId="77777777" w:rsidR="00490F58" w:rsidRPr="00EC00BB" w:rsidRDefault="00490F58" w:rsidP="00EC00BB">
      <w:pPr>
        <w:pStyle w:val="ListParagraph"/>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C00BB">
        <w:rPr>
          <w:rFonts w:ascii="Arial" w:eastAsia="Times New Roman" w:hAnsi="Arial" w:cs="Arial"/>
          <w:kern w:val="0"/>
          <w:sz w:val="22"/>
          <w:szCs w:val="22"/>
          <w:lang w:eastAsia="en-GB"/>
          <w14:ligatures w14:val="none"/>
        </w:rPr>
        <w:t xml:space="preserve">NICE (2022) </w:t>
      </w:r>
      <w:r w:rsidRPr="00EC00BB">
        <w:rPr>
          <w:rFonts w:ascii="Arial" w:eastAsia="Times New Roman" w:hAnsi="Arial" w:cs="Arial"/>
          <w:i/>
          <w:iCs/>
          <w:kern w:val="0"/>
          <w:sz w:val="22"/>
          <w:szCs w:val="22"/>
          <w:lang w:eastAsia="en-GB"/>
          <w14:ligatures w14:val="none"/>
        </w:rPr>
        <w:t>Dementia: Assessment, Management and Support for People Living with Dementia and their Carers</w:t>
      </w:r>
      <w:r w:rsidRPr="00EC00BB">
        <w:rPr>
          <w:rFonts w:ascii="Arial" w:eastAsia="Times New Roman" w:hAnsi="Arial" w:cs="Arial"/>
          <w:kern w:val="0"/>
          <w:sz w:val="22"/>
          <w:szCs w:val="22"/>
          <w:lang w:eastAsia="en-GB"/>
          <w14:ligatures w14:val="none"/>
        </w:rPr>
        <w:t>. London: NICE.</w:t>
      </w:r>
    </w:p>
    <w:p w14:paraId="3033A4AD" w14:textId="77777777" w:rsidR="00490F58" w:rsidRPr="00EC00BB" w:rsidRDefault="00490F58" w:rsidP="00EC00BB">
      <w:pPr>
        <w:pStyle w:val="ListParagraph"/>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C00BB">
        <w:rPr>
          <w:rFonts w:ascii="Arial" w:eastAsia="Times New Roman" w:hAnsi="Arial" w:cs="Arial"/>
          <w:kern w:val="0"/>
          <w:sz w:val="22"/>
          <w:szCs w:val="22"/>
          <w:lang w:eastAsia="en-GB"/>
          <w14:ligatures w14:val="none"/>
        </w:rPr>
        <w:t xml:space="preserve">World Health Organization (WHO) (2023) </w:t>
      </w:r>
      <w:r w:rsidRPr="00EC00BB">
        <w:rPr>
          <w:rFonts w:ascii="Arial" w:eastAsia="Times New Roman" w:hAnsi="Arial" w:cs="Arial"/>
          <w:i/>
          <w:iCs/>
          <w:kern w:val="0"/>
          <w:sz w:val="22"/>
          <w:szCs w:val="22"/>
          <w:lang w:eastAsia="en-GB"/>
          <w14:ligatures w14:val="none"/>
        </w:rPr>
        <w:t>Dementia Fact Sheet</w:t>
      </w:r>
      <w:r w:rsidRPr="00EC00BB">
        <w:rPr>
          <w:rFonts w:ascii="Arial" w:eastAsia="Times New Roman" w:hAnsi="Arial" w:cs="Arial"/>
          <w:kern w:val="0"/>
          <w:sz w:val="22"/>
          <w:szCs w:val="22"/>
          <w:lang w:eastAsia="en-GB"/>
          <w14:ligatures w14:val="none"/>
        </w:rPr>
        <w:t xml:space="preserve">. Available at: </w:t>
      </w:r>
      <w:hyperlink r:id="rId12" w:tgtFrame="_new" w:history="1">
        <w:r w:rsidRPr="00EC00BB">
          <w:rPr>
            <w:rFonts w:ascii="Arial" w:eastAsia="Times New Roman" w:hAnsi="Arial" w:cs="Arial"/>
            <w:color w:val="0000FF"/>
            <w:kern w:val="0"/>
            <w:sz w:val="22"/>
            <w:szCs w:val="22"/>
            <w:u w:val="single"/>
            <w:lang w:eastAsia="en-GB"/>
            <w14:ligatures w14:val="none"/>
          </w:rPr>
          <w:t>https://www.who.int</w:t>
        </w:r>
      </w:hyperlink>
    </w:p>
    <w:p w14:paraId="484154C5" w14:textId="77777777" w:rsidR="00490F58" w:rsidRPr="00EC00BB" w:rsidRDefault="00490F58" w:rsidP="00EC00BB">
      <w:pPr>
        <w:pStyle w:val="ListParagraph"/>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C00BB">
        <w:rPr>
          <w:rFonts w:ascii="Arial" w:eastAsia="Times New Roman" w:hAnsi="Arial" w:cs="Arial"/>
          <w:kern w:val="0"/>
          <w:sz w:val="22"/>
          <w:szCs w:val="22"/>
          <w:lang w:eastAsia="en-GB"/>
          <w14:ligatures w14:val="none"/>
        </w:rPr>
        <w:t xml:space="preserve">Public Health England (2021) </w:t>
      </w:r>
      <w:r w:rsidRPr="00EC00BB">
        <w:rPr>
          <w:rFonts w:ascii="Arial" w:eastAsia="Times New Roman" w:hAnsi="Arial" w:cs="Arial"/>
          <w:i/>
          <w:iCs/>
          <w:kern w:val="0"/>
          <w:sz w:val="22"/>
          <w:szCs w:val="22"/>
          <w:lang w:eastAsia="en-GB"/>
          <w14:ligatures w14:val="none"/>
        </w:rPr>
        <w:t>Dementia Profile</w:t>
      </w:r>
      <w:r w:rsidRPr="00EC00BB">
        <w:rPr>
          <w:rFonts w:ascii="Arial" w:eastAsia="Times New Roman" w:hAnsi="Arial" w:cs="Arial"/>
          <w:kern w:val="0"/>
          <w:sz w:val="22"/>
          <w:szCs w:val="22"/>
          <w:lang w:eastAsia="en-GB"/>
          <w14:ligatures w14:val="none"/>
        </w:rPr>
        <w:t xml:space="preserve">. Available at: </w:t>
      </w:r>
      <w:hyperlink r:id="rId13" w:tgtFrame="_new" w:history="1">
        <w:r w:rsidRPr="00EC00BB">
          <w:rPr>
            <w:rFonts w:ascii="Arial" w:eastAsia="Times New Roman" w:hAnsi="Arial" w:cs="Arial"/>
            <w:color w:val="0000FF"/>
            <w:kern w:val="0"/>
            <w:sz w:val="22"/>
            <w:szCs w:val="22"/>
            <w:u w:val="single"/>
            <w:lang w:eastAsia="en-GB"/>
            <w14:ligatures w14:val="none"/>
          </w:rPr>
          <w:t>https://fingertips.phe.org.uk</w:t>
        </w:r>
      </w:hyperlink>
    </w:p>
    <w:p w14:paraId="35EAD769" w14:textId="77777777" w:rsidR="00506C90" w:rsidRPr="00EC00BB" w:rsidRDefault="00506C90" w:rsidP="00EC00BB">
      <w:pPr>
        <w:jc w:val="both"/>
        <w:rPr>
          <w:rFonts w:ascii="Arial" w:hAnsi="Arial" w:cs="Arial"/>
          <w:sz w:val="22"/>
          <w:szCs w:val="22"/>
        </w:rPr>
      </w:pPr>
    </w:p>
    <w:sectPr w:rsidR="00506C90" w:rsidRPr="00EC00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C40315" w14:textId="77777777" w:rsidR="00270A20" w:rsidRDefault="00270A20" w:rsidP="00300E41">
      <w:pPr>
        <w:spacing w:after="0" w:line="240" w:lineRule="auto"/>
      </w:pPr>
      <w:r>
        <w:separator/>
      </w:r>
    </w:p>
  </w:endnote>
  <w:endnote w:type="continuationSeparator" w:id="0">
    <w:p w14:paraId="639D1506" w14:textId="77777777" w:rsidR="00270A20" w:rsidRDefault="00270A20" w:rsidP="00300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CC728A" w14:textId="77777777" w:rsidR="00270A20" w:rsidRDefault="00270A20" w:rsidP="00300E41">
      <w:pPr>
        <w:spacing w:after="0" w:line="240" w:lineRule="auto"/>
      </w:pPr>
      <w:r>
        <w:separator/>
      </w:r>
    </w:p>
  </w:footnote>
  <w:footnote w:type="continuationSeparator" w:id="0">
    <w:p w14:paraId="51C0EA28" w14:textId="77777777" w:rsidR="00270A20" w:rsidRDefault="00270A20" w:rsidP="00300E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A32DFF"/>
    <w:multiLevelType w:val="hybridMultilevel"/>
    <w:tmpl w:val="4F689BB4"/>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7E7805A1"/>
    <w:multiLevelType w:val="hybridMultilevel"/>
    <w:tmpl w:val="22427EB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2847198">
    <w:abstractNumId w:val="1"/>
  </w:num>
  <w:num w:numId="2" w16cid:durableId="1492863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E41"/>
    <w:rsid w:val="000C670F"/>
    <w:rsid w:val="00151307"/>
    <w:rsid w:val="00270A20"/>
    <w:rsid w:val="002A77E0"/>
    <w:rsid w:val="00300E41"/>
    <w:rsid w:val="00327118"/>
    <w:rsid w:val="00392D54"/>
    <w:rsid w:val="00393F24"/>
    <w:rsid w:val="00466395"/>
    <w:rsid w:val="00490F58"/>
    <w:rsid w:val="00506C90"/>
    <w:rsid w:val="0053489C"/>
    <w:rsid w:val="005C0EEB"/>
    <w:rsid w:val="00624139"/>
    <w:rsid w:val="00660BEB"/>
    <w:rsid w:val="006630E8"/>
    <w:rsid w:val="00686900"/>
    <w:rsid w:val="00923AB0"/>
    <w:rsid w:val="00A32C67"/>
    <w:rsid w:val="00A44E9F"/>
    <w:rsid w:val="00A73B55"/>
    <w:rsid w:val="00AD05E3"/>
    <w:rsid w:val="00AF754A"/>
    <w:rsid w:val="00B663DC"/>
    <w:rsid w:val="00C043E4"/>
    <w:rsid w:val="00C0583C"/>
    <w:rsid w:val="00C136E0"/>
    <w:rsid w:val="00C66B1D"/>
    <w:rsid w:val="00CA1301"/>
    <w:rsid w:val="00DC4F5E"/>
    <w:rsid w:val="00E15738"/>
    <w:rsid w:val="00E311EC"/>
    <w:rsid w:val="00EC00BB"/>
    <w:rsid w:val="00FA13B3"/>
    <w:rsid w:val="00FE70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056C8"/>
  <w15:chartTrackingRefBased/>
  <w15:docId w15:val="{42626181-507B-0B47-9AF2-8E9842EAF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0E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0E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0E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0E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0E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0E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0E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0E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0E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0E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0E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0E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0E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0E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0E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0E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0E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0E41"/>
    <w:rPr>
      <w:rFonts w:eastAsiaTheme="majorEastAsia" w:cstheme="majorBidi"/>
      <w:color w:val="272727" w:themeColor="text1" w:themeTint="D8"/>
    </w:rPr>
  </w:style>
  <w:style w:type="paragraph" w:styleId="Title">
    <w:name w:val="Title"/>
    <w:basedOn w:val="Normal"/>
    <w:next w:val="Normal"/>
    <w:link w:val="TitleChar"/>
    <w:uiPriority w:val="10"/>
    <w:qFormat/>
    <w:rsid w:val="00300E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0E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0E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0E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0E41"/>
    <w:pPr>
      <w:spacing w:before="160"/>
      <w:jc w:val="center"/>
    </w:pPr>
    <w:rPr>
      <w:i/>
      <w:iCs/>
      <w:color w:val="404040" w:themeColor="text1" w:themeTint="BF"/>
    </w:rPr>
  </w:style>
  <w:style w:type="character" w:customStyle="1" w:styleId="QuoteChar">
    <w:name w:val="Quote Char"/>
    <w:basedOn w:val="DefaultParagraphFont"/>
    <w:link w:val="Quote"/>
    <w:uiPriority w:val="29"/>
    <w:rsid w:val="00300E41"/>
    <w:rPr>
      <w:i/>
      <w:iCs/>
      <w:color w:val="404040" w:themeColor="text1" w:themeTint="BF"/>
    </w:rPr>
  </w:style>
  <w:style w:type="paragraph" w:styleId="ListParagraph">
    <w:name w:val="List Paragraph"/>
    <w:basedOn w:val="Normal"/>
    <w:uiPriority w:val="34"/>
    <w:qFormat/>
    <w:rsid w:val="00300E41"/>
    <w:pPr>
      <w:ind w:left="720"/>
      <w:contextualSpacing/>
    </w:pPr>
  </w:style>
  <w:style w:type="character" w:styleId="IntenseEmphasis">
    <w:name w:val="Intense Emphasis"/>
    <w:basedOn w:val="DefaultParagraphFont"/>
    <w:uiPriority w:val="21"/>
    <w:qFormat/>
    <w:rsid w:val="00300E41"/>
    <w:rPr>
      <w:i/>
      <w:iCs/>
      <w:color w:val="0F4761" w:themeColor="accent1" w:themeShade="BF"/>
    </w:rPr>
  </w:style>
  <w:style w:type="paragraph" w:styleId="IntenseQuote">
    <w:name w:val="Intense Quote"/>
    <w:basedOn w:val="Normal"/>
    <w:next w:val="Normal"/>
    <w:link w:val="IntenseQuoteChar"/>
    <w:uiPriority w:val="30"/>
    <w:qFormat/>
    <w:rsid w:val="00300E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0E41"/>
    <w:rPr>
      <w:i/>
      <w:iCs/>
      <w:color w:val="0F4761" w:themeColor="accent1" w:themeShade="BF"/>
    </w:rPr>
  </w:style>
  <w:style w:type="character" w:styleId="IntenseReference">
    <w:name w:val="Intense Reference"/>
    <w:basedOn w:val="DefaultParagraphFont"/>
    <w:uiPriority w:val="32"/>
    <w:qFormat/>
    <w:rsid w:val="00300E41"/>
    <w:rPr>
      <w:b/>
      <w:bCs/>
      <w:smallCaps/>
      <w:color w:val="0F4761" w:themeColor="accent1" w:themeShade="BF"/>
      <w:spacing w:val="5"/>
    </w:rPr>
  </w:style>
  <w:style w:type="paragraph" w:styleId="Header">
    <w:name w:val="header"/>
    <w:basedOn w:val="Normal"/>
    <w:link w:val="HeaderChar"/>
    <w:uiPriority w:val="99"/>
    <w:unhideWhenUsed/>
    <w:rsid w:val="00300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E41"/>
  </w:style>
  <w:style w:type="paragraph" w:styleId="Footer">
    <w:name w:val="footer"/>
    <w:basedOn w:val="Normal"/>
    <w:link w:val="FooterChar"/>
    <w:uiPriority w:val="99"/>
    <w:unhideWhenUsed/>
    <w:rsid w:val="00300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E41"/>
  </w:style>
  <w:style w:type="paragraph" w:customStyle="1" w:styleId="p1">
    <w:name w:val="p1"/>
    <w:basedOn w:val="Normal"/>
    <w:rsid w:val="00300E41"/>
    <w:pPr>
      <w:spacing w:after="0" w:line="240" w:lineRule="auto"/>
    </w:pPr>
    <w:rPr>
      <w:rFonts w:ascii="Arial" w:eastAsia="Times New Roman" w:hAnsi="Arial" w:cs="Arial"/>
      <w:color w:val="000000"/>
      <w:kern w:val="0"/>
      <w:sz w:val="17"/>
      <w:szCs w:val="17"/>
      <w:lang w:eastAsia="en-GB"/>
      <w14:ligatures w14:val="none"/>
    </w:rPr>
  </w:style>
  <w:style w:type="paragraph" w:styleId="NoSpacing">
    <w:name w:val="No Spacing"/>
    <w:link w:val="NoSpacingChar"/>
    <w:uiPriority w:val="1"/>
    <w:qFormat/>
    <w:rsid w:val="00300E41"/>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00E41"/>
    <w:rPr>
      <w:rFonts w:eastAsiaTheme="minorEastAsia"/>
      <w:kern w:val="0"/>
      <w:sz w:val="22"/>
      <w:szCs w:val="22"/>
      <w:lang w:val="en-US" w:eastAsia="zh-CN"/>
      <w14:ligatures w14:val="none"/>
    </w:rPr>
  </w:style>
  <w:style w:type="character" w:styleId="Strong">
    <w:name w:val="Strong"/>
    <w:basedOn w:val="DefaultParagraphFont"/>
    <w:uiPriority w:val="22"/>
    <w:qFormat/>
    <w:rsid w:val="00490F58"/>
    <w:rPr>
      <w:b/>
      <w:bCs/>
    </w:rPr>
  </w:style>
  <w:style w:type="paragraph" w:styleId="NormalWeb">
    <w:name w:val="Normal (Web)"/>
    <w:basedOn w:val="Normal"/>
    <w:uiPriority w:val="99"/>
    <w:semiHidden/>
    <w:unhideWhenUsed/>
    <w:rsid w:val="00490F5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490F58"/>
    <w:rPr>
      <w:i/>
      <w:iCs/>
    </w:rPr>
  </w:style>
  <w:style w:type="character" w:styleId="Hyperlink">
    <w:name w:val="Hyperlink"/>
    <w:basedOn w:val="DefaultParagraphFont"/>
    <w:uiPriority w:val="99"/>
    <w:semiHidden/>
    <w:unhideWhenUsed/>
    <w:rsid w:val="00490F5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ingertips.phe.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o.i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lzheimers.org.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AB2C9B-250C-CE44-B49A-B379643A3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TotalTime>
  <Pages>7</Pages>
  <Words>1376</Words>
  <Characters>8452</Characters>
  <Application>Microsoft Office Word</Application>
  <DocSecurity>0</DocSecurity>
  <Lines>179</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Arcénia Nhampossa</dc:creator>
  <cp:keywords/>
  <dc:description/>
  <cp:lastModifiedBy>Meherun Nessa Chowdhury (2516013)</cp:lastModifiedBy>
  <cp:revision>9</cp:revision>
  <dcterms:created xsi:type="dcterms:W3CDTF">2026-04-09T09:25:00Z</dcterms:created>
  <dcterms:modified xsi:type="dcterms:W3CDTF">2026-04-17T10:35:00Z</dcterms:modified>
</cp:coreProperties>
</file>