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45" w:rsidRDefault="00A577A0" w:rsidP="00B6540A">
      <w:pPr>
        <w:pStyle w:val="Title"/>
        <w:spacing w:after="0"/>
        <w:jc w:val="center"/>
        <w:rPr>
          <w:rFonts w:ascii="Arial" w:eastAsia="Arial" w:hAnsi="Arial" w:cs="Arial"/>
          <w:b w:val="0"/>
        </w:rPr>
      </w:pPr>
      <w:bookmarkStart w:id="0" w:name="_heading=h.gjdgxs" w:colFirst="0" w:colLast="0"/>
      <w:bookmarkStart w:id="1" w:name="_GoBack"/>
      <w:bookmarkEnd w:id="0"/>
      <w:bookmarkEnd w:id="1"/>
      <w:r>
        <w:rPr>
          <w:rFonts w:ascii="Arial" w:eastAsia="Arial" w:hAnsi="Arial" w:cs="Arial"/>
        </w:rPr>
        <w:t>Workplace Culture and Its Impact on Organisational Efficiency-Task-1</w:t>
      </w:r>
    </w:p>
    <w:p w:rsidR="009C7045" w:rsidRDefault="009C7045" w:rsidP="00B6540A">
      <w:pPr>
        <w:spacing w:after="0"/>
        <w:jc w:val="center"/>
        <w:rPr>
          <w:rFonts w:ascii="Arial" w:eastAsia="Arial" w:hAnsi="Arial" w:cs="Arial"/>
          <w:b/>
          <w:i/>
          <w:color w:val="202122"/>
          <w:sz w:val="22"/>
          <w:szCs w:val="22"/>
          <w:highlight w:val="white"/>
        </w:rPr>
      </w:pPr>
    </w:p>
    <w:p w:rsidR="009C7045" w:rsidRDefault="009C7045" w:rsidP="00B6540A">
      <w:pPr>
        <w:spacing w:after="0"/>
        <w:jc w:val="center"/>
        <w:rPr>
          <w:rFonts w:ascii="Arial" w:eastAsia="Arial" w:hAnsi="Arial" w:cs="Arial"/>
          <w:b/>
          <w:i/>
          <w:color w:val="202122"/>
          <w:sz w:val="22"/>
          <w:szCs w:val="22"/>
          <w:highlight w:val="white"/>
        </w:rPr>
      </w:pPr>
    </w:p>
    <w:p w:rsidR="009C7045" w:rsidRDefault="009C7045" w:rsidP="00B6540A">
      <w:pPr>
        <w:spacing w:after="0"/>
        <w:jc w:val="center"/>
        <w:rPr>
          <w:rFonts w:ascii="Arial" w:eastAsia="Arial" w:hAnsi="Arial" w:cs="Arial"/>
          <w:b/>
          <w:i/>
          <w:color w:val="202122"/>
          <w:sz w:val="22"/>
          <w:szCs w:val="22"/>
          <w:highlight w:val="white"/>
        </w:rPr>
      </w:pPr>
    </w:p>
    <w:p w:rsidR="009C7045" w:rsidRDefault="00A577A0" w:rsidP="00B6540A">
      <w:pPr>
        <w:spacing w:after="0"/>
        <w:jc w:val="center"/>
        <w:rPr>
          <w:rFonts w:ascii="Arial" w:eastAsia="Arial" w:hAnsi="Arial" w:cs="Arial"/>
          <w:b/>
          <w:sz w:val="22"/>
          <w:szCs w:val="22"/>
        </w:rPr>
      </w:pPr>
      <w:r>
        <w:rPr>
          <w:rFonts w:ascii="Arial" w:eastAsia="Arial" w:hAnsi="Arial" w:cs="Arial"/>
          <w:b/>
          <w:i/>
          <w:color w:val="202122"/>
          <w:sz w:val="22"/>
          <w:szCs w:val="22"/>
          <w:highlight w:val="white"/>
        </w:rPr>
        <w:t xml:space="preserve">“United Investors Life Insurance Company” </w:t>
      </w:r>
      <w:r>
        <w:br w:type="page"/>
      </w:r>
    </w:p>
    <w:p w:rsidR="009C7045" w:rsidRDefault="00A577A0" w:rsidP="00B6540A">
      <w:pPr>
        <w:keepNext/>
        <w:keepLines/>
        <w:pBdr>
          <w:top w:val="nil"/>
          <w:left w:val="nil"/>
          <w:bottom w:val="nil"/>
          <w:right w:val="nil"/>
          <w:between w:val="nil"/>
        </w:pBdr>
        <w:spacing w:after="0"/>
        <w:jc w:val="center"/>
        <w:rPr>
          <w:rFonts w:ascii="Arial" w:eastAsia="Arial" w:hAnsi="Arial" w:cs="Arial"/>
          <w:b/>
          <w:color w:val="000000"/>
          <w:sz w:val="22"/>
          <w:szCs w:val="22"/>
        </w:rPr>
      </w:pPr>
      <w:r>
        <w:rPr>
          <w:rFonts w:ascii="Arial" w:eastAsia="Arial" w:hAnsi="Arial" w:cs="Arial"/>
          <w:b/>
          <w:color w:val="000000"/>
          <w:sz w:val="22"/>
          <w:szCs w:val="22"/>
        </w:rPr>
        <w:lastRenderedPageBreak/>
        <w:t>Table of Contents</w:t>
      </w:r>
    </w:p>
    <w:sdt>
      <w:sdtPr>
        <w:id w:val="673374512"/>
        <w:docPartObj>
          <w:docPartGallery w:val="Table of Contents"/>
          <w:docPartUnique/>
        </w:docPartObj>
      </w:sdtPr>
      <w:sdtEndPr/>
      <w:sdtContent>
        <w:p w:rsidR="00B6540A" w:rsidRDefault="00A577A0" w:rsidP="00B6540A">
          <w:pPr>
            <w:pStyle w:val="TOC1"/>
            <w:tabs>
              <w:tab w:val="right" w:leader="dot" w:pos="9019"/>
            </w:tabs>
            <w:spacing w:after="0"/>
            <w:rPr>
              <w:rFonts w:asciiTheme="minorHAnsi" w:eastAsiaTheme="minorEastAsia" w:hAnsiTheme="minorHAnsi" w:cstheme="minorBidi"/>
              <w:noProof/>
              <w:sz w:val="22"/>
              <w:szCs w:val="22"/>
              <w:lang w:val="en-IN"/>
            </w:rPr>
          </w:pPr>
          <w:r>
            <w:fldChar w:fldCharType="begin"/>
          </w:r>
          <w:r>
            <w:instrText xml:space="preserve"> TOC \h \u \z \t "Heading 1,1,Heading 2,2,Heading 3,3,"</w:instrText>
          </w:r>
          <w:r>
            <w:fldChar w:fldCharType="separate"/>
          </w:r>
          <w:hyperlink w:anchor="_Toc139560832" w:history="1">
            <w:r w:rsidR="00B6540A" w:rsidRPr="006F79E0">
              <w:rPr>
                <w:rStyle w:val="Hyperlink"/>
                <w:rFonts w:ascii="Arial" w:eastAsia="Arial" w:hAnsi="Arial" w:cs="Arial"/>
                <w:noProof/>
              </w:rPr>
              <w:t>Introduction</w:t>
            </w:r>
            <w:r w:rsidR="00B6540A">
              <w:rPr>
                <w:noProof/>
                <w:webHidden/>
              </w:rPr>
              <w:tab/>
            </w:r>
            <w:r w:rsidR="00B6540A">
              <w:rPr>
                <w:noProof/>
                <w:webHidden/>
              </w:rPr>
              <w:fldChar w:fldCharType="begin"/>
            </w:r>
            <w:r w:rsidR="00B6540A">
              <w:rPr>
                <w:noProof/>
                <w:webHidden/>
              </w:rPr>
              <w:instrText xml:space="preserve"> PAGEREF _Toc139560832 \h </w:instrText>
            </w:r>
            <w:r w:rsidR="00B6540A">
              <w:rPr>
                <w:noProof/>
                <w:webHidden/>
              </w:rPr>
            </w:r>
            <w:r w:rsidR="00B6540A">
              <w:rPr>
                <w:noProof/>
                <w:webHidden/>
              </w:rPr>
              <w:fldChar w:fldCharType="separate"/>
            </w:r>
            <w:r w:rsidR="00B6540A">
              <w:rPr>
                <w:noProof/>
                <w:webHidden/>
              </w:rPr>
              <w:t>3</w:t>
            </w:r>
            <w:r w:rsidR="00B6540A">
              <w:rPr>
                <w:noProof/>
                <w:webHidden/>
              </w:rPr>
              <w:fldChar w:fldCharType="end"/>
            </w:r>
          </w:hyperlink>
        </w:p>
        <w:p w:rsidR="00B6540A" w:rsidRDefault="00A85530" w:rsidP="00B6540A">
          <w:pPr>
            <w:pStyle w:val="TOC1"/>
            <w:tabs>
              <w:tab w:val="right" w:leader="dot" w:pos="9019"/>
            </w:tabs>
            <w:spacing w:after="0"/>
            <w:rPr>
              <w:rFonts w:asciiTheme="minorHAnsi" w:eastAsiaTheme="minorEastAsia" w:hAnsiTheme="minorHAnsi" w:cstheme="minorBidi"/>
              <w:noProof/>
              <w:sz w:val="22"/>
              <w:szCs w:val="22"/>
              <w:lang w:val="en-IN"/>
            </w:rPr>
          </w:pPr>
          <w:hyperlink w:anchor="_Toc139560833" w:history="1">
            <w:r w:rsidR="00B6540A" w:rsidRPr="006F79E0">
              <w:rPr>
                <w:rStyle w:val="Hyperlink"/>
                <w:rFonts w:ascii="Arial" w:eastAsia="Arial" w:hAnsi="Arial" w:cs="Arial"/>
                <w:noProof/>
              </w:rPr>
              <w:t>“The organisational environment critically assesses the impact of the environmental factors on the culture of the chosen organisation”</w:t>
            </w:r>
            <w:r w:rsidR="00B6540A">
              <w:rPr>
                <w:noProof/>
                <w:webHidden/>
              </w:rPr>
              <w:tab/>
            </w:r>
            <w:r w:rsidR="00B6540A">
              <w:rPr>
                <w:noProof/>
                <w:webHidden/>
              </w:rPr>
              <w:fldChar w:fldCharType="begin"/>
            </w:r>
            <w:r w:rsidR="00B6540A">
              <w:rPr>
                <w:noProof/>
                <w:webHidden/>
              </w:rPr>
              <w:instrText xml:space="preserve"> PAGEREF _Toc139560833 \h </w:instrText>
            </w:r>
            <w:r w:rsidR="00B6540A">
              <w:rPr>
                <w:noProof/>
                <w:webHidden/>
              </w:rPr>
            </w:r>
            <w:r w:rsidR="00B6540A">
              <w:rPr>
                <w:noProof/>
                <w:webHidden/>
              </w:rPr>
              <w:fldChar w:fldCharType="separate"/>
            </w:r>
            <w:r w:rsidR="00B6540A">
              <w:rPr>
                <w:noProof/>
                <w:webHidden/>
              </w:rPr>
              <w:t>4</w:t>
            </w:r>
            <w:r w:rsidR="00B6540A">
              <w:rPr>
                <w:noProof/>
                <w:webHidden/>
              </w:rPr>
              <w:fldChar w:fldCharType="end"/>
            </w:r>
          </w:hyperlink>
        </w:p>
        <w:p w:rsidR="00B6540A" w:rsidRDefault="00A85530" w:rsidP="00B6540A">
          <w:pPr>
            <w:pStyle w:val="TOC1"/>
            <w:tabs>
              <w:tab w:val="right" w:leader="dot" w:pos="9019"/>
            </w:tabs>
            <w:spacing w:after="0"/>
            <w:rPr>
              <w:rFonts w:asciiTheme="minorHAnsi" w:eastAsiaTheme="minorEastAsia" w:hAnsiTheme="minorHAnsi" w:cstheme="minorBidi"/>
              <w:noProof/>
              <w:sz w:val="22"/>
              <w:szCs w:val="22"/>
              <w:lang w:val="en-IN"/>
            </w:rPr>
          </w:pPr>
          <w:hyperlink w:anchor="_Toc139560834" w:history="1">
            <w:r w:rsidR="00B6540A" w:rsidRPr="006F79E0">
              <w:rPr>
                <w:rStyle w:val="Hyperlink"/>
                <w:rFonts w:ascii="Arial" w:eastAsia="Arial" w:hAnsi="Arial" w:cs="Arial"/>
                <w:noProof/>
              </w:rPr>
              <w:t>“Does the culture of the organisation promote ethical behaviour among employees and Critical appraisal of the culture of the organisation using an appropriate framework, one ethical dilemma likely to influence the culture”</w:t>
            </w:r>
            <w:r w:rsidR="00B6540A">
              <w:rPr>
                <w:noProof/>
                <w:webHidden/>
              </w:rPr>
              <w:tab/>
            </w:r>
            <w:r w:rsidR="00B6540A">
              <w:rPr>
                <w:noProof/>
                <w:webHidden/>
              </w:rPr>
              <w:fldChar w:fldCharType="begin"/>
            </w:r>
            <w:r w:rsidR="00B6540A">
              <w:rPr>
                <w:noProof/>
                <w:webHidden/>
              </w:rPr>
              <w:instrText xml:space="preserve"> PAGEREF _Toc139560834 \h </w:instrText>
            </w:r>
            <w:r w:rsidR="00B6540A">
              <w:rPr>
                <w:noProof/>
                <w:webHidden/>
              </w:rPr>
            </w:r>
            <w:r w:rsidR="00B6540A">
              <w:rPr>
                <w:noProof/>
                <w:webHidden/>
              </w:rPr>
              <w:fldChar w:fldCharType="separate"/>
            </w:r>
            <w:r w:rsidR="00B6540A">
              <w:rPr>
                <w:noProof/>
                <w:webHidden/>
              </w:rPr>
              <w:t>9</w:t>
            </w:r>
            <w:r w:rsidR="00B6540A">
              <w:rPr>
                <w:noProof/>
                <w:webHidden/>
              </w:rPr>
              <w:fldChar w:fldCharType="end"/>
            </w:r>
          </w:hyperlink>
        </w:p>
        <w:p w:rsidR="00B6540A" w:rsidRDefault="00A85530" w:rsidP="00B6540A">
          <w:pPr>
            <w:pStyle w:val="TOC1"/>
            <w:tabs>
              <w:tab w:val="right" w:leader="dot" w:pos="9019"/>
            </w:tabs>
            <w:spacing w:after="0"/>
            <w:rPr>
              <w:rFonts w:asciiTheme="minorHAnsi" w:eastAsiaTheme="minorEastAsia" w:hAnsiTheme="minorHAnsi" w:cstheme="minorBidi"/>
              <w:noProof/>
              <w:sz w:val="22"/>
              <w:szCs w:val="22"/>
              <w:lang w:val="en-IN"/>
            </w:rPr>
          </w:pPr>
          <w:hyperlink w:anchor="_Toc139560835" w:history="1">
            <w:r w:rsidR="00B6540A" w:rsidRPr="006F79E0">
              <w:rPr>
                <w:rStyle w:val="Hyperlink"/>
                <w:rFonts w:ascii="Arial" w:eastAsia="Arial" w:hAnsi="Arial" w:cs="Arial"/>
                <w:noProof/>
              </w:rPr>
              <w:t>“The barriers to the effective functioning of the organisation’s culture. Relevant recommendations that may enhance your organisation’s workplace culture in the future”</w:t>
            </w:r>
            <w:r w:rsidR="00B6540A">
              <w:rPr>
                <w:noProof/>
                <w:webHidden/>
              </w:rPr>
              <w:tab/>
            </w:r>
            <w:r w:rsidR="00B6540A">
              <w:rPr>
                <w:noProof/>
                <w:webHidden/>
              </w:rPr>
              <w:fldChar w:fldCharType="begin"/>
            </w:r>
            <w:r w:rsidR="00B6540A">
              <w:rPr>
                <w:noProof/>
                <w:webHidden/>
              </w:rPr>
              <w:instrText xml:space="preserve"> PAGEREF _Toc139560835 \h </w:instrText>
            </w:r>
            <w:r w:rsidR="00B6540A">
              <w:rPr>
                <w:noProof/>
                <w:webHidden/>
              </w:rPr>
            </w:r>
            <w:r w:rsidR="00B6540A">
              <w:rPr>
                <w:noProof/>
                <w:webHidden/>
              </w:rPr>
              <w:fldChar w:fldCharType="separate"/>
            </w:r>
            <w:r w:rsidR="00B6540A">
              <w:rPr>
                <w:noProof/>
                <w:webHidden/>
              </w:rPr>
              <w:t>11</w:t>
            </w:r>
            <w:r w:rsidR="00B6540A">
              <w:rPr>
                <w:noProof/>
                <w:webHidden/>
              </w:rPr>
              <w:fldChar w:fldCharType="end"/>
            </w:r>
          </w:hyperlink>
        </w:p>
        <w:p w:rsidR="00B6540A" w:rsidRDefault="00A85530" w:rsidP="00B6540A">
          <w:pPr>
            <w:pStyle w:val="TOC1"/>
            <w:tabs>
              <w:tab w:val="right" w:leader="dot" w:pos="9019"/>
            </w:tabs>
            <w:spacing w:after="0"/>
            <w:rPr>
              <w:rFonts w:asciiTheme="minorHAnsi" w:eastAsiaTheme="minorEastAsia" w:hAnsiTheme="minorHAnsi" w:cstheme="minorBidi"/>
              <w:noProof/>
              <w:sz w:val="22"/>
              <w:szCs w:val="22"/>
              <w:lang w:val="en-IN"/>
            </w:rPr>
          </w:pPr>
          <w:hyperlink w:anchor="_Toc139560836" w:history="1">
            <w:r w:rsidR="00B6540A" w:rsidRPr="006F79E0">
              <w:rPr>
                <w:rStyle w:val="Hyperlink"/>
                <w:rFonts w:ascii="Arial" w:eastAsia="Arial" w:hAnsi="Arial" w:cs="Arial"/>
                <w:noProof/>
              </w:rPr>
              <w:t>Conclusion</w:t>
            </w:r>
            <w:r w:rsidR="00B6540A">
              <w:rPr>
                <w:noProof/>
                <w:webHidden/>
              </w:rPr>
              <w:tab/>
            </w:r>
            <w:r w:rsidR="00B6540A">
              <w:rPr>
                <w:noProof/>
                <w:webHidden/>
              </w:rPr>
              <w:fldChar w:fldCharType="begin"/>
            </w:r>
            <w:r w:rsidR="00B6540A">
              <w:rPr>
                <w:noProof/>
                <w:webHidden/>
              </w:rPr>
              <w:instrText xml:space="preserve"> PAGEREF _Toc139560836 \h </w:instrText>
            </w:r>
            <w:r w:rsidR="00B6540A">
              <w:rPr>
                <w:noProof/>
                <w:webHidden/>
              </w:rPr>
            </w:r>
            <w:r w:rsidR="00B6540A">
              <w:rPr>
                <w:noProof/>
                <w:webHidden/>
              </w:rPr>
              <w:fldChar w:fldCharType="separate"/>
            </w:r>
            <w:r w:rsidR="00B6540A">
              <w:rPr>
                <w:noProof/>
                <w:webHidden/>
              </w:rPr>
              <w:t>14</w:t>
            </w:r>
            <w:r w:rsidR="00B6540A">
              <w:rPr>
                <w:noProof/>
                <w:webHidden/>
              </w:rPr>
              <w:fldChar w:fldCharType="end"/>
            </w:r>
          </w:hyperlink>
        </w:p>
        <w:p w:rsidR="00B6540A" w:rsidRDefault="00A85530" w:rsidP="00B6540A">
          <w:pPr>
            <w:pStyle w:val="TOC1"/>
            <w:tabs>
              <w:tab w:val="right" w:leader="dot" w:pos="9019"/>
            </w:tabs>
            <w:spacing w:after="0"/>
            <w:rPr>
              <w:rFonts w:asciiTheme="minorHAnsi" w:eastAsiaTheme="minorEastAsia" w:hAnsiTheme="minorHAnsi" w:cstheme="minorBidi"/>
              <w:noProof/>
              <w:sz w:val="22"/>
              <w:szCs w:val="22"/>
              <w:lang w:val="en-IN"/>
            </w:rPr>
          </w:pPr>
          <w:hyperlink w:anchor="_Toc139560837" w:history="1">
            <w:r w:rsidR="00B6540A" w:rsidRPr="006F79E0">
              <w:rPr>
                <w:rStyle w:val="Hyperlink"/>
                <w:rFonts w:ascii="Arial" w:eastAsia="Arial" w:hAnsi="Arial" w:cs="Arial"/>
                <w:noProof/>
              </w:rPr>
              <w:t>References</w:t>
            </w:r>
            <w:r w:rsidR="00B6540A">
              <w:rPr>
                <w:noProof/>
                <w:webHidden/>
              </w:rPr>
              <w:tab/>
            </w:r>
            <w:r w:rsidR="00B6540A">
              <w:rPr>
                <w:noProof/>
                <w:webHidden/>
              </w:rPr>
              <w:fldChar w:fldCharType="begin"/>
            </w:r>
            <w:r w:rsidR="00B6540A">
              <w:rPr>
                <w:noProof/>
                <w:webHidden/>
              </w:rPr>
              <w:instrText xml:space="preserve"> PAGEREF _Toc139560837 \h </w:instrText>
            </w:r>
            <w:r w:rsidR="00B6540A">
              <w:rPr>
                <w:noProof/>
                <w:webHidden/>
              </w:rPr>
            </w:r>
            <w:r w:rsidR="00B6540A">
              <w:rPr>
                <w:noProof/>
                <w:webHidden/>
              </w:rPr>
              <w:fldChar w:fldCharType="separate"/>
            </w:r>
            <w:r w:rsidR="00B6540A">
              <w:rPr>
                <w:noProof/>
                <w:webHidden/>
              </w:rPr>
              <w:t>15</w:t>
            </w:r>
            <w:r w:rsidR="00B6540A">
              <w:rPr>
                <w:noProof/>
                <w:webHidden/>
              </w:rPr>
              <w:fldChar w:fldCharType="end"/>
            </w:r>
          </w:hyperlink>
        </w:p>
        <w:p w:rsidR="009C7045" w:rsidRDefault="00A577A0" w:rsidP="00B6540A">
          <w:pPr>
            <w:widowControl w:val="0"/>
            <w:tabs>
              <w:tab w:val="right" w:leader="dot" w:pos="12000"/>
            </w:tabs>
            <w:spacing w:after="0"/>
            <w:rPr>
              <w:rFonts w:ascii="Arial" w:eastAsia="Arial" w:hAnsi="Arial" w:cs="Arial"/>
              <w:b/>
              <w:color w:val="000000"/>
              <w:sz w:val="22"/>
              <w:szCs w:val="22"/>
            </w:rPr>
          </w:pPr>
          <w:r>
            <w:fldChar w:fldCharType="end"/>
          </w:r>
        </w:p>
      </w:sdtContent>
    </w:sdt>
    <w:p w:rsidR="009C7045" w:rsidRDefault="00A577A0" w:rsidP="00B6540A">
      <w:pPr>
        <w:spacing w:after="0"/>
        <w:rPr>
          <w:rFonts w:ascii="Arial" w:eastAsia="Arial" w:hAnsi="Arial" w:cs="Arial"/>
          <w:b/>
          <w:sz w:val="22"/>
          <w:szCs w:val="22"/>
        </w:rPr>
      </w:pPr>
      <w:r>
        <w:br w:type="page"/>
      </w:r>
    </w:p>
    <w:p w:rsidR="009C7045" w:rsidRDefault="00A577A0" w:rsidP="00B6540A">
      <w:pPr>
        <w:pStyle w:val="Heading1"/>
        <w:spacing w:before="0" w:after="0"/>
        <w:rPr>
          <w:rFonts w:ascii="Arial" w:eastAsia="Arial" w:hAnsi="Arial" w:cs="Arial"/>
          <w:sz w:val="22"/>
          <w:szCs w:val="22"/>
        </w:rPr>
      </w:pPr>
      <w:bookmarkStart w:id="2" w:name="_Toc139560832"/>
      <w:r>
        <w:rPr>
          <w:rFonts w:ascii="Arial" w:eastAsia="Arial" w:hAnsi="Arial" w:cs="Arial"/>
          <w:sz w:val="22"/>
          <w:szCs w:val="22"/>
        </w:rPr>
        <w:lastRenderedPageBreak/>
        <w:t>Introduction</w:t>
      </w:r>
      <w:bookmarkEnd w:id="2"/>
    </w:p>
    <w:p w:rsidR="009C7045" w:rsidRDefault="00A577A0" w:rsidP="00B6540A">
      <w:pPr>
        <w:spacing w:after="0"/>
        <w:rPr>
          <w:rFonts w:ascii="Arial" w:eastAsia="Arial" w:hAnsi="Arial" w:cs="Arial"/>
          <w:sz w:val="22"/>
          <w:szCs w:val="22"/>
        </w:rPr>
      </w:pPr>
      <w:r>
        <w:rPr>
          <w:rFonts w:ascii="Arial" w:eastAsia="Arial" w:hAnsi="Arial" w:cs="Arial"/>
          <w:sz w:val="22"/>
          <w:szCs w:val="22"/>
        </w:rPr>
        <w:t xml:space="preserve">Positive work culture is a crucial factor which will promote productivity, engagement and improve employee morale which will increase the chances of getting good outcomes in the future. These factors will help to build a positive workflow and prioritise the core values which optimise the employee behaviours, standards and shared values which will help to reach the required potential to access growth opportunities (Bourgault and Goforth, 2021).  The aim of this study is to work on workplace culture and its impact on organisational efficiency. The company's chosen name is United Investors Life Insurance Company. This study has discussed the organisational environment with the impact of the environmental factors in relation to the chosen company culture. Further, this report will also discuss the culture of the chosen organisation to promote ethical behaviours within the employee influence in much more detail. Lastly, this study will discuss the barriers towards effective function related to the organisational culture with the help of recommendations in order to enhance the workplace culture in the future. </w:t>
      </w:r>
    </w:p>
    <w:p w:rsidR="009C7045" w:rsidRDefault="00A577A0" w:rsidP="00B6540A">
      <w:pPr>
        <w:spacing w:after="0"/>
        <w:rPr>
          <w:rFonts w:ascii="Arial" w:eastAsia="Arial" w:hAnsi="Arial" w:cs="Arial"/>
          <w:b/>
          <w:sz w:val="22"/>
          <w:szCs w:val="22"/>
        </w:rPr>
      </w:pPr>
      <w:r>
        <w:br w:type="page"/>
      </w:r>
    </w:p>
    <w:p w:rsidR="009C7045" w:rsidRDefault="00A577A0" w:rsidP="00B6540A">
      <w:pPr>
        <w:pStyle w:val="Heading1"/>
        <w:spacing w:before="0" w:after="0"/>
        <w:rPr>
          <w:rFonts w:ascii="Arial" w:eastAsia="Arial" w:hAnsi="Arial" w:cs="Arial"/>
          <w:sz w:val="22"/>
          <w:szCs w:val="22"/>
        </w:rPr>
      </w:pPr>
      <w:bookmarkStart w:id="3" w:name="_Toc139560833"/>
      <w:r>
        <w:rPr>
          <w:rFonts w:ascii="Arial" w:eastAsia="Arial" w:hAnsi="Arial" w:cs="Arial"/>
          <w:sz w:val="22"/>
          <w:szCs w:val="22"/>
        </w:rPr>
        <w:lastRenderedPageBreak/>
        <w:t>“The organisational environment critically assesses the impact of the environmental factors on the culture of the chosen organisation”</w:t>
      </w:r>
      <w:bookmarkEnd w:id="3"/>
    </w:p>
    <w:p w:rsidR="009C7045" w:rsidRDefault="00A577A0" w:rsidP="00B6540A">
      <w:pPr>
        <w:spacing w:after="0"/>
        <w:rPr>
          <w:rFonts w:ascii="Arial" w:eastAsia="Arial" w:hAnsi="Arial" w:cs="Arial"/>
          <w:sz w:val="22"/>
          <w:szCs w:val="22"/>
        </w:rPr>
      </w:pPr>
      <w:r>
        <w:rPr>
          <w:rFonts w:ascii="Arial" w:eastAsia="Arial" w:hAnsi="Arial" w:cs="Arial"/>
          <w:sz w:val="22"/>
          <w:szCs w:val="22"/>
        </w:rPr>
        <w:t>Organisational environment refers to the process of setting forces surrounding an organisation both internally and externally to affect the operations. The purpose of the organisational environment is to make a profit from excessing income and expenditure (Arasanmi and Krishna, 2019). Birmingham is a city located in the west midlands, UK and is proud of its heritage and culture. The industrial revolution once took place in this area which makes the city a great visit for tourists from all over the world. As the population increased in Birmingham, industries flourished in this region and became the “city of the thousand trades”. The culture of Birmingham represents creativity and enterprises which were developed by a partnership with various cultural sectors such as organisations, educational institutions, individuals, and businesses. The culture of Birmingham is based on music and producing influential brands. Birmingham's heritage has great music venues which include Midland Art Centre and Custard Factory. Symphony Hall is considered the best concert hall in Europe for classical music lovers. However, Birmingham Art Gallery and Museum present a huge section of artwork and Hippodrome is considered the most popular theatre in Great Britain Cadbury is recognised as one of the most unique heritage of Birmingham and draws offering tours, courses, tourists, and activities with free samples.</w:t>
      </w:r>
    </w:p>
    <w:p w:rsidR="009C7045" w:rsidRDefault="00A577A0" w:rsidP="00B6540A">
      <w:pPr>
        <w:spacing w:after="0"/>
        <w:rPr>
          <w:rFonts w:ascii="Arial" w:eastAsia="Arial" w:hAnsi="Arial" w:cs="Arial"/>
          <w:color w:val="202122"/>
          <w:sz w:val="22"/>
          <w:szCs w:val="22"/>
          <w:highlight w:val="white"/>
        </w:rPr>
      </w:pPr>
      <w:r>
        <w:rPr>
          <w:rFonts w:ascii="Arial" w:eastAsia="Arial" w:hAnsi="Arial" w:cs="Arial"/>
          <w:color w:val="202122"/>
          <w:sz w:val="22"/>
          <w:szCs w:val="22"/>
          <w:highlight w:val="white"/>
        </w:rPr>
        <w:t xml:space="preserve">United Investors Life Insurance Company has a positive impact on the culture of Birmingham as it regulates standards by implementing pollution prevention, reducing emissions, adhering to the safety of the environment and providing energy efficiency to the local areas. As an investing company, it analyses the process which focuses on welfare concerns and human rights in the workplace (Zafar </w:t>
      </w:r>
      <w:r>
        <w:rPr>
          <w:rFonts w:ascii="Arial" w:eastAsia="Arial" w:hAnsi="Arial" w:cs="Arial"/>
          <w:i/>
          <w:color w:val="202122"/>
          <w:sz w:val="22"/>
          <w:szCs w:val="22"/>
          <w:highlight w:val="white"/>
        </w:rPr>
        <w:t>et al</w:t>
      </w:r>
      <w:r>
        <w:rPr>
          <w:rFonts w:ascii="Arial" w:eastAsia="Arial" w:hAnsi="Arial" w:cs="Arial"/>
          <w:color w:val="202122"/>
          <w:sz w:val="22"/>
          <w:szCs w:val="22"/>
          <w:highlight w:val="white"/>
        </w:rPr>
        <w:t>., 2019). Investment analysts are concerned more with developing communities. United Investors Life Insurance Company implements several methods such as negative screening, best-in-class, impact investing, positive screening, and thematic investing to reduce negative affect in the culture of Birmingham. Negative screening excludes certain companies or sectors from investment consideration to underlying activities of the business or social concern or other environmental factors. Best-in-class and positive screening can be described as the process of embracing positive ESG which promotes prevention of the pollution in the surrounding area. Impact investing focuses on achieving targeted environmental or social objectives with measurable financial returns by directly investing in companies and projects. Thematic investing emphasises climate change or energy efficiency. Sustainability is considered an important factor for investment companies to process in certain areas. Insurance companies have less effect on the environmental factor and culture of the community as they work under the rules and regulations of the government.</w:t>
      </w:r>
    </w:p>
    <w:p w:rsidR="009C7045" w:rsidRDefault="00A577A0" w:rsidP="00B6540A">
      <w:pPr>
        <w:spacing w:after="0"/>
        <w:rPr>
          <w:rFonts w:ascii="Arial" w:eastAsia="Arial" w:hAnsi="Arial" w:cs="Arial"/>
          <w:color w:val="202122"/>
          <w:sz w:val="22"/>
          <w:szCs w:val="22"/>
          <w:highlight w:val="white"/>
        </w:rPr>
      </w:pPr>
      <w:r>
        <w:rPr>
          <w:rFonts w:ascii="Arial" w:eastAsia="Arial" w:hAnsi="Arial" w:cs="Arial"/>
          <w:color w:val="202122"/>
          <w:sz w:val="22"/>
          <w:szCs w:val="22"/>
          <w:highlight w:val="white"/>
        </w:rPr>
        <w:lastRenderedPageBreak/>
        <w:t xml:space="preserve">The environmental factors of the culture bring ambiguity and uncertainty to the United Investors Life Insurance Company by the unavailability of reliable predictors of any future events. Environmental factors can bring global economic turndown and financial crises which can only be prevented by insurance companies (Bran </w:t>
      </w:r>
      <w:r>
        <w:rPr>
          <w:rFonts w:ascii="Arial" w:eastAsia="Arial" w:hAnsi="Arial" w:cs="Arial"/>
          <w:i/>
          <w:color w:val="202122"/>
          <w:sz w:val="22"/>
          <w:szCs w:val="22"/>
          <w:highlight w:val="white"/>
        </w:rPr>
        <w:t>et al</w:t>
      </w:r>
      <w:r>
        <w:rPr>
          <w:rFonts w:ascii="Arial" w:eastAsia="Arial" w:hAnsi="Arial" w:cs="Arial"/>
          <w:color w:val="202122"/>
          <w:sz w:val="22"/>
          <w:szCs w:val="22"/>
          <w:highlight w:val="white"/>
        </w:rPr>
        <w:t>., 2020). The role of the insurance company is to bring manageability, stability, and predictability in today’s chaotic world. Initiating mitigation can help insurance companies to adapt to environmental challenges. The major role of the United Investors Life Insurance Company is to provide worker’s compensation, highway safety, health care, and building codes. The success of an insurance company depends on managing risks and anticipating risks successfully.</w:t>
      </w:r>
    </w:p>
    <w:p w:rsidR="009C7045" w:rsidRDefault="00A577A0" w:rsidP="00B6540A">
      <w:pPr>
        <w:spacing w:after="0"/>
        <w:rPr>
          <w:rFonts w:ascii="Arial" w:eastAsia="Arial" w:hAnsi="Arial" w:cs="Arial"/>
          <w:b/>
          <w:i/>
          <w:color w:val="202122"/>
          <w:sz w:val="22"/>
          <w:szCs w:val="22"/>
          <w:highlight w:val="white"/>
        </w:rPr>
      </w:pPr>
      <w:r>
        <w:rPr>
          <w:rFonts w:ascii="Arial" w:eastAsia="Arial" w:hAnsi="Arial" w:cs="Arial"/>
          <w:b/>
          <w:i/>
          <w:color w:val="202122"/>
          <w:sz w:val="22"/>
          <w:szCs w:val="22"/>
          <w:highlight w:val="white"/>
        </w:rPr>
        <w:t>“Pestle Analysis of United Investors Life Insurance Company”</w:t>
      </w:r>
    </w:p>
    <w:tbl>
      <w:tblPr>
        <w:tblStyle w:val="a0"/>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3555"/>
        <w:gridCol w:w="3705"/>
      </w:tblGrid>
      <w:tr w:rsidR="009C7045">
        <w:tc>
          <w:tcPr>
            <w:tcW w:w="1770" w:type="dxa"/>
            <w:shd w:val="clear" w:color="auto" w:fill="auto"/>
            <w:tcMar>
              <w:top w:w="100" w:type="dxa"/>
              <w:left w:w="100" w:type="dxa"/>
              <w:bottom w:w="100" w:type="dxa"/>
              <w:right w:w="100" w:type="dxa"/>
            </w:tcMar>
          </w:tcPr>
          <w:p w:rsidR="009C7045" w:rsidRDefault="00A577A0" w:rsidP="00B6540A">
            <w:pPr>
              <w:widowControl w:val="0"/>
              <w:pBdr>
                <w:top w:val="nil"/>
                <w:left w:val="nil"/>
                <w:bottom w:val="nil"/>
                <w:right w:val="nil"/>
                <w:between w:val="nil"/>
              </w:pBdr>
              <w:spacing w:after="0"/>
              <w:jc w:val="left"/>
              <w:rPr>
                <w:rFonts w:ascii="Arial" w:eastAsia="Arial" w:hAnsi="Arial" w:cs="Arial"/>
                <w:b/>
                <w:color w:val="202122"/>
                <w:sz w:val="22"/>
                <w:szCs w:val="22"/>
                <w:highlight w:val="white"/>
              </w:rPr>
            </w:pPr>
            <w:r>
              <w:rPr>
                <w:rFonts w:ascii="Arial" w:eastAsia="Arial" w:hAnsi="Arial" w:cs="Arial"/>
                <w:b/>
                <w:color w:val="202122"/>
                <w:sz w:val="22"/>
                <w:szCs w:val="22"/>
                <w:highlight w:val="white"/>
              </w:rPr>
              <w:t xml:space="preserve">Political factors </w:t>
            </w:r>
          </w:p>
        </w:tc>
        <w:tc>
          <w:tcPr>
            <w:tcW w:w="3555" w:type="dxa"/>
            <w:shd w:val="clear" w:color="auto" w:fill="auto"/>
            <w:tcMar>
              <w:top w:w="100" w:type="dxa"/>
              <w:left w:w="100" w:type="dxa"/>
              <w:bottom w:w="100" w:type="dxa"/>
              <w:right w:w="100" w:type="dxa"/>
            </w:tcMar>
          </w:tcPr>
          <w:p w:rsidR="009C7045" w:rsidRDefault="00A577A0" w:rsidP="00B6540A">
            <w:pPr>
              <w:widowControl w:val="0"/>
              <w:numPr>
                <w:ilvl w:val="0"/>
                <w:numId w:val="10"/>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Attitude and stability of the government.</w:t>
            </w:r>
          </w:p>
          <w:p w:rsidR="009C7045" w:rsidRDefault="00A577A0" w:rsidP="00B6540A">
            <w:pPr>
              <w:widowControl w:val="0"/>
              <w:numPr>
                <w:ilvl w:val="0"/>
                <w:numId w:val="10"/>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Tax policies.</w:t>
            </w:r>
          </w:p>
          <w:p w:rsidR="009C7045" w:rsidRDefault="00A577A0" w:rsidP="00B6540A">
            <w:pPr>
              <w:widowControl w:val="0"/>
              <w:numPr>
                <w:ilvl w:val="0"/>
                <w:numId w:val="10"/>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Brexit.</w:t>
            </w:r>
          </w:p>
        </w:tc>
        <w:tc>
          <w:tcPr>
            <w:tcW w:w="3705" w:type="dxa"/>
            <w:shd w:val="clear" w:color="auto" w:fill="auto"/>
            <w:tcMar>
              <w:top w:w="100" w:type="dxa"/>
              <w:left w:w="100" w:type="dxa"/>
              <w:bottom w:w="100" w:type="dxa"/>
              <w:right w:w="100" w:type="dxa"/>
            </w:tcMar>
          </w:tcPr>
          <w:p w:rsidR="009C7045" w:rsidRDefault="00A577A0" w:rsidP="00B6540A">
            <w:pPr>
              <w:widowControl w:val="0"/>
              <w:numPr>
                <w:ilvl w:val="0"/>
                <w:numId w:val="6"/>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Government may introduce third-party liability motor insurance which can decrease the demand for such insurance cover.</w:t>
            </w:r>
          </w:p>
          <w:p w:rsidR="009C7045" w:rsidRDefault="00A577A0" w:rsidP="00B6540A">
            <w:pPr>
              <w:widowControl w:val="0"/>
              <w:numPr>
                <w:ilvl w:val="0"/>
                <w:numId w:val="6"/>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Government may introduce many tax policies such as deducting tax which can lower the profitability of the United Investors Life Insurance Company.</w:t>
            </w:r>
          </w:p>
          <w:p w:rsidR="009C7045" w:rsidRDefault="00A577A0" w:rsidP="00B6540A">
            <w:pPr>
              <w:widowControl w:val="0"/>
              <w:numPr>
                <w:ilvl w:val="0"/>
                <w:numId w:val="6"/>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 xml:space="preserve"> Brexit can remove the passporting rights of the United Investors Life Insurance Company to underwrite their risks. </w:t>
            </w:r>
          </w:p>
        </w:tc>
      </w:tr>
      <w:tr w:rsidR="009C7045">
        <w:tc>
          <w:tcPr>
            <w:tcW w:w="1770" w:type="dxa"/>
            <w:shd w:val="clear" w:color="auto" w:fill="auto"/>
            <w:tcMar>
              <w:top w:w="100" w:type="dxa"/>
              <w:left w:w="100" w:type="dxa"/>
              <w:bottom w:w="100" w:type="dxa"/>
              <w:right w:w="100" w:type="dxa"/>
            </w:tcMar>
          </w:tcPr>
          <w:p w:rsidR="009C7045" w:rsidRDefault="00A577A0" w:rsidP="00B6540A">
            <w:pPr>
              <w:widowControl w:val="0"/>
              <w:pBdr>
                <w:top w:val="nil"/>
                <w:left w:val="nil"/>
                <w:bottom w:val="nil"/>
                <w:right w:val="nil"/>
                <w:between w:val="nil"/>
              </w:pBdr>
              <w:spacing w:after="0"/>
              <w:jc w:val="left"/>
              <w:rPr>
                <w:rFonts w:ascii="Arial" w:eastAsia="Arial" w:hAnsi="Arial" w:cs="Arial"/>
                <w:b/>
                <w:color w:val="202122"/>
                <w:sz w:val="22"/>
                <w:szCs w:val="22"/>
                <w:highlight w:val="white"/>
              </w:rPr>
            </w:pPr>
            <w:r>
              <w:rPr>
                <w:rFonts w:ascii="Arial" w:eastAsia="Arial" w:hAnsi="Arial" w:cs="Arial"/>
                <w:b/>
                <w:color w:val="202122"/>
                <w:sz w:val="22"/>
                <w:szCs w:val="22"/>
                <w:highlight w:val="white"/>
              </w:rPr>
              <w:t>Economic factors</w:t>
            </w:r>
          </w:p>
        </w:tc>
        <w:tc>
          <w:tcPr>
            <w:tcW w:w="3555" w:type="dxa"/>
            <w:shd w:val="clear" w:color="auto" w:fill="auto"/>
            <w:tcMar>
              <w:top w:w="100" w:type="dxa"/>
              <w:left w:w="100" w:type="dxa"/>
              <w:bottom w:w="100" w:type="dxa"/>
              <w:right w:w="100" w:type="dxa"/>
            </w:tcMar>
          </w:tcPr>
          <w:p w:rsidR="009C7045" w:rsidRDefault="00A577A0" w:rsidP="00B6540A">
            <w:pPr>
              <w:widowControl w:val="0"/>
              <w:numPr>
                <w:ilvl w:val="0"/>
                <w:numId w:val="12"/>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Financial crises.</w:t>
            </w:r>
          </w:p>
          <w:p w:rsidR="009C7045" w:rsidRDefault="00A577A0" w:rsidP="00B6540A">
            <w:pPr>
              <w:widowControl w:val="0"/>
              <w:numPr>
                <w:ilvl w:val="0"/>
                <w:numId w:val="12"/>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Interest rates.</w:t>
            </w:r>
          </w:p>
          <w:p w:rsidR="009C7045" w:rsidRDefault="00A577A0" w:rsidP="00B6540A">
            <w:pPr>
              <w:widowControl w:val="0"/>
              <w:numPr>
                <w:ilvl w:val="0"/>
                <w:numId w:val="12"/>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Inflation rates.</w:t>
            </w:r>
          </w:p>
        </w:tc>
        <w:tc>
          <w:tcPr>
            <w:tcW w:w="3705" w:type="dxa"/>
            <w:shd w:val="clear" w:color="auto" w:fill="auto"/>
            <w:tcMar>
              <w:top w:w="100" w:type="dxa"/>
              <w:left w:w="100" w:type="dxa"/>
              <w:bottom w:w="100" w:type="dxa"/>
              <w:right w:w="100" w:type="dxa"/>
            </w:tcMar>
          </w:tcPr>
          <w:p w:rsidR="009C7045" w:rsidRDefault="00A577A0" w:rsidP="00B6540A">
            <w:pPr>
              <w:widowControl w:val="0"/>
              <w:numPr>
                <w:ilvl w:val="0"/>
                <w:numId w:val="11"/>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Financial crises can create an amalgamation of different issues such as mortgage defaults which bring bigger crises to the finance company.</w:t>
            </w:r>
          </w:p>
          <w:p w:rsidR="009C7045" w:rsidRDefault="00A577A0" w:rsidP="00B6540A">
            <w:pPr>
              <w:widowControl w:val="0"/>
              <w:numPr>
                <w:ilvl w:val="0"/>
                <w:numId w:val="11"/>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 xml:space="preserve">Low-interest rates can cause insufficient returns that compensate for weak </w:t>
            </w:r>
            <w:r>
              <w:rPr>
                <w:rFonts w:ascii="Arial" w:eastAsia="Arial" w:hAnsi="Arial" w:cs="Arial"/>
                <w:color w:val="202122"/>
                <w:sz w:val="22"/>
                <w:szCs w:val="22"/>
                <w:highlight w:val="white"/>
              </w:rPr>
              <w:lastRenderedPageBreak/>
              <w:t>underwriting results as well as offset the effect of inflation.</w:t>
            </w:r>
          </w:p>
          <w:p w:rsidR="009C7045" w:rsidRDefault="00A577A0" w:rsidP="00B6540A">
            <w:pPr>
              <w:widowControl w:val="0"/>
              <w:numPr>
                <w:ilvl w:val="0"/>
                <w:numId w:val="11"/>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Inflation rate can diminish the supply of goods and services that force suppliers to reduce prices caused by a low supply of money.</w:t>
            </w:r>
          </w:p>
        </w:tc>
      </w:tr>
      <w:tr w:rsidR="009C7045">
        <w:tc>
          <w:tcPr>
            <w:tcW w:w="1770" w:type="dxa"/>
            <w:shd w:val="clear" w:color="auto" w:fill="auto"/>
            <w:tcMar>
              <w:top w:w="100" w:type="dxa"/>
              <w:left w:w="100" w:type="dxa"/>
              <w:bottom w:w="100" w:type="dxa"/>
              <w:right w:w="100" w:type="dxa"/>
            </w:tcMar>
          </w:tcPr>
          <w:p w:rsidR="009C7045" w:rsidRDefault="00A577A0" w:rsidP="00B6540A">
            <w:pPr>
              <w:widowControl w:val="0"/>
              <w:pBdr>
                <w:top w:val="nil"/>
                <w:left w:val="nil"/>
                <w:bottom w:val="nil"/>
                <w:right w:val="nil"/>
                <w:between w:val="nil"/>
              </w:pBdr>
              <w:spacing w:after="0"/>
              <w:jc w:val="left"/>
              <w:rPr>
                <w:rFonts w:ascii="Arial" w:eastAsia="Arial" w:hAnsi="Arial" w:cs="Arial"/>
                <w:b/>
                <w:color w:val="202122"/>
                <w:sz w:val="22"/>
                <w:szCs w:val="22"/>
                <w:highlight w:val="white"/>
              </w:rPr>
            </w:pPr>
            <w:r>
              <w:rPr>
                <w:rFonts w:ascii="Arial" w:eastAsia="Arial" w:hAnsi="Arial" w:cs="Arial"/>
                <w:b/>
                <w:color w:val="202122"/>
                <w:sz w:val="22"/>
                <w:szCs w:val="22"/>
                <w:highlight w:val="white"/>
              </w:rPr>
              <w:lastRenderedPageBreak/>
              <w:t>Social factors</w:t>
            </w:r>
          </w:p>
        </w:tc>
        <w:tc>
          <w:tcPr>
            <w:tcW w:w="3555" w:type="dxa"/>
            <w:shd w:val="clear" w:color="auto" w:fill="auto"/>
            <w:tcMar>
              <w:top w:w="100" w:type="dxa"/>
              <w:left w:w="100" w:type="dxa"/>
              <w:bottom w:w="100" w:type="dxa"/>
              <w:right w:w="100" w:type="dxa"/>
            </w:tcMar>
          </w:tcPr>
          <w:p w:rsidR="009C7045" w:rsidRDefault="00A577A0" w:rsidP="00B6540A">
            <w:pPr>
              <w:widowControl w:val="0"/>
              <w:numPr>
                <w:ilvl w:val="0"/>
                <w:numId w:val="2"/>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Employment and work factors.</w:t>
            </w:r>
          </w:p>
          <w:p w:rsidR="009C7045" w:rsidRDefault="00A577A0" w:rsidP="00B6540A">
            <w:pPr>
              <w:widowControl w:val="0"/>
              <w:numPr>
                <w:ilvl w:val="0"/>
                <w:numId w:val="2"/>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Morality, migration, and fertility.</w:t>
            </w:r>
          </w:p>
        </w:tc>
        <w:tc>
          <w:tcPr>
            <w:tcW w:w="3705" w:type="dxa"/>
            <w:shd w:val="clear" w:color="auto" w:fill="auto"/>
            <w:tcMar>
              <w:top w:w="100" w:type="dxa"/>
              <w:left w:w="100" w:type="dxa"/>
              <w:bottom w:w="100" w:type="dxa"/>
              <w:right w:w="100" w:type="dxa"/>
            </w:tcMar>
          </w:tcPr>
          <w:p w:rsidR="009C7045" w:rsidRDefault="00A577A0" w:rsidP="00B6540A">
            <w:pPr>
              <w:widowControl w:val="0"/>
              <w:numPr>
                <w:ilvl w:val="0"/>
                <w:numId w:val="4"/>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Reliance on temporary and flexible employment has increased which reduces the stability of permanent working life and full-time employment.</w:t>
            </w:r>
          </w:p>
          <w:p w:rsidR="009C7045" w:rsidRDefault="00A577A0" w:rsidP="00B6540A">
            <w:pPr>
              <w:widowControl w:val="0"/>
              <w:numPr>
                <w:ilvl w:val="0"/>
                <w:numId w:val="4"/>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Large-scale migration can lead to the formation of ghettos as well as increase polarisation of the societies due to a lack of integration policies.</w:t>
            </w:r>
          </w:p>
        </w:tc>
      </w:tr>
      <w:tr w:rsidR="009C7045">
        <w:tc>
          <w:tcPr>
            <w:tcW w:w="1770" w:type="dxa"/>
            <w:shd w:val="clear" w:color="auto" w:fill="auto"/>
            <w:tcMar>
              <w:top w:w="100" w:type="dxa"/>
              <w:left w:w="100" w:type="dxa"/>
              <w:bottom w:w="100" w:type="dxa"/>
              <w:right w:w="100" w:type="dxa"/>
            </w:tcMar>
          </w:tcPr>
          <w:p w:rsidR="009C7045" w:rsidRDefault="00A577A0" w:rsidP="00B6540A">
            <w:pPr>
              <w:widowControl w:val="0"/>
              <w:pBdr>
                <w:top w:val="nil"/>
                <w:left w:val="nil"/>
                <w:bottom w:val="nil"/>
                <w:right w:val="nil"/>
                <w:between w:val="nil"/>
              </w:pBdr>
              <w:spacing w:after="0"/>
              <w:jc w:val="left"/>
              <w:rPr>
                <w:rFonts w:ascii="Arial" w:eastAsia="Arial" w:hAnsi="Arial" w:cs="Arial"/>
                <w:b/>
                <w:color w:val="202122"/>
                <w:sz w:val="22"/>
                <w:szCs w:val="22"/>
                <w:highlight w:val="white"/>
              </w:rPr>
            </w:pPr>
            <w:r>
              <w:rPr>
                <w:rFonts w:ascii="Arial" w:eastAsia="Arial" w:hAnsi="Arial" w:cs="Arial"/>
                <w:b/>
                <w:color w:val="202122"/>
                <w:sz w:val="22"/>
                <w:szCs w:val="22"/>
                <w:highlight w:val="white"/>
              </w:rPr>
              <w:t>Technological factors</w:t>
            </w:r>
          </w:p>
        </w:tc>
        <w:tc>
          <w:tcPr>
            <w:tcW w:w="3555" w:type="dxa"/>
            <w:shd w:val="clear" w:color="auto" w:fill="auto"/>
            <w:tcMar>
              <w:top w:w="100" w:type="dxa"/>
              <w:left w:w="100" w:type="dxa"/>
              <w:bottom w:w="100" w:type="dxa"/>
              <w:right w:w="100" w:type="dxa"/>
            </w:tcMar>
          </w:tcPr>
          <w:p w:rsidR="009C7045" w:rsidRDefault="00A577A0" w:rsidP="00B6540A">
            <w:pPr>
              <w:widowControl w:val="0"/>
              <w:numPr>
                <w:ilvl w:val="0"/>
                <w:numId w:val="5"/>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Advancement in technologies.</w:t>
            </w:r>
          </w:p>
          <w:p w:rsidR="009C7045" w:rsidRDefault="00A577A0" w:rsidP="00B6540A">
            <w:pPr>
              <w:widowControl w:val="0"/>
              <w:numPr>
                <w:ilvl w:val="0"/>
                <w:numId w:val="5"/>
              </w:numP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Internet penetration rate</w:t>
            </w:r>
          </w:p>
        </w:tc>
        <w:tc>
          <w:tcPr>
            <w:tcW w:w="3705" w:type="dxa"/>
            <w:shd w:val="clear" w:color="auto" w:fill="auto"/>
            <w:tcMar>
              <w:top w:w="100" w:type="dxa"/>
              <w:left w:w="100" w:type="dxa"/>
              <w:bottom w:w="100" w:type="dxa"/>
              <w:right w:w="100" w:type="dxa"/>
            </w:tcMar>
          </w:tcPr>
          <w:p w:rsidR="009C7045" w:rsidRDefault="00A577A0" w:rsidP="00B6540A">
            <w:pPr>
              <w:widowControl w:val="0"/>
              <w:numPr>
                <w:ilvl w:val="0"/>
                <w:numId w:val="7"/>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Technology can be a  powerful tool to create products which can satisfy their needs. Product improvement and design have allowed insurance companies to operate in new areas and have enabled them to improve their insurance companies.</w:t>
            </w:r>
          </w:p>
          <w:p w:rsidR="009C7045" w:rsidRDefault="00A577A0" w:rsidP="00B6540A">
            <w:pPr>
              <w:widowControl w:val="0"/>
              <w:numPr>
                <w:ilvl w:val="0"/>
                <w:numId w:val="7"/>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 xml:space="preserve">Internet penetration rate has increased the level of development of the United Investors Life Insurance </w:t>
            </w:r>
            <w:r>
              <w:rPr>
                <w:rFonts w:ascii="Arial" w:eastAsia="Arial" w:hAnsi="Arial" w:cs="Arial"/>
                <w:color w:val="202122"/>
                <w:sz w:val="22"/>
                <w:szCs w:val="22"/>
                <w:highlight w:val="white"/>
              </w:rPr>
              <w:lastRenderedPageBreak/>
              <w:t>Company in many countries by exceeding their global average.</w:t>
            </w:r>
          </w:p>
        </w:tc>
      </w:tr>
      <w:tr w:rsidR="009C7045">
        <w:tc>
          <w:tcPr>
            <w:tcW w:w="1770" w:type="dxa"/>
            <w:shd w:val="clear" w:color="auto" w:fill="auto"/>
            <w:tcMar>
              <w:top w:w="100" w:type="dxa"/>
              <w:left w:w="100" w:type="dxa"/>
              <w:bottom w:w="100" w:type="dxa"/>
              <w:right w:w="100" w:type="dxa"/>
            </w:tcMar>
          </w:tcPr>
          <w:p w:rsidR="009C7045" w:rsidRDefault="00A577A0" w:rsidP="00B6540A">
            <w:pPr>
              <w:widowControl w:val="0"/>
              <w:pBdr>
                <w:top w:val="nil"/>
                <w:left w:val="nil"/>
                <w:bottom w:val="nil"/>
                <w:right w:val="nil"/>
                <w:between w:val="nil"/>
              </w:pBdr>
              <w:spacing w:after="0"/>
              <w:jc w:val="left"/>
              <w:rPr>
                <w:rFonts w:ascii="Arial" w:eastAsia="Arial" w:hAnsi="Arial" w:cs="Arial"/>
                <w:b/>
                <w:color w:val="202122"/>
                <w:sz w:val="22"/>
                <w:szCs w:val="22"/>
                <w:highlight w:val="white"/>
              </w:rPr>
            </w:pPr>
            <w:r>
              <w:rPr>
                <w:rFonts w:ascii="Arial" w:eastAsia="Arial" w:hAnsi="Arial" w:cs="Arial"/>
                <w:b/>
                <w:color w:val="202122"/>
                <w:sz w:val="22"/>
                <w:szCs w:val="22"/>
                <w:highlight w:val="white"/>
              </w:rPr>
              <w:lastRenderedPageBreak/>
              <w:t>Legal factors</w:t>
            </w:r>
          </w:p>
        </w:tc>
        <w:tc>
          <w:tcPr>
            <w:tcW w:w="3555" w:type="dxa"/>
            <w:shd w:val="clear" w:color="auto" w:fill="auto"/>
            <w:tcMar>
              <w:top w:w="100" w:type="dxa"/>
              <w:left w:w="100" w:type="dxa"/>
              <w:bottom w:w="100" w:type="dxa"/>
              <w:right w:w="100" w:type="dxa"/>
            </w:tcMar>
          </w:tcPr>
          <w:p w:rsidR="009C7045" w:rsidRDefault="00A577A0" w:rsidP="00B6540A">
            <w:pPr>
              <w:widowControl w:val="0"/>
              <w:numPr>
                <w:ilvl w:val="0"/>
                <w:numId w:val="8"/>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Regulatory bodies.</w:t>
            </w:r>
          </w:p>
          <w:p w:rsidR="009C7045" w:rsidRDefault="00A577A0" w:rsidP="00B6540A">
            <w:pPr>
              <w:widowControl w:val="0"/>
              <w:numPr>
                <w:ilvl w:val="0"/>
                <w:numId w:val="8"/>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Supporting institutions.</w:t>
            </w:r>
          </w:p>
        </w:tc>
        <w:tc>
          <w:tcPr>
            <w:tcW w:w="3705" w:type="dxa"/>
            <w:shd w:val="clear" w:color="auto" w:fill="auto"/>
            <w:tcMar>
              <w:top w:w="100" w:type="dxa"/>
              <w:left w:w="100" w:type="dxa"/>
              <w:bottom w:w="100" w:type="dxa"/>
              <w:right w:w="100" w:type="dxa"/>
            </w:tcMar>
          </w:tcPr>
          <w:p w:rsidR="009C7045" w:rsidRDefault="00A577A0" w:rsidP="00B6540A">
            <w:pPr>
              <w:widowControl w:val="0"/>
              <w:numPr>
                <w:ilvl w:val="0"/>
                <w:numId w:val="3"/>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Regulatory bodies regulate and control the rate of insurance to prevent United Investors Life Insurance Company from unwanted price hikes in the premium insurance.</w:t>
            </w:r>
          </w:p>
          <w:p w:rsidR="009C7045" w:rsidRDefault="00A577A0" w:rsidP="00B6540A">
            <w:pPr>
              <w:widowControl w:val="0"/>
              <w:numPr>
                <w:ilvl w:val="0"/>
                <w:numId w:val="3"/>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The supporting institutions for the insurance company are policyholders who promote, ensure, and regulate the growth of the insurance company.</w:t>
            </w:r>
          </w:p>
        </w:tc>
      </w:tr>
      <w:tr w:rsidR="009C7045">
        <w:tc>
          <w:tcPr>
            <w:tcW w:w="1770" w:type="dxa"/>
            <w:shd w:val="clear" w:color="auto" w:fill="auto"/>
            <w:tcMar>
              <w:top w:w="100" w:type="dxa"/>
              <w:left w:w="100" w:type="dxa"/>
              <w:bottom w:w="100" w:type="dxa"/>
              <w:right w:w="100" w:type="dxa"/>
            </w:tcMar>
          </w:tcPr>
          <w:p w:rsidR="009C7045" w:rsidRDefault="00A577A0" w:rsidP="00B6540A">
            <w:pPr>
              <w:widowControl w:val="0"/>
              <w:pBdr>
                <w:top w:val="nil"/>
                <w:left w:val="nil"/>
                <w:bottom w:val="nil"/>
                <w:right w:val="nil"/>
                <w:between w:val="nil"/>
              </w:pBdr>
              <w:spacing w:after="0"/>
              <w:jc w:val="left"/>
              <w:rPr>
                <w:rFonts w:ascii="Arial" w:eastAsia="Arial" w:hAnsi="Arial" w:cs="Arial"/>
                <w:b/>
                <w:color w:val="202122"/>
                <w:sz w:val="22"/>
                <w:szCs w:val="22"/>
                <w:highlight w:val="white"/>
              </w:rPr>
            </w:pPr>
            <w:r>
              <w:rPr>
                <w:rFonts w:ascii="Arial" w:eastAsia="Arial" w:hAnsi="Arial" w:cs="Arial"/>
                <w:b/>
                <w:color w:val="202122"/>
                <w:sz w:val="22"/>
                <w:szCs w:val="22"/>
                <w:highlight w:val="white"/>
              </w:rPr>
              <w:t>Environmental factors</w:t>
            </w:r>
          </w:p>
        </w:tc>
        <w:tc>
          <w:tcPr>
            <w:tcW w:w="3555" w:type="dxa"/>
            <w:shd w:val="clear" w:color="auto" w:fill="auto"/>
            <w:tcMar>
              <w:top w:w="100" w:type="dxa"/>
              <w:left w:w="100" w:type="dxa"/>
              <w:bottom w:w="100" w:type="dxa"/>
              <w:right w:w="100" w:type="dxa"/>
            </w:tcMar>
          </w:tcPr>
          <w:p w:rsidR="009C7045" w:rsidRDefault="00A577A0" w:rsidP="00B6540A">
            <w:pPr>
              <w:widowControl w:val="0"/>
              <w:numPr>
                <w:ilvl w:val="0"/>
                <w:numId w:val="1"/>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Operation and management.</w:t>
            </w:r>
          </w:p>
          <w:p w:rsidR="009C7045" w:rsidRDefault="00A577A0" w:rsidP="00B6540A">
            <w:pPr>
              <w:widowControl w:val="0"/>
              <w:numPr>
                <w:ilvl w:val="0"/>
                <w:numId w:val="1"/>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Claim settlement.</w:t>
            </w:r>
          </w:p>
        </w:tc>
        <w:tc>
          <w:tcPr>
            <w:tcW w:w="3705" w:type="dxa"/>
            <w:shd w:val="clear" w:color="auto" w:fill="auto"/>
            <w:tcMar>
              <w:top w:w="100" w:type="dxa"/>
              <w:left w:w="100" w:type="dxa"/>
              <w:bottom w:w="100" w:type="dxa"/>
              <w:right w:w="100" w:type="dxa"/>
            </w:tcMar>
          </w:tcPr>
          <w:p w:rsidR="009C7045" w:rsidRDefault="00A577A0" w:rsidP="00B6540A">
            <w:pPr>
              <w:widowControl w:val="0"/>
              <w:numPr>
                <w:ilvl w:val="0"/>
                <w:numId w:val="9"/>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Operations and management of the insurance companies include underwriting, administration, and marketing which analyse legal, regulatory, and reinsurance issues of the company.</w:t>
            </w:r>
          </w:p>
          <w:p w:rsidR="009C7045" w:rsidRDefault="00A577A0" w:rsidP="00B6540A">
            <w:pPr>
              <w:widowControl w:val="0"/>
              <w:numPr>
                <w:ilvl w:val="0"/>
                <w:numId w:val="9"/>
              </w:numPr>
              <w:pBdr>
                <w:top w:val="nil"/>
                <w:left w:val="nil"/>
                <w:bottom w:val="nil"/>
                <w:right w:val="nil"/>
                <w:between w:val="nil"/>
              </w:pBdr>
              <w:spacing w:after="0"/>
              <w:jc w:val="left"/>
              <w:rPr>
                <w:rFonts w:ascii="Arial" w:eastAsia="Arial" w:hAnsi="Arial" w:cs="Arial"/>
                <w:color w:val="202122"/>
                <w:sz w:val="22"/>
                <w:szCs w:val="22"/>
                <w:highlight w:val="white"/>
              </w:rPr>
            </w:pPr>
            <w:r>
              <w:rPr>
                <w:rFonts w:ascii="Arial" w:eastAsia="Arial" w:hAnsi="Arial" w:cs="Arial"/>
                <w:color w:val="202122"/>
                <w:sz w:val="22"/>
                <w:szCs w:val="22"/>
                <w:highlight w:val="white"/>
              </w:rPr>
              <w:t xml:space="preserve">The claim settlement of the United Investors Life Insurance Company swift payment of the clean claim towards quick resolutions which require more hands-on attention from the company. </w:t>
            </w:r>
          </w:p>
        </w:tc>
      </w:tr>
    </w:tbl>
    <w:p w:rsidR="009C7045" w:rsidRDefault="00A577A0" w:rsidP="00B6540A">
      <w:pPr>
        <w:spacing w:after="0"/>
        <w:jc w:val="center"/>
        <w:rPr>
          <w:rFonts w:ascii="Arial" w:eastAsia="Arial" w:hAnsi="Arial" w:cs="Arial"/>
          <w:b/>
          <w:i/>
          <w:color w:val="202122"/>
          <w:sz w:val="22"/>
          <w:szCs w:val="22"/>
          <w:highlight w:val="white"/>
        </w:rPr>
      </w:pPr>
      <w:r>
        <w:rPr>
          <w:rFonts w:ascii="Arial" w:eastAsia="Arial" w:hAnsi="Arial" w:cs="Arial"/>
          <w:b/>
          <w:i/>
          <w:color w:val="202122"/>
          <w:sz w:val="22"/>
          <w:szCs w:val="22"/>
          <w:highlight w:val="white"/>
        </w:rPr>
        <w:t xml:space="preserve">Table no1: Pestle analysis </w:t>
      </w:r>
    </w:p>
    <w:p w:rsidR="009C7045" w:rsidRDefault="00A577A0" w:rsidP="00B6540A">
      <w:pPr>
        <w:spacing w:after="0"/>
        <w:jc w:val="center"/>
        <w:rPr>
          <w:rFonts w:ascii="Arial" w:eastAsia="Arial" w:hAnsi="Arial" w:cs="Arial"/>
          <w:color w:val="202122"/>
          <w:sz w:val="22"/>
          <w:szCs w:val="22"/>
          <w:highlight w:val="white"/>
        </w:rPr>
      </w:pPr>
      <w:r>
        <w:rPr>
          <w:rFonts w:ascii="Arial" w:eastAsia="Arial" w:hAnsi="Arial" w:cs="Arial"/>
          <w:b/>
          <w:i/>
          <w:color w:val="202122"/>
          <w:sz w:val="22"/>
          <w:szCs w:val="22"/>
          <w:highlight w:val="white"/>
        </w:rPr>
        <w:t xml:space="preserve">Source: </w:t>
      </w:r>
      <w:r>
        <w:rPr>
          <w:rFonts w:ascii="Arial" w:eastAsia="Arial" w:hAnsi="Arial" w:cs="Arial"/>
          <w:color w:val="202122"/>
          <w:sz w:val="22"/>
          <w:szCs w:val="22"/>
          <w:highlight w:val="white"/>
        </w:rPr>
        <w:t>(Created by the learner)</w:t>
      </w:r>
    </w:p>
    <w:p w:rsidR="009C7045" w:rsidRDefault="009C7045" w:rsidP="00B6540A">
      <w:pPr>
        <w:spacing w:after="0"/>
        <w:rPr>
          <w:rFonts w:ascii="Arial" w:eastAsia="Arial" w:hAnsi="Arial" w:cs="Arial"/>
          <w:color w:val="202122"/>
          <w:sz w:val="22"/>
          <w:szCs w:val="22"/>
          <w:highlight w:val="white"/>
        </w:rPr>
      </w:pPr>
    </w:p>
    <w:p w:rsidR="009C7045" w:rsidRDefault="009C7045" w:rsidP="00B6540A">
      <w:pPr>
        <w:spacing w:after="0"/>
        <w:rPr>
          <w:rFonts w:ascii="Arial" w:eastAsia="Arial" w:hAnsi="Arial" w:cs="Arial"/>
          <w:b/>
          <w:i/>
          <w:color w:val="202122"/>
          <w:sz w:val="22"/>
          <w:szCs w:val="22"/>
          <w:highlight w:val="white"/>
        </w:rPr>
      </w:pPr>
    </w:p>
    <w:p w:rsidR="009C7045" w:rsidRDefault="009C7045" w:rsidP="00B6540A">
      <w:pPr>
        <w:spacing w:after="0"/>
        <w:rPr>
          <w:rFonts w:ascii="Arial" w:eastAsia="Arial" w:hAnsi="Arial" w:cs="Arial"/>
          <w:sz w:val="22"/>
          <w:szCs w:val="22"/>
        </w:rPr>
      </w:pPr>
    </w:p>
    <w:p w:rsidR="009C7045" w:rsidRDefault="00A577A0" w:rsidP="00B6540A">
      <w:pPr>
        <w:spacing w:after="0"/>
        <w:rPr>
          <w:rFonts w:ascii="Arial" w:eastAsia="Arial" w:hAnsi="Arial" w:cs="Arial"/>
          <w:b/>
          <w:sz w:val="22"/>
          <w:szCs w:val="22"/>
        </w:rPr>
      </w:pPr>
      <w:r>
        <w:br w:type="page"/>
      </w:r>
    </w:p>
    <w:p w:rsidR="009C7045" w:rsidRDefault="00A577A0" w:rsidP="00B6540A">
      <w:pPr>
        <w:pStyle w:val="Heading1"/>
        <w:spacing w:before="0" w:after="0"/>
        <w:rPr>
          <w:rFonts w:ascii="Arial" w:eastAsia="Arial" w:hAnsi="Arial" w:cs="Arial"/>
        </w:rPr>
      </w:pPr>
      <w:bookmarkStart w:id="4" w:name="_Toc139560834"/>
      <w:r>
        <w:rPr>
          <w:rFonts w:ascii="Arial" w:eastAsia="Arial" w:hAnsi="Arial" w:cs="Arial"/>
        </w:rPr>
        <w:lastRenderedPageBreak/>
        <w:t xml:space="preserve">“Does the culture of the organisation promote ethical behaviour among employees and Critical appraisal of the culture of the organisation using an appropriate framework, </w:t>
      </w:r>
      <w:r w:rsidR="00A603D0">
        <w:rPr>
          <w:rFonts w:ascii="Arial" w:eastAsia="Arial" w:hAnsi="Arial" w:cs="Arial"/>
        </w:rPr>
        <w:t>one</w:t>
      </w:r>
      <w:r>
        <w:rPr>
          <w:rFonts w:ascii="Arial" w:eastAsia="Arial" w:hAnsi="Arial" w:cs="Arial"/>
        </w:rPr>
        <w:t xml:space="preserve"> ethical dilemma likely to influence the culture”</w:t>
      </w:r>
      <w:bookmarkEnd w:id="4"/>
    </w:p>
    <w:p w:rsidR="009C7045" w:rsidRDefault="00A577A0" w:rsidP="00B6540A">
      <w:pPr>
        <w:spacing w:after="0"/>
        <w:rPr>
          <w:rFonts w:ascii="Arial" w:eastAsia="Arial" w:hAnsi="Arial" w:cs="Arial"/>
          <w:sz w:val="22"/>
          <w:szCs w:val="22"/>
        </w:rPr>
      </w:pPr>
      <w:r>
        <w:rPr>
          <w:rFonts w:ascii="Arial" w:eastAsia="Arial" w:hAnsi="Arial" w:cs="Arial"/>
          <w:b/>
          <w:i/>
          <w:sz w:val="22"/>
          <w:szCs w:val="22"/>
        </w:rPr>
        <w:t xml:space="preserve">Yes, United Investors Life Insurance company </w:t>
      </w:r>
      <w:r>
        <w:rPr>
          <w:rFonts w:ascii="Arial" w:eastAsia="Arial" w:hAnsi="Arial" w:cs="Arial"/>
          <w:sz w:val="22"/>
          <w:szCs w:val="22"/>
        </w:rPr>
        <w:t>promotes ethical behaviour among the people by helping them to maintain the trust which comes with the responsibilities. As they also promote a relationship with the employee and other agents which should be characterised by partnership and trust. The company promotes ethical behaviour by satisfying the needs of their employees and protect from legal problems as well. United Investors Life Insurance company's purpose is to provide insurance services and they also offer a variety of life insurance and products related to annuities. The company uses the Hierarchy culture in order to focus on implementing certain processes and rules to optimise the overall working responses in order to get better opportunities (</w:t>
      </w:r>
      <w:r>
        <w:rPr>
          <w:rFonts w:ascii="Arial" w:eastAsia="Arial" w:hAnsi="Arial" w:cs="Arial"/>
          <w:color w:val="222222"/>
          <w:sz w:val="22"/>
          <w:szCs w:val="22"/>
          <w:highlight w:val="white"/>
        </w:rPr>
        <w:t>David, 2023</w:t>
      </w:r>
      <w:r>
        <w:rPr>
          <w:rFonts w:ascii="Arial" w:eastAsia="Arial" w:hAnsi="Arial" w:cs="Arial"/>
          <w:sz w:val="22"/>
          <w:szCs w:val="22"/>
        </w:rPr>
        <w:t xml:space="preserve">). The company code of ethics helps them to build trust and credibility which allows them to create a suitable working culture with an honest and open communication process. A strong ethical culture within the organisation helps to create a positive impact on employee behaviours and their contribution in order to get success of the firm. The United Investors Life Insurances company embraces new changes in rights politics and activities which will help to optimise the overall business operation.  </w:t>
      </w:r>
    </w:p>
    <w:p w:rsidR="009C7045" w:rsidRDefault="00A577A0" w:rsidP="00B6540A">
      <w:pPr>
        <w:spacing w:after="0"/>
        <w:rPr>
          <w:rFonts w:ascii="Arial" w:eastAsia="Arial" w:hAnsi="Arial" w:cs="Arial"/>
          <w:sz w:val="22"/>
          <w:szCs w:val="22"/>
        </w:rPr>
      </w:pPr>
      <w:r>
        <w:rPr>
          <w:rFonts w:ascii="Arial" w:eastAsia="Arial" w:hAnsi="Arial" w:cs="Arial"/>
          <w:sz w:val="22"/>
          <w:szCs w:val="22"/>
        </w:rPr>
        <w:t xml:space="preserve">The organisational culture of United Investors life insurance prioritises establishing rules and bounders which helps the employee to learn and grow in relation to their job roles. This process promotes an ethical culture which will improve employee morale within the organisation. However, their company also focus on offering every worker gets equal powers and staffs is able to have the mentality they have within their family in order to gain their trust. This process will help to promote teamwork, and involvement growth in employees is the factor which wills double the chances of getting success. The United Investors Life Insurance Company can also use this type of culture to make new changes to the management structure to enhance employee relations (Tran, 2021).  The company's organisational culture also encourages the individual to take initiative and optimise the decision-making practices to emphasise the sources to accomplish the goals. These are the factors which help to improve the ethical behaviours of an employee by supporting and giving opportunities for them to be more responsible and have the right work ethics. Appropriate use of Hierarchy culture is also one of the useful approaches which ensure employee gets the security and sources which will help to reach their goals. As the company United Investor Company uses this organisational culture to promote ethical behaviours by encouraging communication sources, trust and transparency which boost employee morale (David, 2023).        </w:t>
      </w:r>
    </w:p>
    <w:p w:rsidR="009C7045" w:rsidRDefault="00A577A0" w:rsidP="00B6540A">
      <w:pPr>
        <w:spacing w:after="0"/>
        <w:rPr>
          <w:rFonts w:ascii="Arial" w:eastAsia="Arial" w:hAnsi="Arial" w:cs="Arial"/>
          <w:sz w:val="22"/>
          <w:szCs w:val="22"/>
        </w:rPr>
      </w:pPr>
      <w:r>
        <w:rPr>
          <w:rFonts w:ascii="Arial" w:eastAsia="Arial" w:hAnsi="Arial" w:cs="Arial"/>
          <w:color w:val="202122"/>
          <w:sz w:val="22"/>
          <w:szCs w:val="22"/>
          <w:highlight w:val="white"/>
        </w:rPr>
        <w:lastRenderedPageBreak/>
        <w:t xml:space="preserve">United Investors Life Insurance Company provides insurance services and offers a variety of annuity products and life insurance. The insurance company provides comprehensive discounts and coverage for over 50 years. Safe driver discounts, multi-policy discounts, good student discounts, homeowner discounts, pay-in-full discounts, and military discounts are offered by United Investors Life Insurance Company to its customers (Gaganis </w:t>
      </w:r>
      <w:r>
        <w:rPr>
          <w:rFonts w:ascii="Arial" w:eastAsia="Arial" w:hAnsi="Arial" w:cs="Arial"/>
          <w:i/>
          <w:color w:val="202122"/>
          <w:sz w:val="22"/>
          <w:szCs w:val="22"/>
          <w:highlight w:val="white"/>
        </w:rPr>
        <w:t>et al</w:t>
      </w:r>
      <w:r>
        <w:rPr>
          <w:rFonts w:ascii="Arial" w:eastAsia="Arial" w:hAnsi="Arial" w:cs="Arial"/>
          <w:color w:val="202122"/>
          <w:sz w:val="22"/>
          <w:szCs w:val="22"/>
          <w:highlight w:val="white"/>
        </w:rPr>
        <w:t xml:space="preserve">., 2019). Discounts help customers to save a significant amount of their income and make affordable insurance for their customers. United Investors Life Insurance Company covers auto insurance, homeowner insurance, renters insurance, life insurance, and business insurance to meet the unique needs and circumstances of their customers. Schein's three levels of culture include </w:t>
      </w:r>
      <w:r w:rsidR="00A603D0">
        <w:rPr>
          <w:rFonts w:ascii="Arial" w:eastAsia="Arial" w:hAnsi="Arial" w:cs="Arial"/>
          <w:color w:val="202122"/>
          <w:sz w:val="22"/>
          <w:szCs w:val="22"/>
          <w:highlight w:val="white"/>
        </w:rPr>
        <w:t>artefacts</w:t>
      </w:r>
      <w:r>
        <w:rPr>
          <w:rFonts w:ascii="Arial" w:eastAsia="Arial" w:hAnsi="Arial" w:cs="Arial"/>
          <w:color w:val="202122"/>
          <w:sz w:val="22"/>
          <w:szCs w:val="22"/>
          <w:highlight w:val="white"/>
        </w:rPr>
        <w:t xml:space="preserve">, values and assumptions which help United Investors Life Insurance Company to provide customers with excellent products and services. </w:t>
      </w:r>
      <w:r>
        <w:rPr>
          <w:rFonts w:ascii="Arial" w:eastAsia="Arial" w:hAnsi="Arial" w:cs="Arial"/>
          <w:b/>
          <w:i/>
          <w:color w:val="202122"/>
          <w:sz w:val="22"/>
          <w:szCs w:val="22"/>
          <w:highlight w:val="white"/>
        </w:rPr>
        <w:t xml:space="preserve">Artifacts </w:t>
      </w:r>
      <w:r>
        <w:rPr>
          <w:rFonts w:ascii="Arial" w:eastAsia="Arial" w:hAnsi="Arial" w:cs="Arial"/>
          <w:color w:val="202122"/>
          <w:sz w:val="22"/>
          <w:szCs w:val="22"/>
          <w:highlight w:val="white"/>
        </w:rPr>
        <w:t xml:space="preserve">of United Investors Life Insurance Company are considered the obvious and overt elements required for the organisation. It includes office layouts such as dress norms and policies of the company. </w:t>
      </w:r>
      <w:r>
        <w:rPr>
          <w:rFonts w:ascii="Arial" w:eastAsia="Arial" w:hAnsi="Arial" w:cs="Arial"/>
          <w:b/>
          <w:i/>
          <w:color w:val="202122"/>
          <w:sz w:val="22"/>
          <w:szCs w:val="22"/>
          <w:highlight w:val="white"/>
        </w:rPr>
        <w:t xml:space="preserve">Values </w:t>
      </w:r>
      <w:r>
        <w:rPr>
          <w:rFonts w:ascii="Arial" w:eastAsia="Arial" w:hAnsi="Arial" w:cs="Arial"/>
          <w:color w:val="202122"/>
          <w:sz w:val="22"/>
          <w:szCs w:val="22"/>
          <w:highlight w:val="white"/>
        </w:rPr>
        <w:t>of</w:t>
      </w:r>
      <w:r>
        <w:rPr>
          <w:rFonts w:ascii="Arial" w:eastAsia="Arial" w:hAnsi="Arial" w:cs="Arial"/>
          <w:b/>
          <w:i/>
          <w:color w:val="202122"/>
          <w:sz w:val="22"/>
          <w:szCs w:val="22"/>
          <w:highlight w:val="white"/>
        </w:rPr>
        <w:t xml:space="preserve"> </w:t>
      </w:r>
      <w:r>
        <w:rPr>
          <w:rFonts w:ascii="Arial" w:eastAsia="Arial" w:hAnsi="Arial" w:cs="Arial"/>
          <w:color w:val="202122"/>
          <w:sz w:val="22"/>
          <w:szCs w:val="22"/>
          <w:highlight w:val="white"/>
        </w:rPr>
        <w:t xml:space="preserve">United Investors Life Insurance Company refer to the set of norms and values of the company (Honcharenko and Shyshpanova, 2022). It affects the interaction of the employees as well as represents the organisation. Values are set by the organisation to achieve its organizational goals. </w:t>
      </w:r>
      <w:r>
        <w:rPr>
          <w:rFonts w:ascii="Arial" w:eastAsia="Arial" w:hAnsi="Arial" w:cs="Arial"/>
          <w:b/>
          <w:i/>
          <w:color w:val="202122"/>
          <w:sz w:val="22"/>
          <w:szCs w:val="22"/>
          <w:highlight w:val="white"/>
        </w:rPr>
        <w:t>Assumptions</w:t>
      </w:r>
      <w:r>
        <w:rPr>
          <w:rFonts w:ascii="Arial" w:eastAsia="Arial" w:hAnsi="Arial" w:cs="Arial"/>
          <w:sz w:val="22"/>
          <w:szCs w:val="22"/>
        </w:rPr>
        <w:t xml:space="preserve"> of </w:t>
      </w:r>
      <w:r>
        <w:rPr>
          <w:rFonts w:ascii="Arial" w:eastAsia="Arial" w:hAnsi="Arial" w:cs="Arial"/>
          <w:color w:val="202122"/>
          <w:sz w:val="22"/>
          <w:szCs w:val="22"/>
          <w:highlight w:val="white"/>
        </w:rPr>
        <w:t xml:space="preserve">United Investors Life Insurance Company </w:t>
      </w:r>
      <w:r>
        <w:rPr>
          <w:rFonts w:ascii="Arial" w:eastAsia="Arial" w:hAnsi="Arial" w:cs="Arial"/>
          <w:sz w:val="22"/>
          <w:szCs w:val="22"/>
        </w:rPr>
        <w:t>are considered the bedrock of the organisational culture. It represents the behaviour and belief that are deeply embedded in the organisation.</w:t>
      </w:r>
    </w:p>
    <w:p w:rsidR="009C7045" w:rsidRDefault="00A577A0" w:rsidP="00B6540A">
      <w:pPr>
        <w:spacing w:after="0"/>
        <w:rPr>
          <w:rFonts w:ascii="Arial" w:eastAsia="Arial" w:hAnsi="Arial" w:cs="Arial"/>
          <w:sz w:val="22"/>
          <w:szCs w:val="22"/>
        </w:rPr>
      </w:pPr>
      <w:r>
        <w:rPr>
          <w:rFonts w:ascii="Arial" w:eastAsia="Arial" w:hAnsi="Arial" w:cs="Arial"/>
          <w:sz w:val="22"/>
          <w:szCs w:val="22"/>
        </w:rPr>
        <w:t xml:space="preserve">An ethical dilemma is considered the paradox that helps the organisation with two or more options but neither of these options has the moral and best ethical option. The purpose of the ethical dilemma is to reveal deeper deliberation and reflection about the consequences of the organisation's actions. Discrimination and harassment refer to the ethical dilemma that influences the culture of the organisation (Eckert </w:t>
      </w:r>
      <w:r>
        <w:rPr>
          <w:rFonts w:ascii="Arial" w:eastAsia="Arial" w:hAnsi="Arial" w:cs="Arial"/>
          <w:i/>
          <w:sz w:val="22"/>
          <w:szCs w:val="22"/>
        </w:rPr>
        <w:t>et al</w:t>
      </w:r>
      <w:r>
        <w:rPr>
          <w:rFonts w:ascii="Arial" w:eastAsia="Arial" w:hAnsi="Arial" w:cs="Arial"/>
          <w:sz w:val="22"/>
          <w:szCs w:val="22"/>
        </w:rPr>
        <w:t>., 2022). Organisations must adopt enforced policies, training, and a diverse workforce to provide equal opportunity to their employees. Discriminating and harassing employees based on their ethnicity, disability, age, race or gender is considered an illegal practice. It lowers the motivation of the employees which can lead to a decrease in the productivity of the company. This could be the mentality of the group of people towards other group’s races and cultures. Maintaining personal values as well as repelling unethical, illegal, and intolerant group norms is considered the best choice for an organisation to prevent ethical dilemmas. Removing such practices from the organisation increases the engagement of the employees and boosts the productivity of the company (Tseng 2020). Providing fair opportunities to all the employees and identifying employees' hard work can prevent discrimination and harassment of the organisation.</w:t>
      </w:r>
    </w:p>
    <w:p w:rsidR="009C7045" w:rsidRDefault="00A577A0" w:rsidP="00B6540A">
      <w:pPr>
        <w:pStyle w:val="Heading1"/>
        <w:spacing w:before="0" w:after="0"/>
        <w:rPr>
          <w:rFonts w:ascii="Arial" w:eastAsia="Arial" w:hAnsi="Arial" w:cs="Arial"/>
          <w:sz w:val="22"/>
          <w:szCs w:val="22"/>
        </w:rPr>
      </w:pPr>
      <w:bookmarkStart w:id="5" w:name="_Toc139560835"/>
      <w:r>
        <w:rPr>
          <w:rFonts w:ascii="Arial" w:eastAsia="Arial" w:hAnsi="Arial" w:cs="Arial"/>
          <w:sz w:val="22"/>
          <w:szCs w:val="22"/>
        </w:rPr>
        <w:lastRenderedPageBreak/>
        <w:t>“The barriers to the effective functioning of the organisation’s culture</w:t>
      </w:r>
      <w:r w:rsidR="00A603D0">
        <w:rPr>
          <w:rFonts w:ascii="Arial" w:eastAsia="Arial" w:hAnsi="Arial" w:cs="Arial"/>
          <w:sz w:val="22"/>
          <w:szCs w:val="22"/>
        </w:rPr>
        <w:t>. Relevant recommendations that may enhance your organisation’s workplace culture in the future”</w:t>
      </w:r>
      <w:bookmarkEnd w:id="5"/>
    </w:p>
    <w:p w:rsidR="009C7045" w:rsidRDefault="00A577A0" w:rsidP="00B6540A">
      <w:pPr>
        <w:spacing w:after="0"/>
        <w:rPr>
          <w:rFonts w:ascii="Arial" w:eastAsia="Arial" w:hAnsi="Arial" w:cs="Arial"/>
          <w:sz w:val="22"/>
          <w:szCs w:val="22"/>
        </w:rPr>
      </w:pPr>
      <w:r>
        <w:rPr>
          <w:rFonts w:ascii="Arial" w:eastAsia="Arial" w:hAnsi="Arial" w:cs="Arial"/>
          <w:sz w:val="22"/>
          <w:szCs w:val="22"/>
        </w:rPr>
        <w:t>Organisation’s culture refers to the values, attitudes, and beliefs of the company and how they influence the behaviour of the staff of the organisation. The purpose of the organisation’s culture is to guide the process of decision-making and improve the workflow of the company.  Barriers are something that is used to block the way (Adeinat and Abdulfatah, 2019). There are five barriers to the effective functioning of the organisation’s culture and they are individual change resistance, lack of communication, lack of strategic direction, lack of consistency, and cultural barriers.</w:t>
      </w:r>
    </w:p>
    <w:p w:rsidR="009C7045" w:rsidRDefault="00A577A0" w:rsidP="00B6540A">
      <w:pPr>
        <w:spacing w:after="0"/>
        <w:rPr>
          <w:rFonts w:ascii="Arial" w:eastAsia="Arial" w:hAnsi="Arial" w:cs="Arial"/>
          <w:sz w:val="22"/>
          <w:szCs w:val="22"/>
        </w:rPr>
      </w:pPr>
      <w:r>
        <w:rPr>
          <w:rFonts w:ascii="Arial" w:eastAsia="Arial" w:hAnsi="Arial" w:cs="Arial"/>
          <w:b/>
          <w:i/>
          <w:sz w:val="22"/>
          <w:szCs w:val="22"/>
        </w:rPr>
        <w:t xml:space="preserve">Individual change resistance: </w:t>
      </w:r>
      <w:r>
        <w:rPr>
          <w:rFonts w:ascii="Arial" w:eastAsia="Arial" w:hAnsi="Arial" w:cs="Arial"/>
          <w:sz w:val="22"/>
          <w:szCs w:val="22"/>
        </w:rPr>
        <w:t xml:space="preserve">many people are very sensitive and don’t enjoy changes. Their status quo is more comfortable and convenient, so they resist accepting new strategies, organisational structures and new processes (White </w:t>
      </w:r>
      <w:r>
        <w:rPr>
          <w:rFonts w:ascii="Arial" w:eastAsia="Arial" w:hAnsi="Arial" w:cs="Arial"/>
          <w:i/>
          <w:sz w:val="22"/>
          <w:szCs w:val="22"/>
        </w:rPr>
        <w:t>et al</w:t>
      </w:r>
      <w:r>
        <w:rPr>
          <w:rFonts w:ascii="Arial" w:eastAsia="Arial" w:hAnsi="Arial" w:cs="Arial"/>
          <w:sz w:val="22"/>
          <w:szCs w:val="22"/>
        </w:rPr>
        <w:t>., 2020). These individuals tend to avoid changes because of a lack of control, excess uncertainty, surprise changes, loss of face, concern about competence, past resentments and true risk.</w:t>
      </w:r>
    </w:p>
    <w:p w:rsidR="009C7045" w:rsidRDefault="00A577A0" w:rsidP="00B6540A">
      <w:pPr>
        <w:spacing w:after="0"/>
        <w:rPr>
          <w:rFonts w:ascii="Arial" w:eastAsia="Arial" w:hAnsi="Arial" w:cs="Arial"/>
          <w:sz w:val="22"/>
          <w:szCs w:val="22"/>
        </w:rPr>
      </w:pPr>
      <w:r>
        <w:rPr>
          <w:rFonts w:ascii="Arial" w:eastAsia="Arial" w:hAnsi="Arial" w:cs="Arial"/>
          <w:b/>
          <w:i/>
          <w:sz w:val="22"/>
          <w:szCs w:val="22"/>
        </w:rPr>
        <w:t xml:space="preserve">Lack of communication: </w:t>
      </w:r>
      <w:r>
        <w:rPr>
          <w:rFonts w:ascii="Arial" w:eastAsia="Arial" w:hAnsi="Arial" w:cs="Arial"/>
          <w:sz w:val="22"/>
          <w:szCs w:val="22"/>
        </w:rPr>
        <w:t xml:space="preserve">organisation failure is caused by frequent and clear communication with their customers. Because the absence of proactive and intentional communication barriers for the organisation increases (Trynchuk </w:t>
      </w:r>
      <w:r>
        <w:rPr>
          <w:rFonts w:ascii="Arial" w:eastAsia="Arial" w:hAnsi="Arial" w:cs="Arial"/>
          <w:i/>
          <w:sz w:val="22"/>
          <w:szCs w:val="22"/>
        </w:rPr>
        <w:t>et al</w:t>
      </w:r>
      <w:r>
        <w:rPr>
          <w:rFonts w:ascii="Arial" w:eastAsia="Arial" w:hAnsi="Arial" w:cs="Arial"/>
          <w:sz w:val="22"/>
          <w:szCs w:val="22"/>
        </w:rPr>
        <w:t xml:space="preserve">., 2019). Communication is considered the centre stage for implementing and planning new directions and projects for the company. </w:t>
      </w:r>
    </w:p>
    <w:p w:rsidR="009C7045" w:rsidRDefault="00A577A0" w:rsidP="00B6540A">
      <w:pPr>
        <w:spacing w:after="0"/>
        <w:rPr>
          <w:rFonts w:ascii="Arial" w:eastAsia="Arial" w:hAnsi="Arial" w:cs="Arial"/>
          <w:sz w:val="22"/>
          <w:szCs w:val="22"/>
        </w:rPr>
      </w:pPr>
      <w:r>
        <w:rPr>
          <w:rFonts w:ascii="Arial" w:eastAsia="Arial" w:hAnsi="Arial" w:cs="Arial"/>
          <w:b/>
          <w:i/>
          <w:sz w:val="22"/>
          <w:szCs w:val="22"/>
        </w:rPr>
        <w:t xml:space="preserve">Lack of strategic direction: </w:t>
      </w:r>
      <w:r>
        <w:rPr>
          <w:rFonts w:ascii="Arial" w:eastAsia="Arial" w:hAnsi="Arial" w:cs="Arial"/>
          <w:sz w:val="22"/>
          <w:szCs w:val="22"/>
        </w:rPr>
        <w:t xml:space="preserve">Lack of cohesive message and direction is considered to be the major factor for unsuccessful business (Jones </w:t>
      </w:r>
      <w:r>
        <w:rPr>
          <w:rFonts w:ascii="Arial" w:eastAsia="Arial" w:hAnsi="Arial" w:cs="Arial"/>
          <w:i/>
          <w:sz w:val="22"/>
          <w:szCs w:val="22"/>
        </w:rPr>
        <w:t>et al</w:t>
      </w:r>
      <w:r>
        <w:rPr>
          <w:rFonts w:ascii="Arial" w:eastAsia="Arial" w:hAnsi="Arial" w:cs="Arial"/>
          <w:sz w:val="22"/>
          <w:szCs w:val="22"/>
        </w:rPr>
        <w:t>., 2021). Clarifying the objectives of the company allows the organisation to implement changes which can be acceptable to the customers. Due to unclear objectives and the roadmap of the organisation, the barriers for the organisation increase.</w:t>
      </w:r>
    </w:p>
    <w:p w:rsidR="009C7045" w:rsidRDefault="00A577A0" w:rsidP="00B6540A">
      <w:pPr>
        <w:spacing w:after="0"/>
        <w:rPr>
          <w:rFonts w:ascii="Arial" w:eastAsia="Arial" w:hAnsi="Arial" w:cs="Arial"/>
          <w:sz w:val="22"/>
          <w:szCs w:val="22"/>
        </w:rPr>
      </w:pPr>
      <w:r>
        <w:rPr>
          <w:rFonts w:ascii="Arial" w:eastAsia="Arial" w:hAnsi="Arial" w:cs="Arial"/>
          <w:b/>
          <w:i/>
          <w:sz w:val="22"/>
          <w:szCs w:val="22"/>
        </w:rPr>
        <w:t xml:space="preserve">Lack of consistency: </w:t>
      </w:r>
      <w:r>
        <w:rPr>
          <w:rFonts w:ascii="Arial" w:eastAsia="Arial" w:hAnsi="Arial" w:cs="Arial"/>
          <w:sz w:val="22"/>
          <w:szCs w:val="22"/>
        </w:rPr>
        <w:t>When an organisation's beliefs, behaviours and ideas do not meet the expectation of the customers, the company faces various barriers (Mahmoudi and Gould, 2020). Organisational changes mainly include increased workload which demoralise the staff and result in poor productivity. Cognitive dissonance is considered inevitable while making organisational transitions and changes. Problems and progress stalls in the organisation can arise if the benefits of the change and workload are accomplished for too long.</w:t>
      </w:r>
    </w:p>
    <w:p w:rsidR="009C7045" w:rsidRDefault="00A577A0" w:rsidP="00B6540A">
      <w:pPr>
        <w:spacing w:after="0"/>
        <w:rPr>
          <w:rFonts w:ascii="Arial" w:eastAsia="Arial" w:hAnsi="Arial" w:cs="Arial"/>
          <w:sz w:val="22"/>
          <w:szCs w:val="22"/>
        </w:rPr>
      </w:pPr>
      <w:r>
        <w:rPr>
          <w:rFonts w:ascii="Arial" w:eastAsia="Arial" w:hAnsi="Arial" w:cs="Arial"/>
          <w:b/>
          <w:i/>
          <w:sz w:val="22"/>
          <w:szCs w:val="22"/>
        </w:rPr>
        <w:t xml:space="preserve">Cultural barriers: </w:t>
      </w:r>
      <w:r>
        <w:rPr>
          <w:rFonts w:ascii="Arial" w:eastAsia="Arial" w:hAnsi="Arial" w:cs="Arial"/>
          <w:sz w:val="22"/>
          <w:szCs w:val="22"/>
        </w:rPr>
        <w:t xml:space="preserve">Multiple people from different diverse groups working on the same project of the organisation can possibly arise cultural barriers (Da Veiga </w:t>
      </w:r>
      <w:r>
        <w:rPr>
          <w:rFonts w:ascii="Arial" w:eastAsia="Arial" w:hAnsi="Arial" w:cs="Arial"/>
          <w:i/>
          <w:sz w:val="22"/>
          <w:szCs w:val="22"/>
        </w:rPr>
        <w:t>et al</w:t>
      </w:r>
      <w:r>
        <w:rPr>
          <w:rFonts w:ascii="Arial" w:eastAsia="Arial" w:hAnsi="Arial" w:cs="Arial"/>
          <w:sz w:val="22"/>
          <w:szCs w:val="22"/>
        </w:rPr>
        <w:t>., 2020). If the organisation is dispersed geographically, people working around different regions will not agree on the policies which impact the progress of the organisation. People from different cultures differ in how they approach their work and perceive the world.</w:t>
      </w:r>
    </w:p>
    <w:p w:rsidR="00A603D0" w:rsidRPr="00A603D0" w:rsidRDefault="00A603D0" w:rsidP="00B6540A">
      <w:pPr>
        <w:spacing w:after="0"/>
        <w:rPr>
          <w:rFonts w:ascii="Arial" w:eastAsia="Arial" w:hAnsi="Arial" w:cs="Arial"/>
          <w:b/>
          <w:i/>
          <w:sz w:val="22"/>
          <w:szCs w:val="22"/>
        </w:rPr>
      </w:pPr>
      <w:r w:rsidRPr="00A603D0">
        <w:rPr>
          <w:rFonts w:ascii="Arial" w:eastAsia="Arial" w:hAnsi="Arial" w:cs="Arial"/>
          <w:b/>
          <w:i/>
          <w:sz w:val="22"/>
          <w:szCs w:val="22"/>
        </w:rPr>
        <w:t xml:space="preserve">Recommendation </w:t>
      </w:r>
    </w:p>
    <w:p w:rsidR="009C7045" w:rsidRDefault="00A577A0" w:rsidP="00B6540A">
      <w:pPr>
        <w:spacing w:after="0"/>
        <w:rPr>
          <w:rFonts w:ascii="Arial" w:eastAsia="Arial" w:hAnsi="Arial" w:cs="Arial"/>
          <w:sz w:val="22"/>
          <w:szCs w:val="22"/>
        </w:rPr>
      </w:pPr>
      <w:r>
        <w:rPr>
          <w:rFonts w:ascii="Arial" w:eastAsia="Arial" w:hAnsi="Arial" w:cs="Arial"/>
          <w:sz w:val="22"/>
          <w:szCs w:val="22"/>
        </w:rPr>
        <w:lastRenderedPageBreak/>
        <w:t xml:space="preserve">Enhancing an organisation’s workplace culture requires building strong employees relation and connecting people to the purpose of the organisation. Addressing perceived threats that occurred by individual change resistance can lead organisations to successful management change (Lobschat </w:t>
      </w:r>
      <w:r>
        <w:rPr>
          <w:rFonts w:ascii="Arial" w:eastAsia="Arial" w:hAnsi="Arial" w:cs="Arial"/>
          <w:i/>
          <w:sz w:val="22"/>
          <w:szCs w:val="22"/>
        </w:rPr>
        <w:t>et al</w:t>
      </w:r>
      <w:r>
        <w:rPr>
          <w:rFonts w:ascii="Arial" w:eastAsia="Arial" w:hAnsi="Arial" w:cs="Arial"/>
          <w:sz w:val="22"/>
          <w:szCs w:val="22"/>
        </w:rPr>
        <w:t xml:space="preserve">., 2021). Communication is defined as the key component to successfully operating a business in a certain region. Setting clear expectations, improving the potential of communication, and reporting organisation progress can reduce communication barriers for the organisation. During crisis-driven and unplanned change, keeping employees and staff on the same page can be critical. Communicating effectively during organisation change can fill the space between organizational values and employees. To prevent a lack of strategic direction, including an overarching goal and measuring the overall outcome of the objectives can be helpful for the organisation (Sunaryo </w:t>
      </w:r>
      <w:r>
        <w:rPr>
          <w:rFonts w:ascii="Arial" w:eastAsia="Arial" w:hAnsi="Arial" w:cs="Arial"/>
          <w:i/>
          <w:sz w:val="22"/>
          <w:szCs w:val="22"/>
        </w:rPr>
        <w:t>et al</w:t>
      </w:r>
      <w:r>
        <w:rPr>
          <w:rFonts w:ascii="Arial" w:eastAsia="Arial" w:hAnsi="Arial" w:cs="Arial"/>
          <w:sz w:val="22"/>
          <w:szCs w:val="22"/>
        </w:rPr>
        <w:t>., 2020). Providing estimating timeline to achieve organisation objectives can build a strategic direction for the company. Setting check-ins and regular benchmarks can evaluate an organisation towards its goal. Keeping everyone on the same page by outlining strategic communication can boost the productivity of the organisation. Implementing the right strategy increases the chances of improvement and an increase in the productivity of the organisation.</w:t>
      </w:r>
    </w:p>
    <w:p w:rsidR="009C7045" w:rsidRDefault="00A577A0" w:rsidP="00B6540A">
      <w:pPr>
        <w:spacing w:after="0"/>
        <w:rPr>
          <w:rFonts w:ascii="Arial" w:eastAsia="Arial" w:hAnsi="Arial" w:cs="Arial"/>
          <w:sz w:val="22"/>
          <w:szCs w:val="22"/>
        </w:rPr>
      </w:pPr>
      <w:r>
        <w:rPr>
          <w:rFonts w:ascii="Arial" w:eastAsia="Arial" w:hAnsi="Arial" w:cs="Arial"/>
          <w:sz w:val="22"/>
          <w:szCs w:val="22"/>
        </w:rPr>
        <w:t xml:space="preserve">To prevent a lack of consistency in an organisation observing positive benefits generate buy-in as well as maintains energy among the employees. Encouraging teams to speak and implement their ideas for the benefit of the staff and organisation can increase the productivity of the organisation (Isensee </w:t>
      </w:r>
      <w:r>
        <w:rPr>
          <w:rFonts w:ascii="Arial" w:eastAsia="Arial" w:hAnsi="Arial" w:cs="Arial"/>
          <w:i/>
          <w:sz w:val="22"/>
          <w:szCs w:val="22"/>
        </w:rPr>
        <w:t>et al</w:t>
      </w:r>
      <w:r>
        <w:rPr>
          <w:rFonts w:ascii="Arial" w:eastAsia="Arial" w:hAnsi="Arial" w:cs="Arial"/>
          <w:sz w:val="22"/>
          <w:szCs w:val="22"/>
        </w:rPr>
        <w:t>., 2020). Making alignment ensures that people experience consistency while figuring out actual outcomes and expectations can help organisations to increase their sustainability in the market. To overcome cultural barriers, the change management of the organisation requires an in-depth understanding of the stakeholders and their demands. Proportional representation, upward feedback channels and frequent communication with the implementation team are considered key components to managing changes that can reduce cultural barriers within the organisation. Involving everyone from the management team as well as other employees can improve the cultural differences in an organisation.</w:t>
      </w:r>
    </w:p>
    <w:p w:rsidR="009C7045" w:rsidRDefault="00A577A0" w:rsidP="00B6540A">
      <w:pPr>
        <w:spacing w:after="0"/>
        <w:rPr>
          <w:rFonts w:ascii="Arial" w:eastAsia="Arial" w:hAnsi="Arial" w:cs="Arial"/>
          <w:sz w:val="22"/>
          <w:szCs w:val="22"/>
        </w:rPr>
      </w:pPr>
      <w:r>
        <w:rPr>
          <w:rFonts w:ascii="Arial" w:eastAsia="Arial" w:hAnsi="Arial" w:cs="Arial"/>
          <w:sz w:val="22"/>
          <w:szCs w:val="22"/>
        </w:rPr>
        <w:t xml:space="preserve">To operate successfully in a certain region organisation needs to build teamwork which will lead the company to its productivity and profitability. A positive organisation culture facilitates teamwork, open communication, and social interaction. The purpose of positive organizational culture is to raise morale, enhance retention, and improve teamwork and increase efficiency and productivity (Anwar and Abdullah, 2021). Culture is defined as the environment of our surroundings which shares beliefs, sets of assumptions, values and attitudes. A Culture of a positive workplace improves teamwork which enhances productivity, job satisfaction, and work performance, and increases collaboration among the staff. To </w:t>
      </w:r>
      <w:r>
        <w:rPr>
          <w:rFonts w:ascii="Arial" w:eastAsia="Arial" w:hAnsi="Arial" w:cs="Arial"/>
          <w:sz w:val="22"/>
          <w:szCs w:val="22"/>
        </w:rPr>
        <w:lastRenderedPageBreak/>
        <w:t>overcome barriers faced by organisations establishing clear values and ethos is necessary. Having clear organisation core values and discussing them with the employees can motivate them to contribute their excellent work towards the organisation. Foster communication and collaboration refer to fair acknowledgement among employees and helps the organisation to maintain culture. Management and leadership style is considered as the main source to encourage employees to honest communication and teamwork as well as create a positive feeling towards their workplace.</w:t>
      </w:r>
    </w:p>
    <w:p w:rsidR="009C7045" w:rsidRDefault="009C7045" w:rsidP="00B6540A">
      <w:pPr>
        <w:spacing w:after="0"/>
        <w:rPr>
          <w:rFonts w:ascii="Arial" w:eastAsia="Arial" w:hAnsi="Arial" w:cs="Arial"/>
          <w:b/>
          <w:sz w:val="22"/>
          <w:szCs w:val="22"/>
        </w:rPr>
      </w:pPr>
    </w:p>
    <w:p w:rsidR="009C7045" w:rsidRDefault="00A577A0" w:rsidP="00B6540A">
      <w:pPr>
        <w:spacing w:after="0"/>
        <w:rPr>
          <w:rFonts w:ascii="Arial" w:eastAsia="Arial" w:hAnsi="Arial" w:cs="Arial"/>
          <w:b/>
          <w:sz w:val="22"/>
          <w:szCs w:val="22"/>
        </w:rPr>
      </w:pPr>
      <w:r>
        <w:br w:type="page"/>
      </w:r>
    </w:p>
    <w:p w:rsidR="009C7045" w:rsidRDefault="00A577A0" w:rsidP="00B6540A">
      <w:pPr>
        <w:pStyle w:val="Heading1"/>
        <w:spacing w:before="0" w:after="0"/>
        <w:rPr>
          <w:rFonts w:ascii="Arial" w:eastAsia="Arial" w:hAnsi="Arial" w:cs="Arial"/>
          <w:sz w:val="22"/>
          <w:szCs w:val="22"/>
        </w:rPr>
      </w:pPr>
      <w:bookmarkStart w:id="6" w:name="_Toc139560836"/>
      <w:r>
        <w:rPr>
          <w:rFonts w:ascii="Arial" w:eastAsia="Arial" w:hAnsi="Arial" w:cs="Arial"/>
          <w:sz w:val="22"/>
          <w:szCs w:val="22"/>
        </w:rPr>
        <w:lastRenderedPageBreak/>
        <w:t>Conclusion</w:t>
      </w:r>
      <w:bookmarkEnd w:id="6"/>
    </w:p>
    <w:p w:rsidR="009C7045" w:rsidRDefault="00A577A0" w:rsidP="00B6540A">
      <w:pPr>
        <w:spacing w:after="0"/>
        <w:rPr>
          <w:rFonts w:ascii="Arial" w:eastAsia="Arial" w:hAnsi="Arial" w:cs="Arial"/>
          <w:sz w:val="22"/>
          <w:szCs w:val="22"/>
        </w:rPr>
      </w:pPr>
      <w:r>
        <w:rPr>
          <w:rFonts w:ascii="Arial" w:eastAsia="Arial" w:hAnsi="Arial" w:cs="Arial"/>
          <w:sz w:val="22"/>
          <w:szCs w:val="22"/>
        </w:rPr>
        <w:t xml:space="preserve">Workplace culture refers to the process of maintaining the beliefs and behaviours of a group of people that work under the same organisation to achieve similar goals. The purpose of this report is to maintain fair and square organisation culture for its employees to increase the productivity and profitability of the company. Birmingham is a place located in West Midland and has a rich culture. The culture of Birmingham is also described in this report. Pestle analysis on </w:t>
      </w:r>
      <w:r>
        <w:rPr>
          <w:rFonts w:ascii="Arial" w:eastAsia="Arial" w:hAnsi="Arial" w:cs="Arial"/>
          <w:color w:val="202122"/>
          <w:sz w:val="22"/>
          <w:szCs w:val="22"/>
          <w:highlight w:val="white"/>
        </w:rPr>
        <w:t>United Investors Life Insurance Company is described in this report. Ethical behaviours and ethical dilemmas are also mentioned in this report which can affect the organisation both positively and negatively. Different kinds of barriers such as individual change resistance, lack of communication and other barriers can affect organisation culture. Implementing relevant organisation culture within the company can motivate the employees and boost the productivity of the company. Positive organisation culture helps companies to flourish and achieve their goals in the targeted time.</w:t>
      </w:r>
    </w:p>
    <w:p w:rsidR="009C7045" w:rsidRDefault="00A577A0" w:rsidP="00B6540A">
      <w:pPr>
        <w:spacing w:after="0"/>
        <w:rPr>
          <w:rFonts w:ascii="Arial" w:eastAsia="Arial" w:hAnsi="Arial" w:cs="Arial"/>
          <w:b/>
          <w:sz w:val="22"/>
          <w:szCs w:val="22"/>
        </w:rPr>
      </w:pPr>
      <w:r>
        <w:br w:type="page"/>
      </w:r>
    </w:p>
    <w:p w:rsidR="009C7045" w:rsidRDefault="00A577A0" w:rsidP="00B6540A">
      <w:pPr>
        <w:pStyle w:val="Heading1"/>
        <w:spacing w:before="0" w:after="0"/>
        <w:rPr>
          <w:rFonts w:ascii="Arial" w:eastAsia="Arial" w:hAnsi="Arial" w:cs="Arial"/>
          <w:sz w:val="22"/>
          <w:szCs w:val="22"/>
        </w:rPr>
      </w:pPr>
      <w:bookmarkStart w:id="7" w:name="_Toc139560837"/>
      <w:r>
        <w:rPr>
          <w:rFonts w:ascii="Arial" w:eastAsia="Arial" w:hAnsi="Arial" w:cs="Arial"/>
          <w:sz w:val="22"/>
          <w:szCs w:val="22"/>
        </w:rPr>
        <w:lastRenderedPageBreak/>
        <w:t>References</w:t>
      </w:r>
      <w:bookmarkEnd w:id="7"/>
      <w:r>
        <w:rPr>
          <w:rFonts w:ascii="Arial" w:eastAsia="Arial" w:hAnsi="Arial" w:cs="Arial"/>
          <w:sz w:val="22"/>
          <w:szCs w:val="22"/>
        </w:rPr>
        <w:t xml:space="preserve"> </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Adeinat, I.M. and Abdulfatah, F.H., (2019). Organizational culture and knowledge management processes: a case study in a public university. </w:t>
      </w:r>
      <w:r>
        <w:rPr>
          <w:rFonts w:ascii="Arial" w:eastAsia="Arial" w:hAnsi="Arial" w:cs="Arial"/>
          <w:i/>
          <w:color w:val="222222"/>
          <w:sz w:val="22"/>
          <w:szCs w:val="22"/>
          <w:highlight w:val="white"/>
        </w:rPr>
        <w:t>VINE Journal of Information and Knowledge Management Systems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49</w:t>
      </w:r>
      <w:r>
        <w:rPr>
          <w:rFonts w:ascii="Arial" w:eastAsia="Arial" w:hAnsi="Arial" w:cs="Arial"/>
          <w:color w:val="222222"/>
          <w:sz w:val="22"/>
          <w:szCs w:val="22"/>
          <w:highlight w:val="white"/>
        </w:rPr>
        <w:t>(1), pp.35-53.</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Anwar, G. and Abdullah, N.N., (2021). The impact of Human resource management practice on Organizational performance. </w:t>
      </w:r>
      <w:r>
        <w:rPr>
          <w:rFonts w:ascii="Arial" w:eastAsia="Arial" w:hAnsi="Arial" w:cs="Arial"/>
          <w:i/>
          <w:color w:val="222222"/>
          <w:sz w:val="22"/>
          <w:szCs w:val="22"/>
          <w:highlight w:val="white"/>
        </w:rPr>
        <w:t>International Journal of Engineering, Business and Management (IJEBM)</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5</w:t>
      </w:r>
      <w:r>
        <w:rPr>
          <w:rFonts w:ascii="Arial" w:eastAsia="Arial" w:hAnsi="Arial" w:cs="Arial"/>
          <w:color w:val="222222"/>
          <w:sz w:val="22"/>
          <w:szCs w:val="22"/>
          <w:highlight w:val="white"/>
        </w:rPr>
        <w:t>.</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Arasanmi, C.N. and Krishna, A., (2019). Employer branding: perceived organisational support and employee retention–the mediating role of organisational commitment. </w:t>
      </w:r>
      <w:r>
        <w:rPr>
          <w:rFonts w:ascii="Arial" w:eastAsia="Arial" w:hAnsi="Arial" w:cs="Arial"/>
          <w:i/>
          <w:color w:val="222222"/>
          <w:sz w:val="22"/>
          <w:szCs w:val="22"/>
          <w:highlight w:val="white"/>
        </w:rPr>
        <w:t>Industrial and Commercial Training</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51</w:t>
      </w:r>
      <w:r>
        <w:rPr>
          <w:rFonts w:ascii="Arial" w:eastAsia="Arial" w:hAnsi="Arial" w:cs="Arial"/>
          <w:color w:val="222222"/>
          <w:sz w:val="22"/>
          <w:szCs w:val="22"/>
          <w:highlight w:val="white"/>
        </w:rPr>
        <w:t>(3), pp.174-183.</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sz w:val="22"/>
          <w:szCs w:val="22"/>
        </w:rPr>
        <w:t>Bourgault, A.M. and Goforth, C., (2021). Embrace teamwork to create and maintain a positive workplace culture. Critical care nurse, 41(3), pp.8-10.</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Bran, F., Rădulescu, C.V., Bodislav, D.A. and Burlacu, S., (2020). Environmental risks in the context of globalization. </w:t>
      </w:r>
      <w:r>
        <w:rPr>
          <w:rFonts w:ascii="Arial" w:eastAsia="Arial" w:hAnsi="Arial" w:cs="Arial"/>
          <w:i/>
          <w:color w:val="222222"/>
          <w:sz w:val="22"/>
          <w:szCs w:val="22"/>
          <w:highlight w:val="white"/>
        </w:rPr>
        <w:t>Economic Convergence in European Union</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350</w:t>
      </w:r>
      <w:r>
        <w:rPr>
          <w:rFonts w:ascii="Arial" w:eastAsia="Arial" w:hAnsi="Arial" w:cs="Arial"/>
          <w:color w:val="222222"/>
          <w:sz w:val="22"/>
          <w:szCs w:val="22"/>
          <w:highlight w:val="white"/>
        </w:rPr>
        <w:t>, pp.228-235.</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Da Veiga, A., Astakhova, L.V., Botha, A. and Herselman, M., (2020). Defining organisational information security culture—Perspectives from academia and industry. </w:t>
      </w:r>
      <w:r>
        <w:rPr>
          <w:rFonts w:ascii="Arial" w:eastAsia="Arial" w:hAnsi="Arial" w:cs="Arial"/>
          <w:i/>
          <w:color w:val="222222"/>
          <w:sz w:val="22"/>
          <w:szCs w:val="22"/>
          <w:highlight w:val="white"/>
        </w:rPr>
        <w:t>Computers &amp; Security</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92</w:t>
      </w:r>
      <w:r>
        <w:rPr>
          <w:rFonts w:ascii="Arial" w:eastAsia="Arial" w:hAnsi="Arial" w:cs="Arial"/>
          <w:color w:val="222222"/>
          <w:sz w:val="22"/>
          <w:szCs w:val="22"/>
          <w:highlight w:val="white"/>
        </w:rPr>
        <w:t>, p.101713.</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David Knights (2023) </w:t>
      </w:r>
      <w:r>
        <w:rPr>
          <w:rFonts w:ascii="Arial" w:eastAsia="Arial" w:hAnsi="Arial" w:cs="Arial"/>
          <w:i/>
          <w:color w:val="222222"/>
          <w:sz w:val="22"/>
          <w:szCs w:val="22"/>
          <w:highlight w:val="white"/>
        </w:rPr>
        <w:t>(PDF) culture and control in an insurance company - researchgate</w:t>
      </w:r>
      <w:r>
        <w:rPr>
          <w:rFonts w:ascii="Arial" w:eastAsia="Arial" w:hAnsi="Arial" w:cs="Arial"/>
          <w:color w:val="222222"/>
          <w:sz w:val="22"/>
          <w:szCs w:val="22"/>
          <w:highlight w:val="white"/>
        </w:rPr>
        <w:t xml:space="preserve">. Available at: https://www.researchgate.net/publication/233000712_Culture_and_control_in_an_insurance_company (Accessed: 06 July 2023). </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Eckert, C., Neunsinger, C. and Osterrieder, K., (2022). Managing customer satisfaction: digital applications for insurance companies. </w:t>
      </w:r>
      <w:r>
        <w:rPr>
          <w:rFonts w:ascii="Arial" w:eastAsia="Arial" w:hAnsi="Arial" w:cs="Arial"/>
          <w:i/>
          <w:color w:val="222222"/>
          <w:sz w:val="22"/>
          <w:szCs w:val="22"/>
          <w:highlight w:val="white"/>
        </w:rPr>
        <w:t>The Geneva Papers on Risk and Insurance-Issues and Practice</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47</w:t>
      </w:r>
      <w:r>
        <w:rPr>
          <w:rFonts w:ascii="Arial" w:eastAsia="Arial" w:hAnsi="Arial" w:cs="Arial"/>
          <w:color w:val="222222"/>
          <w:sz w:val="22"/>
          <w:szCs w:val="22"/>
          <w:highlight w:val="white"/>
        </w:rPr>
        <w:t>(3), pp.569-602.</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Gaganis, C., Hasan, I., Papadimitri, P. and Tasiou, M., (2019). National culture and risk-taking: Evidence from the insurance industry. </w:t>
      </w:r>
      <w:r>
        <w:rPr>
          <w:rFonts w:ascii="Arial" w:eastAsia="Arial" w:hAnsi="Arial" w:cs="Arial"/>
          <w:i/>
          <w:color w:val="222222"/>
          <w:sz w:val="22"/>
          <w:szCs w:val="22"/>
          <w:highlight w:val="white"/>
        </w:rPr>
        <w:t>Journal of Business Research</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97</w:t>
      </w:r>
      <w:r>
        <w:rPr>
          <w:rFonts w:ascii="Arial" w:eastAsia="Arial" w:hAnsi="Arial" w:cs="Arial"/>
          <w:color w:val="222222"/>
          <w:sz w:val="22"/>
          <w:szCs w:val="22"/>
          <w:highlight w:val="white"/>
        </w:rPr>
        <w:t>, pp.104-116.</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Honcharenko, I. and Shyshpanova, N., (2022). Agricultural Insurance as a Condition for Sustainable Development of Rural Areas.</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Isensee, C., Teuteberg, F., Griese, K.M. and Topi, C., (2020). The relationship between organizational culture, sustainability, and digitalization in SMEs: A systematic review. </w:t>
      </w:r>
      <w:r>
        <w:rPr>
          <w:rFonts w:ascii="Arial" w:eastAsia="Arial" w:hAnsi="Arial" w:cs="Arial"/>
          <w:i/>
          <w:color w:val="222222"/>
          <w:sz w:val="22"/>
          <w:szCs w:val="22"/>
          <w:highlight w:val="white"/>
        </w:rPr>
        <w:t>Journal of Cleaner Production</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275</w:t>
      </w:r>
      <w:r>
        <w:rPr>
          <w:rFonts w:ascii="Arial" w:eastAsia="Arial" w:hAnsi="Arial" w:cs="Arial"/>
          <w:color w:val="222222"/>
          <w:sz w:val="22"/>
          <w:szCs w:val="22"/>
          <w:highlight w:val="white"/>
        </w:rPr>
        <w:t>, p.122944.</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Jones, M.D., Hutcheson, S. and Camba, J.D., (2021). Past, present, and future barriers to digital transformation in manufacturing: A review. </w:t>
      </w:r>
      <w:r>
        <w:rPr>
          <w:rFonts w:ascii="Arial" w:eastAsia="Arial" w:hAnsi="Arial" w:cs="Arial"/>
          <w:i/>
          <w:color w:val="222222"/>
          <w:sz w:val="22"/>
          <w:szCs w:val="22"/>
          <w:highlight w:val="white"/>
        </w:rPr>
        <w:t>Journal of Manufacturing Systems</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60</w:t>
      </w:r>
      <w:r>
        <w:rPr>
          <w:rFonts w:ascii="Arial" w:eastAsia="Arial" w:hAnsi="Arial" w:cs="Arial"/>
          <w:color w:val="222222"/>
          <w:sz w:val="22"/>
          <w:szCs w:val="22"/>
          <w:highlight w:val="white"/>
        </w:rPr>
        <w:t>, pp.936-948.</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lastRenderedPageBreak/>
        <w:t xml:space="preserve">Lobschat, L., Mueller, B., Eggers, F., Brandimarte, L., Diefenbach, S., Kroschke, M. and Wirtz, J., (2021). Corporate digital responsibility. </w:t>
      </w:r>
      <w:r>
        <w:rPr>
          <w:rFonts w:ascii="Arial" w:eastAsia="Arial" w:hAnsi="Arial" w:cs="Arial"/>
          <w:i/>
          <w:color w:val="222222"/>
          <w:sz w:val="22"/>
          <w:szCs w:val="22"/>
          <w:highlight w:val="white"/>
        </w:rPr>
        <w:t>Journal of Business Research</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122</w:t>
      </w:r>
      <w:r>
        <w:rPr>
          <w:rFonts w:ascii="Arial" w:eastAsia="Arial" w:hAnsi="Arial" w:cs="Arial"/>
          <w:color w:val="222222"/>
          <w:sz w:val="22"/>
          <w:szCs w:val="22"/>
          <w:highlight w:val="white"/>
        </w:rPr>
        <w:t>, pp.875-888.</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Mahmoudi, M. and Gould, L.J., (2020). Opportunities and challenges of the management of chronic wounds: a multidisciplinary viewpoint. </w:t>
      </w:r>
      <w:r>
        <w:rPr>
          <w:rFonts w:ascii="Arial" w:eastAsia="Arial" w:hAnsi="Arial" w:cs="Arial"/>
          <w:i/>
          <w:color w:val="222222"/>
          <w:sz w:val="22"/>
          <w:szCs w:val="22"/>
          <w:highlight w:val="white"/>
        </w:rPr>
        <w:t>Chronic Wound Care Management and Research</w:t>
      </w:r>
      <w:r>
        <w:rPr>
          <w:rFonts w:ascii="Arial" w:eastAsia="Arial" w:hAnsi="Arial" w:cs="Arial"/>
          <w:color w:val="222222"/>
          <w:sz w:val="22"/>
          <w:szCs w:val="22"/>
          <w:highlight w:val="white"/>
        </w:rPr>
        <w:t>, pp.27-36.</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Sunaryo, W., Yusnita, N. and Mustofa, M., (2020). Improving job performance through strengthening the organizational culture and interpersonal communication. </w:t>
      </w:r>
      <w:r>
        <w:rPr>
          <w:rFonts w:ascii="Arial" w:eastAsia="Arial" w:hAnsi="Arial" w:cs="Arial"/>
          <w:i/>
          <w:color w:val="222222"/>
          <w:sz w:val="22"/>
          <w:szCs w:val="22"/>
          <w:highlight w:val="white"/>
        </w:rPr>
        <w:t>Jurnal Konseling Dan Pendidikan</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8</w:t>
      </w:r>
      <w:r>
        <w:rPr>
          <w:rFonts w:ascii="Arial" w:eastAsia="Arial" w:hAnsi="Arial" w:cs="Arial"/>
          <w:color w:val="222222"/>
          <w:sz w:val="22"/>
          <w:szCs w:val="22"/>
          <w:highlight w:val="white"/>
        </w:rPr>
        <w:t>(3), pp.145-150.</w:t>
      </w:r>
    </w:p>
    <w:p w:rsidR="009C7045" w:rsidRDefault="00A577A0" w:rsidP="00B6540A">
      <w:pPr>
        <w:spacing w:after="0"/>
        <w:rPr>
          <w:rFonts w:ascii="Arial" w:eastAsia="Arial" w:hAnsi="Arial" w:cs="Arial"/>
          <w:sz w:val="22"/>
          <w:szCs w:val="22"/>
        </w:rPr>
      </w:pPr>
      <w:r>
        <w:rPr>
          <w:rFonts w:ascii="Arial" w:eastAsia="Arial" w:hAnsi="Arial" w:cs="Arial"/>
          <w:sz w:val="22"/>
          <w:szCs w:val="22"/>
        </w:rPr>
        <w:t>Tran, Q.H., (2021). Organisational culture, leadership behaviour and job satisfaction in the Vietnam context. International Journal of Organizational Analysis, 29(1), pp.136-154.</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Trynchuk, V., Khovrak, I., Dankiewicz, R., Ostrowska-Dankiewicz, A. and Chushak-Holoborodko, A., (2019). The role of universities in disseminating the social responsibility practices of insurance companies. </w:t>
      </w:r>
      <w:r>
        <w:rPr>
          <w:rFonts w:ascii="Arial" w:eastAsia="Arial" w:hAnsi="Arial" w:cs="Arial"/>
          <w:i/>
          <w:color w:val="222222"/>
          <w:sz w:val="22"/>
          <w:szCs w:val="22"/>
          <w:highlight w:val="white"/>
        </w:rPr>
        <w:t>Problems and Perspectives in Management</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17</w:t>
      </w:r>
      <w:r>
        <w:rPr>
          <w:rFonts w:ascii="Arial" w:eastAsia="Arial" w:hAnsi="Arial" w:cs="Arial"/>
          <w:color w:val="222222"/>
          <w:sz w:val="22"/>
          <w:szCs w:val="22"/>
          <w:highlight w:val="white"/>
        </w:rPr>
        <w:t>(2), pp.449-461.</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Tseng, L.M., (2020). Company–customer conflicts and ethical decision-making of life insurance agents: the role of ethics institutionalization. </w:t>
      </w:r>
      <w:r>
        <w:rPr>
          <w:rFonts w:ascii="Arial" w:eastAsia="Arial" w:hAnsi="Arial" w:cs="Arial"/>
          <w:i/>
          <w:color w:val="222222"/>
          <w:sz w:val="22"/>
          <w:szCs w:val="22"/>
          <w:highlight w:val="white"/>
        </w:rPr>
        <w:t>Managerial Finance</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46</w:t>
      </w:r>
      <w:r>
        <w:rPr>
          <w:rFonts w:ascii="Arial" w:eastAsia="Arial" w:hAnsi="Arial" w:cs="Arial"/>
          <w:color w:val="222222"/>
          <w:sz w:val="22"/>
          <w:szCs w:val="22"/>
          <w:highlight w:val="white"/>
        </w:rPr>
        <w:t>(9), pp.1145-1163.</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White, K.R., Kinney, D., Danek, R.H., Smith, B. and Harben, C., (2020). The Resistance to Change-Beliefs Scale: Validation of a new measure of conservative ideology. </w:t>
      </w:r>
      <w:r>
        <w:rPr>
          <w:rFonts w:ascii="Arial" w:eastAsia="Arial" w:hAnsi="Arial" w:cs="Arial"/>
          <w:i/>
          <w:color w:val="222222"/>
          <w:sz w:val="22"/>
          <w:szCs w:val="22"/>
          <w:highlight w:val="white"/>
        </w:rPr>
        <w:t>Personality and Social Psychology Bulletin</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46</w:t>
      </w:r>
      <w:r>
        <w:rPr>
          <w:rFonts w:ascii="Arial" w:eastAsia="Arial" w:hAnsi="Arial" w:cs="Arial"/>
          <w:color w:val="222222"/>
          <w:sz w:val="22"/>
          <w:szCs w:val="22"/>
          <w:highlight w:val="white"/>
        </w:rPr>
        <w:t>(1), pp.20-35.</w:t>
      </w:r>
    </w:p>
    <w:p w:rsidR="009C7045" w:rsidRDefault="00A577A0" w:rsidP="00B6540A">
      <w:pPr>
        <w:spacing w:after="0"/>
        <w:rPr>
          <w:rFonts w:ascii="Arial" w:eastAsia="Arial" w:hAnsi="Arial" w:cs="Arial"/>
          <w:color w:val="222222"/>
          <w:sz w:val="22"/>
          <w:szCs w:val="22"/>
          <w:highlight w:val="white"/>
        </w:rPr>
      </w:pPr>
      <w:r>
        <w:rPr>
          <w:rFonts w:ascii="Arial" w:eastAsia="Arial" w:hAnsi="Arial" w:cs="Arial"/>
          <w:color w:val="222222"/>
          <w:sz w:val="22"/>
          <w:szCs w:val="22"/>
          <w:highlight w:val="white"/>
        </w:rPr>
        <w:t xml:space="preserve">Zafar, M.W., Zaidi, S.A.H., Khan, N.R., Mirza, F.M., Hou, F. and Kirmani, S.A.A., (2019). The impact of natural resources, human capital, and foreign direct investment on the ecological footprint: the case of the United States. </w:t>
      </w:r>
      <w:r>
        <w:rPr>
          <w:rFonts w:ascii="Arial" w:eastAsia="Arial" w:hAnsi="Arial" w:cs="Arial"/>
          <w:i/>
          <w:color w:val="222222"/>
          <w:sz w:val="22"/>
          <w:szCs w:val="22"/>
          <w:highlight w:val="white"/>
        </w:rPr>
        <w:t>Resources Policy</w:t>
      </w:r>
      <w:r>
        <w:rPr>
          <w:rFonts w:ascii="Arial" w:eastAsia="Arial" w:hAnsi="Arial" w:cs="Arial"/>
          <w:color w:val="222222"/>
          <w:sz w:val="22"/>
          <w:szCs w:val="22"/>
          <w:highlight w:val="white"/>
        </w:rPr>
        <w:t xml:space="preserve">, </w:t>
      </w:r>
      <w:r>
        <w:rPr>
          <w:rFonts w:ascii="Arial" w:eastAsia="Arial" w:hAnsi="Arial" w:cs="Arial"/>
          <w:i/>
          <w:color w:val="222222"/>
          <w:sz w:val="22"/>
          <w:szCs w:val="22"/>
          <w:highlight w:val="white"/>
        </w:rPr>
        <w:t>63</w:t>
      </w:r>
      <w:r>
        <w:rPr>
          <w:rFonts w:ascii="Arial" w:eastAsia="Arial" w:hAnsi="Arial" w:cs="Arial"/>
          <w:color w:val="222222"/>
          <w:sz w:val="22"/>
          <w:szCs w:val="22"/>
          <w:highlight w:val="white"/>
        </w:rPr>
        <w:t>, p.101428.</w:t>
      </w:r>
    </w:p>
    <w:sectPr w:rsidR="009C7045">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530" w:rsidRDefault="00A85530">
      <w:pPr>
        <w:spacing w:after="0" w:line="240" w:lineRule="auto"/>
      </w:pPr>
      <w:r>
        <w:separator/>
      </w:r>
    </w:p>
  </w:endnote>
  <w:endnote w:type="continuationSeparator" w:id="0">
    <w:p w:rsidR="00A85530" w:rsidRDefault="00A85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45" w:rsidRDefault="00A577A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93C96">
      <w:rPr>
        <w:noProof/>
        <w:color w:val="000000"/>
      </w:rPr>
      <w:t>1</w:t>
    </w:r>
    <w:r>
      <w:rPr>
        <w:color w:val="000000"/>
      </w:rPr>
      <w:fldChar w:fldCharType="end"/>
    </w:r>
  </w:p>
  <w:p w:rsidR="009C7045" w:rsidRDefault="009C704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530" w:rsidRDefault="00A85530">
      <w:pPr>
        <w:spacing w:after="0" w:line="240" w:lineRule="auto"/>
      </w:pPr>
      <w:r>
        <w:separator/>
      </w:r>
    </w:p>
  </w:footnote>
  <w:footnote w:type="continuationSeparator" w:id="0">
    <w:p w:rsidR="00A85530" w:rsidRDefault="00A85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292"/>
    <w:multiLevelType w:val="multilevel"/>
    <w:tmpl w:val="5890D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113CB0"/>
    <w:multiLevelType w:val="multilevel"/>
    <w:tmpl w:val="F75C3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6C7D8E"/>
    <w:multiLevelType w:val="multilevel"/>
    <w:tmpl w:val="19543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D73EE2"/>
    <w:multiLevelType w:val="multilevel"/>
    <w:tmpl w:val="4E58F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895A9F"/>
    <w:multiLevelType w:val="multilevel"/>
    <w:tmpl w:val="B8D07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F857C2"/>
    <w:multiLevelType w:val="multilevel"/>
    <w:tmpl w:val="09429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B04950"/>
    <w:multiLevelType w:val="multilevel"/>
    <w:tmpl w:val="802A5C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B4B0D0D"/>
    <w:multiLevelType w:val="multilevel"/>
    <w:tmpl w:val="B546B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8E7CC3"/>
    <w:multiLevelType w:val="multilevel"/>
    <w:tmpl w:val="29A03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38C1237"/>
    <w:multiLevelType w:val="multilevel"/>
    <w:tmpl w:val="EFB215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A21019"/>
    <w:multiLevelType w:val="multilevel"/>
    <w:tmpl w:val="67520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5902A4"/>
    <w:multiLevelType w:val="multilevel"/>
    <w:tmpl w:val="16F89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0"/>
  </w:num>
  <w:num w:numId="3">
    <w:abstractNumId w:val="7"/>
  </w:num>
  <w:num w:numId="4">
    <w:abstractNumId w:val="8"/>
  </w:num>
  <w:num w:numId="5">
    <w:abstractNumId w:val="3"/>
  </w:num>
  <w:num w:numId="6">
    <w:abstractNumId w:val="6"/>
  </w:num>
  <w:num w:numId="7">
    <w:abstractNumId w:val="1"/>
  </w:num>
  <w:num w:numId="8">
    <w:abstractNumId w:val="5"/>
  </w:num>
  <w:num w:numId="9">
    <w:abstractNumId w:val="11"/>
  </w:num>
  <w:num w:numId="10">
    <w:abstractNumId w:val="4"/>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045"/>
    <w:rsid w:val="009C7045"/>
    <w:rsid w:val="00A577A0"/>
    <w:rsid w:val="00A603D0"/>
    <w:rsid w:val="00A85530"/>
    <w:rsid w:val="00B6540A"/>
    <w:rsid w:val="00F93C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008D9E-EE1E-442F-A705-6FE65047C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IN"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3E1E2A"/>
    <w:pPr>
      <w:keepNext/>
      <w:keepLines/>
      <w:spacing w:before="400" w:after="120"/>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E1E2A"/>
    <w:pPr>
      <w:keepNext/>
      <w:keepLines/>
      <w:spacing w:after="60"/>
    </w:pPr>
    <w:rPr>
      <w:b/>
      <w:sz w:val="32"/>
      <w:szCs w:val="52"/>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E1E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E2A"/>
  </w:style>
  <w:style w:type="paragraph" w:styleId="Footer">
    <w:name w:val="footer"/>
    <w:basedOn w:val="Normal"/>
    <w:link w:val="FooterChar"/>
    <w:uiPriority w:val="99"/>
    <w:unhideWhenUsed/>
    <w:rsid w:val="003E1E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E2A"/>
  </w:style>
  <w:style w:type="paragraph" w:styleId="TOCHeading">
    <w:name w:val="TOC Heading"/>
    <w:basedOn w:val="Heading1"/>
    <w:next w:val="Normal"/>
    <w:uiPriority w:val="39"/>
    <w:semiHidden/>
    <w:unhideWhenUsed/>
    <w:qFormat/>
    <w:rsid w:val="003E1E2A"/>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3E1E2A"/>
    <w:pPr>
      <w:spacing w:after="100"/>
    </w:pPr>
  </w:style>
  <w:style w:type="character" w:styleId="Hyperlink">
    <w:name w:val="Hyperlink"/>
    <w:basedOn w:val="DefaultParagraphFont"/>
    <w:uiPriority w:val="99"/>
    <w:unhideWhenUsed/>
    <w:rsid w:val="003E1E2A"/>
    <w:rPr>
      <w:color w:val="0000FF" w:themeColor="hyperlink"/>
      <w:u w:val="single"/>
    </w:rPr>
  </w:style>
  <w:style w:type="paragraph" w:styleId="BalloonText">
    <w:name w:val="Balloon Text"/>
    <w:basedOn w:val="Normal"/>
    <w:link w:val="BalloonTextChar"/>
    <w:uiPriority w:val="99"/>
    <w:semiHidden/>
    <w:unhideWhenUsed/>
    <w:rsid w:val="003E1E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E2A"/>
    <w:rPr>
      <w:rFonts w:ascii="Tahoma" w:hAnsi="Tahoma" w:cs="Tahoma"/>
      <w:sz w:val="16"/>
      <w:szCs w:val="16"/>
    </w:r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z8j9EK6IPEM7wicdS1UKlLbZhA==">CgMxLjAyCGguZ2pkZ3hzMgloLjMwajB6bGwyCWguMWZvYjl0ZTIJaC4zem55c2g3MgloLjNkeTZ2a20yCWguMXQzaDVzZjIJaC40ZDM0b2c4MgloLjJzOGV5bzEyCWguMTdkcDh2dTgAciExcjBYS1JWQ1ZhVFd6cHVCVTRmQy0yQnJpVThiZ1J5bUg=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3975</Words>
  <Characters>22658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mac</cp:lastModifiedBy>
  <cp:revision>2</cp:revision>
  <dcterms:created xsi:type="dcterms:W3CDTF">2023-07-07T05:29:00Z</dcterms:created>
  <dcterms:modified xsi:type="dcterms:W3CDTF">2023-07-07T05:29:00Z</dcterms:modified>
</cp:coreProperties>
</file>