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540E1" w14:textId="5AF8743B" w:rsidR="00B523AD" w:rsidRPr="006F0BF7" w:rsidRDefault="00651379" w:rsidP="00651379">
      <w:pPr>
        <w:spacing w:line="360" w:lineRule="auto"/>
        <w:jc w:val="center"/>
        <w:rPr>
          <w:rFonts w:ascii="Times New Roman" w:eastAsia="Times New Roman" w:hAnsi="Times New Roman" w:cs="Times New Roman"/>
          <w:b/>
          <w:sz w:val="32"/>
          <w:szCs w:val="32"/>
          <w:u w:val="single"/>
        </w:rPr>
      </w:pPr>
      <w:r w:rsidRPr="006F0BF7">
        <w:rPr>
          <w:rFonts w:ascii="Times New Roman" w:eastAsia="Times New Roman" w:hAnsi="Times New Roman" w:cs="Times New Roman"/>
          <w:b/>
          <w:sz w:val="32"/>
          <w:szCs w:val="32"/>
          <w:u w:val="single"/>
        </w:rPr>
        <w:t>ACCESS TO HEALTH CARE</w:t>
      </w:r>
    </w:p>
    <w:p w14:paraId="105D56F6" w14:textId="28F7A590" w:rsidR="00651379" w:rsidRPr="006F0BF7" w:rsidRDefault="00651379" w:rsidP="00651379">
      <w:pPr>
        <w:spacing w:line="360" w:lineRule="auto"/>
        <w:jc w:val="center"/>
        <w:rPr>
          <w:rFonts w:ascii="Times New Roman" w:eastAsia="Times New Roman" w:hAnsi="Times New Roman" w:cs="Times New Roman"/>
          <w:b/>
          <w:sz w:val="32"/>
          <w:szCs w:val="32"/>
          <w:u w:val="single"/>
        </w:rPr>
      </w:pPr>
      <w:r w:rsidRPr="006F0BF7">
        <w:rPr>
          <w:rFonts w:ascii="Times New Roman" w:eastAsia="Times New Roman" w:hAnsi="Times New Roman" w:cs="Times New Roman"/>
          <w:b/>
          <w:sz w:val="32"/>
          <w:szCs w:val="32"/>
          <w:u w:val="single"/>
        </w:rPr>
        <w:t>NANCY DURU</w:t>
      </w:r>
    </w:p>
    <w:p w14:paraId="282266C8" w14:textId="046C7DE3" w:rsidR="00651379" w:rsidRPr="006F0BF7" w:rsidRDefault="00651379" w:rsidP="00651379">
      <w:pPr>
        <w:spacing w:line="360" w:lineRule="auto"/>
        <w:jc w:val="center"/>
        <w:rPr>
          <w:rFonts w:ascii="Times New Roman" w:eastAsia="Times New Roman" w:hAnsi="Times New Roman" w:cs="Times New Roman"/>
          <w:b/>
          <w:sz w:val="32"/>
          <w:szCs w:val="32"/>
          <w:u w:val="single"/>
        </w:rPr>
      </w:pPr>
      <w:r w:rsidRPr="006F0BF7">
        <w:rPr>
          <w:rFonts w:ascii="Times New Roman" w:eastAsia="Times New Roman" w:hAnsi="Times New Roman" w:cs="Times New Roman"/>
          <w:b/>
          <w:sz w:val="32"/>
          <w:szCs w:val="32"/>
          <w:u w:val="single"/>
        </w:rPr>
        <w:t>BMHP4029</w:t>
      </w:r>
    </w:p>
    <w:p w14:paraId="3D3DE112" w14:textId="2385F3E4" w:rsidR="00651379" w:rsidRPr="006F0BF7" w:rsidRDefault="00651379" w:rsidP="00651379">
      <w:pPr>
        <w:spacing w:line="360" w:lineRule="auto"/>
        <w:jc w:val="center"/>
        <w:rPr>
          <w:rFonts w:ascii="Times New Roman" w:eastAsia="Times New Roman" w:hAnsi="Times New Roman" w:cs="Times New Roman"/>
          <w:b/>
          <w:sz w:val="32"/>
          <w:szCs w:val="32"/>
          <w:u w:val="single"/>
        </w:rPr>
      </w:pPr>
      <w:r w:rsidRPr="006F0BF7">
        <w:rPr>
          <w:rFonts w:ascii="Times New Roman" w:eastAsia="Times New Roman" w:hAnsi="Times New Roman" w:cs="Times New Roman"/>
          <w:b/>
          <w:sz w:val="32"/>
          <w:szCs w:val="32"/>
          <w:u w:val="single"/>
        </w:rPr>
        <w:t>2414515</w:t>
      </w:r>
    </w:p>
    <w:p w14:paraId="7CA6C92F" w14:textId="77777777" w:rsidR="00B523AD" w:rsidRDefault="00B523AD">
      <w:pPr>
        <w:spacing w:line="360" w:lineRule="auto"/>
        <w:rPr>
          <w:rFonts w:ascii="Times New Roman" w:eastAsia="Times New Roman" w:hAnsi="Times New Roman" w:cs="Times New Roman"/>
          <w:b/>
          <w:sz w:val="24"/>
          <w:szCs w:val="24"/>
          <w:u w:val="single"/>
        </w:rPr>
      </w:pPr>
    </w:p>
    <w:p w14:paraId="1F8F6580" w14:textId="638F59D2" w:rsidR="00B523AD" w:rsidRDefault="00651379">
      <w:pPr>
        <w:spacing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r w:rsidRPr="009A13B3">
        <w:rPr>
          <w:b/>
          <w:bCs/>
          <w:noProof/>
        </w:rPr>
        <w:drawing>
          <wp:inline distT="0" distB="0" distL="0" distR="0" wp14:anchorId="60BA78EA" wp14:editId="4461DC3A">
            <wp:extent cx="4480560" cy="2476458"/>
            <wp:effectExtent l="0" t="0" r="0" b="635"/>
            <wp:docPr id="600774622" name="Picture 1" descr="High Quality Health Care: How New Jersey Residents Report Their Ability to  Access It – New Jersey State Policy 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ealth Care: How New Jersey Residents Report Their Ability to  Access It – New Jersey State Policy La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91958" cy="2538029"/>
                    </a:xfrm>
                    <a:prstGeom prst="rect">
                      <a:avLst/>
                    </a:prstGeom>
                    <a:noFill/>
                    <a:ln>
                      <a:noFill/>
                    </a:ln>
                  </pic:spPr>
                </pic:pic>
              </a:graphicData>
            </a:graphic>
          </wp:inline>
        </w:drawing>
      </w:r>
    </w:p>
    <w:p w14:paraId="5B35AE66" w14:textId="77777777" w:rsidR="00B523AD" w:rsidRDefault="00B523AD">
      <w:pPr>
        <w:spacing w:line="360" w:lineRule="auto"/>
        <w:rPr>
          <w:rFonts w:ascii="Times New Roman" w:eastAsia="Times New Roman" w:hAnsi="Times New Roman" w:cs="Times New Roman"/>
          <w:b/>
          <w:sz w:val="24"/>
          <w:szCs w:val="24"/>
          <w:u w:val="single"/>
        </w:rPr>
      </w:pPr>
    </w:p>
    <w:p w14:paraId="35706329" w14:textId="77777777" w:rsidR="00B523AD" w:rsidRDefault="00B523AD">
      <w:pPr>
        <w:spacing w:line="360" w:lineRule="auto"/>
        <w:rPr>
          <w:rFonts w:ascii="Times New Roman" w:eastAsia="Times New Roman" w:hAnsi="Times New Roman" w:cs="Times New Roman"/>
          <w:b/>
          <w:sz w:val="24"/>
          <w:szCs w:val="24"/>
          <w:u w:val="single"/>
        </w:rPr>
      </w:pPr>
    </w:p>
    <w:p w14:paraId="3398E926" w14:textId="77777777" w:rsidR="00B523AD" w:rsidRDefault="00B523AD">
      <w:pPr>
        <w:spacing w:line="360" w:lineRule="auto"/>
        <w:rPr>
          <w:rFonts w:ascii="Times New Roman" w:eastAsia="Times New Roman" w:hAnsi="Times New Roman" w:cs="Times New Roman"/>
          <w:b/>
          <w:sz w:val="24"/>
          <w:szCs w:val="24"/>
          <w:u w:val="single"/>
        </w:rPr>
      </w:pPr>
    </w:p>
    <w:p w14:paraId="49A5A6EA" w14:textId="77777777" w:rsidR="00651379" w:rsidRDefault="00651379" w:rsidP="00651379">
      <w:pPr>
        <w:keepNext/>
        <w:keepLines/>
        <w:pBdr>
          <w:top w:val="nil"/>
          <w:left w:val="nil"/>
          <w:bottom w:val="nil"/>
          <w:right w:val="nil"/>
          <w:between w:val="nil"/>
        </w:pBdr>
        <w:spacing w:before="240" w:after="0" w:line="276" w:lineRule="auto"/>
        <w:rPr>
          <w:rFonts w:ascii="Times New Roman" w:eastAsia="Times New Roman" w:hAnsi="Times New Roman" w:cs="Times New Roman"/>
          <w:b/>
          <w:sz w:val="24"/>
          <w:szCs w:val="24"/>
          <w:u w:val="single"/>
        </w:rPr>
      </w:pPr>
    </w:p>
    <w:p w14:paraId="10EBCEA3" w14:textId="77777777" w:rsidR="00651379" w:rsidRDefault="00651379" w:rsidP="00651379">
      <w:pPr>
        <w:keepNext/>
        <w:keepLines/>
        <w:pBdr>
          <w:top w:val="nil"/>
          <w:left w:val="nil"/>
          <w:bottom w:val="nil"/>
          <w:right w:val="nil"/>
          <w:between w:val="nil"/>
        </w:pBdr>
        <w:spacing w:before="240" w:after="0" w:line="276" w:lineRule="auto"/>
        <w:rPr>
          <w:rFonts w:ascii="Times New Roman" w:eastAsia="Times New Roman" w:hAnsi="Times New Roman" w:cs="Times New Roman"/>
          <w:b/>
          <w:sz w:val="24"/>
          <w:szCs w:val="24"/>
          <w:u w:val="single"/>
        </w:rPr>
      </w:pPr>
    </w:p>
    <w:p w14:paraId="0D2E6F82" w14:textId="77777777" w:rsidR="00651379" w:rsidRDefault="00651379" w:rsidP="00651379">
      <w:pPr>
        <w:keepNext/>
        <w:keepLines/>
        <w:pBdr>
          <w:top w:val="nil"/>
          <w:left w:val="nil"/>
          <w:bottom w:val="nil"/>
          <w:right w:val="nil"/>
          <w:between w:val="nil"/>
        </w:pBdr>
        <w:spacing w:before="240" w:after="0" w:line="276" w:lineRule="auto"/>
        <w:rPr>
          <w:rFonts w:ascii="Times New Roman" w:eastAsia="Times New Roman" w:hAnsi="Times New Roman" w:cs="Times New Roman"/>
          <w:b/>
          <w:sz w:val="24"/>
          <w:szCs w:val="24"/>
          <w:u w:val="single"/>
        </w:rPr>
      </w:pPr>
    </w:p>
    <w:p w14:paraId="32A0FF32" w14:textId="77777777" w:rsidR="00651379" w:rsidRDefault="00651379" w:rsidP="00651379">
      <w:pPr>
        <w:keepNext/>
        <w:keepLines/>
        <w:pBdr>
          <w:top w:val="nil"/>
          <w:left w:val="nil"/>
          <w:bottom w:val="nil"/>
          <w:right w:val="nil"/>
          <w:between w:val="nil"/>
        </w:pBdr>
        <w:spacing w:before="240" w:after="0" w:line="276" w:lineRule="auto"/>
        <w:rPr>
          <w:rFonts w:ascii="Times New Roman" w:eastAsia="Times New Roman" w:hAnsi="Times New Roman" w:cs="Times New Roman"/>
          <w:b/>
          <w:sz w:val="24"/>
          <w:szCs w:val="24"/>
          <w:u w:val="single"/>
        </w:rPr>
      </w:pPr>
    </w:p>
    <w:p w14:paraId="1BBECF15" w14:textId="77777777" w:rsidR="00651379" w:rsidRDefault="00651379" w:rsidP="00651379">
      <w:pPr>
        <w:keepNext/>
        <w:keepLines/>
        <w:pBdr>
          <w:top w:val="nil"/>
          <w:left w:val="nil"/>
          <w:bottom w:val="nil"/>
          <w:right w:val="nil"/>
          <w:between w:val="nil"/>
        </w:pBdr>
        <w:spacing w:before="240" w:after="0" w:line="276" w:lineRule="auto"/>
        <w:rPr>
          <w:rFonts w:ascii="Times New Roman" w:eastAsia="Times New Roman" w:hAnsi="Times New Roman" w:cs="Times New Roman"/>
          <w:b/>
          <w:sz w:val="24"/>
          <w:szCs w:val="24"/>
          <w:u w:val="single"/>
        </w:rPr>
      </w:pPr>
    </w:p>
    <w:p w14:paraId="7A55BB98" w14:textId="77777777" w:rsidR="006F0BF7" w:rsidRDefault="006F0BF7" w:rsidP="00651379">
      <w:pPr>
        <w:keepNext/>
        <w:keepLines/>
        <w:pBdr>
          <w:top w:val="nil"/>
          <w:left w:val="nil"/>
          <w:bottom w:val="nil"/>
          <w:right w:val="nil"/>
          <w:between w:val="nil"/>
        </w:pBdr>
        <w:spacing w:before="240" w:after="0" w:line="276" w:lineRule="auto"/>
        <w:rPr>
          <w:rFonts w:ascii="Times New Roman" w:eastAsia="Times New Roman" w:hAnsi="Times New Roman" w:cs="Times New Roman"/>
          <w:b/>
          <w:color w:val="000000"/>
          <w:sz w:val="32"/>
          <w:szCs w:val="32"/>
        </w:rPr>
      </w:pPr>
    </w:p>
    <w:p w14:paraId="59578518" w14:textId="444A8825" w:rsidR="00B523AD" w:rsidRDefault="0002666A" w:rsidP="00651379">
      <w:pPr>
        <w:keepNext/>
        <w:keepLines/>
        <w:pBdr>
          <w:top w:val="nil"/>
          <w:left w:val="nil"/>
          <w:bottom w:val="nil"/>
          <w:right w:val="nil"/>
          <w:between w:val="nil"/>
        </w:pBdr>
        <w:spacing w:before="240" w:after="0" w:line="276" w:lineRule="auto"/>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Table of Contents</w:t>
      </w:r>
    </w:p>
    <w:p w14:paraId="0D99CA88" w14:textId="77777777" w:rsidR="00B523AD" w:rsidRDefault="00B523AD" w:rsidP="00651379">
      <w:pPr>
        <w:spacing w:line="276" w:lineRule="auto"/>
      </w:pPr>
    </w:p>
    <w:sdt>
      <w:sdtPr>
        <w:id w:val="1416204076"/>
        <w:docPartObj>
          <w:docPartGallery w:val="Table of Contents"/>
          <w:docPartUnique/>
        </w:docPartObj>
      </w:sdtPr>
      <w:sdtContent>
        <w:p w14:paraId="5FFB6A98" w14:textId="77777777" w:rsidR="00B523AD" w:rsidRDefault="0002666A" w:rsidP="00651379">
          <w:pPr>
            <w:pBdr>
              <w:top w:val="nil"/>
              <w:left w:val="nil"/>
              <w:bottom w:val="nil"/>
              <w:right w:val="nil"/>
              <w:between w:val="nil"/>
            </w:pBdr>
            <w:tabs>
              <w:tab w:val="right" w:leader="dot" w:pos="9350"/>
            </w:tabs>
            <w:spacing w:after="100"/>
            <w:rPr>
              <w:color w:val="000000"/>
            </w:rPr>
          </w:pPr>
          <w:r>
            <w:fldChar w:fldCharType="begin"/>
          </w:r>
          <w:r>
            <w:instrText xml:space="preserve"> TOC \h \u \z \t "Heading 1,1,Heading 2,2,Heading 3,3,"</w:instrText>
          </w:r>
          <w:r>
            <w:fldChar w:fldCharType="separate"/>
          </w:r>
          <w:hyperlink w:anchor="_dy2jlwd8k2ov">
            <w:r>
              <w:rPr>
                <w:rFonts w:ascii="Times New Roman" w:eastAsia="Times New Roman" w:hAnsi="Times New Roman" w:cs="Times New Roman"/>
                <w:b/>
                <w:color w:val="000000"/>
              </w:rPr>
              <w:t>Introduction</w:t>
            </w:r>
          </w:hyperlink>
          <w:hyperlink w:anchor="_dy2jlwd8k2ov">
            <w:r>
              <w:rPr>
                <w:color w:val="000000"/>
              </w:rPr>
              <w:tab/>
              <w:t>2</w:t>
            </w:r>
          </w:hyperlink>
        </w:p>
        <w:p w14:paraId="4B3522FC" w14:textId="77777777" w:rsidR="00B523AD" w:rsidRDefault="0002666A" w:rsidP="00651379">
          <w:pPr>
            <w:pBdr>
              <w:top w:val="nil"/>
              <w:left w:val="nil"/>
              <w:bottom w:val="nil"/>
              <w:right w:val="nil"/>
              <w:between w:val="nil"/>
            </w:pBdr>
            <w:tabs>
              <w:tab w:val="right" w:leader="dot" w:pos="9350"/>
            </w:tabs>
            <w:spacing w:after="100"/>
            <w:rPr>
              <w:color w:val="000000"/>
            </w:rPr>
          </w:pPr>
          <w:hyperlink w:anchor="_hk4wthfcuuyn">
            <w:r>
              <w:rPr>
                <w:rFonts w:ascii="Times New Roman" w:eastAsia="Times New Roman" w:hAnsi="Times New Roman" w:cs="Times New Roman"/>
                <w:b/>
                <w:color w:val="000000"/>
              </w:rPr>
              <w:t>Literature</w:t>
            </w:r>
          </w:hyperlink>
          <w:hyperlink w:anchor="_hk4wthfcuuyn">
            <w:r>
              <w:rPr>
                <w:color w:val="000000"/>
              </w:rPr>
              <w:tab/>
              <w:t>3</w:t>
            </w:r>
          </w:hyperlink>
        </w:p>
        <w:p w14:paraId="508BE840" w14:textId="77777777" w:rsidR="00B523AD" w:rsidRDefault="0002666A" w:rsidP="00651379">
          <w:pPr>
            <w:pBdr>
              <w:top w:val="nil"/>
              <w:left w:val="nil"/>
              <w:bottom w:val="nil"/>
              <w:right w:val="nil"/>
              <w:between w:val="nil"/>
            </w:pBdr>
            <w:tabs>
              <w:tab w:val="right" w:leader="dot" w:pos="9350"/>
            </w:tabs>
            <w:spacing w:after="100"/>
            <w:ind w:left="220"/>
            <w:rPr>
              <w:color w:val="000000"/>
            </w:rPr>
          </w:pPr>
          <w:hyperlink w:anchor="_5wqkmy7emt2v">
            <w:r>
              <w:rPr>
                <w:rFonts w:ascii="Times New Roman" w:eastAsia="Times New Roman" w:hAnsi="Times New Roman" w:cs="Times New Roman"/>
                <w:b/>
                <w:color w:val="000000"/>
              </w:rPr>
              <w:t>Socioeconomic Barriers</w:t>
            </w:r>
          </w:hyperlink>
          <w:hyperlink w:anchor="_5wqkmy7emt2v">
            <w:r>
              <w:rPr>
                <w:color w:val="000000"/>
              </w:rPr>
              <w:tab/>
              <w:t>3</w:t>
            </w:r>
          </w:hyperlink>
        </w:p>
        <w:p w14:paraId="2259BCC3" w14:textId="77777777" w:rsidR="00B523AD" w:rsidRDefault="0002666A" w:rsidP="00651379">
          <w:pPr>
            <w:pBdr>
              <w:top w:val="nil"/>
              <w:left w:val="nil"/>
              <w:bottom w:val="nil"/>
              <w:right w:val="nil"/>
              <w:between w:val="nil"/>
            </w:pBdr>
            <w:tabs>
              <w:tab w:val="right" w:leader="dot" w:pos="9350"/>
            </w:tabs>
            <w:spacing w:after="100"/>
            <w:ind w:left="220"/>
            <w:rPr>
              <w:color w:val="000000"/>
            </w:rPr>
          </w:pPr>
          <w:hyperlink w:anchor="_52ii6konsljt">
            <w:r>
              <w:rPr>
                <w:rFonts w:ascii="Times New Roman" w:eastAsia="Times New Roman" w:hAnsi="Times New Roman" w:cs="Times New Roman"/>
                <w:b/>
                <w:color w:val="000000"/>
              </w:rPr>
              <w:t>Racial and Ethnic Disparities</w:t>
            </w:r>
          </w:hyperlink>
          <w:hyperlink w:anchor="_52ii6konsljt">
            <w:r>
              <w:rPr>
                <w:color w:val="000000"/>
              </w:rPr>
              <w:tab/>
              <w:t>3</w:t>
            </w:r>
          </w:hyperlink>
        </w:p>
        <w:p w14:paraId="67AB52B0" w14:textId="77777777" w:rsidR="00B523AD" w:rsidRDefault="0002666A" w:rsidP="00651379">
          <w:pPr>
            <w:pBdr>
              <w:top w:val="nil"/>
              <w:left w:val="nil"/>
              <w:bottom w:val="nil"/>
              <w:right w:val="nil"/>
              <w:between w:val="nil"/>
            </w:pBdr>
            <w:tabs>
              <w:tab w:val="right" w:leader="dot" w:pos="9350"/>
            </w:tabs>
            <w:spacing w:after="100"/>
            <w:ind w:left="220"/>
            <w:rPr>
              <w:color w:val="000000"/>
            </w:rPr>
          </w:pPr>
          <w:hyperlink w:anchor="_dfoj1tr7ghlg">
            <w:r>
              <w:rPr>
                <w:rFonts w:ascii="Times New Roman" w:eastAsia="Times New Roman" w:hAnsi="Times New Roman" w:cs="Times New Roman"/>
                <w:b/>
                <w:color w:val="000000"/>
              </w:rPr>
              <w:t>Geographic Barriers</w:t>
            </w:r>
          </w:hyperlink>
          <w:hyperlink w:anchor="_dfoj1tr7ghlg">
            <w:r>
              <w:rPr>
                <w:color w:val="000000"/>
              </w:rPr>
              <w:tab/>
              <w:t>3</w:t>
            </w:r>
          </w:hyperlink>
        </w:p>
        <w:p w14:paraId="32901F93" w14:textId="77777777" w:rsidR="00B523AD" w:rsidRDefault="0002666A" w:rsidP="00651379">
          <w:pPr>
            <w:pBdr>
              <w:top w:val="nil"/>
              <w:left w:val="nil"/>
              <w:bottom w:val="nil"/>
              <w:right w:val="nil"/>
              <w:between w:val="nil"/>
            </w:pBdr>
            <w:tabs>
              <w:tab w:val="right" w:leader="dot" w:pos="9350"/>
            </w:tabs>
            <w:spacing w:after="100"/>
            <w:ind w:left="220"/>
            <w:rPr>
              <w:color w:val="000000"/>
            </w:rPr>
          </w:pPr>
          <w:hyperlink w:anchor="_ul1xw9vzs9na">
            <w:r>
              <w:rPr>
                <w:rFonts w:ascii="Times New Roman" w:eastAsia="Times New Roman" w:hAnsi="Times New Roman" w:cs="Times New Roman"/>
                <w:b/>
                <w:color w:val="000000"/>
              </w:rPr>
              <w:t>Health Literacy and Communication</w:t>
            </w:r>
          </w:hyperlink>
          <w:hyperlink w:anchor="_ul1xw9vzs9na">
            <w:r>
              <w:rPr>
                <w:color w:val="000000"/>
              </w:rPr>
              <w:tab/>
              <w:t>4</w:t>
            </w:r>
          </w:hyperlink>
        </w:p>
        <w:p w14:paraId="5E182AFC" w14:textId="77777777" w:rsidR="00B523AD" w:rsidRDefault="0002666A" w:rsidP="00651379">
          <w:pPr>
            <w:pBdr>
              <w:top w:val="nil"/>
              <w:left w:val="nil"/>
              <w:bottom w:val="nil"/>
              <w:right w:val="nil"/>
              <w:between w:val="nil"/>
            </w:pBdr>
            <w:tabs>
              <w:tab w:val="right" w:leader="dot" w:pos="9350"/>
            </w:tabs>
            <w:spacing w:after="100"/>
            <w:ind w:left="220"/>
            <w:rPr>
              <w:color w:val="000000"/>
            </w:rPr>
          </w:pPr>
          <w:hyperlink w:anchor="_xlzecse7olkm">
            <w:r>
              <w:rPr>
                <w:rFonts w:ascii="Times New Roman" w:eastAsia="Times New Roman" w:hAnsi="Times New Roman" w:cs="Times New Roman"/>
                <w:b/>
                <w:color w:val="000000"/>
              </w:rPr>
              <w:t>Insurance Coverage and Affordability</w:t>
            </w:r>
          </w:hyperlink>
          <w:hyperlink w:anchor="_xlzecse7olkm">
            <w:r>
              <w:rPr>
                <w:color w:val="000000"/>
              </w:rPr>
              <w:tab/>
              <w:t>4</w:t>
            </w:r>
          </w:hyperlink>
        </w:p>
        <w:p w14:paraId="6035E48E" w14:textId="77777777" w:rsidR="00B523AD" w:rsidRDefault="0002666A" w:rsidP="00651379">
          <w:pPr>
            <w:pBdr>
              <w:top w:val="nil"/>
              <w:left w:val="nil"/>
              <w:bottom w:val="nil"/>
              <w:right w:val="nil"/>
              <w:between w:val="nil"/>
            </w:pBdr>
            <w:tabs>
              <w:tab w:val="right" w:leader="dot" w:pos="9350"/>
            </w:tabs>
            <w:spacing w:after="100"/>
            <w:ind w:left="220"/>
            <w:rPr>
              <w:color w:val="000000"/>
            </w:rPr>
          </w:pPr>
          <w:hyperlink w:anchor="_vqbbhcr1576r">
            <w:r>
              <w:rPr>
                <w:rFonts w:ascii="Times New Roman" w:eastAsia="Times New Roman" w:hAnsi="Times New Roman" w:cs="Times New Roman"/>
                <w:b/>
                <w:color w:val="000000"/>
              </w:rPr>
              <w:t>Trust in Health Care Providers</w:t>
            </w:r>
          </w:hyperlink>
          <w:hyperlink w:anchor="_vqbbhcr1576r">
            <w:r>
              <w:rPr>
                <w:color w:val="000000"/>
              </w:rPr>
              <w:tab/>
              <w:t>4</w:t>
            </w:r>
          </w:hyperlink>
        </w:p>
        <w:p w14:paraId="0E8E01B7" w14:textId="77777777" w:rsidR="00B523AD" w:rsidRDefault="0002666A" w:rsidP="00651379">
          <w:pPr>
            <w:pBdr>
              <w:top w:val="nil"/>
              <w:left w:val="nil"/>
              <w:bottom w:val="nil"/>
              <w:right w:val="nil"/>
              <w:between w:val="nil"/>
            </w:pBdr>
            <w:tabs>
              <w:tab w:val="right" w:leader="dot" w:pos="9350"/>
            </w:tabs>
            <w:spacing w:after="100"/>
            <w:rPr>
              <w:color w:val="000000"/>
            </w:rPr>
          </w:pPr>
          <w:hyperlink w:anchor="_wj1z6x52ixjg">
            <w:r>
              <w:rPr>
                <w:rFonts w:ascii="Times New Roman" w:eastAsia="Times New Roman" w:hAnsi="Times New Roman" w:cs="Times New Roman"/>
                <w:b/>
                <w:color w:val="000000"/>
              </w:rPr>
              <w:t>Theme 1: Policy Barriers and Reforms in Health Care Access</w:t>
            </w:r>
          </w:hyperlink>
          <w:hyperlink w:anchor="_wj1z6x52ixjg">
            <w:r>
              <w:rPr>
                <w:color w:val="000000"/>
              </w:rPr>
              <w:tab/>
              <w:t>5</w:t>
            </w:r>
          </w:hyperlink>
        </w:p>
        <w:p w14:paraId="78E4930F" w14:textId="77777777" w:rsidR="00B523AD" w:rsidRDefault="0002666A" w:rsidP="00651379">
          <w:pPr>
            <w:pBdr>
              <w:top w:val="nil"/>
              <w:left w:val="nil"/>
              <w:bottom w:val="nil"/>
              <w:right w:val="nil"/>
              <w:between w:val="nil"/>
            </w:pBdr>
            <w:tabs>
              <w:tab w:val="right" w:leader="dot" w:pos="9350"/>
            </w:tabs>
            <w:spacing w:after="100"/>
            <w:ind w:left="220"/>
            <w:rPr>
              <w:color w:val="000000"/>
            </w:rPr>
          </w:pPr>
          <w:hyperlink w:anchor="_h798sb2cf6vk">
            <w:r>
              <w:rPr>
                <w:rFonts w:ascii="Times New Roman" w:eastAsia="Times New Roman" w:hAnsi="Times New Roman" w:cs="Times New Roman"/>
                <w:b/>
                <w:color w:val="000000"/>
              </w:rPr>
              <w:t>Funding Issues and Underinvestment in Health Care</w:t>
            </w:r>
          </w:hyperlink>
          <w:hyperlink w:anchor="_h798sb2cf6vk">
            <w:r>
              <w:rPr>
                <w:color w:val="000000"/>
              </w:rPr>
              <w:tab/>
              <w:t>5</w:t>
            </w:r>
          </w:hyperlink>
        </w:p>
        <w:p w14:paraId="73EA8E86" w14:textId="77777777" w:rsidR="00B523AD" w:rsidRDefault="0002666A" w:rsidP="00651379">
          <w:pPr>
            <w:pBdr>
              <w:top w:val="nil"/>
              <w:left w:val="nil"/>
              <w:bottom w:val="nil"/>
              <w:right w:val="nil"/>
              <w:between w:val="nil"/>
            </w:pBdr>
            <w:tabs>
              <w:tab w:val="right" w:leader="dot" w:pos="9350"/>
            </w:tabs>
            <w:spacing w:after="100"/>
            <w:ind w:left="220"/>
            <w:rPr>
              <w:color w:val="000000"/>
            </w:rPr>
          </w:pPr>
          <w:hyperlink w:anchor="_4354var63tkz">
            <w:r>
              <w:rPr>
                <w:rFonts w:ascii="Times New Roman" w:eastAsia="Times New Roman" w:hAnsi="Times New Roman" w:cs="Times New Roman"/>
                <w:b/>
                <w:color w:val="000000"/>
              </w:rPr>
              <w:t>Regulatory Barriers and Bureaucratic Challenges</w:t>
            </w:r>
          </w:hyperlink>
          <w:hyperlink w:anchor="_4354var63tkz">
            <w:r>
              <w:rPr>
                <w:color w:val="000000"/>
              </w:rPr>
              <w:tab/>
              <w:t>5</w:t>
            </w:r>
          </w:hyperlink>
        </w:p>
        <w:p w14:paraId="086A9010" w14:textId="77777777" w:rsidR="00B523AD" w:rsidRDefault="0002666A" w:rsidP="00651379">
          <w:pPr>
            <w:pBdr>
              <w:top w:val="nil"/>
              <w:left w:val="nil"/>
              <w:bottom w:val="nil"/>
              <w:right w:val="nil"/>
              <w:between w:val="nil"/>
            </w:pBdr>
            <w:tabs>
              <w:tab w:val="right" w:leader="dot" w:pos="9350"/>
            </w:tabs>
            <w:spacing w:after="100"/>
            <w:ind w:left="220"/>
            <w:rPr>
              <w:color w:val="000000"/>
            </w:rPr>
          </w:pPr>
          <w:hyperlink w:anchor="_dankdr1cnvw2">
            <w:r>
              <w:rPr>
                <w:rFonts w:ascii="Times New Roman" w:eastAsia="Times New Roman" w:hAnsi="Times New Roman" w:cs="Times New Roman"/>
                <w:b/>
                <w:color w:val="000000"/>
              </w:rPr>
              <w:t>Health Insurance Disparities</w:t>
            </w:r>
          </w:hyperlink>
          <w:hyperlink w:anchor="_dankdr1cnvw2">
            <w:r>
              <w:rPr>
                <w:color w:val="000000"/>
              </w:rPr>
              <w:tab/>
              <w:t>6</w:t>
            </w:r>
          </w:hyperlink>
        </w:p>
        <w:p w14:paraId="7B256025" w14:textId="77777777" w:rsidR="00B523AD" w:rsidRDefault="0002666A" w:rsidP="00651379">
          <w:pPr>
            <w:pBdr>
              <w:top w:val="nil"/>
              <w:left w:val="nil"/>
              <w:bottom w:val="nil"/>
              <w:right w:val="nil"/>
              <w:between w:val="nil"/>
            </w:pBdr>
            <w:tabs>
              <w:tab w:val="right" w:leader="dot" w:pos="9350"/>
            </w:tabs>
            <w:spacing w:after="100"/>
            <w:rPr>
              <w:color w:val="000000"/>
            </w:rPr>
          </w:pPr>
          <w:hyperlink w:anchor="_8azktjflsr33">
            <w:r>
              <w:rPr>
                <w:rFonts w:ascii="Times New Roman" w:eastAsia="Times New Roman" w:hAnsi="Times New Roman" w:cs="Times New Roman"/>
                <w:b/>
                <w:color w:val="000000"/>
              </w:rPr>
              <w:t>Theme 2: Educational Initiatives and Health Literacy in Health Care Access</w:t>
            </w:r>
          </w:hyperlink>
          <w:hyperlink w:anchor="_8azktjflsr33">
            <w:r>
              <w:rPr>
                <w:color w:val="000000"/>
              </w:rPr>
              <w:tab/>
              <w:t>6</w:t>
            </w:r>
          </w:hyperlink>
        </w:p>
        <w:p w14:paraId="63E65D55" w14:textId="77777777" w:rsidR="00B523AD" w:rsidRDefault="0002666A" w:rsidP="00651379">
          <w:pPr>
            <w:pBdr>
              <w:top w:val="nil"/>
              <w:left w:val="nil"/>
              <w:bottom w:val="nil"/>
              <w:right w:val="nil"/>
              <w:between w:val="nil"/>
            </w:pBdr>
            <w:tabs>
              <w:tab w:val="right" w:leader="dot" w:pos="9350"/>
            </w:tabs>
            <w:spacing w:after="100"/>
            <w:ind w:left="220"/>
            <w:rPr>
              <w:color w:val="000000"/>
            </w:rPr>
          </w:pPr>
          <w:hyperlink w:anchor="_bztsv64n9fo6">
            <w:r>
              <w:rPr>
                <w:rFonts w:ascii="Times New Roman" w:eastAsia="Times New Roman" w:hAnsi="Times New Roman" w:cs="Times New Roman"/>
                <w:b/>
                <w:color w:val="000000"/>
              </w:rPr>
              <w:t>The Impact of Health Literacy on Health Care Access</w:t>
            </w:r>
          </w:hyperlink>
          <w:hyperlink w:anchor="_bztsv64n9fo6">
            <w:r>
              <w:rPr>
                <w:color w:val="000000"/>
              </w:rPr>
              <w:tab/>
              <w:t>6</w:t>
            </w:r>
          </w:hyperlink>
        </w:p>
        <w:p w14:paraId="17976351" w14:textId="77777777" w:rsidR="00B523AD" w:rsidRDefault="0002666A" w:rsidP="00651379">
          <w:pPr>
            <w:pBdr>
              <w:top w:val="nil"/>
              <w:left w:val="nil"/>
              <w:bottom w:val="nil"/>
              <w:right w:val="nil"/>
              <w:between w:val="nil"/>
            </w:pBdr>
            <w:tabs>
              <w:tab w:val="right" w:leader="dot" w:pos="9350"/>
            </w:tabs>
            <w:spacing w:after="100"/>
            <w:ind w:left="220"/>
            <w:rPr>
              <w:color w:val="000000"/>
            </w:rPr>
          </w:pPr>
          <w:hyperlink w:anchor="_qbggr7spoj3h">
            <w:r>
              <w:rPr>
                <w:rFonts w:ascii="Times New Roman" w:eastAsia="Times New Roman" w:hAnsi="Times New Roman" w:cs="Times New Roman"/>
                <w:b/>
                <w:color w:val="000000"/>
              </w:rPr>
              <w:t>Comparing Health Education Initiatives</w:t>
            </w:r>
          </w:hyperlink>
          <w:hyperlink w:anchor="_qbggr7spoj3h">
            <w:r>
              <w:rPr>
                <w:color w:val="000000"/>
              </w:rPr>
              <w:tab/>
              <w:t>7</w:t>
            </w:r>
          </w:hyperlink>
        </w:p>
        <w:p w14:paraId="25C9E14F" w14:textId="77777777" w:rsidR="00B523AD" w:rsidRDefault="0002666A" w:rsidP="00651379">
          <w:pPr>
            <w:pBdr>
              <w:top w:val="nil"/>
              <w:left w:val="nil"/>
              <w:bottom w:val="nil"/>
              <w:right w:val="nil"/>
              <w:between w:val="nil"/>
            </w:pBdr>
            <w:tabs>
              <w:tab w:val="right" w:leader="dot" w:pos="9350"/>
            </w:tabs>
            <w:spacing w:after="100"/>
            <w:ind w:left="220"/>
            <w:rPr>
              <w:color w:val="000000"/>
            </w:rPr>
          </w:pPr>
          <w:hyperlink w:anchor="_ic1pg1fc9qxm">
            <w:r>
              <w:rPr>
                <w:rFonts w:ascii="Times New Roman" w:eastAsia="Times New Roman" w:hAnsi="Times New Roman" w:cs="Times New Roman"/>
                <w:b/>
                <w:color w:val="000000"/>
              </w:rPr>
              <w:t>Challenges and Barriers to Effective Health Education</w:t>
            </w:r>
          </w:hyperlink>
          <w:hyperlink w:anchor="_ic1pg1fc9qxm">
            <w:r>
              <w:rPr>
                <w:color w:val="000000"/>
              </w:rPr>
              <w:tab/>
              <w:t>7</w:t>
            </w:r>
          </w:hyperlink>
        </w:p>
        <w:p w14:paraId="4CD56718" w14:textId="77777777" w:rsidR="00B523AD" w:rsidRDefault="0002666A" w:rsidP="00651379">
          <w:pPr>
            <w:pBdr>
              <w:top w:val="nil"/>
              <w:left w:val="nil"/>
              <w:bottom w:val="nil"/>
              <w:right w:val="nil"/>
              <w:between w:val="nil"/>
            </w:pBdr>
            <w:tabs>
              <w:tab w:val="right" w:leader="dot" w:pos="9350"/>
            </w:tabs>
            <w:spacing w:after="100"/>
            <w:ind w:left="220"/>
            <w:rPr>
              <w:color w:val="000000"/>
            </w:rPr>
          </w:pPr>
          <w:hyperlink w:anchor="_ifvgcycm3nqd">
            <w:r>
              <w:rPr>
                <w:rFonts w:ascii="Times New Roman" w:eastAsia="Times New Roman" w:hAnsi="Times New Roman" w:cs="Times New Roman"/>
                <w:b/>
                <w:color w:val="000000"/>
              </w:rPr>
              <w:t>Evaluating the Effectiveness of Health Education Initiatives</w:t>
            </w:r>
          </w:hyperlink>
          <w:hyperlink w:anchor="_ifvgcycm3nqd">
            <w:r>
              <w:rPr>
                <w:color w:val="000000"/>
              </w:rPr>
              <w:tab/>
              <w:t>8</w:t>
            </w:r>
          </w:hyperlink>
        </w:p>
        <w:p w14:paraId="31E0E3EE" w14:textId="77777777" w:rsidR="00B523AD" w:rsidRDefault="0002666A" w:rsidP="00651379">
          <w:pPr>
            <w:pBdr>
              <w:top w:val="nil"/>
              <w:left w:val="nil"/>
              <w:bottom w:val="nil"/>
              <w:right w:val="nil"/>
              <w:between w:val="nil"/>
            </w:pBdr>
            <w:tabs>
              <w:tab w:val="right" w:leader="dot" w:pos="9350"/>
            </w:tabs>
            <w:spacing w:after="100"/>
            <w:rPr>
              <w:color w:val="000000"/>
            </w:rPr>
          </w:pPr>
          <w:hyperlink w:anchor="_ygshqjg1u6ge">
            <w:r>
              <w:rPr>
                <w:rFonts w:ascii="Times New Roman" w:eastAsia="Times New Roman" w:hAnsi="Times New Roman" w:cs="Times New Roman"/>
                <w:b/>
                <w:color w:val="000000"/>
              </w:rPr>
              <w:t>Theme 3: Workforce Shortages and Their Impact on Health Care Access</w:t>
            </w:r>
          </w:hyperlink>
          <w:hyperlink w:anchor="_ygshqjg1u6ge">
            <w:r>
              <w:rPr>
                <w:color w:val="000000"/>
              </w:rPr>
              <w:tab/>
              <w:t>8</w:t>
            </w:r>
          </w:hyperlink>
        </w:p>
        <w:p w14:paraId="1B94DDA2" w14:textId="77777777" w:rsidR="00B523AD" w:rsidRDefault="0002666A" w:rsidP="00651379">
          <w:pPr>
            <w:pBdr>
              <w:top w:val="nil"/>
              <w:left w:val="nil"/>
              <w:bottom w:val="nil"/>
              <w:right w:val="nil"/>
              <w:between w:val="nil"/>
            </w:pBdr>
            <w:tabs>
              <w:tab w:val="right" w:leader="dot" w:pos="9350"/>
            </w:tabs>
            <w:spacing w:after="100"/>
            <w:ind w:left="220"/>
            <w:rPr>
              <w:color w:val="000000"/>
            </w:rPr>
          </w:pPr>
          <w:hyperlink w:anchor="_7syyklk09jrl">
            <w:r>
              <w:rPr>
                <w:rFonts w:ascii="Times New Roman" w:eastAsia="Times New Roman" w:hAnsi="Times New Roman" w:cs="Times New Roman"/>
                <w:b/>
                <w:color w:val="000000"/>
              </w:rPr>
              <w:t>Comparing Workforce Challenges in Different Health Systems</w:t>
            </w:r>
          </w:hyperlink>
          <w:hyperlink w:anchor="_7syyklk09jrl">
            <w:r>
              <w:rPr>
                <w:color w:val="000000"/>
              </w:rPr>
              <w:tab/>
              <w:t>9</w:t>
            </w:r>
          </w:hyperlink>
        </w:p>
        <w:p w14:paraId="39073DDC" w14:textId="77777777" w:rsidR="00B523AD" w:rsidRDefault="0002666A" w:rsidP="00651379">
          <w:pPr>
            <w:pBdr>
              <w:top w:val="nil"/>
              <w:left w:val="nil"/>
              <w:bottom w:val="nil"/>
              <w:right w:val="nil"/>
              <w:between w:val="nil"/>
            </w:pBdr>
            <w:tabs>
              <w:tab w:val="right" w:leader="dot" w:pos="9350"/>
            </w:tabs>
            <w:spacing w:after="100"/>
            <w:ind w:left="220"/>
            <w:rPr>
              <w:color w:val="000000"/>
            </w:rPr>
          </w:pPr>
          <w:hyperlink w:anchor="_oovevag4u4yz">
            <w:r>
              <w:rPr>
                <w:rFonts w:ascii="Times New Roman" w:eastAsia="Times New Roman" w:hAnsi="Times New Roman" w:cs="Times New Roman"/>
                <w:b/>
                <w:color w:val="000000"/>
              </w:rPr>
              <w:t>Evaluating Solutions to Address Workforce Shortages</w:t>
            </w:r>
          </w:hyperlink>
          <w:hyperlink w:anchor="_oovevag4u4yz">
            <w:r>
              <w:rPr>
                <w:color w:val="000000"/>
              </w:rPr>
              <w:tab/>
              <w:t>10</w:t>
            </w:r>
          </w:hyperlink>
        </w:p>
        <w:p w14:paraId="65DCE8A0" w14:textId="77777777" w:rsidR="00B523AD" w:rsidRDefault="0002666A" w:rsidP="00651379">
          <w:pPr>
            <w:pBdr>
              <w:top w:val="nil"/>
              <w:left w:val="nil"/>
              <w:bottom w:val="nil"/>
              <w:right w:val="nil"/>
              <w:between w:val="nil"/>
            </w:pBdr>
            <w:tabs>
              <w:tab w:val="right" w:leader="dot" w:pos="9350"/>
            </w:tabs>
            <w:spacing w:after="100"/>
            <w:rPr>
              <w:color w:val="000000"/>
            </w:rPr>
          </w:pPr>
          <w:hyperlink w:anchor="_46xxdexsdtfw">
            <w:r>
              <w:rPr>
                <w:rFonts w:ascii="Times New Roman" w:eastAsia="Times New Roman" w:hAnsi="Times New Roman" w:cs="Times New Roman"/>
                <w:b/>
                <w:color w:val="000000"/>
              </w:rPr>
              <w:t>Conclusion and Recommendations</w:t>
            </w:r>
          </w:hyperlink>
          <w:hyperlink w:anchor="_46xxdexsdtfw">
            <w:r>
              <w:rPr>
                <w:color w:val="000000"/>
              </w:rPr>
              <w:tab/>
              <w:t>11</w:t>
            </w:r>
          </w:hyperlink>
        </w:p>
        <w:p w14:paraId="66D53BCE" w14:textId="77777777" w:rsidR="00B523AD" w:rsidRDefault="0002666A" w:rsidP="00651379">
          <w:pPr>
            <w:pBdr>
              <w:top w:val="nil"/>
              <w:left w:val="nil"/>
              <w:bottom w:val="nil"/>
              <w:right w:val="nil"/>
              <w:between w:val="nil"/>
            </w:pBdr>
            <w:tabs>
              <w:tab w:val="right" w:leader="dot" w:pos="9350"/>
            </w:tabs>
            <w:spacing w:after="100"/>
            <w:ind w:left="220"/>
            <w:rPr>
              <w:color w:val="000000"/>
            </w:rPr>
          </w:pPr>
          <w:hyperlink w:anchor="_bmeiew7qzuwj">
            <w:r>
              <w:rPr>
                <w:rFonts w:ascii="Times New Roman" w:eastAsia="Times New Roman" w:hAnsi="Times New Roman" w:cs="Times New Roman"/>
                <w:b/>
                <w:color w:val="000000"/>
              </w:rPr>
              <w:t>Policy Recommendations</w:t>
            </w:r>
          </w:hyperlink>
          <w:hyperlink w:anchor="_bmeiew7qzuwj">
            <w:r>
              <w:rPr>
                <w:color w:val="000000"/>
              </w:rPr>
              <w:tab/>
              <w:t>11</w:t>
            </w:r>
          </w:hyperlink>
        </w:p>
        <w:p w14:paraId="1D644D71" w14:textId="77777777" w:rsidR="00B523AD" w:rsidRDefault="0002666A" w:rsidP="00651379">
          <w:pPr>
            <w:pBdr>
              <w:top w:val="nil"/>
              <w:left w:val="nil"/>
              <w:bottom w:val="nil"/>
              <w:right w:val="nil"/>
              <w:between w:val="nil"/>
            </w:pBdr>
            <w:tabs>
              <w:tab w:val="right" w:leader="dot" w:pos="9350"/>
            </w:tabs>
            <w:spacing w:after="100"/>
            <w:ind w:left="220"/>
            <w:rPr>
              <w:color w:val="000000"/>
            </w:rPr>
          </w:pPr>
          <w:hyperlink w:anchor="_obd603tvbtba">
            <w:r>
              <w:rPr>
                <w:rFonts w:ascii="Times New Roman" w:eastAsia="Times New Roman" w:hAnsi="Times New Roman" w:cs="Times New Roman"/>
                <w:b/>
                <w:color w:val="000000"/>
              </w:rPr>
              <w:t>Educational Recommendations</w:t>
            </w:r>
          </w:hyperlink>
          <w:hyperlink w:anchor="_obd603tvbtba">
            <w:r>
              <w:rPr>
                <w:color w:val="000000"/>
              </w:rPr>
              <w:tab/>
              <w:t>11</w:t>
            </w:r>
          </w:hyperlink>
        </w:p>
        <w:p w14:paraId="2BFBA857" w14:textId="77777777" w:rsidR="00B523AD" w:rsidRDefault="0002666A" w:rsidP="00651379">
          <w:pPr>
            <w:pBdr>
              <w:top w:val="nil"/>
              <w:left w:val="nil"/>
              <w:bottom w:val="nil"/>
              <w:right w:val="nil"/>
              <w:between w:val="nil"/>
            </w:pBdr>
            <w:tabs>
              <w:tab w:val="right" w:leader="dot" w:pos="9350"/>
            </w:tabs>
            <w:spacing w:after="100"/>
            <w:ind w:left="220"/>
            <w:rPr>
              <w:color w:val="000000"/>
            </w:rPr>
          </w:pPr>
          <w:hyperlink w:anchor="_wcxtavliyn9b">
            <w:r>
              <w:rPr>
                <w:rFonts w:ascii="Times New Roman" w:eastAsia="Times New Roman" w:hAnsi="Times New Roman" w:cs="Times New Roman"/>
                <w:b/>
                <w:color w:val="000000"/>
              </w:rPr>
              <w:t>Workforce Recommendations</w:t>
            </w:r>
          </w:hyperlink>
          <w:hyperlink w:anchor="_wcxtavliyn9b">
            <w:r>
              <w:rPr>
                <w:color w:val="000000"/>
              </w:rPr>
              <w:tab/>
              <w:t>12</w:t>
            </w:r>
          </w:hyperlink>
        </w:p>
        <w:p w14:paraId="7075E599" w14:textId="77777777" w:rsidR="00B523AD" w:rsidRDefault="0002666A" w:rsidP="00651379">
          <w:pPr>
            <w:pBdr>
              <w:top w:val="nil"/>
              <w:left w:val="nil"/>
              <w:bottom w:val="nil"/>
              <w:right w:val="nil"/>
              <w:between w:val="nil"/>
            </w:pBdr>
            <w:tabs>
              <w:tab w:val="right" w:leader="dot" w:pos="9350"/>
            </w:tabs>
            <w:spacing w:after="100"/>
            <w:ind w:left="220"/>
            <w:rPr>
              <w:color w:val="000000"/>
            </w:rPr>
          </w:pPr>
          <w:hyperlink w:anchor="_6ao8qykbzhc7">
            <w:r>
              <w:rPr>
                <w:rFonts w:ascii="Times New Roman" w:eastAsia="Times New Roman" w:hAnsi="Times New Roman" w:cs="Times New Roman"/>
                <w:b/>
                <w:color w:val="000000"/>
              </w:rPr>
              <w:t>Relation to Original Inquiry</w:t>
            </w:r>
          </w:hyperlink>
          <w:hyperlink w:anchor="_6ao8qykbzhc7">
            <w:r>
              <w:rPr>
                <w:color w:val="000000"/>
              </w:rPr>
              <w:tab/>
              <w:t>12</w:t>
            </w:r>
          </w:hyperlink>
        </w:p>
        <w:p w14:paraId="75F6102C" w14:textId="77777777" w:rsidR="00B523AD" w:rsidRDefault="0002666A" w:rsidP="00651379">
          <w:pPr>
            <w:pBdr>
              <w:top w:val="nil"/>
              <w:left w:val="nil"/>
              <w:bottom w:val="nil"/>
              <w:right w:val="nil"/>
              <w:between w:val="nil"/>
            </w:pBdr>
            <w:tabs>
              <w:tab w:val="right" w:leader="dot" w:pos="9350"/>
            </w:tabs>
            <w:spacing w:after="100"/>
            <w:rPr>
              <w:color w:val="000000"/>
            </w:rPr>
          </w:pPr>
          <w:hyperlink w:anchor="_dlz8zl5spar9">
            <w:r>
              <w:rPr>
                <w:rFonts w:ascii="Times New Roman" w:eastAsia="Times New Roman" w:hAnsi="Times New Roman" w:cs="Times New Roman"/>
                <w:b/>
                <w:color w:val="000000"/>
              </w:rPr>
              <w:t>Conclusion</w:t>
            </w:r>
          </w:hyperlink>
          <w:hyperlink w:anchor="_dlz8zl5spar9">
            <w:r>
              <w:rPr>
                <w:color w:val="000000"/>
              </w:rPr>
              <w:tab/>
              <w:t>12</w:t>
            </w:r>
          </w:hyperlink>
        </w:p>
        <w:p w14:paraId="7BD74FE8" w14:textId="77777777" w:rsidR="00B523AD" w:rsidRDefault="0002666A" w:rsidP="00651379">
          <w:pPr>
            <w:pBdr>
              <w:top w:val="nil"/>
              <w:left w:val="nil"/>
              <w:bottom w:val="nil"/>
              <w:right w:val="nil"/>
              <w:between w:val="nil"/>
            </w:pBdr>
            <w:tabs>
              <w:tab w:val="right" w:leader="dot" w:pos="9350"/>
            </w:tabs>
            <w:spacing w:after="100"/>
            <w:rPr>
              <w:color w:val="000000"/>
            </w:rPr>
          </w:pPr>
          <w:hyperlink w:anchor="_awwgtj5fx20j">
            <w:r>
              <w:rPr>
                <w:rFonts w:ascii="Times New Roman" w:eastAsia="Times New Roman" w:hAnsi="Times New Roman" w:cs="Times New Roman"/>
                <w:b/>
                <w:color w:val="000000"/>
              </w:rPr>
              <w:t>References</w:t>
            </w:r>
          </w:hyperlink>
          <w:hyperlink w:anchor="_awwgtj5fx20j">
            <w:r>
              <w:rPr>
                <w:color w:val="000000"/>
              </w:rPr>
              <w:tab/>
              <w:t>13</w:t>
            </w:r>
          </w:hyperlink>
        </w:p>
        <w:p w14:paraId="0E217517" w14:textId="77777777" w:rsidR="00B523AD" w:rsidRDefault="0002666A" w:rsidP="00651379">
          <w:pPr>
            <w:spacing w:line="276" w:lineRule="auto"/>
          </w:pPr>
          <w:r>
            <w:fldChar w:fldCharType="end"/>
          </w:r>
        </w:p>
      </w:sdtContent>
    </w:sdt>
    <w:p w14:paraId="3495A5EF" w14:textId="77777777" w:rsidR="00B523AD" w:rsidRDefault="00B523AD">
      <w:pPr>
        <w:spacing w:line="360" w:lineRule="auto"/>
        <w:rPr>
          <w:rFonts w:ascii="Times New Roman" w:eastAsia="Times New Roman" w:hAnsi="Times New Roman" w:cs="Times New Roman"/>
          <w:b/>
          <w:sz w:val="24"/>
          <w:szCs w:val="24"/>
          <w:u w:val="single"/>
        </w:rPr>
      </w:pPr>
    </w:p>
    <w:p w14:paraId="6C0B8C9A" w14:textId="77777777" w:rsidR="00B523AD" w:rsidRDefault="0002666A">
      <w:pPr>
        <w:pStyle w:val="Heading1"/>
        <w:rPr>
          <w:rFonts w:ascii="Times New Roman" w:eastAsia="Times New Roman" w:hAnsi="Times New Roman" w:cs="Times New Roman"/>
          <w:b/>
          <w:color w:val="000000"/>
          <w:u w:val="single"/>
        </w:rPr>
      </w:pPr>
      <w:bookmarkStart w:id="0" w:name="_dy2jlwd8k2ov" w:colFirst="0" w:colLast="0"/>
      <w:bookmarkEnd w:id="0"/>
      <w:r>
        <w:rPr>
          <w:rFonts w:ascii="Times New Roman" w:eastAsia="Times New Roman" w:hAnsi="Times New Roman" w:cs="Times New Roman"/>
          <w:b/>
          <w:color w:val="000000"/>
          <w:u w:val="single"/>
        </w:rPr>
        <w:t>Introduction</w:t>
      </w:r>
    </w:p>
    <w:p w14:paraId="121DD46D" w14:textId="77777777" w:rsidR="00B523AD" w:rsidRDefault="000266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Access to health care is the basic determinant of individual and public health outcomes. Though medical technology and services have advanced tremendously, access remains unequal, resulting in health disparities. For many, barriers still prevent or limit access to needed healthcare services, creating an increased risk for poor health outcomes that exacerbate health disparities. Examples of barriers to health care include lack of insurance, inadequate transportation, and lack of availability of healthcare resources, especially in underserved communities. (Office of Disease Prevention and Health Promotion, n.d.).</w:t>
      </w:r>
    </w:p>
    <w:p w14:paraId="1D6B2368" w14:textId="77777777" w:rsidR="00B523AD" w:rsidRDefault="000266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Access to healthcare has been a focus of inquiries, with recommendations from the National Academies of Sciences, Engineering, and Medicine advocating for a system to track personal healthcare services. They suggest that national access indicators could help systematically identify and address obstacles. (</w:t>
      </w:r>
      <w:hyperlink r:id="rId8">
        <w:r>
          <w:rPr>
            <w:rFonts w:ascii="Times New Roman" w:eastAsia="Times New Roman" w:hAnsi="Times New Roman" w:cs="Times New Roman"/>
            <w:color w:val="000000"/>
            <w:sz w:val="24"/>
            <w:szCs w:val="24"/>
            <w:u w:val="single"/>
          </w:rPr>
          <w:t>National Center for Biotechnology Information, n.d.</w:t>
        </w:r>
      </w:hyperlink>
      <w:r>
        <w:rPr>
          <w:rFonts w:ascii="Times New Roman" w:eastAsia="Times New Roman" w:hAnsi="Times New Roman" w:cs="Times New Roman"/>
          <w:color w:val="000000"/>
          <w:sz w:val="24"/>
          <w:szCs w:val="24"/>
        </w:rPr>
        <w:t>). Nevertheless, differences in access to health care are still areas of concern, particularly among vulnerable populations.</w:t>
      </w:r>
    </w:p>
    <w:p w14:paraId="3239FD09" w14:textId="77777777" w:rsidR="00B523AD" w:rsidRDefault="000266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 will explore three major themes related to access to health care—policy barriers, educational initiatives, health literacy, practice innovations, and community engagement. Equitable access relies on reforms. Community health centers in New York that serve millions are threatened by financial problems stemming from underinvestment. Advocates have been pressing for rate reforms to ensure funding covers the actual costs of care delivery. (</w:t>
      </w:r>
      <w:hyperlink r:id="rId9">
        <w:r>
          <w:rPr>
            <w:rFonts w:ascii="Times New Roman" w:eastAsia="Times New Roman" w:hAnsi="Times New Roman" w:cs="Times New Roman"/>
            <w:color w:val="000000"/>
            <w:sz w:val="24"/>
            <w:szCs w:val="24"/>
            <w:u w:val="single"/>
          </w:rPr>
          <w:t>Times Union, 2024</w:t>
        </w:r>
      </w:hyperlink>
      <w:r>
        <w:rPr>
          <w:rFonts w:ascii="Times New Roman" w:eastAsia="Times New Roman" w:hAnsi="Times New Roman" w:cs="Times New Roman"/>
          <w:color w:val="000000"/>
          <w:sz w:val="24"/>
          <w:szCs w:val="24"/>
        </w:rPr>
        <w:t>).</w:t>
      </w:r>
    </w:p>
    <w:p w14:paraId="75AD1B35" w14:textId="77777777" w:rsidR="00B523AD" w:rsidRDefault="000266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Focus on health literacy as an important factor in mindfulness navigating the healthcare system (theme 2). Well-informed patients lead to improved outcomes through educational initiatives that </w:t>
      </w:r>
      <w:r>
        <w:rPr>
          <w:rFonts w:ascii="Times New Roman" w:eastAsia="Times New Roman" w:hAnsi="Times New Roman" w:cs="Times New Roman"/>
          <w:color w:val="000000"/>
          <w:sz w:val="24"/>
          <w:szCs w:val="24"/>
        </w:rPr>
        <w:lastRenderedPageBreak/>
        <w:t>enhance comprehension of health-related information. Teaching by practice in health advocacy provides the means to develop skills that enable an individual to advocate for their health needs, for instance. (</w:t>
      </w:r>
      <w:hyperlink r:id="rId10">
        <w:r>
          <w:rPr>
            <w:rFonts w:ascii="Times New Roman" w:eastAsia="Times New Roman" w:hAnsi="Times New Roman" w:cs="Times New Roman"/>
            <w:color w:val="000000"/>
            <w:sz w:val="24"/>
            <w:szCs w:val="24"/>
            <w:u w:val="single"/>
          </w:rPr>
          <w:t>National Library of Medicine, 2008</w:t>
        </w:r>
      </w:hyperlink>
      <w:r>
        <w:rPr>
          <w:rFonts w:ascii="Times New Roman" w:eastAsia="Times New Roman" w:hAnsi="Times New Roman" w:cs="Times New Roman"/>
          <w:color w:val="000000"/>
          <w:sz w:val="24"/>
          <w:szCs w:val="24"/>
        </w:rPr>
        <w:t>).</w:t>
      </w:r>
    </w:p>
    <w:p w14:paraId="0CF9B166" w14:textId="77777777" w:rsidR="00B523AD" w:rsidRDefault="0002666A">
      <w:pPr>
        <w:pBdr>
          <w:top w:val="nil"/>
          <w:left w:val="nil"/>
          <w:bottom w:val="nil"/>
          <w:right w:val="nil"/>
          <w:between w:val="nil"/>
        </w:pBdr>
        <w:spacing w:before="280" w:after="28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last theme is around practice innovations and community engagement. One such innovation is a solution that can improve access to rural services — telehealth. Federal programs back health centers and leverage technology to deliver better healthcare services in underserved areas and regions (</w:t>
      </w:r>
      <w:hyperlink r:id="rId11">
        <w:r>
          <w:rPr>
            <w:rFonts w:ascii="Times New Roman" w:eastAsia="Times New Roman" w:hAnsi="Times New Roman" w:cs="Times New Roman"/>
            <w:color w:val="000000"/>
            <w:sz w:val="24"/>
            <w:szCs w:val="24"/>
            <w:u w:val="single"/>
          </w:rPr>
          <w:t>Assistant Secretary for Planning and Evaluation, n.d.</w:t>
        </w:r>
      </w:hyperlink>
      <w:r>
        <w:rPr>
          <w:rFonts w:ascii="Times New Roman" w:eastAsia="Times New Roman" w:hAnsi="Times New Roman" w:cs="Times New Roman"/>
          <w:color w:val="000000"/>
          <w:sz w:val="24"/>
          <w:szCs w:val="24"/>
        </w:rPr>
        <w:t>).</w:t>
      </w:r>
    </w:p>
    <w:p w14:paraId="6217542B" w14:textId="77777777" w:rsidR="00B523AD" w:rsidRDefault="000266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In this report, recommendations are made for addressing immediate challenges through changes in policy, improvements to education, and enhancements of practice. We propose policy changes such as higher funding and structural reforms to health centers. As such, educational improvements should include health literacy initiatives to enable people to understand how to take control of their health. Finally, practice transformation to implement innovative care models, such as telehealth, to provide delivery to more vulnerable populations and improve access to care</w:t>
      </w:r>
      <w:r>
        <w:rPr>
          <w:rFonts w:ascii="Times New Roman" w:eastAsia="Times New Roman" w:hAnsi="Times New Roman" w:cs="Times New Roman"/>
          <w:sz w:val="24"/>
          <w:szCs w:val="24"/>
        </w:rPr>
        <w:t>.</w:t>
      </w:r>
    </w:p>
    <w:p w14:paraId="3404E5B7" w14:textId="77777777" w:rsidR="00B523AD" w:rsidRDefault="0002666A">
      <w:pPr>
        <w:pStyle w:val="Heading1"/>
        <w:rPr>
          <w:rFonts w:ascii="Times New Roman" w:eastAsia="Times New Roman" w:hAnsi="Times New Roman" w:cs="Times New Roman"/>
          <w:b/>
          <w:color w:val="000000"/>
          <w:u w:val="single"/>
        </w:rPr>
      </w:pPr>
      <w:bookmarkStart w:id="1" w:name="_hk4wthfcuuyn" w:colFirst="0" w:colLast="0"/>
      <w:bookmarkEnd w:id="1"/>
      <w:r>
        <w:rPr>
          <w:rFonts w:ascii="Times New Roman" w:eastAsia="Times New Roman" w:hAnsi="Times New Roman" w:cs="Times New Roman"/>
          <w:b/>
          <w:color w:val="000000"/>
          <w:u w:val="single"/>
        </w:rPr>
        <w:t xml:space="preserve">Literature </w:t>
      </w:r>
    </w:p>
    <w:p w14:paraId="3AED6D21" w14:textId="5E29B36E" w:rsidR="00B523AD" w:rsidRDefault="0002666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Health care is a basic human </w:t>
      </w:r>
      <w:r w:rsidR="00D13C94">
        <w:rPr>
          <w:rFonts w:ascii="Times New Roman" w:eastAsia="Times New Roman" w:hAnsi="Times New Roman" w:cs="Times New Roman"/>
          <w:sz w:val="24"/>
          <w:szCs w:val="24"/>
          <w:highlight w:val="white"/>
        </w:rPr>
        <w:t>right;</w:t>
      </w:r>
      <w:r>
        <w:rPr>
          <w:rFonts w:ascii="Times New Roman" w:eastAsia="Times New Roman" w:hAnsi="Times New Roman" w:cs="Times New Roman"/>
          <w:sz w:val="24"/>
          <w:szCs w:val="24"/>
          <w:highlight w:val="white"/>
        </w:rPr>
        <w:t xml:space="preserve"> however, several barriers remain in place that inhibit equal access to health care services with health disparities. These barriers lie at the heart of efforts to design effective interventions and policies that will help to ensure that all persons receive the care they need.</w:t>
      </w:r>
    </w:p>
    <w:p w14:paraId="4180680D" w14:textId="77777777" w:rsidR="00B523AD" w:rsidRDefault="0002666A">
      <w:pPr>
        <w:pStyle w:val="Heading2"/>
        <w:rPr>
          <w:rFonts w:ascii="Times New Roman" w:eastAsia="Times New Roman" w:hAnsi="Times New Roman" w:cs="Times New Roman"/>
          <w:b/>
          <w:color w:val="000000"/>
          <w:sz w:val="28"/>
          <w:szCs w:val="28"/>
          <w:u w:val="single"/>
        </w:rPr>
      </w:pPr>
      <w:bookmarkStart w:id="2" w:name="_5wqkmy7emt2v" w:colFirst="0" w:colLast="0"/>
      <w:bookmarkEnd w:id="2"/>
      <w:r>
        <w:rPr>
          <w:rFonts w:ascii="Times New Roman" w:eastAsia="Times New Roman" w:hAnsi="Times New Roman" w:cs="Times New Roman"/>
          <w:b/>
          <w:color w:val="000000"/>
          <w:sz w:val="28"/>
          <w:szCs w:val="28"/>
          <w:u w:val="single"/>
        </w:rPr>
        <w:t>Socioeconomic Barriers</w:t>
      </w:r>
    </w:p>
    <w:p w14:paraId="76248520" w14:textId="77777777" w:rsidR="00B523AD" w:rsidRDefault="0002666A">
      <w:pPr>
        <w:pBdr>
          <w:top w:val="nil"/>
          <w:left w:val="nil"/>
          <w:bottom w:val="nil"/>
          <w:right w:val="nil"/>
          <w:between w:val="nil"/>
        </w:pBdr>
        <w:spacing w:before="280" w:after="28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A substantial portion of healthcare access is determined by socioeconomic status. People with lower income and education levels generally have limited access to healthcare, preventive services, and insurance. These limitations lead to differences in health outcomes, as people with fewer resources are more likely to delay or forgo medical care due to cost concerns. Moreover, they may have a higher prevalence of chronic diseases and reduced access to quality care.</w:t>
      </w:r>
    </w:p>
    <w:p w14:paraId="7214049F" w14:textId="77777777" w:rsidR="00B523AD" w:rsidRDefault="0002666A">
      <w:pPr>
        <w:pStyle w:val="Heading2"/>
        <w:rPr>
          <w:rFonts w:ascii="Times New Roman" w:eastAsia="Times New Roman" w:hAnsi="Times New Roman" w:cs="Times New Roman"/>
          <w:b/>
          <w:color w:val="000000"/>
          <w:sz w:val="28"/>
          <w:szCs w:val="28"/>
          <w:u w:val="single"/>
        </w:rPr>
      </w:pPr>
      <w:bookmarkStart w:id="3" w:name="_52ii6konsljt" w:colFirst="0" w:colLast="0"/>
      <w:bookmarkEnd w:id="3"/>
      <w:r>
        <w:rPr>
          <w:rFonts w:ascii="Times New Roman" w:eastAsia="Times New Roman" w:hAnsi="Times New Roman" w:cs="Times New Roman"/>
          <w:b/>
          <w:color w:val="000000"/>
          <w:sz w:val="28"/>
          <w:szCs w:val="28"/>
          <w:u w:val="single"/>
        </w:rPr>
        <w:t>Racial and Ethnic Disparities</w:t>
      </w:r>
    </w:p>
    <w:p w14:paraId="05024C77" w14:textId="77777777" w:rsidR="00B523AD" w:rsidRDefault="00B523AD"/>
    <w:p w14:paraId="443C18B8" w14:textId="77777777" w:rsidR="00B523AD" w:rsidRDefault="0002666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Racial and ethnic minorities experience large gaps in healthcare access. Such disparities, sustained by lack of insurance and inequitable care, ensure these statistics translate into disparate lives. For </w:t>
      </w:r>
      <w:r>
        <w:rPr>
          <w:rFonts w:ascii="Times New Roman" w:eastAsia="Times New Roman" w:hAnsi="Times New Roman" w:cs="Times New Roman"/>
          <w:sz w:val="24"/>
          <w:szCs w:val="24"/>
          <w:highlight w:val="white"/>
        </w:rPr>
        <w:lastRenderedPageBreak/>
        <w:t>example, Hispanic people have the highest uninsured rates and face cost-related issues accessing care. Tackling health inequities leads to better outcomes and reduced burden of chronic conditions: Minority populations experience less access to healthcare, and a lack of specialists, and infrastructure, contributing to higher inequities and worse outcomes.</w:t>
      </w:r>
    </w:p>
    <w:p w14:paraId="508D1A1E" w14:textId="77777777" w:rsidR="00B523AD" w:rsidRDefault="0002666A">
      <w:pPr>
        <w:pStyle w:val="Heading2"/>
        <w:rPr>
          <w:rFonts w:ascii="Times New Roman" w:eastAsia="Times New Roman" w:hAnsi="Times New Roman" w:cs="Times New Roman"/>
          <w:b/>
          <w:color w:val="000000"/>
          <w:sz w:val="28"/>
          <w:szCs w:val="28"/>
          <w:u w:val="single"/>
        </w:rPr>
      </w:pPr>
      <w:bookmarkStart w:id="4" w:name="_dfoj1tr7ghlg" w:colFirst="0" w:colLast="0"/>
      <w:bookmarkEnd w:id="4"/>
      <w:r>
        <w:rPr>
          <w:rFonts w:ascii="Times New Roman" w:eastAsia="Times New Roman" w:hAnsi="Times New Roman" w:cs="Times New Roman"/>
          <w:b/>
          <w:color w:val="000000"/>
          <w:sz w:val="28"/>
          <w:szCs w:val="28"/>
          <w:u w:val="single"/>
        </w:rPr>
        <w:t>Geographic Barriers</w:t>
      </w:r>
    </w:p>
    <w:p w14:paraId="502FD17B" w14:textId="77777777" w:rsidR="00B523AD" w:rsidRDefault="00B523AD"/>
    <w:p w14:paraId="55843AB1" w14:textId="77777777" w:rsidR="00B523AD" w:rsidRDefault="000266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Access to health care services is influenced by geographic location. Rural residents face challenges such as a lack of primary care providers, greater distances to facilities, and fewer specialized services. Issues include health disparities that manifest in delayed care, lower preventive service usage, and higher rates of some health conditions compared with urban populations.</w:t>
      </w:r>
    </w:p>
    <w:p w14:paraId="4CCC7E6D" w14:textId="77777777" w:rsidR="00B523AD" w:rsidRDefault="0002666A">
      <w:pPr>
        <w:pStyle w:val="Heading2"/>
        <w:rPr>
          <w:rFonts w:ascii="Times New Roman" w:eastAsia="Times New Roman" w:hAnsi="Times New Roman" w:cs="Times New Roman"/>
          <w:b/>
          <w:color w:val="000000"/>
          <w:sz w:val="28"/>
          <w:szCs w:val="28"/>
          <w:u w:val="single"/>
        </w:rPr>
      </w:pPr>
      <w:bookmarkStart w:id="5" w:name="_ul1xw9vzs9na" w:colFirst="0" w:colLast="0"/>
      <w:bookmarkEnd w:id="5"/>
      <w:r>
        <w:rPr>
          <w:rFonts w:ascii="Times New Roman" w:eastAsia="Times New Roman" w:hAnsi="Times New Roman" w:cs="Times New Roman"/>
          <w:b/>
          <w:color w:val="000000"/>
          <w:sz w:val="28"/>
          <w:szCs w:val="28"/>
          <w:u w:val="single"/>
        </w:rPr>
        <w:t>Health Literacy and Communication</w:t>
      </w:r>
    </w:p>
    <w:p w14:paraId="5C1B0B8A" w14:textId="77777777" w:rsidR="00B523AD" w:rsidRDefault="00B523AD"/>
    <w:p w14:paraId="14969536" w14:textId="77777777" w:rsidR="00B523AD" w:rsidRDefault="000266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Health literacy plays a big role, as does effective communication between patients and healthcare providers to help them access the appropriate care they need. Low health literacy can impede comprehension of medical information and navigating the health system. Language barriers and cultural differences obstruct communication, resulting in misunderstandings and poorer health outcomes.</w:t>
      </w:r>
    </w:p>
    <w:p w14:paraId="6FE6F78E" w14:textId="77777777" w:rsidR="00B523AD" w:rsidRDefault="0002666A">
      <w:pPr>
        <w:pStyle w:val="Heading2"/>
        <w:rPr>
          <w:rFonts w:ascii="Times New Roman" w:eastAsia="Times New Roman" w:hAnsi="Times New Roman" w:cs="Times New Roman"/>
          <w:b/>
          <w:color w:val="000000"/>
          <w:sz w:val="28"/>
          <w:szCs w:val="28"/>
          <w:u w:val="single"/>
        </w:rPr>
      </w:pPr>
      <w:bookmarkStart w:id="6" w:name="_xlzecse7olkm" w:colFirst="0" w:colLast="0"/>
      <w:bookmarkEnd w:id="6"/>
      <w:r>
        <w:rPr>
          <w:rFonts w:ascii="Times New Roman" w:eastAsia="Times New Roman" w:hAnsi="Times New Roman" w:cs="Times New Roman"/>
          <w:b/>
          <w:color w:val="000000"/>
          <w:sz w:val="28"/>
          <w:szCs w:val="28"/>
          <w:u w:val="single"/>
        </w:rPr>
        <w:t>Insurance Coverage and Affordability</w:t>
      </w:r>
    </w:p>
    <w:p w14:paraId="0AB3F29B" w14:textId="77777777" w:rsidR="00B523AD" w:rsidRDefault="00B523AD"/>
    <w:p w14:paraId="346EED11" w14:textId="77777777" w:rsidR="00B523AD" w:rsidRDefault="0002666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One of the biggest obstacles to accessing health care is insufficient insurance coverage. The inequitable distribution of coverage has resulted in health disparities, as uninsured people are less likely to receive preventative services and more likely to experience delays in seeking care. High out-of-pocket expenses can discourage people from seeking necessary services, resulting in unmet health needs and worsening conditions.</w:t>
      </w:r>
    </w:p>
    <w:p w14:paraId="1E8966F7" w14:textId="77777777" w:rsidR="00B523AD" w:rsidRDefault="0002666A">
      <w:pPr>
        <w:pStyle w:val="Heading2"/>
        <w:rPr>
          <w:rFonts w:ascii="Times New Roman" w:eastAsia="Times New Roman" w:hAnsi="Times New Roman" w:cs="Times New Roman"/>
          <w:b/>
          <w:color w:val="000000"/>
          <w:sz w:val="28"/>
          <w:szCs w:val="28"/>
          <w:u w:val="single"/>
        </w:rPr>
      </w:pPr>
      <w:bookmarkStart w:id="7" w:name="_vqbbhcr1576r" w:colFirst="0" w:colLast="0"/>
      <w:bookmarkEnd w:id="7"/>
      <w:r>
        <w:rPr>
          <w:rFonts w:ascii="Times New Roman" w:eastAsia="Times New Roman" w:hAnsi="Times New Roman" w:cs="Times New Roman"/>
          <w:b/>
          <w:color w:val="000000"/>
          <w:sz w:val="28"/>
          <w:szCs w:val="28"/>
          <w:u w:val="single"/>
        </w:rPr>
        <w:t>Trust in Health Care Providers</w:t>
      </w:r>
    </w:p>
    <w:p w14:paraId="183FD7A4" w14:textId="77777777" w:rsidR="00B523AD" w:rsidRDefault="00B523AD"/>
    <w:p w14:paraId="6440741C" w14:textId="77777777" w:rsidR="00B523AD" w:rsidRDefault="0002666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rPr>
        <w:t>Establishing trust in healthcare providers is vital for effective care delivery. Unfortunately, some populations, such as LGBTQ+ individuals, experience biases, discrimination, or lack of cultural competence, leading to mistrust and avoidance of care. This mistrust may cause delays in diagnosis, ineffective treatment, and worse outcomes</w:t>
      </w:r>
      <w:r>
        <w:rPr>
          <w:rFonts w:ascii="Times New Roman" w:eastAsia="Times New Roman" w:hAnsi="Times New Roman" w:cs="Times New Roman"/>
          <w:sz w:val="24"/>
          <w:szCs w:val="24"/>
          <w:highlight w:val="white"/>
        </w:rPr>
        <w:t>.</w:t>
      </w:r>
    </w:p>
    <w:p w14:paraId="17B34598" w14:textId="603EB6CE" w:rsidR="00B523AD" w:rsidRDefault="0002666A">
      <w:pPr>
        <w:spacing w:line="36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 xml:space="preserve">Global </w:t>
      </w:r>
      <w:r w:rsidR="00033CC3">
        <w:rPr>
          <w:rFonts w:ascii="Times New Roman" w:eastAsia="Times New Roman" w:hAnsi="Times New Roman" w:cs="Times New Roman"/>
          <w:highlight w:val="white"/>
        </w:rPr>
        <w:t>Statistics: Globally</w:t>
      </w:r>
      <w:r>
        <w:rPr>
          <w:rFonts w:ascii="Times New Roman" w:eastAsia="Times New Roman" w:hAnsi="Times New Roman" w:cs="Times New Roman"/>
          <w:highlight w:val="white"/>
        </w:rPr>
        <w:t>, over 4.5 billion people lacked full access to essential health services in 2021 (WHO, 2023). Poor-quality care contributes to 5.7–8.4 million deaths annually in low- and middle-income countries (NCBI, 2018).</w:t>
      </w:r>
    </w:p>
    <w:p w14:paraId="53818F84" w14:textId="77777777" w:rsidR="00B523AD" w:rsidRDefault="00B523AD">
      <w:pPr>
        <w:spacing w:line="360" w:lineRule="auto"/>
        <w:jc w:val="both"/>
        <w:rPr>
          <w:rFonts w:ascii="Times New Roman" w:eastAsia="Times New Roman" w:hAnsi="Times New Roman" w:cs="Times New Roman"/>
          <w:highlight w:val="white"/>
        </w:rPr>
      </w:pPr>
    </w:p>
    <w:p w14:paraId="2C6B96BE" w14:textId="77777777" w:rsidR="00B523AD" w:rsidRDefault="0002666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highlight w:val="white"/>
        </w:rPr>
        <w:t>In the U.S., financial barriers remain significant. 6.4% of adults couldn’t access needed care due to cost, and 28% delayed treatment for financial reasons in 2022 (CDC, 2023; Health System Tracker, 2023). Despite 92.1% having insurance at some point, 7.9% remained uninsured (U.S. Census Bureau, 2023).</w:t>
      </w:r>
    </w:p>
    <w:p w14:paraId="3682BE0E" w14:textId="4FEACC75" w:rsidR="00B523AD" w:rsidRDefault="0002666A">
      <w:pPr>
        <w:spacing w:line="360" w:lineRule="auto"/>
        <w:jc w:val="both"/>
        <w:rPr>
          <w:highlight w:val="white"/>
        </w:rPr>
      </w:pPr>
      <w:r>
        <w:rPr>
          <w:rFonts w:ascii="Times New Roman" w:eastAsia="Times New Roman" w:hAnsi="Times New Roman" w:cs="Times New Roman"/>
          <w:sz w:val="24"/>
          <w:szCs w:val="24"/>
          <w:highlight w:val="white"/>
        </w:rPr>
        <w:t>Healthcare systems </w:t>
      </w:r>
      <w:proofErr w:type="gramStart"/>
      <w:r w:rsidR="00033CC3">
        <w:rPr>
          <w:rFonts w:ascii="Times New Roman" w:eastAsia="Times New Roman" w:hAnsi="Times New Roman" w:cs="Times New Roman"/>
          <w:sz w:val="24"/>
          <w:szCs w:val="24"/>
          <w:highlight w:val="white"/>
        </w:rPr>
        <w:t>have to</w:t>
      </w:r>
      <w:proofErr w:type="gramEnd"/>
      <w:r>
        <w:rPr>
          <w:rFonts w:ascii="Times New Roman" w:eastAsia="Times New Roman" w:hAnsi="Times New Roman" w:cs="Times New Roman"/>
          <w:sz w:val="24"/>
          <w:szCs w:val="24"/>
          <w:highlight w:val="white"/>
        </w:rPr>
        <w:t xml:space="preserve"> work towards eliminating barriers to access due to socioeconomic, racial, geographic, educational, and systemic issues to achieve health equity. We need to know about and address these barriers to make sure everyone can achieve good health</w:t>
      </w:r>
      <w:r>
        <w:rPr>
          <w:highlight w:val="white"/>
        </w:rPr>
        <w:t>.</w:t>
      </w:r>
    </w:p>
    <w:p w14:paraId="50C2006B" w14:textId="77777777" w:rsidR="00B523AD" w:rsidRDefault="00B523AD">
      <w:pPr>
        <w:spacing w:line="360" w:lineRule="auto"/>
        <w:jc w:val="both"/>
        <w:rPr>
          <w:highlight w:val="white"/>
        </w:rPr>
      </w:pPr>
    </w:p>
    <w:p w14:paraId="3D96E0D6" w14:textId="77777777" w:rsidR="00B523AD" w:rsidRDefault="0002666A">
      <w:pPr>
        <w:pStyle w:val="Heading1"/>
        <w:rPr>
          <w:rFonts w:ascii="Times New Roman" w:eastAsia="Times New Roman" w:hAnsi="Times New Roman" w:cs="Times New Roman"/>
          <w:b/>
          <w:color w:val="000000"/>
          <w:u w:val="single"/>
        </w:rPr>
      </w:pPr>
      <w:bookmarkStart w:id="8" w:name="_wj1z6x52ixjg" w:colFirst="0" w:colLast="0"/>
      <w:bookmarkEnd w:id="8"/>
      <w:r>
        <w:rPr>
          <w:rFonts w:ascii="Times New Roman" w:eastAsia="Times New Roman" w:hAnsi="Times New Roman" w:cs="Times New Roman"/>
          <w:b/>
          <w:color w:val="000000"/>
          <w:u w:val="single"/>
        </w:rPr>
        <w:t>Theme 1: Policy Barriers and Reforms in Health Care Access</w:t>
      </w:r>
    </w:p>
    <w:p w14:paraId="603C5505" w14:textId="77777777" w:rsidR="00B523AD" w:rsidRDefault="000266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recent study highlights the importance of healthcare policies and their impact on medical care availability and affordability. Funding, insurance coverage, and resource allocation are shaped by national, state, and institutional policies. However, outdated or inadequate policies often create barriers, making healthcare inaccessible and inequitable. It examines challenges posed by poor policies—funding, regulations, and insurance disparities—that hinder healthcare access in America and reviews policy reforms aimed at addressing these issues</w:t>
      </w:r>
      <w:r>
        <w:rPr>
          <w:rFonts w:ascii="Times New Roman" w:eastAsia="Times New Roman" w:hAnsi="Times New Roman" w:cs="Times New Roman"/>
          <w:sz w:val="24"/>
          <w:szCs w:val="24"/>
          <w:highlight w:val="white"/>
        </w:rPr>
        <w:t>.</w:t>
      </w:r>
    </w:p>
    <w:p w14:paraId="05969482" w14:textId="77777777" w:rsidR="00B523AD" w:rsidRDefault="0002666A">
      <w:pPr>
        <w:pStyle w:val="Heading2"/>
        <w:rPr>
          <w:rFonts w:ascii="Times New Roman" w:eastAsia="Times New Roman" w:hAnsi="Times New Roman" w:cs="Times New Roman"/>
          <w:b/>
          <w:color w:val="000000"/>
          <w:sz w:val="28"/>
          <w:szCs w:val="28"/>
          <w:u w:val="single"/>
        </w:rPr>
      </w:pPr>
      <w:bookmarkStart w:id="9" w:name="_h798sb2cf6vk" w:colFirst="0" w:colLast="0"/>
      <w:bookmarkEnd w:id="9"/>
      <w:r>
        <w:rPr>
          <w:rFonts w:ascii="Times New Roman" w:eastAsia="Times New Roman" w:hAnsi="Times New Roman" w:cs="Times New Roman"/>
          <w:b/>
          <w:color w:val="000000"/>
          <w:sz w:val="28"/>
          <w:szCs w:val="28"/>
          <w:u w:val="single"/>
        </w:rPr>
        <w:t>Funding Issues and Underinvestment in Health Care</w:t>
      </w:r>
    </w:p>
    <w:p w14:paraId="7CCC0415" w14:textId="77777777" w:rsidR="00B523AD" w:rsidRDefault="000266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funding for health services, particularly for marginalized and low-income communities, is a major policy-related barrier to healthcare access. Public health programs, community health centers, and remote hospitals, all underfunded, cannot offer basic services, resulting in long lines, staff shortages, and diminished care. In the U.S., for example, community health centers providing care to millions of low-income patients struggle financially due to systemic underfunding. These centers will close if adequate funding is not secured, disproportionately affecting vulnerable populations and limiting their access to primary and preventive care. (</w:t>
      </w:r>
      <w:hyperlink r:id="rId12">
        <w:r>
          <w:rPr>
            <w:rFonts w:ascii="Times New Roman" w:eastAsia="Times New Roman" w:hAnsi="Times New Roman" w:cs="Times New Roman"/>
            <w:sz w:val="24"/>
            <w:szCs w:val="24"/>
            <w:u w:val="single"/>
          </w:rPr>
          <w:t>Times Union, 2024</w:t>
        </w:r>
      </w:hyperlink>
      <w:r>
        <w:rPr>
          <w:rFonts w:ascii="Times New Roman" w:eastAsia="Times New Roman" w:hAnsi="Times New Roman" w:cs="Times New Roman"/>
          <w:sz w:val="24"/>
          <w:szCs w:val="24"/>
        </w:rPr>
        <w:t>).</w:t>
      </w:r>
    </w:p>
    <w:p w14:paraId="39C5970F" w14:textId="77777777" w:rsidR="00B523AD" w:rsidRDefault="000266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National Health Service (NHS) of the United Kingdom has been chronically underfunded. This has led to staffing shortages and longer waits for patients. Studies show that when patients 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wait longer for care, those conditions can worsen, and rates of mortality increase if treatment is delayed. (The King’s Fund, 2024). Appropriate government expenditure and policy reforms are generally recognized as essential to redressing funding shortfalls and ensuring that healthcare providers can respond effectively to the escalating need for services.</w:t>
      </w:r>
    </w:p>
    <w:p w14:paraId="6C40F6D5" w14:textId="77777777" w:rsidR="00B523AD" w:rsidRDefault="0002666A">
      <w:pPr>
        <w:pStyle w:val="Heading2"/>
        <w:rPr>
          <w:rFonts w:ascii="Times New Roman" w:eastAsia="Times New Roman" w:hAnsi="Times New Roman" w:cs="Times New Roman"/>
          <w:b/>
          <w:color w:val="000000"/>
          <w:sz w:val="28"/>
          <w:szCs w:val="28"/>
          <w:u w:val="single"/>
        </w:rPr>
      </w:pPr>
      <w:bookmarkStart w:id="10" w:name="_4354var63tkz" w:colFirst="0" w:colLast="0"/>
      <w:bookmarkEnd w:id="10"/>
      <w:r>
        <w:rPr>
          <w:rFonts w:ascii="Times New Roman" w:eastAsia="Times New Roman" w:hAnsi="Times New Roman" w:cs="Times New Roman"/>
          <w:b/>
          <w:color w:val="000000"/>
          <w:sz w:val="28"/>
          <w:szCs w:val="28"/>
          <w:u w:val="single"/>
        </w:rPr>
        <w:t>Regulatory Barriers and Bureaucratic Challenges</w:t>
      </w:r>
    </w:p>
    <w:p w14:paraId="134A4829" w14:textId="77777777" w:rsidR="00B523AD" w:rsidRDefault="000266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Healthcare regulations are necessary for providing quality and safe care but can pose barriers to access for vulnerable populations. Complicated processes and restrictive eligibility criteria — as with Medicaid, whose rules differ by state — can prevent people, particularly if out of work or disabled, from obtaining care. Such policies have disproportionately harmed racial and ethnic minorities, exacerbating health disparities. Regulatory redundancies can be confusing and discourage seeking care, contributing to worse outcomes. In rural and underserved areas, patients may have to wait longer or have fewer providers, entrenching health inequities and going against the intent of equity in healthcare. (</w:t>
      </w:r>
      <w:hyperlink r:id="rId13">
        <w:r>
          <w:rPr>
            <w:rFonts w:ascii="Times New Roman" w:eastAsia="Times New Roman" w:hAnsi="Times New Roman" w:cs="Times New Roman"/>
            <w:sz w:val="24"/>
            <w:szCs w:val="24"/>
            <w:u w:val="single"/>
          </w:rPr>
          <w:t>Commonwealth Fund, 2024</w:t>
        </w:r>
      </w:hyperlink>
      <w:r>
        <w:rPr>
          <w:rFonts w:ascii="Times New Roman" w:eastAsia="Times New Roman" w:hAnsi="Times New Roman" w:cs="Times New Roman"/>
          <w:sz w:val="24"/>
          <w:szCs w:val="24"/>
        </w:rPr>
        <w:t>).</w:t>
      </w:r>
    </w:p>
    <w:p w14:paraId="23BF0D43" w14:textId="77777777" w:rsidR="00B523AD" w:rsidRDefault="000266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Countries with universal health coverage, such as Canada and Germany, have fewer administrative barriers to care, so it’s far easier for citizens to obtain necessary care without having to go to great lengths with paperwork or eligibility screening. But even in such systems, bureaucratic inefficiency and limited funding often lead to long and painful waits for specialized medical care. (</w:t>
      </w:r>
      <w:hyperlink r:id="rId14">
        <w:r>
          <w:rPr>
            <w:rFonts w:ascii="Times New Roman" w:eastAsia="Times New Roman" w:hAnsi="Times New Roman" w:cs="Times New Roman"/>
            <w:sz w:val="24"/>
            <w:szCs w:val="24"/>
            <w:u w:val="single"/>
          </w:rPr>
          <w:t>World Health Organization, 2023</w:t>
        </w:r>
      </w:hyperlink>
      <w:r>
        <w:rPr>
          <w:rFonts w:ascii="Times New Roman" w:eastAsia="Times New Roman" w:hAnsi="Times New Roman" w:cs="Times New Roman"/>
          <w:sz w:val="24"/>
          <w:szCs w:val="24"/>
        </w:rPr>
        <w:t>).</w:t>
      </w:r>
    </w:p>
    <w:p w14:paraId="736C77F0" w14:textId="77777777" w:rsidR="00B523AD" w:rsidRDefault="0002666A">
      <w:pPr>
        <w:pStyle w:val="Heading2"/>
        <w:rPr>
          <w:rFonts w:ascii="Times New Roman" w:eastAsia="Times New Roman" w:hAnsi="Times New Roman" w:cs="Times New Roman"/>
          <w:b/>
          <w:color w:val="000000"/>
          <w:sz w:val="28"/>
          <w:szCs w:val="28"/>
          <w:u w:val="single"/>
        </w:rPr>
      </w:pPr>
      <w:bookmarkStart w:id="11" w:name="_dankdr1cnvw2" w:colFirst="0" w:colLast="0"/>
      <w:bookmarkEnd w:id="11"/>
      <w:r>
        <w:rPr>
          <w:rFonts w:ascii="Times New Roman" w:eastAsia="Times New Roman" w:hAnsi="Times New Roman" w:cs="Times New Roman"/>
          <w:b/>
          <w:color w:val="000000"/>
          <w:sz w:val="28"/>
          <w:szCs w:val="28"/>
          <w:u w:val="single"/>
        </w:rPr>
        <w:t>Health Insurance Disparities</w:t>
      </w:r>
    </w:p>
    <w:p w14:paraId="23421FA9" w14:textId="77777777" w:rsidR="00B523AD" w:rsidRDefault="000266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medical services are accessed is heavily influenced by health insurance policies. More damage from the pandemic is looming on the horizon. People without insurance are less likely to get preventive care and more likely to postpone treatment because of prices in the United States. The ACA helped lower the uninsured rate, but there are still gaps in coverage, especially among low-income populations and undocumented immigrants. (Health Affairs, 2023).</w:t>
      </w:r>
    </w:p>
    <w:p w14:paraId="3AC55868" w14:textId="77777777" w:rsidR="00B523AD" w:rsidRDefault="0002666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contrast, nations with universal health coverage, like Sweden and the United Kingdom, ensure coverage for all citizens, minimizing financial constraints to care. But the challenges continue — including funding cuts and rationing services that affect access to timely care.</w:t>
      </w:r>
    </w:p>
    <w:p w14:paraId="3FDD6898" w14:textId="77777777" w:rsidR="00B523AD" w:rsidRDefault="0002666A">
      <w:pPr>
        <w:pStyle w:val="Heading1"/>
        <w:rPr>
          <w:rFonts w:ascii="Times New Roman" w:eastAsia="Times New Roman" w:hAnsi="Times New Roman" w:cs="Times New Roman"/>
          <w:b/>
          <w:color w:val="000000"/>
          <w:u w:val="single"/>
        </w:rPr>
      </w:pPr>
      <w:bookmarkStart w:id="12" w:name="_8azktjflsr33" w:colFirst="0" w:colLast="0"/>
      <w:bookmarkEnd w:id="12"/>
      <w:r>
        <w:rPr>
          <w:rFonts w:ascii="Times New Roman" w:eastAsia="Times New Roman" w:hAnsi="Times New Roman" w:cs="Times New Roman"/>
          <w:b/>
          <w:color w:val="000000"/>
          <w:u w:val="single"/>
        </w:rPr>
        <w:t>Theme 2: Educational Initiatives and Health Literacy in Health Care Access</w:t>
      </w:r>
    </w:p>
    <w:p w14:paraId="2C026EC1" w14:textId="77777777" w:rsidR="00B523AD" w:rsidRDefault="00B523AD"/>
    <w:p w14:paraId="745FAC4A" w14:textId="77777777" w:rsidR="00B523AD" w:rsidRDefault="000266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explores how health literacy contributes to barriers to healthcare access and discusses health education programs aimed at overcoming these barriers.</w:t>
      </w:r>
    </w:p>
    <w:p w14:paraId="15618C58" w14:textId="77777777" w:rsidR="00B523AD" w:rsidRDefault="0002666A">
      <w:pPr>
        <w:pStyle w:val="Heading2"/>
        <w:rPr>
          <w:rFonts w:ascii="Times New Roman" w:eastAsia="Times New Roman" w:hAnsi="Times New Roman" w:cs="Times New Roman"/>
          <w:b/>
          <w:color w:val="000000"/>
          <w:sz w:val="28"/>
          <w:szCs w:val="28"/>
          <w:u w:val="single"/>
        </w:rPr>
      </w:pPr>
      <w:bookmarkStart w:id="13" w:name="_bztsv64n9fo6" w:colFirst="0" w:colLast="0"/>
      <w:bookmarkEnd w:id="13"/>
      <w:r>
        <w:rPr>
          <w:rFonts w:ascii="Times New Roman" w:eastAsia="Times New Roman" w:hAnsi="Times New Roman" w:cs="Times New Roman"/>
          <w:b/>
          <w:color w:val="000000"/>
          <w:sz w:val="28"/>
          <w:szCs w:val="28"/>
          <w:u w:val="single"/>
        </w:rPr>
        <w:t>The Impact of Health Literacy on Health Care Access</w:t>
      </w:r>
    </w:p>
    <w:p w14:paraId="5A51D061" w14:textId="77777777" w:rsidR="00B523AD" w:rsidRDefault="00B523AD"/>
    <w:p w14:paraId="0FB3ECDD" w14:textId="77777777" w:rsidR="00B523AD" w:rsidRDefault="000266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Health literacy is vital to getting timely medical treatment. People with low health literacy are less likely to participate in preventive strategies, have trouble adhering to treatment, and have difficulty communicating effectively with their healthcare providers. As a result, they have higher rates of hospitalization and worse health outcomes than individuals who have higher health literacy.</w:t>
      </w:r>
      <w:r>
        <w:rPr>
          <w:rFonts w:ascii="Times New Roman" w:eastAsia="Times New Roman" w:hAnsi="Times New Roman" w:cs="Times New Roman"/>
          <w:sz w:val="24"/>
          <w:szCs w:val="24"/>
        </w:rPr>
        <w:t xml:space="preserve"> (</w:t>
      </w:r>
      <w:hyperlink r:id="rId15">
        <w:r>
          <w:rPr>
            <w:rFonts w:ascii="Times New Roman" w:eastAsia="Times New Roman" w:hAnsi="Times New Roman" w:cs="Times New Roman"/>
            <w:color w:val="000000"/>
            <w:sz w:val="24"/>
            <w:szCs w:val="24"/>
            <w:u w:val="single"/>
          </w:rPr>
          <w:t>National Library of Medicine, 2023</w:t>
        </w:r>
      </w:hyperlink>
      <w:r>
        <w:rPr>
          <w:rFonts w:ascii="Times New Roman" w:eastAsia="Times New Roman" w:hAnsi="Times New Roman" w:cs="Times New Roman"/>
          <w:sz w:val="24"/>
          <w:szCs w:val="24"/>
        </w:rPr>
        <w:t>).</w:t>
      </w:r>
    </w:p>
    <w:p w14:paraId="049282AD" w14:textId="77777777" w:rsidR="00B523AD" w:rsidRDefault="000266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One report in the U.S. highlighted that almost 36% of adults have low health literacy, which is prevalent more among older adults, those with lower education qualifications, and non-native English speakers. Such groups have difficulty reading instructions on medication, and insurance policies, and they do not recognize serious health symptoms, leading to delayed care.</w:t>
      </w:r>
      <w:r>
        <w:rPr>
          <w:rFonts w:ascii="Times New Roman" w:eastAsia="Times New Roman" w:hAnsi="Times New Roman" w:cs="Times New Roman"/>
          <w:sz w:val="24"/>
          <w:szCs w:val="24"/>
        </w:rPr>
        <w:t xml:space="preserve"> (</w:t>
      </w:r>
      <w:hyperlink r:id="rId16">
        <w:r>
          <w:rPr>
            <w:rFonts w:ascii="Times New Roman" w:eastAsia="Times New Roman" w:hAnsi="Times New Roman" w:cs="Times New Roman"/>
            <w:color w:val="000000"/>
            <w:sz w:val="24"/>
            <w:szCs w:val="24"/>
            <w:u w:val="single"/>
          </w:rPr>
          <w:t>Centers for Disease Control and Prevention, 2023</w:t>
        </w:r>
      </w:hyperlink>
      <w:r>
        <w:rPr>
          <w:rFonts w:ascii="Times New Roman" w:eastAsia="Times New Roman" w:hAnsi="Times New Roman" w:cs="Times New Roman"/>
          <w:sz w:val="24"/>
          <w:szCs w:val="24"/>
        </w:rPr>
        <w:t>).</w:t>
      </w:r>
    </w:p>
    <w:p w14:paraId="03ABD6A8" w14:textId="77777777" w:rsidR="00B523AD" w:rsidRDefault="0002666A">
      <w:pPr>
        <w:pStyle w:val="Heading2"/>
        <w:rPr>
          <w:rFonts w:ascii="Times New Roman" w:eastAsia="Times New Roman" w:hAnsi="Times New Roman" w:cs="Times New Roman"/>
          <w:b/>
          <w:color w:val="000000"/>
          <w:sz w:val="28"/>
          <w:szCs w:val="28"/>
          <w:u w:val="single"/>
        </w:rPr>
      </w:pPr>
      <w:bookmarkStart w:id="14" w:name="_qbggr7spoj3h" w:colFirst="0" w:colLast="0"/>
      <w:bookmarkEnd w:id="14"/>
      <w:r>
        <w:rPr>
          <w:rFonts w:ascii="Times New Roman" w:eastAsia="Times New Roman" w:hAnsi="Times New Roman" w:cs="Times New Roman"/>
          <w:b/>
          <w:color w:val="000000"/>
          <w:sz w:val="28"/>
          <w:szCs w:val="28"/>
          <w:u w:val="single"/>
        </w:rPr>
        <w:t>Comparing Health Education Initiatives</w:t>
      </w:r>
    </w:p>
    <w:p w14:paraId="72569A29" w14:textId="77777777" w:rsidR="00B523AD" w:rsidRDefault="00B523AD"/>
    <w:p w14:paraId="7F64FA65" w14:textId="77777777" w:rsidR="00B523AD" w:rsidRDefault="000266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countries have developed health literacy and access to care through education efforts. In the UK, the National Health Service (NHS) uses a “Teach Back” method, where providers ask patients to restate information about their conditions and treatments, improving comprehension and adherence to medical advice (Public Health England, 2015).</w:t>
      </w:r>
    </w:p>
    <w:p w14:paraId="5FE6FD49" w14:textId="77777777" w:rsidR="00B523AD" w:rsidRDefault="0002666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Conversely, the focus of the US has been to embed health literacy into school curriculums, introducing children to fundamental concepts of health, nutrition, and the importance of seeking medical attention at a young age. This highlights the importance of systemic changes in health </w:t>
      </w:r>
      <w:r>
        <w:rPr>
          <w:rFonts w:ascii="Times New Roman" w:eastAsia="Times New Roman" w:hAnsi="Times New Roman" w:cs="Times New Roman"/>
          <w:sz w:val="24"/>
          <w:szCs w:val="24"/>
          <w:highlight w:val="white"/>
        </w:rPr>
        <w:lastRenderedPageBreak/>
        <w:t>communication and literacy to foster better access to care, as suggested by the Healthy People 2030 initiative.</w:t>
      </w:r>
    </w:p>
    <w:p w14:paraId="3B8FB874" w14:textId="244BCEB5" w:rsidR="00B523AD" w:rsidRDefault="000266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In </w:t>
      </w:r>
      <w:r w:rsidR="006F0BF7">
        <w:rPr>
          <w:rFonts w:ascii="Times New Roman" w:eastAsia="Times New Roman" w:hAnsi="Times New Roman" w:cs="Times New Roman"/>
          <w:sz w:val="24"/>
          <w:szCs w:val="24"/>
          <w:highlight w:val="white"/>
        </w:rPr>
        <w:t>Australia, Indigenous</w:t>
      </w:r>
      <w:r>
        <w:rPr>
          <w:rFonts w:ascii="Times New Roman" w:eastAsia="Times New Roman" w:hAnsi="Times New Roman" w:cs="Times New Roman"/>
          <w:sz w:val="24"/>
          <w:szCs w:val="24"/>
          <w:highlight w:val="white"/>
        </w:rPr>
        <w:t xml:space="preserve"> peoples developed culturally appropriate education strategies that respect traditional knowledge through community-based health literacy programs. Research shows that these programs specifically geared towards Indigenous communities lead to more healthcare service engagement.</w:t>
      </w:r>
      <w:r>
        <w:rPr>
          <w:rFonts w:ascii="Times New Roman" w:eastAsia="Times New Roman" w:hAnsi="Times New Roman" w:cs="Times New Roman"/>
          <w:sz w:val="24"/>
          <w:szCs w:val="24"/>
        </w:rPr>
        <w:t xml:space="preserve"> (Vass, Mitchell, and Dhurrkay, 2011).</w:t>
      </w:r>
    </w:p>
    <w:p w14:paraId="13A4194D" w14:textId="77777777" w:rsidR="00B523AD" w:rsidRDefault="0002666A">
      <w:pPr>
        <w:pStyle w:val="Heading2"/>
        <w:rPr>
          <w:rFonts w:ascii="Times New Roman" w:eastAsia="Times New Roman" w:hAnsi="Times New Roman" w:cs="Times New Roman"/>
          <w:b/>
          <w:color w:val="000000"/>
          <w:sz w:val="28"/>
          <w:szCs w:val="28"/>
          <w:u w:val="single"/>
        </w:rPr>
      </w:pPr>
      <w:bookmarkStart w:id="15" w:name="_ic1pg1fc9qxm" w:colFirst="0" w:colLast="0"/>
      <w:bookmarkEnd w:id="15"/>
      <w:r>
        <w:rPr>
          <w:rFonts w:ascii="Times New Roman" w:eastAsia="Times New Roman" w:hAnsi="Times New Roman" w:cs="Times New Roman"/>
          <w:b/>
          <w:color w:val="000000"/>
          <w:sz w:val="28"/>
          <w:szCs w:val="28"/>
          <w:u w:val="single"/>
        </w:rPr>
        <w:t>Challenges and Barriers to Effective Health Education</w:t>
      </w:r>
    </w:p>
    <w:p w14:paraId="196B6CAD" w14:textId="77777777" w:rsidR="00B523AD" w:rsidRDefault="00B523AD"/>
    <w:p w14:paraId="4934EA2F" w14:textId="77777777" w:rsidR="00B523AD" w:rsidRDefault="000266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Health education projects are beneficial but have challenges in accessibility. Diversity of languages is a major barrier; people who do not speak the dominant language as their first language tend to struggle to make sense of health information written in the dominant language. In the U.S., limited English proficiency is a major risk factor for low health literacy that limits access to medical services.</w:t>
      </w:r>
      <w:r>
        <w:rPr>
          <w:rFonts w:ascii="Times New Roman" w:eastAsia="Times New Roman" w:hAnsi="Times New Roman" w:cs="Times New Roman"/>
          <w:sz w:val="24"/>
          <w:szCs w:val="24"/>
        </w:rPr>
        <w:t xml:space="preserve"> (Shamsi et al., 2020).</w:t>
      </w:r>
    </w:p>
    <w:p w14:paraId="0E08F5E7" w14:textId="15220CF7" w:rsidR="00B523AD" w:rsidRDefault="000266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Health educators wishing to utilize digital platforms must contend with the digital divide. People with limited access to technology or low digital literacy, particularly older adults as well as low-income individuals, may not be able to take advantage. This underscores the importance of having an </w:t>
      </w:r>
      <w:r w:rsidR="00D13C94">
        <w:rPr>
          <w:rFonts w:ascii="Times New Roman" w:eastAsia="Times New Roman" w:hAnsi="Times New Roman" w:cs="Times New Roman"/>
          <w:sz w:val="24"/>
          <w:szCs w:val="24"/>
          <w:highlight w:val="white"/>
        </w:rPr>
        <w:t>alternative, such</w:t>
      </w:r>
      <w:r>
        <w:rPr>
          <w:rFonts w:ascii="Times New Roman" w:eastAsia="Times New Roman" w:hAnsi="Times New Roman" w:cs="Times New Roman"/>
          <w:sz w:val="24"/>
          <w:szCs w:val="24"/>
          <w:highlight w:val="white"/>
        </w:rPr>
        <w:t xml:space="preserve"> as live meetings and printed materials</w:t>
      </w:r>
      <w:r>
        <w:rPr>
          <w:rFonts w:ascii="Times New Roman" w:eastAsia="Times New Roman" w:hAnsi="Times New Roman" w:cs="Times New Roman"/>
          <w:sz w:val="24"/>
          <w:szCs w:val="24"/>
        </w:rPr>
        <w:t>.</w:t>
      </w:r>
    </w:p>
    <w:p w14:paraId="08CE56D1" w14:textId="77777777" w:rsidR="00B523AD" w:rsidRDefault="0002666A">
      <w:pPr>
        <w:pStyle w:val="Heading2"/>
        <w:rPr>
          <w:rFonts w:ascii="Times New Roman" w:eastAsia="Times New Roman" w:hAnsi="Times New Roman" w:cs="Times New Roman"/>
          <w:b/>
          <w:color w:val="000000"/>
          <w:sz w:val="28"/>
          <w:szCs w:val="28"/>
          <w:u w:val="single"/>
        </w:rPr>
      </w:pPr>
      <w:bookmarkStart w:id="16" w:name="_ifvgcycm3nqd" w:colFirst="0" w:colLast="0"/>
      <w:bookmarkEnd w:id="16"/>
      <w:r>
        <w:rPr>
          <w:rFonts w:ascii="Times New Roman" w:eastAsia="Times New Roman" w:hAnsi="Times New Roman" w:cs="Times New Roman"/>
          <w:b/>
          <w:color w:val="000000"/>
          <w:sz w:val="28"/>
          <w:szCs w:val="28"/>
          <w:u w:val="single"/>
        </w:rPr>
        <w:t>Evaluating the Effectiveness of Health Education Initiatives</w:t>
      </w:r>
    </w:p>
    <w:p w14:paraId="6EE556BB" w14:textId="77777777" w:rsidR="00B523AD" w:rsidRDefault="00B523AD"/>
    <w:p w14:paraId="6F3D36B9" w14:textId="77777777" w:rsidR="00B523AD" w:rsidRDefault="000266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measurement of health literacy, patient engagement, and health outcomes are ways to evaluate health education programs. Research shows that using digital tools with in-person education and culturally appropriate materials effectively engages diverse populations. For example, a Canadian trial demonstrated that person-centered health literacy interventions improved adherence to medications and increased patient satisfaction. (Dijkman et al., 2024).</w:t>
      </w:r>
    </w:p>
    <w:p w14:paraId="1A693B8A" w14:textId="77777777" w:rsidR="00B523AD" w:rsidRDefault="000266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Health systems that integrate patient education into routine visits, such as an easy-to-read brochure or a one-on-one consultation, can dramatically improve patient engagement and health outcomes. In the Netherlands, they experienced successful implementation of the use of “Patient Navigators” which has increased preventive services use and reduced Emergency Room visits.</w:t>
      </w:r>
    </w:p>
    <w:p w14:paraId="521DD900" w14:textId="77777777" w:rsidR="00B523AD" w:rsidRDefault="0002666A">
      <w:pPr>
        <w:pStyle w:val="Heading1"/>
        <w:rPr>
          <w:color w:val="000000"/>
          <w:sz w:val="28"/>
          <w:szCs w:val="28"/>
        </w:rPr>
      </w:pPr>
      <w:bookmarkStart w:id="17" w:name="_ygshqjg1u6ge" w:colFirst="0" w:colLast="0"/>
      <w:bookmarkEnd w:id="17"/>
      <w:r>
        <w:rPr>
          <w:rFonts w:ascii="Times New Roman" w:eastAsia="Times New Roman" w:hAnsi="Times New Roman" w:cs="Times New Roman"/>
          <w:b/>
          <w:color w:val="000000"/>
          <w:sz w:val="28"/>
          <w:szCs w:val="28"/>
          <w:u w:val="single"/>
        </w:rPr>
        <w:lastRenderedPageBreak/>
        <w:t>Theme 3: Workforce Shortages and Their Impact on Health Care Access</w:t>
      </w:r>
    </w:p>
    <w:p w14:paraId="5E1AB3DC" w14:textId="77777777" w:rsidR="00B523AD" w:rsidRDefault="000266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Several factors contribute to the shortage of healthcare professionals worldwide, including aging populations, burnout, inadequate workforce planning, and migration of trained professionals to higher-paying countries.</w:t>
      </w:r>
    </w:p>
    <w:p w14:paraId="4172D71D" w14:textId="77777777" w:rsidR="00B523AD" w:rsidRDefault="0002666A">
      <w:pPr>
        <w:numPr>
          <w:ilvl w:val="0"/>
          <w:numId w:val="2"/>
        </w:numPr>
        <w:pBdr>
          <w:top w:val="nil"/>
          <w:left w:val="nil"/>
          <w:bottom w:val="nil"/>
          <w:right w:val="nil"/>
          <w:between w:val="nil"/>
        </w:pBdr>
        <w:spacing w:before="280" w:after="28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Aging Populations and Increased Demand</w:t>
      </w:r>
    </w:p>
    <w:p w14:paraId="6DB3455B" w14:textId="77777777" w:rsidR="00B523AD" w:rsidRDefault="000266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The aging of populations creates a demand for health care services. Demand for primary and geriatric care has been increasing in the UK, putting pressure on the workforce, according to the NHS. The aging baby boomer generation in the US has resulted in a higher burden of chronic diseases and a greater need for health professionals than there are currently available. (McKee et al., 2021).</w:t>
      </w:r>
    </w:p>
    <w:p w14:paraId="11789B63" w14:textId="77777777" w:rsidR="00B523AD" w:rsidRDefault="0002666A">
      <w:pPr>
        <w:numPr>
          <w:ilvl w:val="0"/>
          <w:numId w:val="2"/>
        </w:num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Burnout and High Attrition Rates</w:t>
      </w:r>
    </w:p>
    <w:p w14:paraId="5AEDEB05" w14:textId="77777777" w:rsidR="00B523AD" w:rsidRDefault="0002666A">
      <w:pPr>
        <w:pBdr>
          <w:top w:val="nil"/>
          <w:left w:val="nil"/>
          <w:bottom w:val="nil"/>
          <w:right w:val="nil"/>
          <w:between w:val="nil"/>
        </w:pBdr>
        <w:spacing w:before="280" w:after="28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Burnout among healthcare workers is another significant driver of workforce vacancy. The long hours, high patient loads, and stressful working conditions have driven many professionals out of the field. Meanwhile, up to 30% of nurses around the world could quit their jobs over burnout, adding to existing shortages. (Izdebski et al., 2023).</w:t>
      </w:r>
    </w:p>
    <w:p w14:paraId="745E18A6" w14:textId="77777777" w:rsidR="00B523AD" w:rsidRDefault="0002666A">
      <w:pPr>
        <w:numPr>
          <w:ilvl w:val="0"/>
          <w:numId w:val="2"/>
        </w:numPr>
        <w:pBdr>
          <w:top w:val="nil"/>
          <w:left w:val="nil"/>
          <w:bottom w:val="nil"/>
          <w:right w:val="nil"/>
          <w:between w:val="nil"/>
        </w:pBdr>
        <w:spacing w:before="280" w:after="28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Migration of Health Professionals</w:t>
      </w:r>
    </w:p>
    <w:p w14:paraId="58E47F7B" w14:textId="77777777" w:rsidR="00B523AD" w:rsidRDefault="000266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highlight w:val="white"/>
        </w:rPr>
        <w:t>The majority of</w:t>
      </w:r>
      <w:proofErr w:type="gramEnd"/>
      <w:r>
        <w:rPr>
          <w:rFonts w:ascii="Times New Roman" w:eastAsia="Times New Roman" w:hAnsi="Times New Roman" w:cs="Times New Roman"/>
          <w:color w:val="000000"/>
          <w:sz w:val="24"/>
          <w:szCs w:val="24"/>
          <w:highlight w:val="white"/>
        </w:rPr>
        <w:t xml:space="preserve"> health workers move to places with accessible remuneration, better working, and a professional development environment. Notably in low- and middle-income countries, with trained doctors and nurses migrating to high-income countries, leading to severe shortages of healthcare service availabilities</w:t>
      </w:r>
      <w:r>
        <w:rPr>
          <w:rFonts w:ascii="Times New Roman" w:eastAsia="Times New Roman" w:hAnsi="Times New Roman" w:cs="Times New Roman"/>
          <w:color w:val="000000"/>
          <w:sz w:val="24"/>
          <w:szCs w:val="24"/>
        </w:rPr>
        <w:t>.</w:t>
      </w:r>
    </w:p>
    <w:p w14:paraId="50FB702B" w14:textId="77777777" w:rsidR="00B523AD" w:rsidRDefault="0002666A">
      <w:pPr>
        <w:pStyle w:val="Heading2"/>
        <w:rPr>
          <w:color w:val="000000"/>
          <w:sz w:val="28"/>
          <w:szCs w:val="28"/>
        </w:rPr>
      </w:pPr>
      <w:bookmarkStart w:id="18" w:name="_7syyklk09jrl" w:colFirst="0" w:colLast="0"/>
      <w:bookmarkEnd w:id="18"/>
      <w:r>
        <w:rPr>
          <w:rFonts w:ascii="Times New Roman" w:eastAsia="Times New Roman" w:hAnsi="Times New Roman" w:cs="Times New Roman"/>
          <w:b/>
          <w:color w:val="000000"/>
          <w:sz w:val="28"/>
          <w:szCs w:val="28"/>
          <w:u w:val="single"/>
        </w:rPr>
        <w:t>Comparing Workforce Challenges in Different Health Systems</w:t>
      </w:r>
    </w:p>
    <w:p w14:paraId="590AFD55" w14:textId="77777777" w:rsidR="00B523AD" w:rsidRDefault="0002666A">
      <w:pPr>
        <w:pBdr>
          <w:top w:val="nil"/>
          <w:left w:val="nil"/>
          <w:bottom w:val="nil"/>
          <w:right w:val="nil"/>
          <w:between w:val="nil"/>
        </w:pBd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Countries address workforce shortages in different ways, leading to varying levels of success in maintaining access to healthcare services.</w:t>
      </w:r>
    </w:p>
    <w:tbl>
      <w:tblPr>
        <w:tblStyle w:val="a"/>
        <w:tblW w:w="8655"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2160"/>
        <w:gridCol w:w="2400"/>
        <w:gridCol w:w="1935"/>
      </w:tblGrid>
      <w:tr w:rsidR="00B523AD" w14:paraId="4F61F1E8" w14:textId="77777777">
        <w:tc>
          <w:tcPr>
            <w:tcW w:w="2160" w:type="dxa"/>
            <w:shd w:val="clear" w:color="auto" w:fill="auto"/>
            <w:tcMar>
              <w:top w:w="100" w:type="dxa"/>
              <w:left w:w="100" w:type="dxa"/>
              <w:bottom w:w="100" w:type="dxa"/>
              <w:right w:w="100" w:type="dxa"/>
            </w:tcMar>
          </w:tcPr>
          <w:p w14:paraId="15A58C4F" w14:textId="77777777" w:rsidR="00B523AD" w:rsidRDefault="0002666A">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Country</w:t>
            </w:r>
          </w:p>
        </w:tc>
        <w:tc>
          <w:tcPr>
            <w:tcW w:w="2160" w:type="dxa"/>
            <w:shd w:val="clear" w:color="auto" w:fill="auto"/>
            <w:tcMar>
              <w:top w:w="100" w:type="dxa"/>
              <w:left w:w="100" w:type="dxa"/>
              <w:bottom w:w="100" w:type="dxa"/>
              <w:right w:w="100" w:type="dxa"/>
            </w:tcMar>
          </w:tcPr>
          <w:p w14:paraId="0B0471CB" w14:textId="77777777" w:rsidR="00B523AD" w:rsidRDefault="0002666A">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Workforce Challenges</w:t>
            </w:r>
          </w:p>
        </w:tc>
        <w:tc>
          <w:tcPr>
            <w:tcW w:w="2400" w:type="dxa"/>
            <w:shd w:val="clear" w:color="auto" w:fill="auto"/>
            <w:tcMar>
              <w:top w:w="100" w:type="dxa"/>
              <w:left w:w="100" w:type="dxa"/>
              <w:bottom w:w="100" w:type="dxa"/>
              <w:right w:w="100" w:type="dxa"/>
            </w:tcMar>
          </w:tcPr>
          <w:p w14:paraId="448E29F9" w14:textId="77777777" w:rsidR="00B523AD" w:rsidRDefault="0002666A">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Recruitment Strategies</w:t>
            </w:r>
          </w:p>
        </w:tc>
        <w:tc>
          <w:tcPr>
            <w:tcW w:w="1935" w:type="dxa"/>
            <w:shd w:val="clear" w:color="auto" w:fill="auto"/>
            <w:tcMar>
              <w:top w:w="100" w:type="dxa"/>
              <w:left w:w="100" w:type="dxa"/>
              <w:bottom w:w="100" w:type="dxa"/>
              <w:right w:w="100" w:type="dxa"/>
            </w:tcMar>
          </w:tcPr>
          <w:p w14:paraId="1CED1C43" w14:textId="77777777" w:rsidR="00B523AD" w:rsidRDefault="0002666A">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w:t>
            </w:r>
          </w:p>
        </w:tc>
      </w:tr>
      <w:tr w:rsidR="00B523AD" w14:paraId="392F96BE" w14:textId="77777777">
        <w:tc>
          <w:tcPr>
            <w:tcW w:w="2160" w:type="dxa"/>
            <w:shd w:val="clear" w:color="auto" w:fill="auto"/>
            <w:tcMar>
              <w:top w:w="100" w:type="dxa"/>
              <w:left w:w="100" w:type="dxa"/>
              <w:bottom w:w="100" w:type="dxa"/>
              <w:right w:w="100" w:type="dxa"/>
            </w:tcMar>
          </w:tcPr>
          <w:p w14:paraId="7B8A3AA1" w14:textId="77777777" w:rsidR="00B523AD" w:rsidRDefault="0002666A">
            <w:pPr>
              <w:widowControl w:val="0"/>
              <w:numPr>
                <w:ilvl w:val="0"/>
                <w:numId w:val="1"/>
              </w:numPr>
              <w:pBdr>
                <w:top w:val="nil"/>
                <w:left w:val="nil"/>
                <w:bottom w:val="nil"/>
                <w:right w:val="nil"/>
                <w:between w:val="nil"/>
              </w:pBd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United Kingdom</w:t>
            </w:r>
          </w:p>
        </w:tc>
        <w:tc>
          <w:tcPr>
            <w:tcW w:w="2160" w:type="dxa"/>
            <w:shd w:val="clear" w:color="auto" w:fill="auto"/>
            <w:tcMar>
              <w:top w:w="100" w:type="dxa"/>
              <w:left w:w="100" w:type="dxa"/>
              <w:bottom w:w="100" w:type="dxa"/>
              <w:right w:w="100" w:type="dxa"/>
            </w:tcMar>
          </w:tcPr>
          <w:p w14:paraId="00F81B2B" w14:textId="77777777" w:rsidR="00B523AD" w:rsidRDefault="0002666A">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Chronic workforce shortages (110,000 NHS vacancies)</w:t>
            </w:r>
          </w:p>
        </w:tc>
        <w:tc>
          <w:tcPr>
            <w:tcW w:w="2400" w:type="dxa"/>
            <w:shd w:val="clear" w:color="auto" w:fill="auto"/>
            <w:tcMar>
              <w:top w:w="100" w:type="dxa"/>
              <w:left w:w="100" w:type="dxa"/>
              <w:bottom w:w="100" w:type="dxa"/>
              <w:right w:w="100" w:type="dxa"/>
            </w:tcMar>
          </w:tcPr>
          <w:p w14:paraId="4936EAA8" w14:textId="77777777" w:rsidR="00B523AD" w:rsidRDefault="0002666A">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Increased medical school placements, international recruitment, retention incentives</w:t>
            </w:r>
          </w:p>
        </w:tc>
        <w:tc>
          <w:tcPr>
            <w:tcW w:w="1935" w:type="dxa"/>
            <w:shd w:val="clear" w:color="auto" w:fill="auto"/>
            <w:tcMar>
              <w:top w:w="100" w:type="dxa"/>
              <w:left w:w="100" w:type="dxa"/>
              <w:bottom w:w="100" w:type="dxa"/>
              <w:right w:w="100" w:type="dxa"/>
            </w:tcMar>
          </w:tcPr>
          <w:p w14:paraId="5AD5050C" w14:textId="77777777" w:rsidR="00B523AD" w:rsidRDefault="0002666A">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(Campbell, 2022)</w:t>
            </w:r>
          </w:p>
        </w:tc>
      </w:tr>
      <w:tr w:rsidR="00B523AD" w14:paraId="31ACCAD5" w14:textId="77777777">
        <w:tc>
          <w:tcPr>
            <w:tcW w:w="2160" w:type="dxa"/>
            <w:shd w:val="clear" w:color="auto" w:fill="auto"/>
            <w:tcMar>
              <w:top w:w="100" w:type="dxa"/>
              <w:left w:w="100" w:type="dxa"/>
              <w:bottom w:w="100" w:type="dxa"/>
              <w:right w:w="100" w:type="dxa"/>
            </w:tcMar>
          </w:tcPr>
          <w:p w14:paraId="71B6DAC0" w14:textId="77777777" w:rsidR="00B523AD" w:rsidRDefault="0002666A">
            <w:pPr>
              <w:widowControl w:val="0"/>
              <w:numPr>
                <w:ilvl w:val="0"/>
                <w:numId w:val="1"/>
              </w:numPr>
              <w:pBdr>
                <w:top w:val="nil"/>
                <w:left w:val="nil"/>
                <w:bottom w:val="nil"/>
                <w:right w:val="nil"/>
                <w:between w:val="nil"/>
              </w:pBd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United States</w:t>
            </w:r>
          </w:p>
        </w:tc>
        <w:tc>
          <w:tcPr>
            <w:tcW w:w="2160" w:type="dxa"/>
            <w:shd w:val="clear" w:color="auto" w:fill="auto"/>
            <w:tcMar>
              <w:top w:w="100" w:type="dxa"/>
              <w:left w:w="100" w:type="dxa"/>
              <w:bottom w:w="100" w:type="dxa"/>
              <w:right w:w="100" w:type="dxa"/>
            </w:tcMar>
          </w:tcPr>
          <w:p w14:paraId="0EF2EEE4" w14:textId="77777777" w:rsidR="00B523AD" w:rsidRDefault="0002666A">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Dependence on foreign-trained professionals, visa restrictions limiting immigration</w:t>
            </w:r>
          </w:p>
        </w:tc>
        <w:tc>
          <w:tcPr>
            <w:tcW w:w="2400" w:type="dxa"/>
            <w:shd w:val="clear" w:color="auto" w:fill="auto"/>
            <w:tcMar>
              <w:top w:w="100" w:type="dxa"/>
              <w:left w:w="100" w:type="dxa"/>
              <w:bottom w:w="100" w:type="dxa"/>
              <w:right w:w="100" w:type="dxa"/>
            </w:tcMar>
          </w:tcPr>
          <w:p w14:paraId="18C34CF7" w14:textId="77777777" w:rsidR="00B523AD" w:rsidRDefault="0002666A">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Recruitment of healthcare workers from India and the Philippines</w:t>
            </w:r>
          </w:p>
        </w:tc>
        <w:tc>
          <w:tcPr>
            <w:tcW w:w="1935" w:type="dxa"/>
            <w:shd w:val="clear" w:color="auto" w:fill="auto"/>
            <w:tcMar>
              <w:top w:w="100" w:type="dxa"/>
              <w:left w:w="100" w:type="dxa"/>
              <w:bottom w:w="100" w:type="dxa"/>
              <w:right w:w="100" w:type="dxa"/>
            </w:tcMar>
          </w:tcPr>
          <w:p w14:paraId="176C52AF" w14:textId="77777777" w:rsidR="00B523AD" w:rsidRDefault="0002666A">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(Eugenio, 2024)</w:t>
            </w:r>
          </w:p>
        </w:tc>
      </w:tr>
      <w:tr w:rsidR="00B523AD" w14:paraId="11F9F758" w14:textId="77777777">
        <w:tc>
          <w:tcPr>
            <w:tcW w:w="2160" w:type="dxa"/>
            <w:shd w:val="clear" w:color="auto" w:fill="auto"/>
            <w:tcMar>
              <w:top w:w="100" w:type="dxa"/>
              <w:left w:w="100" w:type="dxa"/>
              <w:bottom w:w="100" w:type="dxa"/>
              <w:right w:w="100" w:type="dxa"/>
            </w:tcMar>
          </w:tcPr>
          <w:p w14:paraId="4CEE1D41" w14:textId="77777777" w:rsidR="00B523AD" w:rsidRDefault="0002666A">
            <w:pPr>
              <w:widowControl w:val="0"/>
              <w:numPr>
                <w:ilvl w:val="0"/>
                <w:numId w:val="1"/>
              </w:numPr>
              <w:pBdr>
                <w:top w:val="nil"/>
                <w:left w:val="nil"/>
                <w:bottom w:val="nil"/>
                <w:right w:val="nil"/>
                <w:between w:val="nil"/>
              </w:pBd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Germany</w:t>
            </w:r>
          </w:p>
        </w:tc>
        <w:tc>
          <w:tcPr>
            <w:tcW w:w="2160" w:type="dxa"/>
            <w:shd w:val="clear" w:color="auto" w:fill="auto"/>
            <w:tcMar>
              <w:top w:w="100" w:type="dxa"/>
              <w:left w:w="100" w:type="dxa"/>
              <w:bottom w:w="100" w:type="dxa"/>
              <w:right w:w="100" w:type="dxa"/>
            </w:tcMar>
          </w:tcPr>
          <w:p w14:paraId="65E51237" w14:textId="77777777" w:rsidR="00B523AD" w:rsidRDefault="0002666A">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Shortages, particularly in rural areas</w:t>
            </w:r>
          </w:p>
        </w:tc>
        <w:tc>
          <w:tcPr>
            <w:tcW w:w="2400" w:type="dxa"/>
            <w:shd w:val="clear" w:color="auto" w:fill="auto"/>
            <w:tcMar>
              <w:top w:w="100" w:type="dxa"/>
              <w:left w:w="100" w:type="dxa"/>
              <w:bottom w:w="100" w:type="dxa"/>
              <w:right w:w="100" w:type="dxa"/>
            </w:tcMar>
          </w:tcPr>
          <w:p w14:paraId="1FF8AC63" w14:textId="77777777" w:rsidR="00B523AD" w:rsidRDefault="0002666A">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Apprenticeship-based vocational training for healthcare professionals</w:t>
            </w:r>
          </w:p>
        </w:tc>
        <w:tc>
          <w:tcPr>
            <w:tcW w:w="1935" w:type="dxa"/>
            <w:shd w:val="clear" w:color="auto" w:fill="auto"/>
            <w:tcMar>
              <w:top w:w="100" w:type="dxa"/>
              <w:left w:w="100" w:type="dxa"/>
              <w:bottom w:w="100" w:type="dxa"/>
              <w:right w:w="100" w:type="dxa"/>
            </w:tcMar>
          </w:tcPr>
          <w:p w14:paraId="21FA14BA" w14:textId="77777777" w:rsidR="00B523AD" w:rsidRDefault="0002666A">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(monarchco.de, n.d.)</w:t>
            </w:r>
          </w:p>
        </w:tc>
      </w:tr>
    </w:tbl>
    <w:p w14:paraId="3D92A14B" w14:textId="77777777" w:rsidR="00B523AD" w:rsidRDefault="00B523AD">
      <w:pPr>
        <w:pBdr>
          <w:top w:val="nil"/>
          <w:left w:val="nil"/>
          <w:bottom w:val="nil"/>
          <w:right w:val="nil"/>
          <w:between w:val="nil"/>
        </w:pBdr>
        <w:spacing w:before="280" w:after="280" w:line="360" w:lineRule="auto"/>
        <w:ind w:left="720"/>
        <w:jc w:val="both"/>
        <w:rPr>
          <w:rFonts w:ascii="Times New Roman" w:eastAsia="Times New Roman" w:hAnsi="Times New Roman" w:cs="Times New Roman"/>
          <w:sz w:val="24"/>
          <w:szCs w:val="24"/>
        </w:rPr>
      </w:pPr>
    </w:p>
    <w:p w14:paraId="3D42882C" w14:textId="77777777" w:rsidR="00B523AD" w:rsidRDefault="0002666A">
      <w:pPr>
        <w:pStyle w:val="Heading2"/>
        <w:rPr>
          <w:color w:val="000000"/>
          <w:sz w:val="28"/>
          <w:szCs w:val="28"/>
        </w:rPr>
      </w:pPr>
      <w:bookmarkStart w:id="19" w:name="_oovevag4u4yz" w:colFirst="0" w:colLast="0"/>
      <w:bookmarkEnd w:id="19"/>
      <w:r>
        <w:rPr>
          <w:rFonts w:ascii="Times New Roman" w:eastAsia="Times New Roman" w:hAnsi="Times New Roman" w:cs="Times New Roman"/>
          <w:b/>
          <w:color w:val="000000"/>
          <w:sz w:val="28"/>
          <w:szCs w:val="28"/>
          <w:u w:val="single"/>
        </w:rPr>
        <w:t>Evaluating Solutions to Address Workforce Shortages</w:t>
      </w:r>
    </w:p>
    <w:p w14:paraId="3C6ED63A" w14:textId="77777777" w:rsidR="00B523AD" w:rsidRDefault="0002666A">
      <w:pPr>
        <w:numPr>
          <w:ilvl w:val="0"/>
          <w:numId w:val="3"/>
        </w:numPr>
        <w:pBdr>
          <w:top w:val="nil"/>
          <w:left w:val="nil"/>
          <w:bottom w:val="nil"/>
          <w:right w:val="nil"/>
          <w:between w:val="nil"/>
        </w:pBdr>
        <w:spacing w:before="280" w:after="28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Expanding Training and Education Programs</w:t>
      </w:r>
    </w:p>
    <w:p w14:paraId="031D4B89" w14:textId="77777777" w:rsidR="00B523AD" w:rsidRDefault="000266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One example of this that has worked well is Australia’s “Rural Clinical Schools” initiative, which has continuously increased the number of doctors in under-served areas through specific clinical training in rural contexts. (Australian Government Department of Health, 2023).</w:t>
      </w:r>
    </w:p>
    <w:p w14:paraId="15E77FCB" w14:textId="77777777" w:rsidR="00B523AD" w:rsidRDefault="0002666A">
      <w:pPr>
        <w:numPr>
          <w:ilvl w:val="0"/>
          <w:numId w:val="3"/>
        </w:numPr>
        <w:pBdr>
          <w:top w:val="nil"/>
          <w:left w:val="nil"/>
          <w:bottom w:val="nil"/>
          <w:right w:val="nil"/>
          <w:between w:val="nil"/>
        </w:pBdr>
        <w:spacing w:before="280" w:after="28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Improving Working Conditions and Retention Strategies</w:t>
      </w:r>
    </w:p>
    <w:p w14:paraId="6D1E4AFD" w14:textId="77777777" w:rsidR="00B523AD" w:rsidRDefault="0002666A">
      <w:pPr>
        <w:pBdr>
          <w:top w:val="nil"/>
          <w:left w:val="nil"/>
          <w:bottom w:val="nil"/>
          <w:right w:val="nil"/>
          <w:between w:val="nil"/>
        </w:pBdr>
        <w:spacing w:before="280" w:after="28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stem burnout and attrition, healthcare systems need to invest in good working conditions, mental health support, and competitive salaries for all employees. The Netherlands, for example, has implemented flexible working hours and improved nurse-to-patient ratios to relieve stress and significantly boost the job satisfaction of the staff. </w:t>
      </w:r>
    </w:p>
    <w:p w14:paraId="3E2FBE40" w14:textId="77777777" w:rsidR="00B523AD" w:rsidRDefault="0002666A">
      <w:pPr>
        <w:numPr>
          <w:ilvl w:val="0"/>
          <w:numId w:val="3"/>
        </w:numPr>
        <w:pBdr>
          <w:top w:val="nil"/>
          <w:left w:val="nil"/>
          <w:bottom w:val="nil"/>
          <w:right w:val="nil"/>
          <w:between w:val="nil"/>
        </w:pBdr>
        <w:spacing w:before="280" w:after="28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Leveraging Technology and Telemedicine</w:t>
      </w:r>
    </w:p>
    <w:p w14:paraId="48A27E22" w14:textId="77777777" w:rsidR="00B523AD" w:rsidRDefault="0002666A">
      <w:pPr>
        <w:pBdr>
          <w:top w:val="nil"/>
          <w:left w:val="nil"/>
          <w:bottom w:val="nil"/>
          <w:right w:val="nil"/>
          <w:between w:val="nil"/>
        </w:pBdr>
        <w:spacing w:before="280" w:after="28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Digital health solutions such as telemedicine and artificial intelligence-assisted diagnostics can address workforce shortages by allowing fewer professionals to treat patients more efficiently and effectively. The article discusses how telehealth services increased accessibility during the COVID-19 pandemic in Canada, especially in underserved rural areas. </w:t>
      </w:r>
    </w:p>
    <w:p w14:paraId="1CCDB2E0" w14:textId="77777777" w:rsidR="00B523AD" w:rsidRDefault="0002666A">
      <w:pPr>
        <w:numPr>
          <w:ilvl w:val="0"/>
          <w:numId w:val="3"/>
        </w:numPr>
        <w:pBdr>
          <w:top w:val="nil"/>
          <w:left w:val="nil"/>
          <w:bottom w:val="nil"/>
          <w:right w:val="nil"/>
          <w:between w:val="nil"/>
        </w:pBdr>
        <w:spacing w:before="280" w:after="28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Reforming Immigration Policies for Health Workers</w:t>
      </w:r>
    </w:p>
    <w:p w14:paraId="1A53EAA8" w14:textId="77777777" w:rsidR="00B523AD" w:rsidRDefault="0002666A">
      <w:pPr>
        <w:pBdr>
          <w:top w:val="nil"/>
          <w:left w:val="nil"/>
          <w:bottom w:val="nil"/>
          <w:right w:val="nil"/>
          <w:between w:val="nil"/>
        </w:pBdr>
        <w:spacing w:before="280" w:after="28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Since many countries depend on foreign-trained professionals, visa processes should be accelerated, and incentives should be created for foreign healthcare workers. The U.S., for example, introduced the “Healthcare Workforce Resilience Act,” which seeks to fast-track visas for doctors and nurses.</w:t>
      </w:r>
    </w:p>
    <w:p w14:paraId="205DFA1D" w14:textId="77777777" w:rsidR="00B523AD" w:rsidRDefault="0002666A">
      <w:pPr>
        <w:pStyle w:val="Heading1"/>
        <w:rPr>
          <w:rFonts w:ascii="Times New Roman" w:eastAsia="Times New Roman" w:hAnsi="Times New Roman" w:cs="Times New Roman"/>
          <w:b/>
          <w:color w:val="000000"/>
          <w:u w:val="single"/>
        </w:rPr>
      </w:pPr>
      <w:bookmarkStart w:id="20" w:name="_46xxdexsdtfw" w:colFirst="0" w:colLast="0"/>
      <w:bookmarkEnd w:id="20"/>
      <w:r>
        <w:rPr>
          <w:rFonts w:ascii="Times New Roman" w:eastAsia="Times New Roman" w:hAnsi="Times New Roman" w:cs="Times New Roman"/>
          <w:b/>
          <w:color w:val="000000"/>
          <w:u w:val="single"/>
        </w:rPr>
        <w:t>Conclusion and Recommendations</w:t>
      </w:r>
    </w:p>
    <w:p w14:paraId="5050DE29" w14:textId="6384F0CE" w:rsidR="00B523AD" w:rsidRDefault="006F0BF7">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All</w:t>
      </w:r>
      <w:r w:rsidR="0002666A">
        <w:rPr>
          <w:rFonts w:ascii="Times New Roman" w:eastAsia="Times New Roman" w:hAnsi="Times New Roman" w:cs="Times New Roman"/>
          <w:color w:val="000000"/>
          <w:sz w:val="24"/>
          <w:szCs w:val="24"/>
        </w:rPr>
        <w:t xml:space="preserve"> these factors play a role in access to health care, a central challenge that education and the workforce address systemically. Weaving together these themes—policy issues, health literacy, and workforce shortages—complicate equitable access to healthcare services, as this report clearly illustrates. And while some states and regions have made strides, major gaps </w:t>
      </w:r>
      <w:r>
        <w:rPr>
          <w:rFonts w:ascii="Times New Roman" w:eastAsia="Times New Roman" w:hAnsi="Times New Roman" w:cs="Times New Roman"/>
          <w:color w:val="000000"/>
          <w:sz w:val="24"/>
          <w:szCs w:val="24"/>
        </w:rPr>
        <w:t>remain,</w:t>
      </w:r>
      <w:r w:rsidR="0002666A">
        <w:rPr>
          <w:rFonts w:ascii="Times New Roman" w:eastAsia="Times New Roman" w:hAnsi="Times New Roman" w:cs="Times New Roman"/>
          <w:color w:val="000000"/>
          <w:sz w:val="24"/>
          <w:szCs w:val="24"/>
        </w:rPr>
        <w:t xml:space="preserve"> and people are still challenged to get timely, appropriate care.</w:t>
      </w:r>
    </w:p>
    <w:p w14:paraId="4967AA81" w14:textId="77777777" w:rsidR="00B523AD" w:rsidRDefault="0002666A">
      <w:pPr>
        <w:pStyle w:val="Heading2"/>
        <w:rPr>
          <w:rFonts w:ascii="Times New Roman" w:eastAsia="Times New Roman" w:hAnsi="Times New Roman" w:cs="Times New Roman"/>
          <w:b/>
          <w:color w:val="000000"/>
          <w:u w:val="single"/>
        </w:rPr>
      </w:pPr>
      <w:bookmarkStart w:id="21" w:name="_bmeiew7qzuwj" w:colFirst="0" w:colLast="0"/>
      <w:bookmarkEnd w:id="21"/>
      <w:r>
        <w:rPr>
          <w:rFonts w:ascii="Times New Roman" w:eastAsia="Times New Roman" w:hAnsi="Times New Roman" w:cs="Times New Roman"/>
          <w:b/>
          <w:color w:val="000000"/>
          <w:u w:val="single"/>
        </w:rPr>
        <w:t>Policy Recommendations</w:t>
      </w:r>
    </w:p>
    <w:p w14:paraId="2904E803" w14:textId="77777777" w:rsidR="00B523AD" w:rsidRDefault="000266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means universal health coverage (UHC) and more investment in health services. Many countries face a huge gap in the provision of these resources, with underserved areas unable to access them. Policy reforms should redistribute funding towards vulnerable populations and tailor health systems to regional needs. Universal Health Coverage (UHC) helps improve health and decrease disparities through equitable access to care without financial hardship, regardless of socioeconomic status.</w:t>
      </w:r>
    </w:p>
    <w:p w14:paraId="3C458A11" w14:textId="77777777" w:rsidR="00B523AD" w:rsidRDefault="000266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Implementation and Benefits:</w:t>
      </w:r>
      <w:r>
        <w:rPr>
          <w:rFonts w:ascii="Times New Roman" w:eastAsia="Times New Roman" w:hAnsi="Times New Roman" w:cs="Times New Roman"/>
          <w:color w:val="000000"/>
          <w:sz w:val="24"/>
          <w:szCs w:val="24"/>
        </w:rPr>
        <w:t xml:space="preserve"> Governments are urged to increase funding for public health and align health systems to address inequalities, including subsidizing services in less fortunate areas and incentivizing professionals to work in hard-to-reach areas. This will result in fairer access, healthier public health, and fewer diseases and deaths that could have been avoided.</w:t>
      </w:r>
    </w:p>
    <w:p w14:paraId="52CE72E2" w14:textId="77777777" w:rsidR="00B523AD" w:rsidRDefault="0002666A">
      <w:pPr>
        <w:pStyle w:val="Heading2"/>
        <w:rPr>
          <w:rFonts w:ascii="Times New Roman" w:eastAsia="Times New Roman" w:hAnsi="Times New Roman" w:cs="Times New Roman"/>
          <w:b/>
          <w:color w:val="000000"/>
          <w:u w:val="single"/>
        </w:rPr>
      </w:pPr>
      <w:bookmarkStart w:id="22" w:name="_obd603tvbtba" w:colFirst="0" w:colLast="0"/>
      <w:bookmarkEnd w:id="22"/>
      <w:r>
        <w:rPr>
          <w:rFonts w:ascii="Times New Roman" w:eastAsia="Times New Roman" w:hAnsi="Times New Roman" w:cs="Times New Roman"/>
          <w:b/>
          <w:color w:val="000000"/>
          <w:u w:val="single"/>
        </w:rPr>
        <w:lastRenderedPageBreak/>
        <w:t>Educational Recommendations</w:t>
      </w:r>
    </w:p>
    <w:p w14:paraId="551A3798" w14:textId="77777777" w:rsidR="00B523AD" w:rsidRDefault="000266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Enhancing health literacy is critical for enabling the public to comprehend healthcare choices and make informed choices. Those with low health literacy face challenges in navigating health systems and obtaining inferior health outcomes. This should also be complemented with a focus on the educational programs to improve this understanding.</w:t>
      </w:r>
    </w:p>
    <w:p w14:paraId="69D3A6D8" w14:textId="77777777" w:rsidR="00B523AD" w:rsidRDefault="0002666A">
      <w:pPr>
        <w:pBdr>
          <w:top w:val="nil"/>
          <w:left w:val="nil"/>
          <w:bottom w:val="nil"/>
          <w:right w:val="nil"/>
          <w:between w:val="nil"/>
        </w:pBdr>
        <w:spacing w:before="280" w:after="28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Implementation and Benefits: </w:t>
      </w:r>
      <w:r>
        <w:rPr>
          <w:rFonts w:ascii="Times New Roman" w:eastAsia="Times New Roman" w:hAnsi="Times New Roman" w:cs="Times New Roman"/>
          <w:color w:val="000000"/>
          <w:sz w:val="24"/>
          <w:szCs w:val="24"/>
        </w:rPr>
        <w:t>Health literacy needs to be taught to students of all ages. Methods such as “teach-back” will help improve patient understanding and encourage health-promoting behaviors if health professionals are trained to conduct the technique. Better health literacy enables patients to understand the healthcare system and their decisions about it, contributing to healthier societies</w:t>
      </w:r>
      <w:r>
        <w:rPr>
          <w:rFonts w:ascii="Times New Roman" w:eastAsia="Times New Roman" w:hAnsi="Times New Roman" w:cs="Times New Roman"/>
          <w:b/>
          <w:color w:val="000000"/>
          <w:sz w:val="24"/>
          <w:szCs w:val="24"/>
        </w:rPr>
        <w:t>.</w:t>
      </w:r>
    </w:p>
    <w:p w14:paraId="77B4AA7F" w14:textId="77777777" w:rsidR="00B523AD" w:rsidRDefault="0002666A">
      <w:pPr>
        <w:pStyle w:val="Heading2"/>
        <w:rPr>
          <w:rFonts w:ascii="Times New Roman" w:eastAsia="Times New Roman" w:hAnsi="Times New Roman" w:cs="Times New Roman"/>
          <w:b/>
          <w:color w:val="000000"/>
          <w:u w:val="single"/>
        </w:rPr>
      </w:pPr>
      <w:bookmarkStart w:id="23" w:name="_wcxtavliyn9b" w:colFirst="0" w:colLast="0"/>
      <w:bookmarkEnd w:id="23"/>
      <w:r>
        <w:rPr>
          <w:rFonts w:ascii="Times New Roman" w:eastAsia="Times New Roman" w:hAnsi="Times New Roman" w:cs="Times New Roman"/>
          <w:b/>
          <w:color w:val="000000"/>
          <w:u w:val="single"/>
        </w:rPr>
        <w:t>Workforce Recommendations</w:t>
      </w:r>
    </w:p>
    <w:p w14:paraId="68FDB7E8" w14:textId="77777777" w:rsidR="00B523AD" w:rsidRDefault="000266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Access to care is significantly affected by the healthcare worker shortage; patients experience longer wait times and poorer health outcomes. In response, governments and health organizations must increase training and education opportunities, provide more placements in medical schools, give scholarships in healthcare fields, and expand telemedicine to relieve pressure on existing staff.</w:t>
      </w:r>
    </w:p>
    <w:p w14:paraId="68851D2A" w14:textId="77777777" w:rsidR="00B523AD" w:rsidRDefault="000266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Implementation and Benefits:</w:t>
      </w:r>
      <w:r>
        <w:rPr>
          <w:rFonts w:ascii="Times New Roman" w:eastAsia="Times New Roman" w:hAnsi="Times New Roman" w:cs="Times New Roman"/>
          <w:color w:val="000000"/>
          <w:sz w:val="24"/>
          <w:szCs w:val="24"/>
        </w:rPr>
        <w:t xml:space="preserve"> Governments can also help grow the number of trained workers by offering incentives for people to enter healthcare careers and by expanding educational opportunities for health professionals. Such an approach would yield a stronger health workforce, decreased burnout, and better care for patients through appropriate staffing levels.</w:t>
      </w:r>
    </w:p>
    <w:p w14:paraId="55BCC4F3" w14:textId="77777777" w:rsidR="00B523AD" w:rsidRDefault="0002666A">
      <w:pPr>
        <w:pStyle w:val="Heading2"/>
        <w:rPr>
          <w:rFonts w:ascii="Times New Roman" w:eastAsia="Times New Roman" w:hAnsi="Times New Roman" w:cs="Times New Roman"/>
          <w:b/>
          <w:color w:val="000000"/>
          <w:u w:val="single"/>
        </w:rPr>
      </w:pPr>
      <w:bookmarkStart w:id="24" w:name="_6ao8qykbzhc7" w:colFirst="0" w:colLast="0"/>
      <w:bookmarkEnd w:id="24"/>
      <w:r>
        <w:rPr>
          <w:rFonts w:ascii="Times New Roman" w:eastAsia="Times New Roman" w:hAnsi="Times New Roman" w:cs="Times New Roman"/>
          <w:b/>
          <w:color w:val="000000"/>
          <w:u w:val="single"/>
        </w:rPr>
        <w:t>Relation to Original Inquiry</w:t>
      </w:r>
    </w:p>
    <w:p w14:paraId="45DC7F4F" w14:textId="77777777" w:rsidR="00B523AD" w:rsidRDefault="000266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original inquiry highlighted the issue of inadequate access to health care and called for reforms to address disparities in the system. Since the original inquiry, some improvements have been made in certain countries through the implementation of UHC and the adoption of digital health tools. However, workforce shortages and disparities in health literacy remain persistent issues that continue to affect access to care. While progress has been made, </w:t>
      </w:r>
      <w:proofErr w:type="gramStart"/>
      <w:r>
        <w:rPr>
          <w:rFonts w:ascii="Times New Roman" w:eastAsia="Times New Roman" w:hAnsi="Times New Roman" w:cs="Times New Roman"/>
          <w:color w:val="000000"/>
          <w:sz w:val="24"/>
          <w:szCs w:val="24"/>
        </w:rPr>
        <w:t>it is clear that more</w:t>
      </w:r>
      <w:proofErr w:type="gramEnd"/>
      <w:r>
        <w:rPr>
          <w:rFonts w:ascii="Times New Roman" w:eastAsia="Times New Roman" w:hAnsi="Times New Roman" w:cs="Times New Roman"/>
          <w:color w:val="000000"/>
          <w:sz w:val="24"/>
          <w:szCs w:val="24"/>
        </w:rPr>
        <w:t xml:space="preserve"> systemic changes are needed to ensure that healthcare access is equitable and sustainable for all individuals.</w:t>
      </w:r>
    </w:p>
    <w:p w14:paraId="370CDC28" w14:textId="77777777" w:rsidR="00B523AD" w:rsidRDefault="0002666A">
      <w:pPr>
        <w:pStyle w:val="Heading1"/>
        <w:rPr>
          <w:rFonts w:ascii="Times New Roman" w:eastAsia="Times New Roman" w:hAnsi="Times New Roman" w:cs="Times New Roman"/>
          <w:b/>
          <w:color w:val="000000"/>
          <w:sz w:val="28"/>
          <w:szCs w:val="28"/>
          <w:u w:val="single"/>
        </w:rPr>
      </w:pPr>
      <w:bookmarkStart w:id="25" w:name="_dlz8zl5spar9" w:colFirst="0" w:colLast="0"/>
      <w:bookmarkEnd w:id="25"/>
      <w:r>
        <w:rPr>
          <w:rFonts w:ascii="Times New Roman" w:eastAsia="Times New Roman" w:hAnsi="Times New Roman" w:cs="Times New Roman"/>
          <w:b/>
          <w:color w:val="000000"/>
          <w:sz w:val="28"/>
          <w:szCs w:val="28"/>
          <w:u w:val="single"/>
        </w:rPr>
        <w:lastRenderedPageBreak/>
        <w:t>Conclusion</w:t>
      </w:r>
    </w:p>
    <w:p w14:paraId="0366B7F0" w14:textId="77777777" w:rsidR="00B523AD" w:rsidRDefault="0002666A">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conclusion, addressing access to health care requires addressing policy, education, and workforce issues. Such shifts in education, policy, and practice are essential to making substantial progress toward universal healthcare access. These reforms would enhance the efficiency and equity of health systems, so no matter who one is, you will receive the treatment you need at the right time. Nonetheless, the dialogue and commitment to these reforms must continue: the topics discussed are not only relevant but largely in use today—the pressure is still on for governments and health organizations alike around the world to devote resources to these structural changes.</w:t>
      </w:r>
    </w:p>
    <w:p w14:paraId="16AB17A8" w14:textId="77777777" w:rsidR="00B523AD" w:rsidRDefault="00B523AD">
      <w:pPr>
        <w:spacing w:before="280" w:after="280" w:line="360" w:lineRule="auto"/>
        <w:jc w:val="both"/>
        <w:rPr>
          <w:rFonts w:ascii="Times New Roman" w:eastAsia="Times New Roman" w:hAnsi="Times New Roman" w:cs="Times New Roman"/>
          <w:sz w:val="24"/>
          <w:szCs w:val="24"/>
        </w:rPr>
      </w:pPr>
    </w:p>
    <w:p w14:paraId="3CB7349D" w14:textId="77777777" w:rsidR="00B523AD" w:rsidRDefault="00B523AD">
      <w:pPr>
        <w:spacing w:line="360" w:lineRule="auto"/>
        <w:rPr>
          <w:rFonts w:ascii="Times New Roman" w:eastAsia="Times New Roman" w:hAnsi="Times New Roman" w:cs="Times New Roman"/>
          <w:sz w:val="24"/>
          <w:szCs w:val="24"/>
        </w:rPr>
      </w:pPr>
    </w:p>
    <w:p w14:paraId="5B6A47CC" w14:textId="77777777" w:rsidR="00B523AD" w:rsidRDefault="00B523AD">
      <w:pPr>
        <w:spacing w:line="360" w:lineRule="auto"/>
        <w:rPr>
          <w:rFonts w:ascii="Times New Roman" w:eastAsia="Times New Roman" w:hAnsi="Times New Roman" w:cs="Times New Roman"/>
          <w:sz w:val="24"/>
          <w:szCs w:val="24"/>
        </w:rPr>
      </w:pPr>
    </w:p>
    <w:p w14:paraId="17513202" w14:textId="77777777" w:rsidR="00B523AD" w:rsidRDefault="00B523AD">
      <w:pPr>
        <w:spacing w:line="360" w:lineRule="auto"/>
        <w:rPr>
          <w:rFonts w:ascii="Times New Roman" w:eastAsia="Times New Roman" w:hAnsi="Times New Roman" w:cs="Times New Roman"/>
          <w:sz w:val="24"/>
          <w:szCs w:val="24"/>
        </w:rPr>
      </w:pPr>
    </w:p>
    <w:p w14:paraId="20F8227D" w14:textId="77777777" w:rsidR="00B523AD" w:rsidRDefault="00B523AD">
      <w:pPr>
        <w:spacing w:line="360" w:lineRule="auto"/>
        <w:rPr>
          <w:rFonts w:ascii="Times New Roman" w:eastAsia="Times New Roman" w:hAnsi="Times New Roman" w:cs="Times New Roman"/>
          <w:sz w:val="24"/>
          <w:szCs w:val="24"/>
        </w:rPr>
      </w:pPr>
    </w:p>
    <w:p w14:paraId="6A4FCBE1" w14:textId="77777777" w:rsidR="00B523AD" w:rsidRDefault="00B523AD">
      <w:pPr>
        <w:spacing w:line="360" w:lineRule="auto"/>
        <w:rPr>
          <w:rFonts w:ascii="Times New Roman" w:eastAsia="Times New Roman" w:hAnsi="Times New Roman" w:cs="Times New Roman"/>
          <w:sz w:val="24"/>
          <w:szCs w:val="24"/>
        </w:rPr>
      </w:pPr>
    </w:p>
    <w:p w14:paraId="124D78F7" w14:textId="77777777" w:rsidR="00B523AD" w:rsidRDefault="00B523AD">
      <w:pPr>
        <w:spacing w:line="360" w:lineRule="auto"/>
        <w:rPr>
          <w:rFonts w:ascii="Times New Roman" w:eastAsia="Times New Roman" w:hAnsi="Times New Roman" w:cs="Times New Roman"/>
          <w:sz w:val="24"/>
          <w:szCs w:val="24"/>
        </w:rPr>
      </w:pPr>
    </w:p>
    <w:p w14:paraId="412669BB" w14:textId="77777777" w:rsidR="00B523AD" w:rsidRDefault="00B523AD">
      <w:pPr>
        <w:spacing w:line="360" w:lineRule="auto"/>
        <w:rPr>
          <w:rFonts w:ascii="Times New Roman" w:eastAsia="Times New Roman" w:hAnsi="Times New Roman" w:cs="Times New Roman"/>
          <w:sz w:val="24"/>
          <w:szCs w:val="24"/>
        </w:rPr>
      </w:pPr>
    </w:p>
    <w:p w14:paraId="79B30824" w14:textId="77777777" w:rsidR="00B523AD" w:rsidRDefault="00B523AD">
      <w:pPr>
        <w:spacing w:line="360" w:lineRule="auto"/>
        <w:rPr>
          <w:rFonts w:ascii="Times New Roman" w:eastAsia="Times New Roman" w:hAnsi="Times New Roman" w:cs="Times New Roman"/>
          <w:sz w:val="24"/>
          <w:szCs w:val="24"/>
        </w:rPr>
      </w:pPr>
    </w:p>
    <w:p w14:paraId="644C4BC8" w14:textId="77777777" w:rsidR="00B523AD" w:rsidRDefault="00B523AD">
      <w:pPr>
        <w:spacing w:line="360" w:lineRule="auto"/>
        <w:rPr>
          <w:rFonts w:ascii="Times New Roman" w:eastAsia="Times New Roman" w:hAnsi="Times New Roman" w:cs="Times New Roman"/>
          <w:sz w:val="24"/>
          <w:szCs w:val="24"/>
        </w:rPr>
      </w:pPr>
    </w:p>
    <w:p w14:paraId="5E04177D" w14:textId="77777777" w:rsidR="00B523AD" w:rsidRDefault="00B523AD">
      <w:pPr>
        <w:spacing w:line="360" w:lineRule="auto"/>
        <w:rPr>
          <w:rFonts w:ascii="Times New Roman" w:eastAsia="Times New Roman" w:hAnsi="Times New Roman" w:cs="Times New Roman"/>
          <w:sz w:val="24"/>
          <w:szCs w:val="24"/>
        </w:rPr>
      </w:pPr>
    </w:p>
    <w:p w14:paraId="5E05FC76" w14:textId="77777777" w:rsidR="00B523AD" w:rsidRDefault="00B523AD">
      <w:pPr>
        <w:spacing w:line="360" w:lineRule="auto"/>
        <w:rPr>
          <w:rFonts w:ascii="Times New Roman" w:eastAsia="Times New Roman" w:hAnsi="Times New Roman" w:cs="Times New Roman"/>
          <w:sz w:val="24"/>
          <w:szCs w:val="24"/>
        </w:rPr>
      </w:pPr>
    </w:p>
    <w:p w14:paraId="26B323D8" w14:textId="77777777" w:rsidR="00B523AD" w:rsidRDefault="0002666A">
      <w:pPr>
        <w:pStyle w:val="Heading1"/>
        <w:rPr>
          <w:rFonts w:ascii="Times New Roman" w:eastAsia="Times New Roman" w:hAnsi="Times New Roman" w:cs="Times New Roman"/>
          <w:b/>
          <w:color w:val="000000"/>
          <w:u w:val="single"/>
        </w:rPr>
      </w:pPr>
      <w:bookmarkStart w:id="26" w:name="_awwgtj5fx20j" w:colFirst="0" w:colLast="0"/>
      <w:bookmarkEnd w:id="26"/>
      <w:r>
        <w:rPr>
          <w:rFonts w:ascii="Times New Roman" w:eastAsia="Times New Roman" w:hAnsi="Times New Roman" w:cs="Times New Roman"/>
          <w:b/>
          <w:color w:val="000000"/>
          <w:u w:val="single"/>
        </w:rPr>
        <w:t xml:space="preserve">References </w:t>
      </w:r>
    </w:p>
    <w:p w14:paraId="4172DB4D" w14:textId="77777777" w:rsidR="00B523AD" w:rsidRDefault="00B523AD">
      <w:pPr>
        <w:spacing w:after="0"/>
        <w:jc w:val="both"/>
        <w:rPr>
          <w:rFonts w:ascii="Times New Roman" w:eastAsia="Times New Roman" w:hAnsi="Times New Roman" w:cs="Times New Roman"/>
          <w:b/>
          <w:color w:val="000000"/>
          <w:u w:val="single"/>
        </w:rPr>
      </w:pPr>
    </w:p>
    <w:p w14:paraId="6E53FDE6"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Health.gov. (2015). </w:t>
      </w:r>
      <w:r>
        <w:rPr>
          <w:rFonts w:ascii="Times New Roman" w:eastAsia="Times New Roman" w:hAnsi="Times New Roman" w:cs="Times New Roman"/>
          <w:i/>
          <w:color w:val="000000"/>
        </w:rPr>
        <w:t>Access to Health Services - Healthy People 2030 | odphp.health.gov</w:t>
      </w:r>
      <w:r>
        <w:rPr>
          <w:rFonts w:ascii="Times New Roman" w:eastAsia="Times New Roman" w:hAnsi="Times New Roman" w:cs="Times New Roman"/>
          <w:color w:val="000000"/>
        </w:rPr>
        <w:t xml:space="preserve">. </w:t>
      </w:r>
    </w:p>
    <w:p w14:paraId="27405419" w14:textId="77777777" w:rsidR="00B523AD" w:rsidRDefault="00B523AD">
      <w:pPr>
        <w:pBdr>
          <w:top w:val="nil"/>
          <w:left w:val="nil"/>
          <w:bottom w:val="nil"/>
          <w:right w:val="nil"/>
          <w:between w:val="nil"/>
        </w:pBdr>
        <w:spacing w:after="0"/>
        <w:ind w:left="720"/>
        <w:jc w:val="both"/>
        <w:rPr>
          <w:rFonts w:ascii="Times New Roman" w:eastAsia="Times New Roman" w:hAnsi="Times New Roman" w:cs="Times New Roman"/>
          <w:color w:val="000000"/>
        </w:rPr>
      </w:pPr>
    </w:p>
    <w:p w14:paraId="69E6FA01"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Institute of Medicine (US) Committee on Monitoring Access to Personal Health Care Services (1993). </w:t>
      </w:r>
      <w:r>
        <w:rPr>
          <w:rFonts w:ascii="Times New Roman" w:eastAsia="Times New Roman" w:hAnsi="Times New Roman" w:cs="Times New Roman"/>
          <w:i/>
          <w:color w:val="000000"/>
        </w:rPr>
        <w:t>Access to Health Care in America</w:t>
      </w:r>
      <w:r>
        <w:rPr>
          <w:rFonts w:ascii="Times New Roman" w:eastAsia="Times New Roman" w:hAnsi="Times New Roman" w:cs="Times New Roman"/>
          <w:color w:val="000000"/>
        </w:rPr>
        <w:t>. [online] </w:t>
      </w:r>
      <w:r>
        <w:rPr>
          <w:rFonts w:ascii="Times New Roman" w:eastAsia="Times New Roman" w:hAnsi="Times New Roman" w:cs="Times New Roman"/>
          <w:i/>
          <w:color w:val="000000"/>
        </w:rPr>
        <w:t>PubMed</w:t>
      </w:r>
      <w:r>
        <w:rPr>
          <w:rFonts w:ascii="Times New Roman" w:eastAsia="Times New Roman" w:hAnsi="Times New Roman" w:cs="Times New Roman"/>
          <w:color w:val="000000"/>
        </w:rPr>
        <w:t>. Washington (DC): National Academies Press (US).</w:t>
      </w:r>
    </w:p>
    <w:p w14:paraId="5D11D7AC"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108BBD20"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Moore, K. (2012). Manners: Violence, lack of etiquette, history. </w:t>
      </w:r>
      <w:r>
        <w:rPr>
          <w:rFonts w:ascii="Times New Roman" w:eastAsia="Times New Roman" w:hAnsi="Times New Roman" w:cs="Times New Roman"/>
          <w:i/>
          <w:color w:val="000000"/>
        </w:rPr>
        <w:t>Times Union</w:t>
      </w:r>
      <w:r>
        <w:rPr>
          <w:rFonts w:ascii="Times New Roman" w:eastAsia="Times New Roman" w:hAnsi="Times New Roman" w:cs="Times New Roman"/>
          <w:color w:val="000000"/>
        </w:rPr>
        <w:t xml:space="preserve">. [online] </w:t>
      </w:r>
      <w:proofErr w:type="gramStart"/>
      <w:r>
        <w:rPr>
          <w:rFonts w:ascii="Times New Roman" w:eastAsia="Times New Roman" w:hAnsi="Times New Roman" w:cs="Times New Roman"/>
          <w:color w:val="000000"/>
        </w:rPr>
        <w:t>doi:https://doi.org/10.9669.452-1.41205-.119-.03923-.457%201.41208z</w:t>
      </w:r>
      <w:proofErr w:type="gramEnd"/>
      <w:r>
        <w:rPr>
          <w:rFonts w:ascii="Times New Roman" w:eastAsia="Times New Roman" w:hAnsi="Times New Roman" w:cs="Times New Roman"/>
          <w:color w:val="000000"/>
        </w:rPr>
        <w:t>.</w:t>
      </w:r>
    </w:p>
    <w:p w14:paraId="5BE32DB8"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355DD56B"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Hearne, S.A. (2008). Practice-Based Teaching for Health Policy Action and Advocacy. </w:t>
      </w:r>
      <w:r>
        <w:rPr>
          <w:rFonts w:ascii="Times New Roman" w:eastAsia="Times New Roman" w:hAnsi="Times New Roman" w:cs="Times New Roman"/>
          <w:i/>
          <w:color w:val="000000"/>
        </w:rPr>
        <w:t>Public Health Reports</w:t>
      </w:r>
      <w:r>
        <w:rPr>
          <w:rFonts w:ascii="Times New Roman" w:eastAsia="Times New Roman" w:hAnsi="Times New Roman" w:cs="Times New Roman"/>
          <w:color w:val="000000"/>
        </w:rPr>
        <w:t xml:space="preserve">, 123(2_suppl), pp.65–70. </w:t>
      </w:r>
    </w:p>
    <w:p w14:paraId="6BD14116"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55BAD350"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ASPE. (2025). </w:t>
      </w:r>
      <w:r>
        <w:rPr>
          <w:rFonts w:ascii="Times New Roman" w:eastAsia="Times New Roman" w:hAnsi="Times New Roman" w:cs="Times New Roman"/>
          <w:i/>
          <w:color w:val="000000"/>
        </w:rPr>
        <w:t>Federal Programs and Policies Improving Access to Quality Health Care Services in Underserved Areas</w:t>
      </w:r>
      <w:r>
        <w:rPr>
          <w:rFonts w:ascii="Times New Roman" w:eastAsia="Times New Roman" w:hAnsi="Times New Roman" w:cs="Times New Roman"/>
          <w:color w:val="000000"/>
        </w:rPr>
        <w:t xml:space="preserve">. [online] Available at: </w:t>
      </w:r>
      <w:hyperlink r:id="rId17">
        <w:r>
          <w:rPr>
            <w:rFonts w:ascii="Times New Roman" w:eastAsia="Times New Roman" w:hAnsi="Times New Roman" w:cs="Times New Roman"/>
            <w:color w:val="0000FF"/>
            <w:u w:val="single"/>
          </w:rPr>
          <w:t>https://aspe.hhs.gov/topics/health-health-care/federal-programs-policies-improving-access-quality-health-care-services-underserved-areas?utm</w:t>
        </w:r>
      </w:hyperlink>
    </w:p>
    <w:p w14:paraId="7B499AAC"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51BFA6EE"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ChenMed (2019). </w:t>
      </w:r>
      <w:r>
        <w:rPr>
          <w:rFonts w:ascii="Times New Roman" w:eastAsia="Times New Roman" w:hAnsi="Times New Roman" w:cs="Times New Roman"/>
          <w:i/>
          <w:color w:val="000000"/>
        </w:rPr>
        <w:t>What Healthcare Disparities Exist in the United States?</w:t>
      </w:r>
      <w:r>
        <w:rPr>
          <w:rFonts w:ascii="Times New Roman" w:eastAsia="Times New Roman" w:hAnsi="Times New Roman" w:cs="Times New Roman"/>
          <w:color w:val="000000"/>
        </w:rPr>
        <w:t xml:space="preserve"> [online] ChenMed. Available at: </w:t>
      </w:r>
      <w:hyperlink r:id="rId18">
        <w:r>
          <w:rPr>
            <w:rFonts w:ascii="Times New Roman" w:eastAsia="Times New Roman" w:hAnsi="Times New Roman" w:cs="Times New Roman"/>
            <w:color w:val="0000FF"/>
            <w:u w:val="single"/>
          </w:rPr>
          <w:t>https://www.chenmed.com/blog/what-healthcare-disparities-exist-united-states?utm</w:t>
        </w:r>
      </w:hyperlink>
    </w:p>
    <w:p w14:paraId="4073C843" w14:textId="77777777" w:rsidR="00B523AD" w:rsidRDefault="00B523AD">
      <w:pPr>
        <w:pBdr>
          <w:top w:val="nil"/>
          <w:left w:val="nil"/>
          <w:bottom w:val="nil"/>
          <w:right w:val="nil"/>
          <w:between w:val="nil"/>
        </w:pBdr>
        <w:spacing w:after="0"/>
        <w:ind w:left="720"/>
        <w:rPr>
          <w:color w:val="000000"/>
        </w:rPr>
      </w:pPr>
    </w:p>
    <w:p w14:paraId="34D676FA" w14:textId="37508472"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color w:val="000000"/>
        </w:rPr>
        <w:t>Advancing Racial Equity in U.S. Health Care. (2024). </w:t>
      </w:r>
      <w:r>
        <w:rPr>
          <w:i/>
          <w:color w:val="000000"/>
        </w:rPr>
        <w:t>Commonwealthfund.org</w:t>
      </w:r>
      <w:r>
        <w:rPr>
          <w:color w:val="000000"/>
        </w:rPr>
        <w:t xml:space="preserve">. [online] </w:t>
      </w:r>
      <w:r w:rsidR="00D13C94">
        <w:rPr>
          <w:color w:val="000000"/>
        </w:rPr>
        <w:t>Doi: HTTPs</w:t>
      </w:r>
      <w:r>
        <w:rPr>
          <w:color w:val="000000"/>
        </w:rPr>
        <w:t>://doi.org/10.26099/vw02-fa96.</w:t>
      </w:r>
    </w:p>
    <w:p w14:paraId="229F16FC"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4C4183EF"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Ruralhealthinfo.org. (2019). </w:t>
      </w:r>
      <w:r>
        <w:rPr>
          <w:rFonts w:ascii="Times New Roman" w:eastAsia="Times New Roman" w:hAnsi="Times New Roman" w:cs="Times New Roman"/>
          <w:i/>
          <w:color w:val="000000"/>
        </w:rPr>
        <w:t>Healthcare Access in Rural Communities Overview - Rural Health Information Hub</w:t>
      </w:r>
      <w:r>
        <w:rPr>
          <w:rFonts w:ascii="Times New Roman" w:eastAsia="Times New Roman" w:hAnsi="Times New Roman" w:cs="Times New Roman"/>
          <w:color w:val="000000"/>
        </w:rPr>
        <w:t xml:space="preserve">. [online] Available at: </w:t>
      </w:r>
      <w:hyperlink r:id="rId19">
        <w:r>
          <w:rPr>
            <w:rFonts w:ascii="Times New Roman" w:eastAsia="Times New Roman" w:hAnsi="Times New Roman" w:cs="Times New Roman"/>
            <w:color w:val="0000FF"/>
            <w:u w:val="single"/>
          </w:rPr>
          <w:t>https://www.ruralhealthinfo.org/topics/healthcare-access?utm</w:t>
        </w:r>
      </w:hyperlink>
      <w:r>
        <w:rPr>
          <w:color w:val="000000"/>
          <w:sz w:val="27"/>
          <w:szCs w:val="27"/>
        </w:rPr>
        <w:t>.</w:t>
      </w:r>
    </w:p>
    <w:p w14:paraId="086F3F1F"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2ED52CD4"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Health.gov. (2020). </w:t>
      </w:r>
      <w:r>
        <w:rPr>
          <w:rFonts w:ascii="Times New Roman" w:eastAsia="Times New Roman" w:hAnsi="Times New Roman" w:cs="Times New Roman"/>
          <w:i/>
          <w:color w:val="000000"/>
        </w:rPr>
        <w:t>Access to Primary Care - Healthy People 2030 | odphp.health.gov</w:t>
      </w:r>
      <w:r>
        <w:rPr>
          <w:rFonts w:ascii="Times New Roman" w:eastAsia="Times New Roman" w:hAnsi="Times New Roman" w:cs="Times New Roman"/>
          <w:color w:val="000000"/>
        </w:rPr>
        <w:t xml:space="preserve">. [online] Available at: </w:t>
      </w:r>
    </w:p>
    <w:p w14:paraId="43258D11"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12A1AD08"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Gregory, S.Y. (2023). </w:t>
      </w:r>
      <w:r>
        <w:rPr>
          <w:rFonts w:ascii="Times New Roman" w:eastAsia="Times New Roman" w:hAnsi="Times New Roman" w:cs="Times New Roman"/>
          <w:i/>
          <w:color w:val="000000"/>
        </w:rPr>
        <w:t>A Look Inside the LGBTQ+ Breast Cancer Diagnosis Gap</w:t>
      </w:r>
      <w:r>
        <w:rPr>
          <w:rFonts w:ascii="Times New Roman" w:eastAsia="Times New Roman" w:hAnsi="Times New Roman" w:cs="Times New Roman"/>
          <w:color w:val="000000"/>
        </w:rPr>
        <w:t xml:space="preserve">. [online] Popsugar. Available at: </w:t>
      </w:r>
      <w:hyperlink r:id="rId20">
        <w:r>
          <w:rPr>
            <w:rFonts w:ascii="Times New Roman" w:eastAsia="Times New Roman" w:hAnsi="Times New Roman" w:cs="Times New Roman"/>
            <w:color w:val="0000FF"/>
            <w:u w:val="single"/>
          </w:rPr>
          <w:t>https://www.popsugar.com/health/lgbtq-breast-cancer-diagnosis-49259821</w:t>
        </w:r>
      </w:hyperlink>
      <w:r>
        <w:rPr>
          <w:rFonts w:ascii="Times New Roman" w:eastAsia="Times New Roman" w:hAnsi="Times New Roman" w:cs="Times New Roman"/>
          <w:color w:val="000000"/>
        </w:rPr>
        <w:t>.</w:t>
      </w:r>
    </w:p>
    <w:p w14:paraId="5F77B5F0"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0E8BB492"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Who.int. (2025). </w:t>
      </w:r>
      <w:r>
        <w:rPr>
          <w:rFonts w:ascii="Times New Roman" w:eastAsia="Times New Roman" w:hAnsi="Times New Roman" w:cs="Times New Roman"/>
          <w:i/>
          <w:color w:val="000000"/>
        </w:rPr>
        <w:t>Detail</w:t>
      </w:r>
      <w:r>
        <w:rPr>
          <w:rFonts w:ascii="Times New Roman" w:eastAsia="Times New Roman" w:hAnsi="Times New Roman" w:cs="Times New Roman"/>
          <w:color w:val="000000"/>
        </w:rPr>
        <w:t xml:space="preserve">. [online] Available at: </w:t>
      </w:r>
      <w:hyperlink r:id="rId21">
        <w:r>
          <w:rPr>
            <w:rFonts w:ascii="Times New Roman" w:eastAsia="Times New Roman" w:hAnsi="Times New Roman" w:cs="Times New Roman"/>
            <w:color w:val="0000FF"/>
            <w:u w:val="single"/>
          </w:rPr>
          <w:t>https://www.who.int/news-room/fact-sheets/detail/universal-health-coverage?utm</w:t>
        </w:r>
      </w:hyperlink>
      <w:r>
        <w:rPr>
          <w:rFonts w:ascii="Times New Roman" w:eastAsia="Times New Roman" w:hAnsi="Times New Roman" w:cs="Times New Roman"/>
          <w:color w:val="000000"/>
        </w:rPr>
        <w:t>.</w:t>
      </w:r>
    </w:p>
    <w:p w14:paraId="209B0C99"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773F0EF6" w14:textId="0B044E02"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Zieff, G., Kerr, Z., Moore, J. and Stoner, L. (2020). Universal Healthcare in the United States of America: A Healthy Debate. </w:t>
      </w:r>
      <w:r>
        <w:rPr>
          <w:rFonts w:ascii="Times New Roman" w:eastAsia="Times New Roman" w:hAnsi="Times New Roman" w:cs="Times New Roman"/>
          <w:i/>
          <w:color w:val="000000"/>
        </w:rPr>
        <w:t>Medicina</w:t>
      </w:r>
      <w:r>
        <w:rPr>
          <w:rFonts w:ascii="Times New Roman" w:eastAsia="Times New Roman" w:hAnsi="Times New Roman" w:cs="Times New Roman"/>
          <w:color w:val="000000"/>
        </w:rPr>
        <w:t xml:space="preserve">, [online] 56(11). </w:t>
      </w:r>
      <w:r w:rsidR="00D13C94">
        <w:rPr>
          <w:rFonts w:ascii="Times New Roman" w:eastAsia="Times New Roman" w:hAnsi="Times New Roman" w:cs="Times New Roman"/>
          <w:color w:val="000000"/>
        </w:rPr>
        <w:t>Doi: https</w:t>
      </w:r>
      <w:r>
        <w:rPr>
          <w:rFonts w:ascii="Times New Roman" w:eastAsia="Times New Roman" w:hAnsi="Times New Roman" w:cs="Times New Roman"/>
          <w:color w:val="000000"/>
        </w:rPr>
        <w:t>://doi.org/10.3390/medicina56110580.</w:t>
      </w:r>
    </w:p>
    <w:p w14:paraId="492DFB36"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040B2C99"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NHS England (2019). </w:t>
      </w:r>
      <w:r>
        <w:rPr>
          <w:rFonts w:ascii="Times New Roman" w:eastAsia="Times New Roman" w:hAnsi="Times New Roman" w:cs="Times New Roman"/>
          <w:i/>
          <w:color w:val="000000"/>
        </w:rPr>
        <w:t>NHS Long Term Plan</w:t>
      </w:r>
      <w:r>
        <w:rPr>
          <w:rFonts w:ascii="Times New Roman" w:eastAsia="Times New Roman" w:hAnsi="Times New Roman" w:cs="Times New Roman"/>
          <w:color w:val="000000"/>
        </w:rPr>
        <w:t xml:space="preserve">. [online] England.nhs.uk. Available at: </w:t>
      </w:r>
      <w:hyperlink r:id="rId22">
        <w:r>
          <w:rPr>
            <w:rFonts w:ascii="Times New Roman" w:eastAsia="Times New Roman" w:hAnsi="Times New Roman" w:cs="Times New Roman"/>
            <w:color w:val="0000FF"/>
            <w:u w:val="single"/>
          </w:rPr>
          <w:t>https://www.england.nhs.uk/long-term-plan/</w:t>
        </w:r>
      </w:hyperlink>
      <w:r>
        <w:rPr>
          <w:rFonts w:ascii="Times New Roman" w:eastAsia="Times New Roman" w:hAnsi="Times New Roman" w:cs="Times New Roman"/>
          <w:color w:val="000000"/>
        </w:rPr>
        <w:t>.</w:t>
      </w:r>
    </w:p>
    <w:p w14:paraId="3BBAA53A"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02616C07"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Apha.org. (2022). </w:t>
      </w:r>
      <w:r>
        <w:rPr>
          <w:rFonts w:ascii="Times New Roman" w:eastAsia="Times New Roman" w:hAnsi="Times New Roman" w:cs="Times New Roman"/>
          <w:i/>
          <w:color w:val="000000"/>
        </w:rPr>
        <w:t>Health Equity</w:t>
      </w:r>
      <w:r>
        <w:rPr>
          <w:rFonts w:ascii="Times New Roman" w:eastAsia="Times New Roman" w:hAnsi="Times New Roman" w:cs="Times New Roman"/>
          <w:color w:val="000000"/>
        </w:rPr>
        <w:t>. [online] Available at: http://apha.org/topics-and-issues/health-equity [Accessed 19 Mar. 2025].</w:t>
      </w:r>
    </w:p>
    <w:p w14:paraId="6E7A06BB"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5A612AFF"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Schäbler, S., Amatobi, K.M., Horn, M., Rieger, D., Helfrich-Förster, C., Mueller, M.J., Wegener, C. and Fekete, A. (2020). Loss of function in the Drosophila clock gene period results in altered intermediary lipid metabolism and increased susceptibility to starvation. </w:t>
      </w:r>
      <w:r>
        <w:rPr>
          <w:rFonts w:ascii="Times New Roman" w:eastAsia="Times New Roman" w:hAnsi="Times New Roman" w:cs="Times New Roman"/>
          <w:i/>
          <w:color w:val="000000"/>
        </w:rPr>
        <w:t>Cellular and Molecular Life Sciences</w:t>
      </w:r>
      <w:r>
        <w:rPr>
          <w:rFonts w:ascii="Times New Roman" w:eastAsia="Times New Roman" w:hAnsi="Times New Roman" w:cs="Times New Roman"/>
          <w:color w:val="000000"/>
        </w:rPr>
        <w:t>, 77(23), pp.4939–4956.</w:t>
      </w:r>
    </w:p>
    <w:p w14:paraId="5CBB5B2A"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1AA554FE"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Coughlin, S.S., Vernon, M., Christos Hatzigeorgiou and George, V. (2020). Health Literacy, Social Determinants of Health, and Disease Prevention and Control. </w:t>
      </w:r>
      <w:r>
        <w:rPr>
          <w:rFonts w:ascii="Times New Roman" w:eastAsia="Times New Roman" w:hAnsi="Times New Roman" w:cs="Times New Roman"/>
          <w:i/>
          <w:color w:val="000000"/>
        </w:rPr>
        <w:t>Journal of Environment and Health Sciences</w:t>
      </w:r>
      <w:r>
        <w:rPr>
          <w:rFonts w:ascii="Times New Roman" w:eastAsia="Times New Roman" w:hAnsi="Times New Roman" w:cs="Times New Roman"/>
          <w:color w:val="000000"/>
        </w:rPr>
        <w:t>, [online] 6(1), p.3061.</w:t>
      </w:r>
    </w:p>
    <w:p w14:paraId="53BA5BFB"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2F677F81"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Public Health England (2015). Local action on health inequalities. [online] Available at: </w:t>
      </w:r>
      <w:hyperlink r:id="rId23">
        <w:r>
          <w:rPr>
            <w:rFonts w:ascii="Times New Roman" w:eastAsia="Times New Roman" w:hAnsi="Times New Roman" w:cs="Times New Roman"/>
            <w:color w:val="0000FF"/>
            <w:u w:val="single"/>
          </w:rPr>
          <w:t>https://assets.publishing.service.gov.uk/media/5a7f46f240f0b6230268e865/4a_Health_Literacy-Full.pdf</w:t>
        </w:r>
      </w:hyperlink>
      <w:r>
        <w:rPr>
          <w:rFonts w:ascii="Times New Roman" w:eastAsia="Times New Roman" w:hAnsi="Times New Roman" w:cs="Times New Roman"/>
          <w:color w:val="000000"/>
        </w:rPr>
        <w:t>.</w:t>
      </w:r>
    </w:p>
    <w:p w14:paraId="3093511B"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1E9B3919" w14:textId="3EA33121"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Auld, M.E., Allen, M.P., Hampton, C., Montes, J.H., Sherry, C., Mickalide, A.D., Logan, R.A., Alvarado-Little, W. and Parson, K. (2020). Health Literacy and Health Education in Schools: Collaboration for Action. </w:t>
      </w:r>
      <w:r>
        <w:rPr>
          <w:rFonts w:ascii="Times New Roman" w:eastAsia="Times New Roman" w:hAnsi="Times New Roman" w:cs="Times New Roman"/>
          <w:i/>
          <w:color w:val="000000"/>
        </w:rPr>
        <w:t>NAM Perspectives</w:t>
      </w:r>
      <w:r>
        <w:rPr>
          <w:rFonts w:ascii="Times New Roman" w:eastAsia="Times New Roman" w:hAnsi="Times New Roman" w:cs="Times New Roman"/>
          <w:color w:val="000000"/>
        </w:rPr>
        <w:t xml:space="preserve">. [online] </w:t>
      </w:r>
      <w:r w:rsidR="00D13C94">
        <w:rPr>
          <w:rFonts w:ascii="Times New Roman" w:eastAsia="Times New Roman" w:hAnsi="Times New Roman" w:cs="Times New Roman"/>
          <w:color w:val="000000"/>
        </w:rPr>
        <w:t>Doi: HTTPs</w:t>
      </w:r>
      <w:r>
        <w:rPr>
          <w:rFonts w:ascii="Times New Roman" w:eastAsia="Times New Roman" w:hAnsi="Times New Roman" w:cs="Times New Roman"/>
          <w:color w:val="000000"/>
        </w:rPr>
        <w:t>://doi.org/10.31478/202007b.</w:t>
      </w:r>
    </w:p>
    <w:p w14:paraId="43EA4814"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0DDBF27F"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Vass, A., Mitchell, A. and Dhurrkay, Y. (2011) 'Health literacy and Australian Indigenous peoples: an analysis of the role of language and worldview,' </w:t>
      </w:r>
      <w:r>
        <w:rPr>
          <w:rFonts w:ascii="Times New Roman" w:eastAsia="Times New Roman" w:hAnsi="Times New Roman" w:cs="Times New Roman"/>
          <w:i/>
          <w:color w:val="000000"/>
        </w:rPr>
        <w:t>Health Promotion Journal of Australia</w:t>
      </w:r>
      <w:r>
        <w:rPr>
          <w:rFonts w:ascii="Times New Roman" w:eastAsia="Times New Roman" w:hAnsi="Times New Roman" w:cs="Times New Roman"/>
          <w:color w:val="000000"/>
        </w:rPr>
        <w:t>, 22(1), pp. 33–37.</w:t>
      </w:r>
    </w:p>
    <w:p w14:paraId="49F2B3B3" w14:textId="77777777" w:rsidR="00B523AD" w:rsidRDefault="00B523AD">
      <w:pPr>
        <w:pBdr>
          <w:top w:val="nil"/>
          <w:left w:val="nil"/>
          <w:bottom w:val="nil"/>
          <w:right w:val="nil"/>
          <w:between w:val="nil"/>
        </w:pBdr>
        <w:spacing w:after="0"/>
        <w:ind w:left="720"/>
        <w:rPr>
          <w:color w:val="000000"/>
        </w:rPr>
      </w:pPr>
    </w:p>
    <w:p w14:paraId="7EE4B164"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color w:val="000000"/>
        </w:rPr>
        <w:t xml:space="preserve"> Shamsi, H.A. </w:t>
      </w:r>
      <w:r>
        <w:rPr>
          <w:i/>
          <w:color w:val="000000"/>
        </w:rPr>
        <w:t>et al.</w:t>
      </w:r>
      <w:r>
        <w:rPr>
          <w:color w:val="000000"/>
        </w:rPr>
        <w:t xml:space="preserve"> (2020) 'Implications of Language Barriers for Healthcare: A Systematic Review,' </w:t>
      </w:r>
      <w:r>
        <w:rPr>
          <w:i/>
          <w:color w:val="000000"/>
        </w:rPr>
        <w:t>Oman Medical Journal</w:t>
      </w:r>
      <w:r>
        <w:rPr>
          <w:color w:val="000000"/>
        </w:rPr>
        <w:t xml:space="preserve">, 35(2), p. e122. </w:t>
      </w:r>
      <w:hyperlink r:id="rId24">
        <w:r>
          <w:rPr>
            <w:color w:val="0000FF"/>
            <w:u w:val="single"/>
          </w:rPr>
          <w:t>https://doi.org/10.5001/omj.2020.40</w:t>
        </w:r>
      </w:hyperlink>
      <w:r>
        <w:rPr>
          <w:color w:val="000000"/>
        </w:rPr>
        <w:t>.</w:t>
      </w:r>
    </w:p>
    <w:p w14:paraId="26764197"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21BF05DD" w14:textId="029D15F5"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Džakula, A., Relić, D. and Michelutti, P. (2022). Health workforce shortage – doing the right things or doing things right? </w:t>
      </w:r>
      <w:r>
        <w:rPr>
          <w:rFonts w:ascii="Times New Roman" w:eastAsia="Times New Roman" w:hAnsi="Times New Roman" w:cs="Times New Roman"/>
          <w:i/>
          <w:color w:val="000000"/>
        </w:rPr>
        <w:t>Croatian Medical Journal</w:t>
      </w:r>
      <w:r>
        <w:rPr>
          <w:rFonts w:ascii="Times New Roman" w:eastAsia="Times New Roman" w:hAnsi="Times New Roman" w:cs="Times New Roman"/>
          <w:color w:val="000000"/>
        </w:rPr>
        <w:t xml:space="preserve">, [online] 63(2), pp.107–109. </w:t>
      </w:r>
      <w:proofErr w:type="spellStart"/>
      <w:r w:rsidR="00D13C94">
        <w:rPr>
          <w:rFonts w:ascii="Times New Roman" w:eastAsia="Times New Roman" w:hAnsi="Times New Roman" w:cs="Times New Roman"/>
          <w:color w:val="000000"/>
        </w:rPr>
        <w:t>doi</w:t>
      </w:r>
      <w:proofErr w:type="spellEnd"/>
      <w:r w:rsidR="00D13C94">
        <w:rPr>
          <w:rFonts w:ascii="Times New Roman" w:eastAsia="Times New Roman" w:hAnsi="Times New Roman" w:cs="Times New Roman"/>
          <w:color w:val="000000"/>
        </w:rPr>
        <w:t>: https://doi.org/10.3325/cmj.2022.63.107</w:t>
      </w:r>
      <w:r>
        <w:rPr>
          <w:rFonts w:ascii="Times New Roman" w:eastAsia="Times New Roman" w:hAnsi="Times New Roman" w:cs="Times New Roman"/>
          <w:color w:val="000000"/>
        </w:rPr>
        <w:t>.</w:t>
      </w:r>
    </w:p>
    <w:p w14:paraId="3850B81E"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0BB41FA8" w14:textId="6A9F0162"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McKee, M., Dunnell, K., Anderson, M., Brayne, C., Charlesworth, A., Johnston-Webber, C., Knapp, M., McGuire, A., Newton, J.N., Taylor, D. and Watt, R.G. (2021). The changing health needs of the UK population. </w:t>
      </w:r>
      <w:r>
        <w:rPr>
          <w:rFonts w:ascii="Times New Roman" w:eastAsia="Times New Roman" w:hAnsi="Times New Roman" w:cs="Times New Roman"/>
          <w:i/>
          <w:color w:val="000000"/>
        </w:rPr>
        <w:t>The Lancet</w:t>
      </w:r>
      <w:r>
        <w:rPr>
          <w:rFonts w:ascii="Times New Roman" w:eastAsia="Times New Roman" w:hAnsi="Times New Roman" w:cs="Times New Roman"/>
          <w:color w:val="000000"/>
        </w:rPr>
        <w:t xml:space="preserve">, 397(10288), pp.1979–1991. </w:t>
      </w:r>
      <w:proofErr w:type="spellStart"/>
      <w:r w:rsidR="00D13C94">
        <w:rPr>
          <w:rFonts w:ascii="Times New Roman" w:eastAsia="Times New Roman" w:hAnsi="Times New Roman" w:cs="Times New Roman"/>
          <w:color w:val="000000"/>
        </w:rPr>
        <w:t>doi</w:t>
      </w:r>
      <w:proofErr w:type="spellEnd"/>
      <w:r w:rsidR="00D13C94">
        <w:rPr>
          <w:rFonts w:ascii="Times New Roman" w:eastAsia="Times New Roman" w:hAnsi="Times New Roman" w:cs="Times New Roman"/>
          <w:color w:val="000000"/>
        </w:rPr>
        <w:t>: https://doi.org/10.1016/S0140-6736(21)00229-4</w:t>
      </w:r>
      <w:r>
        <w:rPr>
          <w:rFonts w:ascii="Times New Roman" w:eastAsia="Times New Roman" w:hAnsi="Times New Roman" w:cs="Times New Roman"/>
          <w:color w:val="000000"/>
        </w:rPr>
        <w:t>.</w:t>
      </w:r>
    </w:p>
    <w:p w14:paraId="182F31D2"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65970B32" w14:textId="189B9390"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Izdebski, Z., Kozakiewicz, A., Białorudzki, M., Dec-Pietrowska, J. and Mazur, J. (2023). Occupational Burnout in Healthcare Workers, Stress and Other Symptoms of Work Overload during the COVID-19 Pandemic in Poland. </w:t>
      </w:r>
      <w:r>
        <w:rPr>
          <w:rFonts w:ascii="Times New Roman" w:eastAsia="Times New Roman" w:hAnsi="Times New Roman" w:cs="Times New Roman"/>
          <w:i/>
          <w:color w:val="000000"/>
        </w:rPr>
        <w:t>International Journal of Environmental Research and Public Health</w:t>
      </w:r>
      <w:r>
        <w:rPr>
          <w:rFonts w:ascii="Times New Roman" w:eastAsia="Times New Roman" w:hAnsi="Times New Roman" w:cs="Times New Roman"/>
          <w:color w:val="000000"/>
        </w:rPr>
        <w:t xml:space="preserve">, [online] 20(3), p.2428. </w:t>
      </w:r>
      <w:proofErr w:type="spellStart"/>
      <w:r w:rsidR="00D13C94">
        <w:rPr>
          <w:rFonts w:ascii="Times New Roman" w:eastAsia="Times New Roman" w:hAnsi="Times New Roman" w:cs="Times New Roman"/>
          <w:color w:val="000000"/>
        </w:rPr>
        <w:t>doi</w:t>
      </w:r>
      <w:proofErr w:type="spellEnd"/>
      <w:r w:rsidR="00D13C94">
        <w:rPr>
          <w:rFonts w:ascii="Times New Roman" w:eastAsia="Times New Roman" w:hAnsi="Times New Roman" w:cs="Times New Roman"/>
          <w:color w:val="000000"/>
        </w:rPr>
        <w:t>: https://doi.org/10.3390/ijerph20032428</w:t>
      </w:r>
      <w:r>
        <w:rPr>
          <w:rFonts w:ascii="Times New Roman" w:eastAsia="Times New Roman" w:hAnsi="Times New Roman" w:cs="Times New Roman"/>
          <w:color w:val="000000"/>
        </w:rPr>
        <w:t>.</w:t>
      </w:r>
    </w:p>
    <w:p w14:paraId="6E95690F"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74EC53DD"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Campbell, D. (2022). </w:t>
      </w:r>
      <w:r>
        <w:rPr>
          <w:rFonts w:ascii="Times New Roman" w:eastAsia="Times New Roman" w:hAnsi="Times New Roman" w:cs="Times New Roman"/>
          <w:i/>
          <w:color w:val="000000"/>
        </w:rPr>
        <w:t>Staffing crisis deepens in NHS England with 110,000 posts unfilled</w:t>
      </w:r>
      <w:r>
        <w:rPr>
          <w:rFonts w:ascii="Times New Roman" w:eastAsia="Times New Roman" w:hAnsi="Times New Roman" w:cs="Times New Roman"/>
          <w:color w:val="000000"/>
        </w:rPr>
        <w:t xml:space="preserve">. [online] The Guardian. Available at: </w:t>
      </w:r>
      <w:hyperlink r:id="rId25">
        <w:r>
          <w:rPr>
            <w:rFonts w:ascii="Times New Roman" w:eastAsia="Times New Roman" w:hAnsi="Times New Roman" w:cs="Times New Roman"/>
            <w:color w:val="0000FF"/>
            <w:u w:val="single"/>
          </w:rPr>
          <w:t>https://www.theguardian.com/society/2022/mar/03/staffing-crisis-deepens-in-nhs-england-with-110000-posts-unfilled</w:t>
        </w:r>
      </w:hyperlink>
      <w:r>
        <w:rPr>
          <w:rFonts w:ascii="Times New Roman" w:eastAsia="Times New Roman" w:hAnsi="Times New Roman" w:cs="Times New Roman"/>
          <w:color w:val="000000"/>
        </w:rPr>
        <w:t>.</w:t>
      </w:r>
    </w:p>
    <w:p w14:paraId="295A4963" w14:textId="77777777" w:rsidR="00B523AD" w:rsidRDefault="00B523AD">
      <w:pPr>
        <w:pBdr>
          <w:top w:val="nil"/>
          <w:left w:val="nil"/>
          <w:bottom w:val="nil"/>
          <w:right w:val="nil"/>
          <w:between w:val="nil"/>
        </w:pBdr>
        <w:spacing w:after="0"/>
        <w:ind w:left="720"/>
        <w:rPr>
          <w:rFonts w:ascii="Times New Roman" w:eastAsia="Times New Roman" w:hAnsi="Times New Roman" w:cs="Times New Roman"/>
          <w:color w:val="000000"/>
        </w:rPr>
      </w:pPr>
    </w:p>
    <w:p w14:paraId="07BE1770"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Eugenio, L.J. (2024). </w:t>
      </w:r>
      <w:r>
        <w:rPr>
          <w:rFonts w:ascii="Times New Roman" w:eastAsia="Times New Roman" w:hAnsi="Times New Roman" w:cs="Times New Roman"/>
          <w:i/>
          <w:color w:val="000000"/>
        </w:rPr>
        <w:t>The Mass Emigration of Filipino Nurses to the United States</w:t>
      </w:r>
      <w:r>
        <w:rPr>
          <w:rFonts w:ascii="Times New Roman" w:eastAsia="Times New Roman" w:hAnsi="Times New Roman" w:cs="Times New Roman"/>
          <w:color w:val="000000"/>
        </w:rPr>
        <w:t xml:space="preserve">. [online] Harvard International Review. Available at: </w:t>
      </w:r>
      <w:hyperlink r:id="rId26">
        <w:r>
          <w:rPr>
            <w:rFonts w:ascii="Times New Roman" w:eastAsia="Times New Roman" w:hAnsi="Times New Roman" w:cs="Times New Roman"/>
            <w:color w:val="0000FF"/>
            <w:u w:val="single"/>
          </w:rPr>
          <w:t>https://hir.harvard.edu/from-us-reign-to-brain-drain-the-mass-emigration-of-filipino-nurses-to-the-united-states/</w:t>
        </w:r>
      </w:hyperlink>
      <w:r>
        <w:rPr>
          <w:rFonts w:ascii="Times New Roman" w:eastAsia="Times New Roman" w:hAnsi="Times New Roman" w:cs="Times New Roman"/>
          <w:color w:val="000000"/>
        </w:rPr>
        <w:t>.</w:t>
      </w:r>
    </w:p>
    <w:p w14:paraId="2295C735" w14:textId="77777777" w:rsidR="00B523AD" w:rsidRDefault="00B523AD">
      <w:pPr>
        <w:pBdr>
          <w:top w:val="nil"/>
          <w:left w:val="nil"/>
          <w:bottom w:val="nil"/>
          <w:right w:val="nil"/>
          <w:between w:val="nil"/>
        </w:pBdr>
        <w:spacing w:after="0"/>
        <w:ind w:left="720"/>
        <w:rPr>
          <w:color w:val="000000"/>
          <w:sz w:val="27"/>
          <w:szCs w:val="27"/>
        </w:rPr>
      </w:pPr>
    </w:p>
    <w:p w14:paraId="6707F379" w14:textId="77777777" w:rsidR="00B523AD" w:rsidRDefault="0002666A">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rPr>
      </w:pPr>
      <w:r>
        <w:rPr>
          <w:color w:val="000000"/>
          <w:sz w:val="27"/>
          <w:szCs w:val="27"/>
        </w:rPr>
        <w:t xml:space="preserve"> </w:t>
      </w:r>
      <w:r>
        <w:rPr>
          <w:color w:val="000000"/>
        </w:rPr>
        <w:t>monarchco.de. (n.d.). </w:t>
      </w:r>
      <w:r>
        <w:rPr>
          <w:i/>
          <w:color w:val="000000"/>
        </w:rPr>
        <w:t>Nursing apprenticeship in Germany - Nurse Ausbildung program 2023</w:t>
      </w:r>
      <w:r>
        <w:rPr>
          <w:color w:val="000000"/>
        </w:rPr>
        <w:t xml:space="preserve">. [online] Available at: </w:t>
      </w:r>
      <w:hyperlink r:id="rId27">
        <w:r>
          <w:rPr>
            <w:color w:val="0000FF"/>
            <w:u w:val="single"/>
          </w:rPr>
          <w:t>https://monarchco.de/en/page/nursing-apprenticeship-ausbildung-in-germany</w:t>
        </w:r>
      </w:hyperlink>
      <w:r>
        <w:rPr>
          <w:color w:val="000000"/>
        </w:rPr>
        <w:t>.</w:t>
      </w:r>
    </w:p>
    <w:p w14:paraId="37146424" w14:textId="77777777" w:rsidR="00B523AD" w:rsidRDefault="00B523AD">
      <w:pPr>
        <w:pBdr>
          <w:top w:val="nil"/>
          <w:left w:val="nil"/>
          <w:bottom w:val="nil"/>
          <w:right w:val="nil"/>
          <w:between w:val="nil"/>
        </w:pBdr>
        <w:spacing w:after="0"/>
        <w:ind w:left="720"/>
        <w:jc w:val="both"/>
        <w:rPr>
          <w:rFonts w:ascii="Times New Roman" w:eastAsia="Times New Roman" w:hAnsi="Times New Roman" w:cs="Times New Roman"/>
        </w:rPr>
      </w:pPr>
    </w:p>
    <w:p w14:paraId="2452843C" w14:textId="77777777" w:rsidR="00B523AD" w:rsidRDefault="0002666A">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rPr>
        <w:lastRenderedPageBreak/>
        <w:t>WHO (2023) Billions left behind on the path to universal health coverage. Available at: WHO (Accessed: 21 March 2025).</w:t>
      </w:r>
    </w:p>
    <w:p w14:paraId="0CA7AC65" w14:textId="77777777" w:rsidR="00B523AD" w:rsidRDefault="00B523AD">
      <w:pPr>
        <w:pBdr>
          <w:top w:val="nil"/>
          <w:left w:val="nil"/>
          <w:bottom w:val="nil"/>
          <w:right w:val="nil"/>
          <w:between w:val="nil"/>
        </w:pBdr>
        <w:spacing w:after="0" w:line="240" w:lineRule="auto"/>
        <w:ind w:left="720"/>
        <w:jc w:val="both"/>
        <w:rPr>
          <w:rFonts w:ascii="Times New Roman" w:eastAsia="Times New Roman" w:hAnsi="Times New Roman" w:cs="Times New Roman"/>
        </w:rPr>
      </w:pPr>
    </w:p>
    <w:p w14:paraId="178D53D2" w14:textId="77777777" w:rsidR="00B523AD" w:rsidRDefault="0002666A">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rPr>
        <w:t>NCBI (2018) Crossing the global quality chasm. Available at: NCBI (Accessed: 21 March 2025).</w:t>
      </w:r>
    </w:p>
    <w:p w14:paraId="23D54A73" w14:textId="77777777" w:rsidR="00B523AD" w:rsidRDefault="00B523AD">
      <w:pPr>
        <w:pBdr>
          <w:top w:val="nil"/>
          <w:left w:val="nil"/>
          <w:bottom w:val="nil"/>
          <w:right w:val="nil"/>
          <w:between w:val="nil"/>
        </w:pBdr>
        <w:spacing w:after="0" w:line="240" w:lineRule="auto"/>
        <w:ind w:left="720"/>
        <w:jc w:val="both"/>
        <w:rPr>
          <w:rFonts w:ascii="Times New Roman" w:eastAsia="Times New Roman" w:hAnsi="Times New Roman" w:cs="Times New Roman"/>
        </w:rPr>
      </w:pPr>
    </w:p>
    <w:p w14:paraId="4895E93B" w14:textId="77777777" w:rsidR="00B523AD" w:rsidRDefault="0002666A">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rPr>
        <w:t>CDC (2023) Access to health care statistics. Available at: CDC (Accessed: 21 March 2025).</w:t>
      </w:r>
    </w:p>
    <w:p w14:paraId="3A2152E7" w14:textId="77777777" w:rsidR="00B523AD" w:rsidRDefault="00B523AD">
      <w:pPr>
        <w:pBdr>
          <w:top w:val="nil"/>
          <w:left w:val="nil"/>
          <w:bottom w:val="nil"/>
          <w:right w:val="nil"/>
          <w:between w:val="nil"/>
        </w:pBdr>
        <w:spacing w:after="0" w:line="240" w:lineRule="auto"/>
        <w:ind w:left="720"/>
        <w:jc w:val="both"/>
        <w:rPr>
          <w:rFonts w:ascii="Times New Roman" w:eastAsia="Times New Roman" w:hAnsi="Times New Roman" w:cs="Times New Roman"/>
        </w:rPr>
      </w:pPr>
    </w:p>
    <w:p w14:paraId="2B7632EC" w14:textId="77777777" w:rsidR="00B523AD" w:rsidRDefault="0002666A">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rPr>
        <w:t>Health System Tracker (2023) How cost affects access to care. Available at: Health System Tracker (Accessed: 21 March 2025).</w:t>
      </w:r>
    </w:p>
    <w:p w14:paraId="708C5AC1" w14:textId="77777777" w:rsidR="00B523AD" w:rsidRDefault="00B523AD">
      <w:pPr>
        <w:pBdr>
          <w:top w:val="nil"/>
          <w:left w:val="nil"/>
          <w:bottom w:val="nil"/>
          <w:right w:val="nil"/>
          <w:between w:val="nil"/>
        </w:pBdr>
        <w:spacing w:after="0" w:line="240" w:lineRule="auto"/>
        <w:ind w:left="720"/>
        <w:jc w:val="both"/>
        <w:rPr>
          <w:rFonts w:ascii="Times New Roman" w:eastAsia="Times New Roman" w:hAnsi="Times New Roman" w:cs="Times New Roman"/>
        </w:rPr>
      </w:pPr>
    </w:p>
    <w:p w14:paraId="538281D8" w14:textId="77777777" w:rsidR="00B523AD" w:rsidRDefault="0002666A">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rPr>
        <w:t>U.S. Census Bureau (2023) Health insurance coverage in the U.S.: 2022. Available at: Census (Accessed: 21 March 2025).</w:t>
      </w:r>
    </w:p>
    <w:p w14:paraId="50BC0C51" w14:textId="77777777" w:rsidR="00B523AD" w:rsidRDefault="00B523AD">
      <w:pPr>
        <w:spacing w:line="360" w:lineRule="auto"/>
        <w:rPr>
          <w:rFonts w:ascii="Times New Roman" w:eastAsia="Times New Roman" w:hAnsi="Times New Roman" w:cs="Times New Roman"/>
          <w:sz w:val="24"/>
          <w:szCs w:val="24"/>
        </w:rPr>
      </w:pPr>
    </w:p>
    <w:sectPr w:rsidR="00B523AD">
      <w:footerReference w:type="default" r:id="rId2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F852D" w14:textId="77777777" w:rsidR="00F009B5" w:rsidRDefault="00F009B5">
      <w:pPr>
        <w:spacing w:after="0" w:line="240" w:lineRule="auto"/>
      </w:pPr>
      <w:r>
        <w:separator/>
      </w:r>
    </w:p>
  </w:endnote>
  <w:endnote w:type="continuationSeparator" w:id="0">
    <w:p w14:paraId="517D7FB4" w14:textId="77777777" w:rsidR="00F009B5" w:rsidRDefault="00F00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84C81" w14:textId="40541B6E" w:rsidR="00B523AD" w:rsidRDefault="0002666A">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A5676">
      <w:rPr>
        <w:noProof/>
        <w:color w:val="000000"/>
      </w:rPr>
      <w:t>1</w:t>
    </w:r>
    <w:r>
      <w:rPr>
        <w:color w:val="000000"/>
      </w:rPr>
      <w:fldChar w:fldCharType="end"/>
    </w:r>
  </w:p>
  <w:p w14:paraId="21FBB6C6" w14:textId="77777777" w:rsidR="00B523AD" w:rsidRDefault="00B523A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EA600" w14:textId="77777777" w:rsidR="00F009B5" w:rsidRDefault="00F009B5">
      <w:pPr>
        <w:spacing w:after="0" w:line="240" w:lineRule="auto"/>
      </w:pPr>
      <w:r>
        <w:separator/>
      </w:r>
    </w:p>
  </w:footnote>
  <w:footnote w:type="continuationSeparator" w:id="0">
    <w:p w14:paraId="33C5EA01" w14:textId="77777777" w:rsidR="00F009B5" w:rsidRDefault="00F009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B7C46"/>
    <w:multiLevelType w:val="multilevel"/>
    <w:tmpl w:val="FFFFFFFF"/>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4D10DF3"/>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A541BFD"/>
    <w:multiLevelType w:val="multilevel"/>
    <w:tmpl w:val="FFFFFFFF"/>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6487521D"/>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28007718">
    <w:abstractNumId w:val="3"/>
  </w:num>
  <w:num w:numId="2" w16cid:durableId="1553813161">
    <w:abstractNumId w:val="0"/>
  </w:num>
  <w:num w:numId="3" w16cid:durableId="1501311171">
    <w:abstractNumId w:val="2"/>
  </w:num>
  <w:num w:numId="4" w16cid:durableId="16984594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3AD"/>
    <w:rsid w:val="0002666A"/>
    <w:rsid w:val="00033CC3"/>
    <w:rsid w:val="00432710"/>
    <w:rsid w:val="00474985"/>
    <w:rsid w:val="004A5676"/>
    <w:rsid w:val="00651379"/>
    <w:rsid w:val="006D29CB"/>
    <w:rsid w:val="006F0BF7"/>
    <w:rsid w:val="008B7211"/>
    <w:rsid w:val="0098168A"/>
    <w:rsid w:val="00B523AD"/>
    <w:rsid w:val="00D13C94"/>
    <w:rsid w:val="00F00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36F7F"/>
  <w15:docId w15:val="{777B72A6-540F-F248-A9EC-E8A22B482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spacing w:line="240" w:lineRule="auto"/>
      <w:outlineLvl w:val="2"/>
    </w:pPr>
    <w:rPr>
      <w:rFonts w:ascii="Times New Roman" w:eastAsia="Times New Roman" w:hAnsi="Times New Roman" w:cs="Times New Roman"/>
      <w:b/>
      <w:sz w:val="27"/>
      <w:szCs w:val="27"/>
    </w:rPr>
  </w:style>
  <w:style w:type="paragraph" w:styleId="Heading4">
    <w:name w:val="heading 4"/>
    <w:basedOn w:val="Normal"/>
    <w:next w:val="Normal"/>
    <w:uiPriority w:val="9"/>
    <w:semiHidden/>
    <w:unhideWhenUsed/>
    <w:qFormat/>
    <w:pPr>
      <w:spacing w:line="240" w:lineRule="auto"/>
      <w:outlineLvl w:val="3"/>
    </w:pPr>
    <w:rPr>
      <w:rFonts w:ascii="Times New Roman" w:eastAsia="Times New Roman" w:hAnsi="Times New Roman" w:cs="Times New Roman"/>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cbi.nlm.nih.gov/books/NBK235880/?utm_source=chatgpt.com" TargetMode="External"/><Relationship Id="rId13" Type="http://schemas.openxmlformats.org/officeDocument/2006/relationships/hyperlink" Target="https://www.commonwealthfund.org/publications/fund-reports/2024/apr/advancing-racial-equity-us-health-care?utm_source=chatgpt.com" TargetMode="External"/><Relationship Id="rId18" Type="http://schemas.openxmlformats.org/officeDocument/2006/relationships/hyperlink" Target="https://www.chenmed.com/blog/what-healthcare-disparities-exist-united-states?utm" TargetMode="External"/><Relationship Id="rId26" Type="http://schemas.openxmlformats.org/officeDocument/2006/relationships/hyperlink" Target="https://hir.harvard.edu/from-us-reign-to-brain-drain-the-mass-emigration-of-filipino-nurses-to-the-united-states/" TargetMode="External"/><Relationship Id="rId3" Type="http://schemas.openxmlformats.org/officeDocument/2006/relationships/settings" Target="settings.xml"/><Relationship Id="rId21" Type="http://schemas.openxmlformats.org/officeDocument/2006/relationships/hyperlink" Target="https://www.who.int/news-room/fact-sheets/detail/universal-health-coverage?utm" TargetMode="External"/><Relationship Id="rId7" Type="http://schemas.openxmlformats.org/officeDocument/2006/relationships/image" Target="media/image1.jpeg"/><Relationship Id="rId12" Type="http://schemas.openxmlformats.org/officeDocument/2006/relationships/hyperlink" Target="https://www.timesunion.com/opinion/article/commentary-community-health-centers-need-state-s-20215060.php?utm_source=chatgpt.com" TargetMode="External"/><Relationship Id="rId17" Type="http://schemas.openxmlformats.org/officeDocument/2006/relationships/hyperlink" Target="https://aspe.hhs.gov/topics/health-health-care/federal-programs-policies-improving-access-quality-health-care-services-underserved-areas?utm" TargetMode="External"/><Relationship Id="rId25" Type="http://schemas.openxmlformats.org/officeDocument/2006/relationships/hyperlink" Target="https://www.theguardian.com/society/2022/mar/03/staffing-crisis-deepens-in-nhs-england-with-110000-posts-unfilled" TargetMode="External"/><Relationship Id="rId2" Type="http://schemas.openxmlformats.org/officeDocument/2006/relationships/styles" Target="styles.xml"/><Relationship Id="rId16" Type="http://schemas.openxmlformats.org/officeDocument/2006/relationships/hyperlink" Target="https://www.cdc.gov/healthliteracy/research-evaluation.html?utm_source=chatgpt.com" TargetMode="External"/><Relationship Id="rId20" Type="http://schemas.openxmlformats.org/officeDocument/2006/relationships/hyperlink" Target="https://www.popsugar.com/health/lgbtq-breast-cancer-diagnosis-4925982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pe.hhs.gov/topics/health-health-care/federal-programs-policies-improving-access-quality-health-care-services-underserved-areas?utm_source=chatgpt.com" TargetMode="External"/><Relationship Id="rId24" Type="http://schemas.openxmlformats.org/officeDocument/2006/relationships/hyperlink" Target="https://doi.org/10.5001/omj.2020.40" TargetMode="External"/><Relationship Id="rId5" Type="http://schemas.openxmlformats.org/officeDocument/2006/relationships/footnotes" Target="footnotes.xml"/><Relationship Id="rId15" Type="http://schemas.openxmlformats.org/officeDocument/2006/relationships/hyperlink" Target="https://www.ncbi.nlm.nih.gov/pmc/articles/PMC7658074/?utm_source=chatgpt.com" TargetMode="External"/><Relationship Id="rId23" Type="http://schemas.openxmlformats.org/officeDocument/2006/relationships/hyperlink" Target="https://assets.publishing.service.gov.uk/media/5a7f46f240f0b6230268e865/4a_Health_Literacy-Full.pdf" TargetMode="External"/><Relationship Id="rId28" Type="http://schemas.openxmlformats.org/officeDocument/2006/relationships/footer" Target="footer1.xml"/><Relationship Id="rId10" Type="http://schemas.openxmlformats.org/officeDocument/2006/relationships/hyperlink" Target="https://pmc.ncbi.nlm.nih.gov/articles/PMC2431098/?utm_source=chatgpt.com" TargetMode="External"/><Relationship Id="rId19" Type="http://schemas.openxmlformats.org/officeDocument/2006/relationships/hyperlink" Target="https://www.ruralhealthinfo.org/topics/healthcare-access?utm" TargetMode="External"/><Relationship Id="rId4" Type="http://schemas.openxmlformats.org/officeDocument/2006/relationships/webSettings" Target="webSettings.xml"/><Relationship Id="rId9" Type="http://schemas.openxmlformats.org/officeDocument/2006/relationships/hyperlink" Target="https://www.timesunion.com/opinion/article/commentary-community-health-centers-need-state-s-20215060.php?utm_source=chatgpt.com" TargetMode="External"/><Relationship Id="rId14" Type="http://schemas.openxmlformats.org/officeDocument/2006/relationships/hyperlink" Target="https://www.who.int/news-room/fact-sheets/detail/universal-health-coverage?utm_source=chatgpt.com" TargetMode="External"/><Relationship Id="rId22" Type="http://schemas.openxmlformats.org/officeDocument/2006/relationships/hyperlink" Target="https://www.england.nhs.uk/long-term-plan/" TargetMode="External"/><Relationship Id="rId27" Type="http://schemas.openxmlformats.org/officeDocument/2006/relationships/hyperlink" Target="https://monarchco.de/en/page/nursing-apprenticeship-ausbildung-in-germany"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17</Pages>
  <Words>5032</Words>
  <Characters>28687</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Nancy Duru</cp:lastModifiedBy>
  <cp:revision>5</cp:revision>
  <dcterms:created xsi:type="dcterms:W3CDTF">2025-03-21T10:53:00Z</dcterms:created>
  <dcterms:modified xsi:type="dcterms:W3CDTF">2025-05-02T09:03:00Z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5090d59f-d2bb-455f-a019-963886eccdb1</vt:lpwstr>
  </property>
</Properties>
</file>