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0B5CEF" w14:textId="77777777" w:rsidR="00AB08D4" w:rsidRPr="00755C00" w:rsidRDefault="00AB08D4" w:rsidP="006E5056">
      <w:pPr>
        <w:jc w:val="center"/>
      </w:pPr>
      <w:r w:rsidRPr="00755C00">
        <w:rPr>
          <w:noProof/>
          <w:lang w:bidi="ar-SA"/>
        </w:rPr>
        <w:drawing>
          <wp:inline distT="0" distB="0" distL="0" distR="0" wp14:anchorId="0880ACFF" wp14:editId="0832FDE4">
            <wp:extent cx="2514600" cy="1395144"/>
            <wp:effectExtent l="0" t="0" r="0" b="0"/>
            <wp:docPr id="1" name="Picture 1" descr="University of Wales Trinity Saint David | World-Class Education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orld-Class Education in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14600" cy="1395144"/>
                    </a:xfrm>
                    <a:prstGeom prst="rect">
                      <a:avLst/>
                    </a:prstGeom>
                    <a:noFill/>
                    <a:ln>
                      <a:noFill/>
                    </a:ln>
                  </pic:spPr>
                </pic:pic>
              </a:graphicData>
            </a:graphic>
          </wp:inline>
        </w:drawing>
      </w:r>
    </w:p>
    <w:p w14:paraId="55F90E92" w14:textId="77777777" w:rsidR="00AB08D4" w:rsidRPr="00755C00" w:rsidRDefault="00AB08D4"/>
    <w:p w14:paraId="4EB0D765" w14:textId="77777777" w:rsidR="00AB08D4" w:rsidRPr="00755C00" w:rsidRDefault="00AB08D4" w:rsidP="00AB08D4">
      <w:pPr>
        <w:jc w:val="center"/>
        <w:rPr>
          <w:sz w:val="32"/>
        </w:rPr>
      </w:pPr>
      <w:r w:rsidRPr="00755C00">
        <w:rPr>
          <w:sz w:val="32"/>
        </w:rPr>
        <w:t xml:space="preserve">A Critical Analysis of the Strategic Management Practices of Nestlé </w:t>
      </w:r>
    </w:p>
    <w:p w14:paraId="71442E28" w14:textId="77777777" w:rsidR="00AB08D4" w:rsidRPr="00755C00" w:rsidRDefault="00AB08D4" w:rsidP="00AB08D4"/>
    <w:p w14:paraId="5FABA705" w14:textId="77777777" w:rsidR="00AB08D4" w:rsidRPr="00755C00" w:rsidRDefault="00AB08D4" w:rsidP="00AB08D4"/>
    <w:p w14:paraId="573359A2" w14:textId="77777777" w:rsidR="00AB08D4" w:rsidRPr="00755C00" w:rsidRDefault="00AB08D4" w:rsidP="00AB08D4"/>
    <w:p w14:paraId="68028E7D" w14:textId="77777777" w:rsidR="00AB08D4" w:rsidRPr="00755C00" w:rsidRDefault="00AB08D4" w:rsidP="00AB08D4">
      <w:pPr>
        <w:rPr>
          <w:b/>
        </w:rPr>
      </w:pPr>
      <w:proofErr w:type="spellStart"/>
      <w:r w:rsidRPr="00755C00">
        <w:rPr>
          <w:b/>
        </w:rPr>
        <w:t>Programme</w:t>
      </w:r>
      <w:proofErr w:type="spellEnd"/>
      <w:r w:rsidRPr="00755C00">
        <w:rPr>
          <w:b/>
        </w:rPr>
        <w:t>: Master of Business Administration</w:t>
      </w:r>
    </w:p>
    <w:p w14:paraId="45214E2A" w14:textId="77777777" w:rsidR="00AB08D4" w:rsidRPr="00755C00" w:rsidRDefault="00AB08D4" w:rsidP="00AB08D4">
      <w:pPr>
        <w:rPr>
          <w:b/>
        </w:rPr>
      </w:pPr>
      <w:r w:rsidRPr="00755C00">
        <w:rPr>
          <w:b/>
        </w:rPr>
        <w:t>Module: Strategic Management</w:t>
      </w:r>
    </w:p>
    <w:p w14:paraId="29C08BA8" w14:textId="77777777" w:rsidR="00AB08D4" w:rsidRPr="00755C00" w:rsidRDefault="00AB08D4" w:rsidP="00AB08D4">
      <w:pPr>
        <w:rPr>
          <w:b/>
        </w:rPr>
      </w:pPr>
      <w:r w:rsidRPr="00755C00">
        <w:rPr>
          <w:b/>
        </w:rPr>
        <w:t>Module code: LCMB7003</w:t>
      </w:r>
    </w:p>
    <w:p w14:paraId="019767E7" w14:textId="0F46D39D" w:rsidR="00AB08D4" w:rsidRPr="00755C00" w:rsidRDefault="00AB08D4" w:rsidP="00AB08D4">
      <w:pPr>
        <w:rPr>
          <w:b/>
        </w:rPr>
      </w:pPr>
      <w:r w:rsidRPr="00755C00">
        <w:rPr>
          <w:b/>
        </w:rPr>
        <w:t xml:space="preserve">Lecturer: </w:t>
      </w:r>
      <w:proofErr w:type="spellStart"/>
      <w:r w:rsidRPr="00755C00">
        <w:rPr>
          <w:b/>
        </w:rPr>
        <w:t>Zulf</w:t>
      </w:r>
      <w:proofErr w:type="spellEnd"/>
      <w:r w:rsidRPr="00755C00">
        <w:rPr>
          <w:b/>
        </w:rPr>
        <w:t xml:space="preserve"> Khan</w:t>
      </w:r>
    </w:p>
    <w:p w14:paraId="1A616943" w14:textId="77777777" w:rsidR="00F7685A" w:rsidRPr="00755C00" w:rsidRDefault="00F7685A" w:rsidP="00F7685A">
      <w:pPr>
        <w:rPr>
          <w:b/>
        </w:rPr>
      </w:pPr>
      <w:r w:rsidRPr="00755C00">
        <w:rPr>
          <w:b/>
        </w:rPr>
        <w:t>Student name: Md Abdur Roshid</w:t>
      </w:r>
    </w:p>
    <w:p w14:paraId="1B273E7B" w14:textId="77777777" w:rsidR="00F7685A" w:rsidRPr="00755C00" w:rsidRDefault="00F7685A" w:rsidP="00F7685A">
      <w:pPr>
        <w:rPr>
          <w:b/>
        </w:rPr>
      </w:pPr>
      <w:r w:rsidRPr="00755C00">
        <w:rPr>
          <w:b/>
        </w:rPr>
        <w:t>Student ID: 2436449</w:t>
      </w:r>
    </w:p>
    <w:p w14:paraId="296471B0" w14:textId="2A0EF705" w:rsidR="00A05BE7" w:rsidRPr="00755C00" w:rsidRDefault="00A05BE7" w:rsidP="00F7685A">
      <w:pPr>
        <w:rPr>
          <w:b/>
        </w:rPr>
      </w:pPr>
      <w:r w:rsidRPr="00755C00">
        <w:rPr>
          <w:b/>
        </w:rPr>
        <w:t>Word count: 5171</w:t>
      </w:r>
    </w:p>
    <w:p w14:paraId="4D67F34D" w14:textId="623C2111" w:rsidR="006950CB" w:rsidRPr="00755C00" w:rsidRDefault="006950CB" w:rsidP="00AB08D4">
      <w:pPr>
        <w:rPr>
          <w:b/>
        </w:rPr>
      </w:pPr>
      <w:r w:rsidRPr="00755C00">
        <w:rPr>
          <w:b/>
        </w:rPr>
        <w:t>Submission deadline: Wednesday 01/04/2026 by 2pm</w:t>
      </w:r>
    </w:p>
    <w:p w14:paraId="448A4B53" w14:textId="77777777" w:rsidR="000822C3" w:rsidRPr="00755C00" w:rsidRDefault="000822C3">
      <w:pPr>
        <w:spacing w:line="276" w:lineRule="auto"/>
        <w:jc w:val="left"/>
        <w:rPr>
          <w:b/>
        </w:rPr>
      </w:pPr>
      <w:r w:rsidRPr="00755C00">
        <w:rPr>
          <w:b/>
        </w:rPr>
        <w:br w:type="page"/>
      </w:r>
    </w:p>
    <w:sdt>
      <w:sdtPr>
        <w:rPr>
          <w:rFonts w:ascii="Arial" w:eastAsiaTheme="minorHAnsi" w:hAnsi="Arial" w:cs="Vrinda"/>
          <w:b w:val="0"/>
          <w:bCs w:val="0"/>
          <w:color w:val="auto"/>
          <w:sz w:val="24"/>
          <w:lang w:eastAsia="en-US" w:bidi="bn-IN"/>
        </w:rPr>
        <w:id w:val="-1841775899"/>
        <w:docPartObj>
          <w:docPartGallery w:val="Table of Contents"/>
          <w:docPartUnique/>
        </w:docPartObj>
      </w:sdtPr>
      <w:sdtEndPr>
        <w:rPr>
          <w:noProof/>
        </w:rPr>
      </w:sdtEndPr>
      <w:sdtContent>
        <w:p w14:paraId="08788194" w14:textId="77777777" w:rsidR="000822C3" w:rsidRPr="00755C00" w:rsidRDefault="000822C3" w:rsidP="000822C3">
          <w:pPr>
            <w:pStyle w:val="TOCHeading"/>
            <w:jc w:val="center"/>
            <w:rPr>
              <w:rFonts w:ascii="Arial" w:hAnsi="Arial" w:cs="Arial"/>
              <w:color w:val="auto"/>
              <w:sz w:val="32"/>
            </w:rPr>
          </w:pPr>
          <w:r w:rsidRPr="00755C00">
            <w:rPr>
              <w:rFonts w:ascii="Arial" w:hAnsi="Arial" w:cs="Arial"/>
              <w:color w:val="auto"/>
              <w:sz w:val="32"/>
            </w:rPr>
            <w:t>Table of Contents</w:t>
          </w:r>
        </w:p>
        <w:p w14:paraId="120FB6C0" w14:textId="77777777" w:rsidR="000822C3" w:rsidRPr="00755C00" w:rsidRDefault="000822C3">
          <w:pPr>
            <w:pStyle w:val="TOC1"/>
            <w:tabs>
              <w:tab w:val="right" w:leader="dot" w:pos="9350"/>
            </w:tabs>
            <w:rPr>
              <w:noProof/>
            </w:rPr>
          </w:pPr>
          <w:r w:rsidRPr="00755C00">
            <w:fldChar w:fldCharType="begin"/>
          </w:r>
          <w:r w:rsidRPr="00755C00">
            <w:instrText xml:space="preserve"> TOC \o "1-3" \h \z \u </w:instrText>
          </w:r>
          <w:r w:rsidRPr="00755C00">
            <w:fldChar w:fldCharType="separate"/>
          </w:r>
          <w:hyperlink w:anchor="_Toc223208671" w:history="1">
            <w:r w:rsidRPr="00755C00">
              <w:rPr>
                <w:rStyle w:val="Hyperlink"/>
                <w:noProof/>
                <w:color w:val="auto"/>
              </w:rPr>
              <w:t>Section 1: Strategic Management Report</w:t>
            </w:r>
            <w:r w:rsidRPr="00755C00">
              <w:rPr>
                <w:noProof/>
                <w:webHidden/>
              </w:rPr>
              <w:tab/>
            </w:r>
            <w:r w:rsidRPr="00755C00">
              <w:rPr>
                <w:noProof/>
                <w:webHidden/>
              </w:rPr>
              <w:fldChar w:fldCharType="begin"/>
            </w:r>
            <w:r w:rsidRPr="00755C00">
              <w:rPr>
                <w:noProof/>
                <w:webHidden/>
              </w:rPr>
              <w:instrText xml:space="preserve"> PAGEREF _Toc223208671 \h </w:instrText>
            </w:r>
            <w:r w:rsidRPr="00755C00">
              <w:rPr>
                <w:noProof/>
                <w:webHidden/>
              </w:rPr>
            </w:r>
            <w:r w:rsidRPr="00755C00">
              <w:rPr>
                <w:noProof/>
                <w:webHidden/>
              </w:rPr>
              <w:fldChar w:fldCharType="separate"/>
            </w:r>
            <w:r w:rsidRPr="00755C00">
              <w:rPr>
                <w:noProof/>
                <w:webHidden/>
              </w:rPr>
              <w:t>1</w:t>
            </w:r>
            <w:r w:rsidRPr="00755C00">
              <w:rPr>
                <w:noProof/>
                <w:webHidden/>
              </w:rPr>
              <w:fldChar w:fldCharType="end"/>
            </w:r>
          </w:hyperlink>
        </w:p>
        <w:p w14:paraId="7FE2AF20" w14:textId="77777777" w:rsidR="000822C3" w:rsidRPr="00755C00" w:rsidRDefault="00020EF9">
          <w:pPr>
            <w:pStyle w:val="TOC2"/>
            <w:tabs>
              <w:tab w:val="right" w:leader="dot" w:pos="9350"/>
            </w:tabs>
            <w:rPr>
              <w:noProof/>
            </w:rPr>
          </w:pPr>
          <w:hyperlink w:anchor="_Toc223208672" w:history="1">
            <w:r w:rsidR="000822C3" w:rsidRPr="00755C00">
              <w:rPr>
                <w:rStyle w:val="Hyperlink"/>
                <w:noProof/>
                <w:color w:val="auto"/>
              </w:rPr>
              <w:t>1.0 Introduction</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_Toc223208672 \h </w:instrText>
            </w:r>
            <w:r w:rsidR="000822C3" w:rsidRPr="00755C00">
              <w:rPr>
                <w:noProof/>
                <w:webHidden/>
              </w:rPr>
            </w:r>
            <w:r w:rsidR="000822C3" w:rsidRPr="00755C00">
              <w:rPr>
                <w:noProof/>
                <w:webHidden/>
              </w:rPr>
              <w:fldChar w:fldCharType="separate"/>
            </w:r>
            <w:r w:rsidR="000822C3" w:rsidRPr="00755C00">
              <w:rPr>
                <w:noProof/>
                <w:webHidden/>
              </w:rPr>
              <w:t>1</w:t>
            </w:r>
            <w:r w:rsidR="000822C3" w:rsidRPr="00755C00">
              <w:rPr>
                <w:noProof/>
                <w:webHidden/>
              </w:rPr>
              <w:fldChar w:fldCharType="end"/>
            </w:r>
          </w:hyperlink>
        </w:p>
        <w:p w14:paraId="3665547D" w14:textId="77777777" w:rsidR="000822C3" w:rsidRPr="00755C00" w:rsidRDefault="00020EF9">
          <w:pPr>
            <w:pStyle w:val="TOC2"/>
            <w:tabs>
              <w:tab w:val="right" w:leader="dot" w:pos="9350"/>
            </w:tabs>
            <w:rPr>
              <w:noProof/>
            </w:rPr>
          </w:pPr>
          <w:hyperlink w:anchor="_Toc223208673" w:history="1">
            <w:r w:rsidR="000822C3" w:rsidRPr="00755C00">
              <w:rPr>
                <w:rStyle w:val="Hyperlink"/>
                <w:noProof/>
                <w:color w:val="auto"/>
              </w:rPr>
              <w:t>2.0 Organisational Context and Overview</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_Toc223208673 \h </w:instrText>
            </w:r>
            <w:r w:rsidR="000822C3" w:rsidRPr="00755C00">
              <w:rPr>
                <w:noProof/>
                <w:webHidden/>
              </w:rPr>
            </w:r>
            <w:r w:rsidR="000822C3" w:rsidRPr="00755C00">
              <w:rPr>
                <w:noProof/>
                <w:webHidden/>
              </w:rPr>
              <w:fldChar w:fldCharType="separate"/>
            </w:r>
            <w:r w:rsidR="000822C3" w:rsidRPr="00755C00">
              <w:rPr>
                <w:noProof/>
                <w:webHidden/>
              </w:rPr>
              <w:t>1</w:t>
            </w:r>
            <w:r w:rsidR="000822C3" w:rsidRPr="00755C00">
              <w:rPr>
                <w:noProof/>
                <w:webHidden/>
              </w:rPr>
              <w:fldChar w:fldCharType="end"/>
            </w:r>
          </w:hyperlink>
        </w:p>
        <w:p w14:paraId="68670E9B" w14:textId="77777777" w:rsidR="000822C3" w:rsidRPr="00755C00" w:rsidRDefault="00020EF9">
          <w:pPr>
            <w:pStyle w:val="TOC2"/>
            <w:tabs>
              <w:tab w:val="right" w:leader="dot" w:pos="9350"/>
            </w:tabs>
            <w:rPr>
              <w:noProof/>
            </w:rPr>
          </w:pPr>
          <w:hyperlink w:anchor="_Toc223208674" w:history="1">
            <w:r w:rsidR="000822C3" w:rsidRPr="00755C00">
              <w:rPr>
                <w:rStyle w:val="Hyperlink"/>
                <w:noProof/>
                <w:color w:val="auto"/>
              </w:rPr>
              <w:t>3.0 External and Internal Environment Analysis</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_Toc223208674 \h </w:instrText>
            </w:r>
            <w:r w:rsidR="000822C3" w:rsidRPr="00755C00">
              <w:rPr>
                <w:noProof/>
                <w:webHidden/>
              </w:rPr>
            </w:r>
            <w:r w:rsidR="000822C3" w:rsidRPr="00755C00">
              <w:rPr>
                <w:noProof/>
                <w:webHidden/>
              </w:rPr>
              <w:fldChar w:fldCharType="separate"/>
            </w:r>
            <w:r w:rsidR="000822C3" w:rsidRPr="00755C00">
              <w:rPr>
                <w:noProof/>
                <w:webHidden/>
              </w:rPr>
              <w:t>3</w:t>
            </w:r>
            <w:r w:rsidR="000822C3" w:rsidRPr="00755C00">
              <w:rPr>
                <w:noProof/>
                <w:webHidden/>
              </w:rPr>
              <w:fldChar w:fldCharType="end"/>
            </w:r>
          </w:hyperlink>
        </w:p>
        <w:p w14:paraId="54A85049" w14:textId="77777777" w:rsidR="000822C3" w:rsidRPr="00755C00" w:rsidRDefault="00020EF9">
          <w:pPr>
            <w:pStyle w:val="TOC3"/>
            <w:tabs>
              <w:tab w:val="right" w:leader="dot" w:pos="9350"/>
            </w:tabs>
            <w:rPr>
              <w:noProof/>
            </w:rPr>
          </w:pPr>
          <w:hyperlink w:anchor="_Toc223208675" w:history="1">
            <w:r w:rsidR="000822C3" w:rsidRPr="00755C00">
              <w:rPr>
                <w:rStyle w:val="Hyperlink"/>
                <w:noProof/>
                <w:color w:val="auto"/>
              </w:rPr>
              <w:t>3.1 Introduction to the analysis</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_Toc223208675 \h </w:instrText>
            </w:r>
            <w:r w:rsidR="000822C3" w:rsidRPr="00755C00">
              <w:rPr>
                <w:noProof/>
                <w:webHidden/>
              </w:rPr>
            </w:r>
            <w:r w:rsidR="000822C3" w:rsidRPr="00755C00">
              <w:rPr>
                <w:noProof/>
                <w:webHidden/>
              </w:rPr>
              <w:fldChar w:fldCharType="separate"/>
            </w:r>
            <w:r w:rsidR="000822C3" w:rsidRPr="00755C00">
              <w:rPr>
                <w:noProof/>
                <w:webHidden/>
              </w:rPr>
              <w:t>3</w:t>
            </w:r>
            <w:r w:rsidR="000822C3" w:rsidRPr="00755C00">
              <w:rPr>
                <w:noProof/>
                <w:webHidden/>
              </w:rPr>
              <w:fldChar w:fldCharType="end"/>
            </w:r>
          </w:hyperlink>
        </w:p>
        <w:p w14:paraId="581CE3A6" w14:textId="77777777" w:rsidR="000822C3" w:rsidRPr="00755C00" w:rsidRDefault="00020EF9">
          <w:pPr>
            <w:pStyle w:val="TOC3"/>
            <w:tabs>
              <w:tab w:val="right" w:leader="dot" w:pos="9350"/>
            </w:tabs>
            <w:rPr>
              <w:noProof/>
            </w:rPr>
          </w:pPr>
          <w:hyperlink w:anchor="_Toc223208676" w:history="1">
            <w:r w:rsidR="000822C3" w:rsidRPr="00755C00">
              <w:rPr>
                <w:rStyle w:val="Hyperlink"/>
                <w:noProof/>
                <w:color w:val="auto"/>
              </w:rPr>
              <w:t>3.2 External environment analysis: PESTEL</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_Toc223208676 \h </w:instrText>
            </w:r>
            <w:r w:rsidR="000822C3" w:rsidRPr="00755C00">
              <w:rPr>
                <w:noProof/>
                <w:webHidden/>
              </w:rPr>
            </w:r>
            <w:r w:rsidR="000822C3" w:rsidRPr="00755C00">
              <w:rPr>
                <w:noProof/>
                <w:webHidden/>
              </w:rPr>
              <w:fldChar w:fldCharType="separate"/>
            </w:r>
            <w:r w:rsidR="000822C3" w:rsidRPr="00755C00">
              <w:rPr>
                <w:noProof/>
                <w:webHidden/>
              </w:rPr>
              <w:t>3</w:t>
            </w:r>
            <w:r w:rsidR="000822C3" w:rsidRPr="00755C00">
              <w:rPr>
                <w:noProof/>
                <w:webHidden/>
              </w:rPr>
              <w:fldChar w:fldCharType="end"/>
            </w:r>
          </w:hyperlink>
        </w:p>
        <w:p w14:paraId="67563D0E" w14:textId="77777777" w:rsidR="000822C3" w:rsidRPr="00755C00" w:rsidRDefault="00020EF9">
          <w:pPr>
            <w:pStyle w:val="TOC3"/>
            <w:tabs>
              <w:tab w:val="right" w:leader="dot" w:pos="9350"/>
            </w:tabs>
            <w:rPr>
              <w:noProof/>
            </w:rPr>
          </w:pPr>
          <w:hyperlink w:anchor="_Toc223208677" w:history="1">
            <w:r w:rsidR="000822C3" w:rsidRPr="00755C00">
              <w:rPr>
                <w:rStyle w:val="Hyperlink"/>
                <w:noProof/>
                <w:color w:val="auto"/>
              </w:rPr>
              <w:t>3.3 Critical success factors and strategic challenges</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_Toc223208677 \h </w:instrText>
            </w:r>
            <w:r w:rsidR="000822C3" w:rsidRPr="00755C00">
              <w:rPr>
                <w:noProof/>
                <w:webHidden/>
              </w:rPr>
            </w:r>
            <w:r w:rsidR="000822C3" w:rsidRPr="00755C00">
              <w:rPr>
                <w:noProof/>
                <w:webHidden/>
              </w:rPr>
              <w:fldChar w:fldCharType="separate"/>
            </w:r>
            <w:r w:rsidR="000822C3" w:rsidRPr="00755C00">
              <w:rPr>
                <w:noProof/>
                <w:webHidden/>
              </w:rPr>
              <w:t>6</w:t>
            </w:r>
            <w:r w:rsidR="000822C3" w:rsidRPr="00755C00">
              <w:rPr>
                <w:noProof/>
                <w:webHidden/>
              </w:rPr>
              <w:fldChar w:fldCharType="end"/>
            </w:r>
          </w:hyperlink>
        </w:p>
        <w:p w14:paraId="7271358C" w14:textId="77777777" w:rsidR="000822C3" w:rsidRPr="00755C00" w:rsidRDefault="00020EF9">
          <w:pPr>
            <w:pStyle w:val="TOC3"/>
            <w:tabs>
              <w:tab w:val="right" w:leader="dot" w:pos="9350"/>
            </w:tabs>
            <w:rPr>
              <w:noProof/>
            </w:rPr>
          </w:pPr>
          <w:hyperlink w:anchor="_Toc223208678" w:history="1">
            <w:r w:rsidR="000822C3" w:rsidRPr="00755C00">
              <w:rPr>
                <w:rStyle w:val="Hyperlink"/>
                <w:noProof/>
                <w:color w:val="auto"/>
              </w:rPr>
              <w:t>3.4 Internal environment analysis</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_Toc223208678 \h </w:instrText>
            </w:r>
            <w:r w:rsidR="000822C3" w:rsidRPr="00755C00">
              <w:rPr>
                <w:noProof/>
                <w:webHidden/>
              </w:rPr>
            </w:r>
            <w:r w:rsidR="000822C3" w:rsidRPr="00755C00">
              <w:rPr>
                <w:noProof/>
                <w:webHidden/>
              </w:rPr>
              <w:fldChar w:fldCharType="separate"/>
            </w:r>
            <w:r w:rsidR="000822C3" w:rsidRPr="00755C00">
              <w:rPr>
                <w:noProof/>
                <w:webHidden/>
              </w:rPr>
              <w:t>7</w:t>
            </w:r>
            <w:r w:rsidR="000822C3" w:rsidRPr="00755C00">
              <w:rPr>
                <w:noProof/>
                <w:webHidden/>
              </w:rPr>
              <w:fldChar w:fldCharType="end"/>
            </w:r>
          </w:hyperlink>
        </w:p>
        <w:p w14:paraId="7C203889" w14:textId="77777777" w:rsidR="000822C3" w:rsidRPr="00755C00" w:rsidRDefault="00020EF9">
          <w:pPr>
            <w:pStyle w:val="TOC3"/>
            <w:tabs>
              <w:tab w:val="right" w:leader="dot" w:pos="9350"/>
            </w:tabs>
            <w:rPr>
              <w:noProof/>
            </w:rPr>
          </w:pPr>
          <w:hyperlink w:anchor="_Toc223208679" w:history="1">
            <w:r w:rsidR="000822C3" w:rsidRPr="00755C00">
              <w:rPr>
                <w:rStyle w:val="Hyperlink"/>
                <w:rFonts w:eastAsia="Times New Roman"/>
                <w:noProof/>
                <w:color w:val="auto"/>
              </w:rPr>
              <w:t>3.5 Strategic capabilities evaluation using VRIO</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_Toc223208679 \h </w:instrText>
            </w:r>
            <w:r w:rsidR="000822C3" w:rsidRPr="00755C00">
              <w:rPr>
                <w:noProof/>
                <w:webHidden/>
              </w:rPr>
            </w:r>
            <w:r w:rsidR="000822C3" w:rsidRPr="00755C00">
              <w:rPr>
                <w:noProof/>
                <w:webHidden/>
              </w:rPr>
              <w:fldChar w:fldCharType="separate"/>
            </w:r>
            <w:r w:rsidR="000822C3" w:rsidRPr="00755C00">
              <w:rPr>
                <w:noProof/>
                <w:webHidden/>
              </w:rPr>
              <w:t>8</w:t>
            </w:r>
            <w:r w:rsidR="000822C3" w:rsidRPr="00755C00">
              <w:rPr>
                <w:noProof/>
                <w:webHidden/>
              </w:rPr>
              <w:fldChar w:fldCharType="end"/>
            </w:r>
          </w:hyperlink>
        </w:p>
        <w:p w14:paraId="7B25E98F" w14:textId="77777777" w:rsidR="000822C3" w:rsidRPr="00755C00" w:rsidRDefault="00020EF9">
          <w:pPr>
            <w:pStyle w:val="TOC3"/>
            <w:tabs>
              <w:tab w:val="right" w:leader="dot" w:pos="9350"/>
            </w:tabs>
            <w:rPr>
              <w:noProof/>
            </w:rPr>
          </w:pPr>
          <w:hyperlink w:anchor="_Toc223208680" w:history="1">
            <w:r w:rsidR="000822C3" w:rsidRPr="00755C00">
              <w:rPr>
                <w:rStyle w:val="Hyperlink"/>
                <w:rFonts w:eastAsia="Times New Roman"/>
                <w:noProof/>
                <w:color w:val="auto"/>
              </w:rPr>
              <w:t>3.6 Internal strengths and competitive advantage</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_Toc223208680 \h </w:instrText>
            </w:r>
            <w:r w:rsidR="000822C3" w:rsidRPr="00755C00">
              <w:rPr>
                <w:noProof/>
                <w:webHidden/>
              </w:rPr>
            </w:r>
            <w:r w:rsidR="000822C3" w:rsidRPr="00755C00">
              <w:rPr>
                <w:noProof/>
                <w:webHidden/>
              </w:rPr>
              <w:fldChar w:fldCharType="separate"/>
            </w:r>
            <w:r w:rsidR="000822C3" w:rsidRPr="00755C00">
              <w:rPr>
                <w:noProof/>
                <w:webHidden/>
              </w:rPr>
              <w:t>8</w:t>
            </w:r>
            <w:r w:rsidR="000822C3" w:rsidRPr="00755C00">
              <w:rPr>
                <w:noProof/>
                <w:webHidden/>
              </w:rPr>
              <w:fldChar w:fldCharType="end"/>
            </w:r>
          </w:hyperlink>
        </w:p>
        <w:p w14:paraId="787E14A6" w14:textId="77777777" w:rsidR="000822C3" w:rsidRPr="00755C00" w:rsidRDefault="00020EF9">
          <w:pPr>
            <w:pStyle w:val="TOC2"/>
            <w:tabs>
              <w:tab w:val="right" w:leader="dot" w:pos="9350"/>
            </w:tabs>
            <w:rPr>
              <w:noProof/>
            </w:rPr>
          </w:pPr>
          <w:hyperlink w:anchor="_Toc223208681" w:history="1">
            <w:r w:rsidR="000822C3" w:rsidRPr="00755C00">
              <w:rPr>
                <w:rStyle w:val="Hyperlink"/>
                <w:rFonts w:eastAsia="Times New Roman"/>
                <w:noProof/>
                <w:color w:val="auto"/>
              </w:rPr>
              <w:t>4.0 CSR and Sustainability Objectives</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_Toc223208681 \h </w:instrText>
            </w:r>
            <w:r w:rsidR="000822C3" w:rsidRPr="00755C00">
              <w:rPr>
                <w:noProof/>
                <w:webHidden/>
              </w:rPr>
            </w:r>
            <w:r w:rsidR="000822C3" w:rsidRPr="00755C00">
              <w:rPr>
                <w:noProof/>
                <w:webHidden/>
              </w:rPr>
              <w:fldChar w:fldCharType="separate"/>
            </w:r>
            <w:r w:rsidR="000822C3" w:rsidRPr="00755C00">
              <w:rPr>
                <w:noProof/>
                <w:webHidden/>
              </w:rPr>
              <w:t>9</w:t>
            </w:r>
            <w:r w:rsidR="000822C3" w:rsidRPr="00755C00">
              <w:rPr>
                <w:noProof/>
                <w:webHidden/>
              </w:rPr>
              <w:fldChar w:fldCharType="end"/>
            </w:r>
          </w:hyperlink>
        </w:p>
        <w:p w14:paraId="17EB0E55" w14:textId="77777777" w:rsidR="000822C3" w:rsidRPr="00755C00" w:rsidRDefault="00020EF9">
          <w:pPr>
            <w:pStyle w:val="TOC2"/>
            <w:tabs>
              <w:tab w:val="right" w:leader="dot" w:pos="9350"/>
            </w:tabs>
            <w:rPr>
              <w:noProof/>
            </w:rPr>
          </w:pPr>
          <w:hyperlink w:anchor="_Toc223208682" w:history="1">
            <w:r w:rsidR="000822C3" w:rsidRPr="00755C00">
              <w:rPr>
                <w:rStyle w:val="Hyperlink"/>
                <w:rFonts w:eastAsia="Times New Roman"/>
                <w:noProof/>
                <w:color w:val="auto"/>
              </w:rPr>
              <w:t>5.0 Comprehensive and Holistic View of the Organisation: Balanced Scorecard</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_Toc223208682 \h </w:instrText>
            </w:r>
            <w:r w:rsidR="000822C3" w:rsidRPr="00755C00">
              <w:rPr>
                <w:noProof/>
                <w:webHidden/>
              </w:rPr>
            </w:r>
            <w:r w:rsidR="000822C3" w:rsidRPr="00755C00">
              <w:rPr>
                <w:noProof/>
                <w:webHidden/>
              </w:rPr>
              <w:fldChar w:fldCharType="separate"/>
            </w:r>
            <w:r w:rsidR="000822C3" w:rsidRPr="00755C00">
              <w:rPr>
                <w:noProof/>
                <w:webHidden/>
              </w:rPr>
              <w:t>10</w:t>
            </w:r>
            <w:r w:rsidR="000822C3" w:rsidRPr="00755C00">
              <w:rPr>
                <w:noProof/>
                <w:webHidden/>
              </w:rPr>
              <w:fldChar w:fldCharType="end"/>
            </w:r>
          </w:hyperlink>
        </w:p>
        <w:p w14:paraId="2F918741" w14:textId="77777777" w:rsidR="000822C3" w:rsidRPr="00755C00" w:rsidRDefault="00020EF9">
          <w:pPr>
            <w:pStyle w:val="TOC3"/>
            <w:tabs>
              <w:tab w:val="right" w:leader="dot" w:pos="9350"/>
            </w:tabs>
            <w:rPr>
              <w:noProof/>
            </w:rPr>
          </w:pPr>
          <w:hyperlink w:anchor="_Toc223208683" w:history="1">
            <w:r w:rsidR="000822C3" w:rsidRPr="00755C00">
              <w:rPr>
                <w:rStyle w:val="Hyperlink"/>
                <w:rFonts w:eastAsia="Times New Roman"/>
                <w:noProof/>
                <w:color w:val="auto"/>
              </w:rPr>
              <w:t>5.1 Balanced Scorecard overview</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_Toc223208683 \h </w:instrText>
            </w:r>
            <w:r w:rsidR="000822C3" w:rsidRPr="00755C00">
              <w:rPr>
                <w:noProof/>
                <w:webHidden/>
              </w:rPr>
            </w:r>
            <w:r w:rsidR="000822C3" w:rsidRPr="00755C00">
              <w:rPr>
                <w:noProof/>
                <w:webHidden/>
              </w:rPr>
              <w:fldChar w:fldCharType="separate"/>
            </w:r>
            <w:r w:rsidR="000822C3" w:rsidRPr="00755C00">
              <w:rPr>
                <w:noProof/>
                <w:webHidden/>
              </w:rPr>
              <w:t>10</w:t>
            </w:r>
            <w:r w:rsidR="000822C3" w:rsidRPr="00755C00">
              <w:rPr>
                <w:noProof/>
                <w:webHidden/>
              </w:rPr>
              <w:fldChar w:fldCharType="end"/>
            </w:r>
          </w:hyperlink>
        </w:p>
        <w:p w14:paraId="7CFEA12D" w14:textId="77777777" w:rsidR="000822C3" w:rsidRPr="00755C00" w:rsidRDefault="00020EF9">
          <w:pPr>
            <w:pStyle w:val="TOC2"/>
            <w:tabs>
              <w:tab w:val="right" w:leader="dot" w:pos="9350"/>
            </w:tabs>
            <w:rPr>
              <w:noProof/>
            </w:rPr>
          </w:pPr>
          <w:hyperlink w:anchor="_Toc223208684" w:history="1">
            <w:r w:rsidR="000822C3" w:rsidRPr="00755C00">
              <w:rPr>
                <w:rStyle w:val="Hyperlink"/>
                <w:rFonts w:eastAsia="Times New Roman"/>
                <w:noProof/>
                <w:color w:val="auto"/>
              </w:rPr>
              <w:t>6.0 Strategic Choices and Implementation</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_Toc223208684 \h </w:instrText>
            </w:r>
            <w:r w:rsidR="000822C3" w:rsidRPr="00755C00">
              <w:rPr>
                <w:noProof/>
                <w:webHidden/>
              </w:rPr>
            </w:r>
            <w:r w:rsidR="000822C3" w:rsidRPr="00755C00">
              <w:rPr>
                <w:noProof/>
                <w:webHidden/>
              </w:rPr>
              <w:fldChar w:fldCharType="separate"/>
            </w:r>
            <w:r w:rsidR="000822C3" w:rsidRPr="00755C00">
              <w:rPr>
                <w:noProof/>
                <w:webHidden/>
              </w:rPr>
              <w:t>11</w:t>
            </w:r>
            <w:r w:rsidR="000822C3" w:rsidRPr="00755C00">
              <w:rPr>
                <w:noProof/>
                <w:webHidden/>
              </w:rPr>
              <w:fldChar w:fldCharType="end"/>
            </w:r>
          </w:hyperlink>
        </w:p>
        <w:p w14:paraId="4F7A3003" w14:textId="77777777" w:rsidR="000822C3" w:rsidRPr="00755C00" w:rsidRDefault="00020EF9">
          <w:pPr>
            <w:pStyle w:val="TOC3"/>
            <w:tabs>
              <w:tab w:val="right" w:leader="dot" w:pos="9350"/>
            </w:tabs>
            <w:rPr>
              <w:noProof/>
            </w:rPr>
          </w:pPr>
          <w:hyperlink w:anchor="_Toc223208685" w:history="1">
            <w:r w:rsidR="000822C3" w:rsidRPr="00755C00">
              <w:rPr>
                <w:rStyle w:val="Hyperlink"/>
                <w:rFonts w:eastAsia="Times New Roman"/>
                <w:noProof/>
                <w:color w:val="auto"/>
              </w:rPr>
              <w:t>6.1 Business-level strategic options</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_Toc223208685 \h </w:instrText>
            </w:r>
            <w:r w:rsidR="000822C3" w:rsidRPr="00755C00">
              <w:rPr>
                <w:noProof/>
                <w:webHidden/>
              </w:rPr>
            </w:r>
            <w:r w:rsidR="000822C3" w:rsidRPr="00755C00">
              <w:rPr>
                <w:noProof/>
                <w:webHidden/>
              </w:rPr>
              <w:fldChar w:fldCharType="separate"/>
            </w:r>
            <w:r w:rsidR="000822C3" w:rsidRPr="00755C00">
              <w:rPr>
                <w:noProof/>
                <w:webHidden/>
              </w:rPr>
              <w:t>11</w:t>
            </w:r>
            <w:r w:rsidR="000822C3" w:rsidRPr="00755C00">
              <w:rPr>
                <w:noProof/>
                <w:webHidden/>
              </w:rPr>
              <w:fldChar w:fldCharType="end"/>
            </w:r>
          </w:hyperlink>
        </w:p>
        <w:p w14:paraId="1D90B5E3" w14:textId="77777777" w:rsidR="000822C3" w:rsidRPr="00755C00" w:rsidRDefault="00020EF9">
          <w:pPr>
            <w:pStyle w:val="TOC3"/>
            <w:tabs>
              <w:tab w:val="right" w:leader="dot" w:pos="9350"/>
            </w:tabs>
            <w:rPr>
              <w:noProof/>
            </w:rPr>
          </w:pPr>
          <w:hyperlink w:anchor="_Toc223208686" w:history="1">
            <w:r w:rsidR="000822C3" w:rsidRPr="00755C00">
              <w:rPr>
                <w:rStyle w:val="Hyperlink"/>
                <w:noProof/>
                <w:color w:val="auto"/>
              </w:rPr>
              <w:t>6.2 Corporate-level strategic options</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_Toc223208686 \h </w:instrText>
            </w:r>
            <w:r w:rsidR="000822C3" w:rsidRPr="00755C00">
              <w:rPr>
                <w:noProof/>
                <w:webHidden/>
              </w:rPr>
            </w:r>
            <w:r w:rsidR="000822C3" w:rsidRPr="00755C00">
              <w:rPr>
                <w:noProof/>
                <w:webHidden/>
              </w:rPr>
              <w:fldChar w:fldCharType="separate"/>
            </w:r>
            <w:r w:rsidR="000822C3" w:rsidRPr="00755C00">
              <w:rPr>
                <w:noProof/>
                <w:webHidden/>
              </w:rPr>
              <w:t>12</w:t>
            </w:r>
            <w:r w:rsidR="000822C3" w:rsidRPr="00755C00">
              <w:rPr>
                <w:noProof/>
                <w:webHidden/>
              </w:rPr>
              <w:fldChar w:fldCharType="end"/>
            </w:r>
          </w:hyperlink>
        </w:p>
        <w:p w14:paraId="539E944A" w14:textId="77777777" w:rsidR="000822C3" w:rsidRPr="00755C00" w:rsidRDefault="00020EF9">
          <w:pPr>
            <w:pStyle w:val="TOC3"/>
            <w:tabs>
              <w:tab w:val="right" w:leader="dot" w:pos="9350"/>
            </w:tabs>
            <w:rPr>
              <w:noProof/>
            </w:rPr>
          </w:pPr>
          <w:hyperlink w:anchor="_Toc223208687" w:history="1">
            <w:r w:rsidR="000822C3" w:rsidRPr="00755C00">
              <w:rPr>
                <w:rStyle w:val="Hyperlink"/>
                <w:noProof/>
                <w:color w:val="auto"/>
              </w:rPr>
              <w:t>6.3 Recommended strategic choice</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_Toc223208687 \h </w:instrText>
            </w:r>
            <w:r w:rsidR="000822C3" w:rsidRPr="00755C00">
              <w:rPr>
                <w:noProof/>
                <w:webHidden/>
              </w:rPr>
            </w:r>
            <w:r w:rsidR="000822C3" w:rsidRPr="00755C00">
              <w:rPr>
                <w:noProof/>
                <w:webHidden/>
              </w:rPr>
              <w:fldChar w:fldCharType="separate"/>
            </w:r>
            <w:r w:rsidR="000822C3" w:rsidRPr="00755C00">
              <w:rPr>
                <w:noProof/>
                <w:webHidden/>
              </w:rPr>
              <w:t>12</w:t>
            </w:r>
            <w:r w:rsidR="000822C3" w:rsidRPr="00755C00">
              <w:rPr>
                <w:noProof/>
                <w:webHidden/>
              </w:rPr>
              <w:fldChar w:fldCharType="end"/>
            </w:r>
          </w:hyperlink>
        </w:p>
        <w:p w14:paraId="05ABB806" w14:textId="77777777" w:rsidR="000822C3" w:rsidRPr="00755C00" w:rsidRDefault="00020EF9">
          <w:pPr>
            <w:pStyle w:val="TOC3"/>
            <w:tabs>
              <w:tab w:val="right" w:leader="dot" w:pos="9350"/>
            </w:tabs>
            <w:rPr>
              <w:noProof/>
            </w:rPr>
          </w:pPr>
          <w:hyperlink w:anchor="_Toc223208688" w:history="1">
            <w:r w:rsidR="000822C3" w:rsidRPr="00755C00">
              <w:rPr>
                <w:rStyle w:val="Hyperlink"/>
                <w:noProof/>
                <w:color w:val="auto"/>
              </w:rPr>
              <w:t>6.4 Change management and implementation assessment</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_Toc223208688 \h </w:instrText>
            </w:r>
            <w:r w:rsidR="000822C3" w:rsidRPr="00755C00">
              <w:rPr>
                <w:noProof/>
                <w:webHidden/>
              </w:rPr>
            </w:r>
            <w:r w:rsidR="000822C3" w:rsidRPr="00755C00">
              <w:rPr>
                <w:noProof/>
                <w:webHidden/>
              </w:rPr>
              <w:fldChar w:fldCharType="separate"/>
            </w:r>
            <w:r w:rsidR="000822C3" w:rsidRPr="00755C00">
              <w:rPr>
                <w:noProof/>
                <w:webHidden/>
              </w:rPr>
              <w:t>13</w:t>
            </w:r>
            <w:r w:rsidR="000822C3" w:rsidRPr="00755C00">
              <w:rPr>
                <w:noProof/>
                <w:webHidden/>
              </w:rPr>
              <w:fldChar w:fldCharType="end"/>
            </w:r>
          </w:hyperlink>
        </w:p>
        <w:p w14:paraId="27BF6931" w14:textId="77777777" w:rsidR="000822C3" w:rsidRPr="00755C00" w:rsidRDefault="00020EF9">
          <w:pPr>
            <w:pStyle w:val="TOC2"/>
            <w:tabs>
              <w:tab w:val="right" w:leader="dot" w:pos="9350"/>
            </w:tabs>
            <w:rPr>
              <w:noProof/>
            </w:rPr>
          </w:pPr>
          <w:hyperlink w:anchor="_Toc223208689" w:history="1">
            <w:r w:rsidR="000822C3" w:rsidRPr="00755C00">
              <w:rPr>
                <w:rStyle w:val="Hyperlink"/>
                <w:rFonts w:eastAsia="Times New Roman"/>
                <w:noProof/>
                <w:color w:val="auto"/>
              </w:rPr>
              <w:t>7.0 Strategic Evaluation and Recommendations</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_Toc223208689 \h </w:instrText>
            </w:r>
            <w:r w:rsidR="000822C3" w:rsidRPr="00755C00">
              <w:rPr>
                <w:noProof/>
                <w:webHidden/>
              </w:rPr>
            </w:r>
            <w:r w:rsidR="000822C3" w:rsidRPr="00755C00">
              <w:rPr>
                <w:noProof/>
                <w:webHidden/>
              </w:rPr>
              <w:fldChar w:fldCharType="separate"/>
            </w:r>
            <w:r w:rsidR="000822C3" w:rsidRPr="00755C00">
              <w:rPr>
                <w:noProof/>
                <w:webHidden/>
              </w:rPr>
              <w:t>13</w:t>
            </w:r>
            <w:r w:rsidR="000822C3" w:rsidRPr="00755C00">
              <w:rPr>
                <w:noProof/>
                <w:webHidden/>
              </w:rPr>
              <w:fldChar w:fldCharType="end"/>
            </w:r>
          </w:hyperlink>
        </w:p>
        <w:p w14:paraId="75333A50" w14:textId="77777777" w:rsidR="000822C3" w:rsidRPr="00755C00" w:rsidRDefault="00020EF9">
          <w:pPr>
            <w:pStyle w:val="TOC3"/>
            <w:tabs>
              <w:tab w:val="right" w:leader="dot" w:pos="9350"/>
            </w:tabs>
            <w:rPr>
              <w:noProof/>
            </w:rPr>
          </w:pPr>
          <w:hyperlink w:anchor="_Toc223208690" w:history="1">
            <w:r w:rsidR="000822C3" w:rsidRPr="00755C00">
              <w:rPr>
                <w:rStyle w:val="Hyperlink"/>
                <w:rFonts w:eastAsia="Times New Roman"/>
                <w:noProof/>
                <w:color w:val="auto"/>
              </w:rPr>
              <w:t xml:space="preserve">7.1 Strategic evaluation using SWOT </w:t>
            </w:r>
            <w:r w:rsidR="008311AF" w:rsidRPr="00755C00">
              <w:rPr>
                <w:rStyle w:val="Hyperlink"/>
                <w:rFonts w:eastAsia="Times New Roman"/>
                <w:noProof/>
                <w:color w:val="auto"/>
              </w:rPr>
              <w:t>and</w:t>
            </w:r>
            <w:r w:rsidR="000822C3" w:rsidRPr="00755C00">
              <w:rPr>
                <w:rStyle w:val="Hyperlink"/>
                <w:rFonts w:eastAsia="Times New Roman"/>
                <w:noProof/>
                <w:color w:val="auto"/>
              </w:rPr>
              <w:t xml:space="preserve"> Ansoff</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_Toc223208690 \h </w:instrText>
            </w:r>
            <w:r w:rsidR="000822C3" w:rsidRPr="00755C00">
              <w:rPr>
                <w:noProof/>
                <w:webHidden/>
              </w:rPr>
            </w:r>
            <w:r w:rsidR="000822C3" w:rsidRPr="00755C00">
              <w:rPr>
                <w:noProof/>
                <w:webHidden/>
              </w:rPr>
              <w:fldChar w:fldCharType="separate"/>
            </w:r>
            <w:r w:rsidR="000822C3" w:rsidRPr="00755C00">
              <w:rPr>
                <w:noProof/>
                <w:webHidden/>
              </w:rPr>
              <w:t>13</w:t>
            </w:r>
            <w:r w:rsidR="000822C3" w:rsidRPr="00755C00">
              <w:rPr>
                <w:noProof/>
                <w:webHidden/>
              </w:rPr>
              <w:fldChar w:fldCharType="end"/>
            </w:r>
          </w:hyperlink>
        </w:p>
        <w:p w14:paraId="49511423" w14:textId="77777777" w:rsidR="000822C3" w:rsidRPr="00755C00" w:rsidRDefault="00020EF9">
          <w:pPr>
            <w:pStyle w:val="TOC3"/>
            <w:tabs>
              <w:tab w:val="right" w:leader="dot" w:pos="9350"/>
            </w:tabs>
            <w:rPr>
              <w:noProof/>
            </w:rPr>
          </w:pPr>
          <w:hyperlink w:anchor="_Toc223208691" w:history="1">
            <w:r w:rsidR="000822C3" w:rsidRPr="00755C00">
              <w:rPr>
                <w:rStyle w:val="Hyperlink"/>
                <w:rFonts w:eastAsia="Times New Roman"/>
                <w:noProof/>
                <w:color w:val="auto"/>
              </w:rPr>
              <w:t>7.2 Recommendations to maintain or enhance competitive advantage</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_Toc223208691 \h </w:instrText>
            </w:r>
            <w:r w:rsidR="000822C3" w:rsidRPr="00755C00">
              <w:rPr>
                <w:noProof/>
                <w:webHidden/>
              </w:rPr>
            </w:r>
            <w:r w:rsidR="000822C3" w:rsidRPr="00755C00">
              <w:rPr>
                <w:noProof/>
                <w:webHidden/>
              </w:rPr>
              <w:fldChar w:fldCharType="separate"/>
            </w:r>
            <w:r w:rsidR="000822C3" w:rsidRPr="00755C00">
              <w:rPr>
                <w:noProof/>
                <w:webHidden/>
              </w:rPr>
              <w:t>15</w:t>
            </w:r>
            <w:r w:rsidR="000822C3" w:rsidRPr="00755C00">
              <w:rPr>
                <w:noProof/>
                <w:webHidden/>
              </w:rPr>
              <w:fldChar w:fldCharType="end"/>
            </w:r>
          </w:hyperlink>
        </w:p>
        <w:p w14:paraId="467E4CF8" w14:textId="77777777" w:rsidR="000822C3" w:rsidRPr="00755C00" w:rsidRDefault="00020EF9">
          <w:pPr>
            <w:pStyle w:val="TOC3"/>
            <w:tabs>
              <w:tab w:val="right" w:leader="dot" w:pos="9350"/>
            </w:tabs>
            <w:rPr>
              <w:noProof/>
            </w:rPr>
          </w:pPr>
          <w:hyperlink w:anchor="_Toc223208692" w:history="1">
            <w:r w:rsidR="000822C3" w:rsidRPr="00755C00">
              <w:rPr>
                <w:rStyle w:val="Hyperlink"/>
                <w:rFonts w:eastAsia="Times New Roman"/>
                <w:noProof/>
                <w:color w:val="auto"/>
              </w:rPr>
              <w:t>7.3 Theory and real-world justification</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_Toc223208692 \h </w:instrText>
            </w:r>
            <w:r w:rsidR="000822C3" w:rsidRPr="00755C00">
              <w:rPr>
                <w:noProof/>
                <w:webHidden/>
              </w:rPr>
            </w:r>
            <w:r w:rsidR="000822C3" w:rsidRPr="00755C00">
              <w:rPr>
                <w:noProof/>
                <w:webHidden/>
              </w:rPr>
              <w:fldChar w:fldCharType="separate"/>
            </w:r>
            <w:r w:rsidR="000822C3" w:rsidRPr="00755C00">
              <w:rPr>
                <w:noProof/>
                <w:webHidden/>
              </w:rPr>
              <w:t>15</w:t>
            </w:r>
            <w:r w:rsidR="000822C3" w:rsidRPr="00755C00">
              <w:rPr>
                <w:noProof/>
                <w:webHidden/>
              </w:rPr>
              <w:fldChar w:fldCharType="end"/>
            </w:r>
          </w:hyperlink>
        </w:p>
        <w:p w14:paraId="765BA028" w14:textId="77777777" w:rsidR="000822C3" w:rsidRPr="00755C00" w:rsidRDefault="00020EF9">
          <w:pPr>
            <w:pStyle w:val="TOC2"/>
            <w:tabs>
              <w:tab w:val="right" w:leader="dot" w:pos="9350"/>
            </w:tabs>
            <w:rPr>
              <w:noProof/>
            </w:rPr>
          </w:pPr>
          <w:hyperlink w:anchor="_Toc223208693" w:history="1">
            <w:r w:rsidR="000822C3" w:rsidRPr="00755C00">
              <w:rPr>
                <w:rStyle w:val="Hyperlink"/>
                <w:rFonts w:eastAsia="Times New Roman"/>
                <w:noProof/>
                <w:color w:val="auto"/>
              </w:rPr>
              <w:t>8.0 Conclusion</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_Toc223208693 \h </w:instrText>
            </w:r>
            <w:r w:rsidR="000822C3" w:rsidRPr="00755C00">
              <w:rPr>
                <w:noProof/>
                <w:webHidden/>
              </w:rPr>
            </w:r>
            <w:r w:rsidR="000822C3" w:rsidRPr="00755C00">
              <w:rPr>
                <w:noProof/>
                <w:webHidden/>
              </w:rPr>
              <w:fldChar w:fldCharType="separate"/>
            </w:r>
            <w:r w:rsidR="000822C3" w:rsidRPr="00755C00">
              <w:rPr>
                <w:noProof/>
                <w:webHidden/>
              </w:rPr>
              <w:t>16</w:t>
            </w:r>
            <w:r w:rsidR="000822C3" w:rsidRPr="00755C00">
              <w:rPr>
                <w:noProof/>
                <w:webHidden/>
              </w:rPr>
              <w:fldChar w:fldCharType="end"/>
            </w:r>
          </w:hyperlink>
        </w:p>
        <w:p w14:paraId="341C051C" w14:textId="77777777" w:rsidR="000822C3" w:rsidRPr="00755C00" w:rsidRDefault="00020EF9">
          <w:pPr>
            <w:pStyle w:val="TOC1"/>
            <w:tabs>
              <w:tab w:val="right" w:leader="dot" w:pos="9350"/>
            </w:tabs>
            <w:rPr>
              <w:noProof/>
            </w:rPr>
          </w:pPr>
          <w:hyperlink w:anchor="_Toc223208694" w:history="1">
            <w:r w:rsidR="000822C3" w:rsidRPr="00755C00">
              <w:rPr>
                <w:rStyle w:val="Hyperlink"/>
                <w:rFonts w:eastAsia="Times New Roman"/>
                <w:noProof/>
                <w:color w:val="auto"/>
              </w:rPr>
              <w:t>SECTION 2: Reflective Account — Gibbs Reflective Cycle</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_Toc223208694 \h </w:instrText>
            </w:r>
            <w:r w:rsidR="000822C3" w:rsidRPr="00755C00">
              <w:rPr>
                <w:noProof/>
                <w:webHidden/>
              </w:rPr>
            </w:r>
            <w:r w:rsidR="000822C3" w:rsidRPr="00755C00">
              <w:rPr>
                <w:noProof/>
                <w:webHidden/>
              </w:rPr>
              <w:fldChar w:fldCharType="separate"/>
            </w:r>
            <w:r w:rsidR="000822C3" w:rsidRPr="00755C00">
              <w:rPr>
                <w:noProof/>
                <w:webHidden/>
              </w:rPr>
              <w:t>17</w:t>
            </w:r>
            <w:r w:rsidR="000822C3" w:rsidRPr="00755C00">
              <w:rPr>
                <w:noProof/>
                <w:webHidden/>
              </w:rPr>
              <w:fldChar w:fldCharType="end"/>
            </w:r>
          </w:hyperlink>
        </w:p>
        <w:p w14:paraId="31FCD046" w14:textId="77777777" w:rsidR="000822C3" w:rsidRPr="00755C00" w:rsidRDefault="00020EF9">
          <w:pPr>
            <w:pStyle w:val="TOC2"/>
            <w:tabs>
              <w:tab w:val="right" w:leader="dot" w:pos="9350"/>
            </w:tabs>
            <w:rPr>
              <w:noProof/>
            </w:rPr>
          </w:pPr>
          <w:hyperlink w:anchor="_Toc223208695" w:history="1">
            <w:r w:rsidR="000822C3" w:rsidRPr="00755C00">
              <w:rPr>
                <w:rStyle w:val="Hyperlink"/>
                <w:noProof/>
                <w:color w:val="auto"/>
              </w:rPr>
              <w:t>1.0 Description</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_Toc223208695 \h </w:instrText>
            </w:r>
            <w:r w:rsidR="000822C3" w:rsidRPr="00755C00">
              <w:rPr>
                <w:noProof/>
                <w:webHidden/>
              </w:rPr>
            </w:r>
            <w:r w:rsidR="000822C3" w:rsidRPr="00755C00">
              <w:rPr>
                <w:noProof/>
                <w:webHidden/>
              </w:rPr>
              <w:fldChar w:fldCharType="separate"/>
            </w:r>
            <w:r w:rsidR="000822C3" w:rsidRPr="00755C00">
              <w:rPr>
                <w:noProof/>
                <w:webHidden/>
              </w:rPr>
              <w:t>17</w:t>
            </w:r>
            <w:r w:rsidR="000822C3" w:rsidRPr="00755C00">
              <w:rPr>
                <w:noProof/>
                <w:webHidden/>
              </w:rPr>
              <w:fldChar w:fldCharType="end"/>
            </w:r>
          </w:hyperlink>
        </w:p>
        <w:p w14:paraId="4ACEE3BF" w14:textId="77777777" w:rsidR="000822C3" w:rsidRPr="00755C00" w:rsidRDefault="00020EF9">
          <w:pPr>
            <w:pStyle w:val="TOC2"/>
            <w:tabs>
              <w:tab w:val="right" w:leader="dot" w:pos="9350"/>
            </w:tabs>
            <w:rPr>
              <w:noProof/>
            </w:rPr>
          </w:pPr>
          <w:hyperlink w:anchor="_Toc223208696" w:history="1">
            <w:r w:rsidR="000822C3" w:rsidRPr="00755C00">
              <w:rPr>
                <w:rStyle w:val="Hyperlink"/>
                <w:noProof/>
                <w:color w:val="auto"/>
              </w:rPr>
              <w:t>2.0 Feelings</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_Toc223208696 \h </w:instrText>
            </w:r>
            <w:r w:rsidR="000822C3" w:rsidRPr="00755C00">
              <w:rPr>
                <w:noProof/>
                <w:webHidden/>
              </w:rPr>
            </w:r>
            <w:r w:rsidR="000822C3" w:rsidRPr="00755C00">
              <w:rPr>
                <w:noProof/>
                <w:webHidden/>
              </w:rPr>
              <w:fldChar w:fldCharType="separate"/>
            </w:r>
            <w:r w:rsidR="000822C3" w:rsidRPr="00755C00">
              <w:rPr>
                <w:noProof/>
                <w:webHidden/>
              </w:rPr>
              <w:t>18</w:t>
            </w:r>
            <w:r w:rsidR="000822C3" w:rsidRPr="00755C00">
              <w:rPr>
                <w:noProof/>
                <w:webHidden/>
              </w:rPr>
              <w:fldChar w:fldCharType="end"/>
            </w:r>
          </w:hyperlink>
        </w:p>
        <w:p w14:paraId="7E03F9D0" w14:textId="77777777" w:rsidR="000822C3" w:rsidRPr="00755C00" w:rsidRDefault="00020EF9">
          <w:pPr>
            <w:pStyle w:val="TOC2"/>
            <w:tabs>
              <w:tab w:val="right" w:leader="dot" w:pos="9350"/>
            </w:tabs>
            <w:rPr>
              <w:noProof/>
            </w:rPr>
          </w:pPr>
          <w:hyperlink w:anchor="_Toc223208697" w:history="1">
            <w:r w:rsidR="000822C3" w:rsidRPr="00755C00">
              <w:rPr>
                <w:rStyle w:val="Hyperlink"/>
                <w:noProof/>
                <w:color w:val="auto"/>
              </w:rPr>
              <w:t>3.0 Evaluation</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_Toc223208697 \h </w:instrText>
            </w:r>
            <w:r w:rsidR="000822C3" w:rsidRPr="00755C00">
              <w:rPr>
                <w:noProof/>
                <w:webHidden/>
              </w:rPr>
            </w:r>
            <w:r w:rsidR="000822C3" w:rsidRPr="00755C00">
              <w:rPr>
                <w:noProof/>
                <w:webHidden/>
              </w:rPr>
              <w:fldChar w:fldCharType="separate"/>
            </w:r>
            <w:r w:rsidR="000822C3" w:rsidRPr="00755C00">
              <w:rPr>
                <w:noProof/>
                <w:webHidden/>
              </w:rPr>
              <w:t>19</w:t>
            </w:r>
            <w:r w:rsidR="000822C3" w:rsidRPr="00755C00">
              <w:rPr>
                <w:noProof/>
                <w:webHidden/>
              </w:rPr>
              <w:fldChar w:fldCharType="end"/>
            </w:r>
          </w:hyperlink>
        </w:p>
        <w:p w14:paraId="7993A22F" w14:textId="77777777" w:rsidR="000822C3" w:rsidRPr="00755C00" w:rsidRDefault="00020EF9">
          <w:pPr>
            <w:pStyle w:val="TOC2"/>
            <w:tabs>
              <w:tab w:val="right" w:leader="dot" w:pos="9350"/>
            </w:tabs>
            <w:rPr>
              <w:noProof/>
            </w:rPr>
          </w:pPr>
          <w:hyperlink w:anchor="_Toc223208698" w:history="1">
            <w:r w:rsidR="000822C3" w:rsidRPr="00755C00">
              <w:rPr>
                <w:rStyle w:val="Hyperlink"/>
                <w:noProof/>
                <w:color w:val="auto"/>
              </w:rPr>
              <w:t>4.0 Analysis</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_Toc223208698 \h </w:instrText>
            </w:r>
            <w:r w:rsidR="000822C3" w:rsidRPr="00755C00">
              <w:rPr>
                <w:noProof/>
                <w:webHidden/>
              </w:rPr>
            </w:r>
            <w:r w:rsidR="000822C3" w:rsidRPr="00755C00">
              <w:rPr>
                <w:noProof/>
                <w:webHidden/>
              </w:rPr>
              <w:fldChar w:fldCharType="separate"/>
            </w:r>
            <w:r w:rsidR="000822C3" w:rsidRPr="00755C00">
              <w:rPr>
                <w:noProof/>
                <w:webHidden/>
              </w:rPr>
              <w:t>19</w:t>
            </w:r>
            <w:r w:rsidR="000822C3" w:rsidRPr="00755C00">
              <w:rPr>
                <w:noProof/>
                <w:webHidden/>
              </w:rPr>
              <w:fldChar w:fldCharType="end"/>
            </w:r>
          </w:hyperlink>
        </w:p>
        <w:p w14:paraId="2FC1EE92" w14:textId="77777777" w:rsidR="000822C3" w:rsidRPr="00755C00" w:rsidRDefault="00020EF9">
          <w:pPr>
            <w:pStyle w:val="TOC2"/>
            <w:tabs>
              <w:tab w:val="right" w:leader="dot" w:pos="9350"/>
            </w:tabs>
            <w:rPr>
              <w:noProof/>
            </w:rPr>
          </w:pPr>
          <w:hyperlink w:anchor="_Toc223208699" w:history="1">
            <w:r w:rsidR="000822C3" w:rsidRPr="00755C00">
              <w:rPr>
                <w:rStyle w:val="Hyperlink"/>
                <w:noProof/>
                <w:color w:val="auto"/>
              </w:rPr>
              <w:t>5.0 Conclusion</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_Toc223208699 \h </w:instrText>
            </w:r>
            <w:r w:rsidR="000822C3" w:rsidRPr="00755C00">
              <w:rPr>
                <w:noProof/>
                <w:webHidden/>
              </w:rPr>
            </w:r>
            <w:r w:rsidR="000822C3" w:rsidRPr="00755C00">
              <w:rPr>
                <w:noProof/>
                <w:webHidden/>
              </w:rPr>
              <w:fldChar w:fldCharType="separate"/>
            </w:r>
            <w:r w:rsidR="000822C3" w:rsidRPr="00755C00">
              <w:rPr>
                <w:noProof/>
                <w:webHidden/>
              </w:rPr>
              <w:t>20</w:t>
            </w:r>
            <w:r w:rsidR="000822C3" w:rsidRPr="00755C00">
              <w:rPr>
                <w:noProof/>
                <w:webHidden/>
              </w:rPr>
              <w:fldChar w:fldCharType="end"/>
            </w:r>
          </w:hyperlink>
        </w:p>
        <w:p w14:paraId="3DEA1681" w14:textId="77777777" w:rsidR="000822C3" w:rsidRPr="00755C00" w:rsidRDefault="00020EF9">
          <w:pPr>
            <w:pStyle w:val="TOC2"/>
            <w:tabs>
              <w:tab w:val="right" w:leader="dot" w:pos="9350"/>
            </w:tabs>
            <w:rPr>
              <w:noProof/>
            </w:rPr>
          </w:pPr>
          <w:hyperlink w:anchor="_Toc223208700" w:history="1">
            <w:r w:rsidR="000822C3" w:rsidRPr="00755C00">
              <w:rPr>
                <w:rStyle w:val="Hyperlink"/>
                <w:noProof/>
                <w:color w:val="auto"/>
              </w:rPr>
              <w:t>6.0 Action Plan</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_Toc223208700 \h </w:instrText>
            </w:r>
            <w:r w:rsidR="000822C3" w:rsidRPr="00755C00">
              <w:rPr>
                <w:noProof/>
                <w:webHidden/>
              </w:rPr>
            </w:r>
            <w:r w:rsidR="000822C3" w:rsidRPr="00755C00">
              <w:rPr>
                <w:noProof/>
                <w:webHidden/>
              </w:rPr>
              <w:fldChar w:fldCharType="separate"/>
            </w:r>
            <w:r w:rsidR="000822C3" w:rsidRPr="00755C00">
              <w:rPr>
                <w:noProof/>
                <w:webHidden/>
              </w:rPr>
              <w:t>21</w:t>
            </w:r>
            <w:r w:rsidR="000822C3" w:rsidRPr="00755C00">
              <w:rPr>
                <w:noProof/>
                <w:webHidden/>
              </w:rPr>
              <w:fldChar w:fldCharType="end"/>
            </w:r>
          </w:hyperlink>
        </w:p>
        <w:p w14:paraId="586E26EF" w14:textId="77777777" w:rsidR="000822C3" w:rsidRPr="00755C00" w:rsidRDefault="00020EF9">
          <w:pPr>
            <w:pStyle w:val="TOC1"/>
            <w:tabs>
              <w:tab w:val="right" w:leader="dot" w:pos="9350"/>
            </w:tabs>
            <w:rPr>
              <w:noProof/>
            </w:rPr>
          </w:pPr>
          <w:hyperlink w:anchor="_Toc223208701" w:history="1">
            <w:r w:rsidR="000822C3" w:rsidRPr="00755C00">
              <w:rPr>
                <w:rStyle w:val="Hyperlink"/>
                <w:noProof/>
                <w:color w:val="auto"/>
              </w:rPr>
              <w:t>References</w:t>
            </w:r>
            <w:r w:rsidR="000822C3" w:rsidRPr="00755C00">
              <w:rPr>
                <w:noProof/>
                <w:webHidden/>
              </w:rPr>
              <w:tab/>
            </w:r>
            <w:r w:rsidR="000822C3" w:rsidRPr="00755C00">
              <w:rPr>
                <w:noProof/>
                <w:webHidden/>
              </w:rPr>
              <w:fldChar w:fldCharType="begin"/>
            </w:r>
            <w:r w:rsidR="000822C3" w:rsidRPr="00755C00">
              <w:rPr>
                <w:noProof/>
                <w:webHidden/>
              </w:rPr>
              <w:instrText xml:space="preserve"> PAGEREF _Toc223208701 \h </w:instrText>
            </w:r>
            <w:r w:rsidR="000822C3" w:rsidRPr="00755C00">
              <w:rPr>
                <w:noProof/>
                <w:webHidden/>
              </w:rPr>
            </w:r>
            <w:r w:rsidR="000822C3" w:rsidRPr="00755C00">
              <w:rPr>
                <w:noProof/>
                <w:webHidden/>
              </w:rPr>
              <w:fldChar w:fldCharType="separate"/>
            </w:r>
            <w:r w:rsidR="000822C3" w:rsidRPr="00755C00">
              <w:rPr>
                <w:noProof/>
                <w:webHidden/>
              </w:rPr>
              <w:t>22</w:t>
            </w:r>
            <w:r w:rsidR="000822C3" w:rsidRPr="00755C00">
              <w:rPr>
                <w:noProof/>
                <w:webHidden/>
              </w:rPr>
              <w:fldChar w:fldCharType="end"/>
            </w:r>
          </w:hyperlink>
        </w:p>
        <w:p w14:paraId="14D87106" w14:textId="77777777" w:rsidR="000822C3" w:rsidRPr="00755C00" w:rsidRDefault="000822C3">
          <w:r w:rsidRPr="00755C00">
            <w:rPr>
              <w:b/>
              <w:bCs/>
              <w:noProof/>
            </w:rPr>
            <w:fldChar w:fldCharType="end"/>
          </w:r>
        </w:p>
      </w:sdtContent>
    </w:sdt>
    <w:p w14:paraId="4E74B09F" w14:textId="77777777" w:rsidR="000822C3" w:rsidRPr="00755C00" w:rsidRDefault="000822C3" w:rsidP="00AB08D4">
      <w:pPr>
        <w:rPr>
          <w:b/>
        </w:rPr>
      </w:pPr>
    </w:p>
    <w:p w14:paraId="6DA89B80" w14:textId="77777777" w:rsidR="00AB08D4" w:rsidRPr="00755C00" w:rsidRDefault="00AB08D4">
      <w:pPr>
        <w:spacing w:line="276" w:lineRule="auto"/>
        <w:jc w:val="left"/>
        <w:rPr>
          <w:b/>
        </w:rPr>
      </w:pPr>
      <w:r w:rsidRPr="00755C00">
        <w:rPr>
          <w:b/>
        </w:rPr>
        <w:br w:type="page"/>
      </w:r>
    </w:p>
    <w:p w14:paraId="7862723C" w14:textId="77777777" w:rsidR="000822C3" w:rsidRPr="00755C00" w:rsidRDefault="000822C3" w:rsidP="008A4950">
      <w:pPr>
        <w:pStyle w:val="Heading1"/>
        <w:rPr>
          <w:color w:val="auto"/>
        </w:rPr>
        <w:sectPr w:rsidR="000822C3" w:rsidRPr="00755C00">
          <w:pgSz w:w="12240" w:h="15840"/>
          <w:pgMar w:top="1440" w:right="1440" w:bottom="1440" w:left="1440" w:header="720" w:footer="720" w:gutter="0"/>
          <w:cols w:space="720"/>
          <w:docGrid w:linePitch="360"/>
        </w:sectPr>
      </w:pPr>
    </w:p>
    <w:p w14:paraId="73C567FF" w14:textId="77777777" w:rsidR="00AB08D4" w:rsidRPr="00755C00" w:rsidRDefault="00AB08D4" w:rsidP="008A4950">
      <w:pPr>
        <w:pStyle w:val="Heading1"/>
        <w:rPr>
          <w:color w:val="auto"/>
        </w:rPr>
      </w:pPr>
      <w:bookmarkStart w:id="0" w:name="_Toc223208671"/>
      <w:r w:rsidRPr="00755C00">
        <w:rPr>
          <w:color w:val="auto"/>
        </w:rPr>
        <w:lastRenderedPageBreak/>
        <w:t>Section 1: Strategic Management Report</w:t>
      </w:r>
      <w:bookmarkEnd w:id="0"/>
    </w:p>
    <w:p w14:paraId="773399BE" w14:textId="77777777" w:rsidR="005F1F51" w:rsidRPr="00755C00" w:rsidRDefault="000822C3" w:rsidP="000822C3">
      <w:pPr>
        <w:pStyle w:val="Heading2"/>
        <w:rPr>
          <w:rFonts w:eastAsia="Times New Roman"/>
          <w:lang w:bidi="ar-SA"/>
        </w:rPr>
      </w:pPr>
      <w:bookmarkStart w:id="1" w:name="_Toc223208672"/>
      <w:r w:rsidRPr="00755C00">
        <w:rPr>
          <w:lang w:bidi="ar-SA"/>
        </w:rPr>
        <w:t xml:space="preserve">1.0 </w:t>
      </w:r>
      <w:r w:rsidR="005F1F51" w:rsidRPr="00755C00">
        <w:rPr>
          <w:lang w:bidi="ar-SA"/>
        </w:rPr>
        <w:t>Introduction</w:t>
      </w:r>
      <w:bookmarkEnd w:id="1"/>
    </w:p>
    <w:p w14:paraId="119E14D3" w14:textId="77777777" w:rsidR="005F1F51" w:rsidRPr="00755C00" w:rsidRDefault="005F1F51" w:rsidP="005F1F51">
      <w:pPr>
        <w:rPr>
          <w:lang w:bidi="ar-SA"/>
        </w:rPr>
      </w:pPr>
      <w:r w:rsidRPr="00755C00">
        <w:rPr>
          <w:lang w:bidi="ar-SA"/>
        </w:rPr>
        <w:t xml:space="preserve">The contemporary UK fast-moving consumer goods (FMCG) sphere strategic management requires companies to strike a balance between regulatory and cost pressures and competition, and maintain a long-term competitive edge. It is a critical assessment of the strategic position of Nestle UK in an integrated approach of </w:t>
      </w:r>
      <w:proofErr w:type="spellStart"/>
      <w:r w:rsidRPr="00755C00">
        <w:rPr>
          <w:lang w:bidi="ar-SA"/>
        </w:rPr>
        <w:t>analysing</w:t>
      </w:r>
      <w:proofErr w:type="spellEnd"/>
      <w:r w:rsidRPr="00755C00">
        <w:rPr>
          <w:lang w:bidi="ar-SA"/>
        </w:rPr>
        <w:t xml:space="preserve"> the </w:t>
      </w:r>
      <w:proofErr w:type="spellStart"/>
      <w:r w:rsidRPr="00755C00">
        <w:rPr>
          <w:lang w:bidi="ar-SA"/>
        </w:rPr>
        <w:t>organisational</w:t>
      </w:r>
      <w:proofErr w:type="spellEnd"/>
      <w:r w:rsidRPr="00755C00">
        <w:rPr>
          <w:lang w:bidi="ar-SA"/>
        </w:rPr>
        <w:t xml:space="preserve"> environment, external environment, internal capabilities and choices of growth. The report uses PESTEL, VRIO, SWOT and Ansoff frameworks to evaluate the impact of regulatory changes like HFSS restrictions, inflationary volatility and sustainability requirements in transforming strategic priorities. It ends with evidence-based recommendations that would enhance the adaptive differentiation, operational resilience and portfolio focus in the UK market.</w:t>
      </w:r>
    </w:p>
    <w:p w14:paraId="78918D6F" w14:textId="77777777" w:rsidR="00D555C8" w:rsidRPr="00755C00" w:rsidRDefault="00B81889" w:rsidP="00EC5267">
      <w:pPr>
        <w:pStyle w:val="Heading2"/>
      </w:pPr>
      <w:bookmarkStart w:id="2" w:name="_Toc223208673"/>
      <w:r w:rsidRPr="00755C00">
        <w:rPr>
          <w:noProof/>
          <w:lang w:bidi="ar-SA"/>
        </w:rPr>
        <w:drawing>
          <wp:anchor distT="0" distB="0" distL="114300" distR="114300" simplePos="0" relativeHeight="251659264" behindDoc="1" locked="0" layoutInCell="1" allowOverlap="1" wp14:anchorId="22074F75" wp14:editId="0D7FF62D">
            <wp:simplePos x="0" y="0"/>
            <wp:positionH relativeFrom="column">
              <wp:posOffset>2825750</wp:posOffset>
            </wp:positionH>
            <wp:positionV relativeFrom="paragraph">
              <wp:posOffset>375285</wp:posOffset>
            </wp:positionV>
            <wp:extent cx="3312160" cy="3425825"/>
            <wp:effectExtent l="0" t="0" r="2540" b="3175"/>
            <wp:wrapSquare wrapText="bothSides"/>
            <wp:docPr id="9" name="Picture 9" descr="Nestlé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estlé - Wikipedi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12160" cy="3425825"/>
                    </a:xfrm>
                    <a:prstGeom prst="rect">
                      <a:avLst/>
                    </a:prstGeom>
                    <a:noFill/>
                    <a:ln>
                      <a:noFill/>
                    </a:ln>
                  </pic:spPr>
                </pic:pic>
              </a:graphicData>
            </a:graphic>
            <wp14:sizeRelH relativeFrom="page">
              <wp14:pctWidth>0</wp14:pctWidth>
            </wp14:sizeRelH>
            <wp14:sizeRelV relativeFrom="page">
              <wp14:pctHeight>0</wp14:pctHeight>
            </wp14:sizeRelV>
          </wp:anchor>
        </w:drawing>
      </w:r>
      <w:r w:rsidR="000822C3" w:rsidRPr="00755C00">
        <w:t xml:space="preserve">2.0 </w:t>
      </w:r>
      <w:proofErr w:type="spellStart"/>
      <w:r w:rsidR="00D555C8" w:rsidRPr="00755C00">
        <w:t>Organisational</w:t>
      </w:r>
      <w:proofErr w:type="spellEnd"/>
      <w:r w:rsidR="00D555C8" w:rsidRPr="00755C00">
        <w:t xml:space="preserve"> Context and Overview</w:t>
      </w:r>
      <w:bookmarkEnd w:id="2"/>
    </w:p>
    <w:p w14:paraId="02EBD0AA" w14:textId="77777777" w:rsidR="00D555C8" w:rsidRPr="00755C00" w:rsidRDefault="00B81889" w:rsidP="00EC5267">
      <w:r w:rsidRPr="00755C00">
        <w:rPr>
          <w:noProof/>
          <w:lang w:bidi="ar-SA"/>
        </w:rPr>
        <mc:AlternateContent>
          <mc:Choice Requires="wps">
            <w:drawing>
              <wp:anchor distT="0" distB="0" distL="114300" distR="114300" simplePos="0" relativeHeight="251661312" behindDoc="0" locked="0" layoutInCell="1" allowOverlap="1" wp14:anchorId="0113D872" wp14:editId="71633473">
                <wp:simplePos x="0" y="0"/>
                <wp:positionH relativeFrom="column">
                  <wp:posOffset>2741930</wp:posOffset>
                </wp:positionH>
                <wp:positionV relativeFrom="paragraph">
                  <wp:posOffset>2787650</wp:posOffset>
                </wp:positionV>
                <wp:extent cx="3312160" cy="635"/>
                <wp:effectExtent l="0" t="0" r="2540" b="8255"/>
                <wp:wrapSquare wrapText="bothSides"/>
                <wp:docPr id="10" name="Text Box 10"/>
                <wp:cNvGraphicFramePr/>
                <a:graphic xmlns:a="http://schemas.openxmlformats.org/drawingml/2006/main">
                  <a:graphicData uri="http://schemas.microsoft.com/office/word/2010/wordprocessingShape">
                    <wps:wsp>
                      <wps:cNvSpPr txBox="1"/>
                      <wps:spPr>
                        <a:xfrm>
                          <a:off x="0" y="0"/>
                          <a:ext cx="3312160" cy="635"/>
                        </a:xfrm>
                        <a:prstGeom prst="rect">
                          <a:avLst/>
                        </a:prstGeom>
                        <a:solidFill>
                          <a:prstClr val="white"/>
                        </a:solidFill>
                        <a:ln>
                          <a:noFill/>
                        </a:ln>
                        <a:effectLst/>
                      </wps:spPr>
                      <wps:txbx>
                        <w:txbxContent>
                          <w:p w14:paraId="5117E2FF" w14:textId="77777777" w:rsidR="00C8261E" w:rsidRPr="000822C3" w:rsidRDefault="00C8261E" w:rsidP="000822C3">
                            <w:pPr>
                              <w:pStyle w:val="Caption"/>
                              <w:jc w:val="center"/>
                              <w:rPr>
                                <w:i/>
                                <w:noProof/>
                                <w:color w:val="auto"/>
                                <w:sz w:val="24"/>
                                <w:szCs w:val="28"/>
                              </w:rPr>
                            </w:pPr>
                            <w:r w:rsidRPr="000822C3">
                              <w:rPr>
                                <w:i/>
                                <w:color w:val="auto"/>
                              </w:rPr>
                              <w:t xml:space="preserve">Figure </w:t>
                            </w:r>
                            <w:r w:rsidRPr="000822C3">
                              <w:rPr>
                                <w:i/>
                                <w:color w:val="auto"/>
                              </w:rPr>
                              <w:fldChar w:fldCharType="begin"/>
                            </w:r>
                            <w:r w:rsidRPr="000822C3">
                              <w:rPr>
                                <w:i/>
                                <w:color w:val="auto"/>
                              </w:rPr>
                              <w:instrText xml:space="preserve"> SEQ Figure \* ARABIC </w:instrText>
                            </w:r>
                            <w:r w:rsidRPr="000822C3">
                              <w:rPr>
                                <w:i/>
                                <w:color w:val="auto"/>
                              </w:rPr>
                              <w:fldChar w:fldCharType="separate"/>
                            </w:r>
                            <w:r w:rsidR="008311AF">
                              <w:rPr>
                                <w:i/>
                                <w:noProof/>
                                <w:color w:val="auto"/>
                              </w:rPr>
                              <w:t>1</w:t>
                            </w:r>
                            <w:r w:rsidRPr="000822C3">
                              <w:rPr>
                                <w:i/>
                                <w:color w:val="auto"/>
                              </w:rPr>
                              <w:fldChar w:fldCharType="end"/>
                            </w:r>
                            <w:r w:rsidRPr="000822C3">
                              <w:rPr>
                                <w:i/>
                                <w:color w:val="auto"/>
                              </w:rPr>
                              <w:t xml:space="preserve">: Nestle Logo </w:t>
                            </w:r>
                            <w:r w:rsidRPr="00C8261E">
                              <w:rPr>
                                <w:i/>
                                <w:color w:val="auto"/>
                              </w:rPr>
                              <w:t>(Nestlé,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113D872" id="_x0000_t202" coordsize="21600,21600" o:spt="202" path="m,l,21600r21600,l21600,xe">
                <v:stroke joinstyle="miter"/>
                <v:path gradientshapeok="t" o:connecttype="rect"/>
              </v:shapetype>
              <v:shape id="Text Box 10" o:spid="_x0000_s1026" type="#_x0000_t202" style="position:absolute;left:0;text-align:left;margin-left:215.9pt;margin-top:219.5pt;width:260.8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2PCYMAIAAG0EAAAOAAAAZHJzL2Uyb0RvYy54bWysVE1v2zAMvQ/YfxB0X50PLBiMOkWWIsOA&#10;oC3QDj0rshwbkEVNUmJ3v35Psp1u3U7DLgpFUo/me2Sub/pWs7NyviFT8PnVjDNlJJWNORb829Pu&#10;wyfOfBCmFJqMKviL8vxm/f7ddWdztaCadKkcA4jxeWcLXodg8yzzslat8FdklUGwIteKgKs7ZqUT&#10;HdBbnS1ms1XWkSutI6m8h/d2CPJ1wq8qJcN9VXkVmC44vi2k06XzEM9sfS3yoxO2buT4GeIfvqIV&#10;jUHRC9StCIKdXPMHVNtIR56qcCWpzaiqGqlSD+hmPnvTzWMtrEq9gBxvLzT5/wcr784PjjUltAM9&#10;RrTQ6En1gX2mnsEFfjrrc6Q9WiSGHn7kTn4PZ2y7r1wbf9EQQxxQLxd2I5qEc7mcL+YrhCRiq+XH&#10;iJG9PrXOhy+KWhaNgjtIlxgV570PQ+qUEit50k25a7SOlxjYasfOAjJ3dRPUCP5bljYx11B8NQAO&#10;HpXmZKwSux26ilboD/1IwYHKFzDgaJghb+WuQdm98OFBOAwNOsMihHsclaau4DRanNXkfvzNH/Oh&#10;JaKcdRjCgvvvJ+EUZ/qrgcqADJPhJuMwGebUbgkNz7FiViYTD1zQk1k5ap+xH5tYBSFhJGoVPEzm&#10;NgyrgP2SarNJSZhLK8LePFoZoSd6n/pn4ewoToCmdzSNp8jfaDTkJpXs5hRAeBIwEjqwCOHjBTOd&#10;RmDcv7g0v95T1uu/xPonAAAA//8DAFBLAwQUAAYACAAAACEAJvmvoOEAAAALAQAADwAAAGRycy9k&#10;b3ducmV2LnhtbEyPMU/DMBCFdyT+g3VIXRB10oSKhjhVVcEAS0XowubGbhyIz5HttOHfc2WB7e7e&#10;07vvlevJ9uykfegcCkjnCTCNjVMdtgL27893D8BClKhk71AL+NYB1tX1VSkL5c74pk91bBmFYCik&#10;ABPjUHAeGqOtDHM3aCTt6LyVkVbfcuXlmcJtzxdJsuRWdkgfjBz01ujmqx6tgF3+sTO34/HpdZNn&#10;/mU/bpefbS3E7GbaPAKLeop/ZrjgEzpUxHRwI6rAegF5lhJ6vAwrKkWO1X2WAzv8XlLgVcn/d6h+&#10;AAAA//8DAFBLAQItABQABgAIAAAAIQC2gziS/gAAAOEBAAATAAAAAAAAAAAAAAAAAAAAAABbQ29u&#10;dGVudF9UeXBlc10ueG1sUEsBAi0AFAAGAAgAAAAhADj9If/WAAAAlAEAAAsAAAAAAAAAAAAAAAAA&#10;LwEAAF9yZWxzLy5yZWxzUEsBAi0AFAAGAAgAAAAhAJ7Y8JgwAgAAbQQAAA4AAAAAAAAAAAAAAAAA&#10;LgIAAGRycy9lMm9Eb2MueG1sUEsBAi0AFAAGAAgAAAAhACb5r6DhAAAACwEAAA8AAAAAAAAAAAAA&#10;AAAAigQAAGRycy9kb3ducmV2LnhtbFBLBQYAAAAABAAEAPMAAACYBQAAAAA=&#10;" stroked="f">
                <v:textbox style="mso-fit-shape-to-text:t" inset="0,0,0,0">
                  <w:txbxContent>
                    <w:p w14:paraId="5117E2FF" w14:textId="77777777" w:rsidR="00C8261E" w:rsidRPr="000822C3" w:rsidRDefault="00C8261E" w:rsidP="000822C3">
                      <w:pPr>
                        <w:pStyle w:val="Caption"/>
                        <w:jc w:val="center"/>
                        <w:rPr>
                          <w:i/>
                          <w:noProof/>
                          <w:color w:val="auto"/>
                          <w:sz w:val="24"/>
                          <w:szCs w:val="28"/>
                        </w:rPr>
                      </w:pPr>
                      <w:r w:rsidRPr="000822C3">
                        <w:rPr>
                          <w:i/>
                          <w:color w:val="auto"/>
                        </w:rPr>
                        <w:t xml:space="preserve">Figure </w:t>
                      </w:r>
                      <w:r w:rsidRPr="000822C3">
                        <w:rPr>
                          <w:i/>
                          <w:color w:val="auto"/>
                        </w:rPr>
                        <w:fldChar w:fldCharType="begin"/>
                      </w:r>
                      <w:r w:rsidRPr="000822C3">
                        <w:rPr>
                          <w:i/>
                          <w:color w:val="auto"/>
                        </w:rPr>
                        <w:instrText xml:space="preserve"> SEQ Figure \* ARABIC </w:instrText>
                      </w:r>
                      <w:r w:rsidRPr="000822C3">
                        <w:rPr>
                          <w:i/>
                          <w:color w:val="auto"/>
                        </w:rPr>
                        <w:fldChar w:fldCharType="separate"/>
                      </w:r>
                      <w:r w:rsidR="008311AF">
                        <w:rPr>
                          <w:i/>
                          <w:noProof/>
                          <w:color w:val="auto"/>
                        </w:rPr>
                        <w:t>1</w:t>
                      </w:r>
                      <w:r w:rsidRPr="000822C3">
                        <w:rPr>
                          <w:i/>
                          <w:color w:val="auto"/>
                        </w:rPr>
                        <w:fldChar w:fldCharType="end"/>
                      </w:r>
                      <w:r w:rsidRPr="000822C3">
                        <w:rPr>
                          <w:i/>
                          <w:color w:val="auto"/>
                        </w:rPr>
                        <w:t xml:space="preserve">: Nestle Logo </w:t>
                      </w:r>
                      <w:r w:rsidRPr="00C8261E">
                        <w:rPr>
                          <w:i/>
                          <w:color w:val="auto"/>
                        </w:rPr>
                        <w:t>(Nestlé, 2025)</w:t>
                      </w:r>
                    </w:p>
                  </w:txbxContent>
                </v:textbox>
                <w10:wrap type="square"/>
              </v:shape>
            </w:pict>
          </mc:Fallback>
        </mc:AlternateContent>
      </w:r>
      <w:r w:rsidR="00D555C8" w:rsidRPr="00755C00">
        <w:t xml:space="preserve">Nestlé is a fast-moving consumer goods (FMCG) conglomerate based in Switzerland that was formed in 1905 by the combination of an infant-nutrition business of Henri Nestlé and the Anglo-Swiss Condensed Milk Company. This historical integration is still playing in its strategic direction, which is rooted in trusted brands, science-based nutrition, and scale production </w:t>
      </w:r>
      <w:r w:rsidR="00C8261E" w:rsidRPr="00755C00">
        <w:t>(Nestlé, 2025a)</w:t>
      </w:r>
      <w:r w:rsidR="00D555C8" w:rsidRPr="00755C00">
        <w:t xml:space="preserve">. The declared aim of the corporation, </w:t>
      </w:r>
      <w:r w:rsidR="00D555C8" w:rsidRPr="00755C00">
        <w:lastRenderedPageBreak/>
        <w:t xml:space="preserve">which is to discover the power of food and drinks to improve the quality of life, is used as a guideline in its approach to the United Kingdom. It is with this intention that the UK unit is oriented to reformulation, responsible sourcing, and reducing packaging that are sought with that of growth </w:t>
      </w:r>
      <w:r w:rsidR="00C8261E" w:rsidRPr="00755C00">
        <w:t>(Nestlé, 2025b)</w:t>
      </w:r>
      <w:r w:rsidR="00D555C8" w:rsidRPr="00755C00">
        <w:t>. In terms of finances, the United Kingdom is a major player, and the sales in the United Kingdom can be easily attributed to sales in 2024 and calculated to be CHF 3,617 million. This number highlights the significance of the UK market in terms of revenue and the vulnerability of the business to the power of retailers and the cost-of-living risks (Nestle, 202</w:t>
      </w:r>
      <w:r w:rsidR="00C8261E" w:rsidRPr="00755C00">
        <w:t>6</w:t>
      </w:r>
      <w:r w:rsidR="00605465" w:rsidRPr="00755C00">
        <w:t>a</w:t>
      </w:r>
      <w:r w:rsidR="00D555C8" w:rsidRPr="00755C00">
        <w:t>).</w:t>
      </w:r>
    </w:p>
    <w:p w14:paraId="2BB0CE9E" w14:textId="77777777" w:rsidR="00B81889" w:rsidRPr="00755C00" w:rsidRDefault="00B81889" w:rsidP="00B81889">
      <w:pPr>
        <w:keepNext/>
        <w:jc w:val="center"/>
      </w:pPr>
      <w:r w:rsidRPr="00755C00">
        <w:rPr>
          <w:noProof/>
          <w:lang w:bidi="ar-SA"/>
        </w:rPr>
        <w:drawing>
          <wp:inline distT="0" distB="0" distL="0" distR="0" wp14:anchorId="05E011F9" wp14:editId="001E3595">
            <wp:extent cx="4220164" cy="5325218"/>
            <wp:effectExtent l="0" t="0" r="9525"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220164" cy="5325218"/>
                    </a:xfrm>
                    <a:prstGeom prst="rect">
                      <a:avLst/>
                    </a:prstGeom>
                  </pic:spPr>
                </pic:pic>
              </a:graphicData>
            </a:graphic>
          </wp:inline>
        </w:drawing>
      </w:r>
    </w:p>
    <w:p w14:paraId="38F35A78" w14:textId="77777777" w:rsidR="000822C3" w:rsidRPr="00755C00" w:rsidRDefault="00B81889" w:rsidP="00B81889">
      <w:pPr>
        <w:pStyle w:val="Caption"/>
        <w:jc w:val="center"/>
        <w:rPr>
          <w:i/>
          <w:color w:val="auto"/>
        </w:rPr>
      </w:pPr>
      <w:r w:rsidRPr="00755C00">
        <w:rPr>
          <w:i/>
          <w:color w:val="auto"/>
        </w:rPr>
        <w:t xml:space="preserve">Figure </w:t>
      </w:r>
      <w:r w:rsidRPr="00755C00">
        <w:rPr>
          <w:i/>
          <w:color w:val="auto"/>
        </w:rPr>
        <w:fldChar w:fldCharType="begin"/>
      </w:r>
      <w:r w:rsidRPr="00755C00">
        <w:rPr>
          <w:i/>
          <w:color w:val="auto"/>
        </w:rPr>
        <w:instrText xml:space="preserve"> SEQ Figure \* ARABIC </w:instrText>
      </w:r>
      <w:r w:rsidRPr="00755C00">
        <w:rPr>
          <w:i/>
          <w:color w:val="auto"/>
        </w:rPr>
        <w:fldChar w:fldCharType="separate"/>
      </w:r>
      <w:r w:rsidR="008311AF" w:rsidRPr="00755C00">
        <w:rPr>
          <w:i/>
          <w:noProof/>
          <w:color w:val="auto"/>
        </w:rPr>
        <w:t>2</w:t>
      </w:r>
      <w:r w:rsidRPr="00755C00">
        <w:rPr>
          <w:i/>
          <w:color w:val="auto"/>
        </w:rPr>
        <w:fldChar w:fldCharType="end"/>
      </w:r>
      <w:r w:rsidRPr="00755C00">
        <w:rPr>
          <w:i/>
          <w:color w:val="auto"/>
        </w:rPr>
        <w:t xml:space="preserve">: Nestlé’s 2024 financial performance highlights (Nestle, 2026a) </w:t>
      </w:r>
    </w:p>
    <w:p w14:paraId="6AE27A9E" w14:textId="77777777" w:rsidR="00D555C8" w:rsidRPr="00755C00" w:rsidRDefault="00D555C8" w:rsidP="00EC5267">
      <w:r w:rsidRPr="00755C00">
        <w:lastRenderedPageBreak/>
        <w:t xml:space="preserve">In the United Kingdom, Nestlé has competed in various fast-moving brands, such as confectionery, coffee, and pet products. Brand equity and access to distribution are the determining factors in these markets. The value proposition of the company is a combination of mass access and perceived quality and better-than-you-need innovation; it is </w:t>
      </w:r>
      <w:proofErr w:type="spellStart"/>
      <w:r w:rsidRPr="00755C00">
        <w:t>monetised</w:t>
      </w:r>
      <w:proofErr w:type="spellEnd"/>
      <w:r w:rsidRPr="00755C00">
        <w:t xml:space="preserve"> predominantly through packaged products available in multiple grocery and convenience stores and supported by additional on-trade and online shopping platforms. The retailers and logistics networks, therefore, become important partners, and joint business planning and trade-investment capabilities are placed in the </w:t>
      </w:r>
      <w:proofErr w:type="spellStart"/>
      <w:r w:rsidRPr="00755C00">
        <w:t>centre</w:t>
      </w:r>
      <w:proofErr w:type="spellEnd"/>
      <w:r w:rsidRPr="00755C00">
        <w:t xml:space="preserve"> of the strategic frame. Nestlé UK's brand portfolio, including KitKat, Quality Street, and Nescafé among the products, is likewise </w:t>
      </w:r>
      <w:proofErr w:type="spellStart"/>
      <w:r w:rsidRPr="00755C00">
        <w:t>localised</w:t>
      </w:r>
      <w:proofErr w:type="spellEnd"/>
      <w:r w:rsidRPr="00755C00">
        <w:t xml:space="preserve"> in production, thus increasing resilience and establishing a sense of "made here"; this </w:t>
      </w:r>
      <w:proofErr w:type="spellStart"/>
      <w:r w:rsidRPr="00755C00">
        <w:t>localisation</w:t>
      </w:r>
      <w:proofErr w:type="spellEnd"/>
      <w:r w:rsidRPr="00755C00">
        <w:t xml:space="preserve"> approach, however, increases the exposure to a fixed-cost aspect in case of variation in demand (Nestlé UK </w:t>
      </w:r>
      <w:r w:rsidR="008311AF" w:rsidRPr="00755C00">
        <w:t>and</w:t>
      </w:r>
      <w:r w:rsidRPr="00755C00">
        <w:t xml:space="preserve"> Ireland, </w:t>
      </w:r>
      <w:r w:rsidR="00C8261E" w:rsidRPr="00755C00">
        <w:t>2025</w:t>
      </w:r>
      <w:r w:rsidRPr="00755C00">
        <w:t>).</w:t>
      </w:r>
    </w:p>
    <w:p w14:paraId="0D86F51D" w14:textId="77777777" w:rsidR="00D555C8" w:rsidRPr="00755C00" w:rsidRDefault="00D555C8" w:rsidP="00EC5267">
      <w:r w:rsidRPr="00755C00">
        <w:t xml:space="preserve">The macro industry situation is marked with heightened pressure: UK manufacturers of food and drinks have recently delivered top-line performance, but the margins are being squeezed, pushing the need to enhance productivity, </w:t>
      </w:r>
      <w:proofErr w:type="spellStart"/>
      <w:r w:rsidRPr="00755C00">
        <w:t>optimise</w:t>
      </w:r>
      <w:proofErr w:type="spellEnd"/>
      <w:r w:rsidRPr="00755C00">
        <w:t xml:space="preserve"> the price-pack architecture, and </w:t>
      </w:r>
      <w:proofErr w:type="spellStart"/>
      <w:r w:rsidRPr="00755C00">
        <w:t>prioritise</w:t>
      </w:r>
      <w:proofErr w:type="spellEnd"/>
      <w:r w:rsidRPr="00755C00">
        <w:t xml:space="preserve"> their portfolio </w:t>
      </w:r>
      <w:r w:rsidR="00C8261E" w:rsidRPr="00755C00">
        <w:t>(Holmes, 2024)</w:t>
      </w:r>
      <w:r w:rsidRPr="00755C00">
        <w:t>. Compared to its international competitors like Mondelez, Unilever, Danone, and PepsiCo, Nestlé is still in a relatively strong market position, especially in those segments where it is able to defend its premium cues by appealing to evidence, the nutrition credentials, and quality systems, while also meeting the expectations of its value orientation induced by discount-market dynamics.</w:t>
      </w:r>
    </w:p>
    <w:p w14:paraId="0D761ACD" w14:textId="77777777" w:rsidR="00B81889" w:rsidRPr="00755C00" w:rsidRDefault="00B81889">
      <w:pPr>
        <w:spacing w:line="276" w:lineRule="auto"/>
        <w:jc w:val="left"/>
        <w:rPr>
          <w:rFonts w:eastAsiaTheme="majorEastAsia" w:cstheme="majorBidi"/>
          <w:b/>
          <w:bCs/>
          <w:sz w:val="28"/>
          <w:szCs w:val="33"/>
        </w:rPr>
      </w:pPr>
      <w:bookmarkStart w:id="3" w:name="_Toc223208674"/>
      <w:r w:rsidRPr="00755C00">
        <w:br w:type="page"/>
      </w:r>
    </w:p>
    <w:p w14:paraId="06EEE5F8" w14:textId="77777777" w:rsidR="00D555C8" w:rsidRPr="00755C00" w:rsidRDefault="000822C3" w:rsidP="00EC5267">
      <w:pPr>
        <w:pStyle w:val="Heading2"/>
      </w:pPr>
      <w:r w:rsidRPr="00755C00">
        <w:lastRenderedPageBreak/>
        <w:t>3</w:t>
      </w:r>
      <w:r w:rsidR="00D555C8" w:rsidRPr="00755C00">
        <w:t>.</w:t>
      </w:r>
      <w:r w:rsidR="00EC5267" w:rsidRPr="00755C00">
        <w:t>0</w:t>
      </w:r>
      <w:r w:rsidR="00D555C8" w:rsidRPr="00755C00">
        <w:t xml:space="preserve"> External and Internal Environment Analysis</w:t>
      </w:r>
      <w:bookmarkEnd w:id="3"/>
    </w:p>
    <w:p w14:paraId="15F9171D" w14:textId="77777777" w:rsidR="00D555C8" w:rsidRPr="00755C00" w:rsidRDefault="000822C3" w:rsidP="00EC5267">
      <w:pPr>
        <w:pStyle w:val="Heading3"/>
      </w:pPr>
      <w:bookmarkStart w:id="4" w:name="_Toc223208675"/>
      <w:r w:rsidRPr="00755C00">
        <w:t>3</w:t>
      </w:r>
      <w:r w:rsidR="00D555C8" w:rsidRPr="00755C00">
        <w:t>.1 Introduction to the analysis</w:t>
      </w:r>
      <w:bookmarkEnd w:id="4"/>
    </w:p>
    <w:p w14:paraId="0FF879F9" w14:textId="77777777" w:rsidR="00D555C8" w:rsidRPr="00755C00" w:rsidRDefault="00D555C8" w:rsidP="00EC5267">
      <w:r w:rsidRPr="00755C00">
        <w:t xml:space="preserve">This part will </w:t>
      </w:r>
      <w:proofErr w:type="spellStart"/>
      <w:r w:rsidRPr="00755C00">
        <w:t>analyse</w:t>
      </w:r>
      <w:proofErr w:type="spellEnd"/>
      <w:r w:rsidRPr="00755C00">
        <w:t xml:space="preserve"> the degree to which the strategy of Nestlé in the United Kingdom is influenced by the exogenous pressures as well as the internal strategic strengths of the company. Namely, it uses the PESTEL analysis to pinpoint the most significant influence of environmental factors on the </w:t>
      </w:r>
      <w:proofErr w:type="spellStart"/>
      <w:r w:rsidRPr="00755C00">
        <w:t>organisation</w:t>
      </w:r>
      <w:proofErr w:type="spellEnd"/>
      <w:r w:rsidRPr="00755C00">
        <w:t>, as well as a VRIO model to determine whether Nestlé's resources and capabilities provide sustainable competitive advantage in a UK grocery market that is defined by high regulation levels, continuous inflationary forces, and strong supplier power.</w:t>
      </w:r>
    </w:p>
    <w:p w14:paraId="4A6BEF0B" w14:textId="77777777" w:rsidR="00D555C8" w:rsidRPr="00755C00" w:rsidRDefault="000822C3" w:rsidP="00EC5267">
      <w:pPr>
        <w:pStyle w:val="Heading3"/>
      </w:pPr>
      <w:bookmarkStart w:id="5" w:name="_Toc223208676"/>
      <w:r w:rsidRPr="00755C00">
        <w:t>3</w:t>
      </w:r>
      <w:r w:rsidR="00D555C8" w:rsidRPr="00755C00">
        <w:t>.2 External environment analysis: PESTEL</w:t>
      </w:r>
      <w:bookmarkEnd w:id="5"/>
    </w:p>
    <w:p w14:paraId="29BE4B92" w14:textId="77777777" w:rsidR="00D555C8" w:rsidRPr="00755C00" w:rsidRDefault="000822C3" w:rsidP="00EC5267">
      <w:pPr>
        <w:pStyle w:val="Heading4"/>
      </w:pPr>
      <w:r w:rsidRPr="00755C00">
        <w:t>3</w:t>
      </w:r>
      <w:r w:rsidR="00D555C8" w:rsidRPr="00755C00">
        <w:t>.2.1 Political factors (UK)</w:t>
      </w:r>
    </w:p>
    <w:p w14:paraId="0465D9F6" w14:textId="77777777" w:rsidR="00D555C8" w:rsidRPr="00755C00" w:rsidRDefault="00D555C8" w:rsidP="00EC5267">
      <w:r w:rsidRPr="00755C00">
        <w:t xml:space="preserve">The UK policy of public health is turning into a limitation on the ways Nestlé can expand into some segments directly. The HFSS advertising limits present a 9 pm televised watershed and restrict paid online advertisement of the less healthful products, i.e., the growth strategies in confectionery and certain ambient snacks cannot be based on performance marketing like previously </w:t>
      </w:r>
      <w:r w:rsidR="00605465" w:rsidRPr="00755C00">
        <w:t>(DCMS, 2025)</w:t>
      </w:r>
      <w:r w:rsidRPr="00755C00">
        <w:t xml:space="preserve">. This alters the strategic combination: Nestle needs to push more towards reformulation, brand-building that remains within regulation, product innovation that pushes products out of the HFSS category, and retailer-led activation when allowed. It also increases the execution risk, since the implementation dates on a UK-wide basis generate moments of compliance instead of an even climate of adaptation </w:t>
      </w:r>
      <w:r w:rsidR="00605465" w:rsidRPr="00755C00">
        <w:t>(Department of Health and Social Care (DHSC), 2023)</w:t>
      </w:r>
      <w:r w:rsidRPr="00755C00">
        <w:t>.</w:t>
      </w:r>
    </w:p>
    <w:p w14:paraId="52677581" w14:textId="77777777" w:rsidR="00D555C8" w:rsidRPr="00755C00" w:rsidRDefault="000822C3" w:rsidP="00EC5267">
      <w:pPr>
        <w:pStyle w:val="Heading4"/>
      </w:pPr>
      <w:r w:rsidRPr="00755C00">
        <w:t>3</w:t>
      </w:r>
      <w:r w:rsidR="00D555C8" w:rsidRPr="00755C00">
        <w:t>.2.2 Economic factors (UK)</w:t>
      </w:r>
    </w:p>
    <w:p w14:paraId="6613A61C" w14:textId="77777777" w:rsidR="00D555C8" w:rsidRPr="00755C00" w:rsidRDefault="00D555C8" w:rsidP="00EC5267">
      <w:r w:rsidRPr="00755C00">
        <w:t xml:space="preserve">The recent inflationary trend of the United Kingdom is one structural stress test of the pricing power of fast-moving consumer goods (FMCG). The consumer price index (CPI) remained in the low-to-mid-single-digit space at the end of 2025, according to the Office of National Statistics (ONS), but food and non-alcoholic beverage inflation kept rising, thus putting stress on household budgets and increasing down-trading </w:t>
      </w:r>
      <w:proofErr w:type="spellStart"/>
      <w:r w:rsidRPr="00755C00">
        <w:t>behaviour</w:t>
      </w:r>
      <w:proofErr w:type="spellEnd"/>
      <w:r w:rsidRPr="00755C00">
        <w:t xml:space="preserve"> </w:t>
      </w:r>
      <w:r w:rsidR="00605465" w:rsidRPr="00755C00">
        <w:t>(ONS, 2026)</w:t>
      </w:r>
      <w:r w:rsidRPr="00755C00">
        <w:t xml:space="preserve">. In their turn, retailers are speeding up promotion efforts and also breaking down </w:t>
      </w:r>
      <w:r w:rsidRPr="00755C00">
        <w:lastRenderedPageBreak/>
        <w:t xml:space="preserve">barriers to value, with this shift shifting the balance of bargaining power one more notch towards supermarkets and discounting retailers. Reuters, with reference to the figures of the Worldpanel Group, indicates a rebirth of grocery inflation in late 2025 and more consumer preference for promotional purchases, which strengthens a culture of deals in which branded margins are squeezed unless a company can express willingness-to-pay through salient value indicators </w:t>
      </w:r>
      <w:r w:rsidR="00605465" w:rsidRPr="00755C00">
        <w:t>(Reuters, 2025)</w:t>
      </w:r>
      <w:r w:rsidRPr="00755C00">
        <w:t>. In the case of Nestlé, the strategic implication is a somewhat less evident trade-off, namely, protecting brand equity and price structure while at the same time reconfiguring package sizes and cost-to-serve relationships, as well as portfolio focus, such that the provision of consumer value induces a lasting decrease in margins.</w:t>
      </w:r>
    </w:p>
    <w:p w14:paraId="1AD86E9E" w14:textId="77777777" w:rsidR="00581545" w:rsidRPr="00755C00" w:rsidRDefault="00581545" w:rsidP="00581545">
      <w:pPr>
        <w:keepNext/>
      </w:pPr>
      <w:r w:rsidRPr="00755C00">
        <w:rPr>
          <w:noProof/>
          <w:lang w:bidi="ar-SA"/>
        </w:rPr>
        <w:drawing>
          <wp:inline distT="0" distB="0" distL="0" distR="0" wp14:anchorId="21FA4A7B" wp14:editId="5B5410FC">
            <wp:extent cx="5943600" cy="39624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60301_1956_Nestlé UK PESTEL Overview_simple_compose_01kjmtx7qtfvpvdty3mteqb9fc.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7C187332" w14:textId="1D6B3571" w:rsidR="00581545" w:rsidRPr="00755C00" w:rsidRDefault="00581545" w:rsidP="00581545">
      <w:pPr>
        <w:pStyle w:val="Caption"/>
        <w:jc w:val="center"/>
        <w:rPr>
          <w:i/>
          <w:color w:val="auto"/>
        </w:rPr>
      </w:pPr>
      <w:r w:rsidRPr="00755C00">
        <w:rPr>
          <w:i/>
          <w:color w:val="auto"/>
        </w:rPr>
        <w:t xml:space="preserve">Figure </w:t>
      </w:r>
      <w:r w:rsidRPr="00755C00">
        <w:rPr>
          <w:i/>
          <w:color w:val="auto"/>
        </w:rPr>
        <w:fldChar w:fldCharType="begin"/>
      </w:r>
      <w:r w:rsidRPr="00755C00">
        <w:rPr>
          <w:i/>
          <w:color w:val="auto"/>
        </w:rPr>
        <w:instrText xml:space="preserve"> SEQ Figure \* ARABIC </w:instrText>
      </w:r>
      <w:r w:rsidRPr="00755C00">
        <w:rPr>
          <w:i/>
          <w:color w:val="auto"/>
        </w:rPr>
        <w:fldChar w:fldCharType="separate"/>
      </w:r>
      <w:r w:rsidR="008311AF" w:rsidRPr="00755C00">
        <w:rPr>
          <w:i/>
          <w:noProof/>
          <w:color w:val="auto"/>
        </w:rPr>
        <w:t>3</w:t>
      </w:r>
      <w:r w:rsidRPr="00755C00">
        <w:rPr>
          <w:i/>
          <w:color w:val="auto"/>
        </w:rPr>
        <w:fldChar w:fldCharType="end"/>
      </w:r>
      <w:r w:rsidRPr="00755C00">
        <w:rPr>
          <w:i/>
          <w:color w:val="auto"/>
        </w:rPr>
        <w:t>: PESTEL forces shaping Nestlé’s UK strategy (</w:t>
      </w:r>
      <w:r w:rsidR="006E5056" w:rsidRPr="00755C00">
        <w:rPr>
          <w:i/>
          <w:color w:val="auto"/>
        </w:rPr>
        <w:t>Reuters, 2025</w:t>
      </w:r>
      <w:r w:rsidRPr="00755C00">
        <w:rPr>
          <w:i/>
          <w:color w:val="auto"/>
        </w:rPr>
        <w:t>)</w:t>
      </w:r>
    </w:p>
    <w:p w14:paraId="51083029" w14:textId="77777777" w:rsidR="00D555C8" w:rsidRPr="00755C00" w:rsidRDefault="000822C3" w:rsidP="00EC5267">
      <w:pPr>
        <w:pStyle w:val="Heading4"/>
      </w:pPr>
      <w:r w:rsidRPr="00755C00">
        <w:t>3</w:t>
      </w:r>
      <w:r w:rsidR="00D555C8" w:rsidRPr="00755C00">
        <w:t>.2.3 Social factors (UK)</w:t>
      </w:r>
    </w:p>
    <w:p w14:paraId="422C7D6B" w14:textId="77777777" w:rsidR="00D555C8" w:rsidRPr="00755C00" w:rsidRDefault="00D555C8" w:rsidP="00EC5267">
      <w:r w:rsidRPr="00755C00">
        <w:t xml:space="preserve">UK consumers are the same consumers who are price sensitive and health conscious at the same time, which creates a </w:t>
      </w:r>
      <w:proofErr w:type="spellStart"/>
      <w:r w:rsidRPr="00755C00">
        <w:t>polarised</w:t>
      </w:r>
      <w:proofErr w:type="spellEnd"/>
      <w:r w:rsidRPr="00755C00">
        <w:t xml:space="preserve"> demand trend. On that note, the HFSS regulations are supported by the public obesity concerns, which predetermine the </w:t>
      </w:r>
      <w:r w:rsidRPr="00755C00">
        <w:lastRenderedPageBreak/>
        <w:t xml:space="preserve">expectations of society as a part of the seemingly responsible efforts at marketing and reformulation </w:t>
      </w:r>
      <w:r w:rsidR="00605465" w:rsidRPr="00755C00">
        <w:t>(Lawrence, 2005)</w:t>
      </w:r>
      <w:r w:rsidRPr="00755C00">
        <w:t xml:space="preserve">. As a result, the problem goes beyond a health trend to one of legitimacy, as brands viewed as fighting against healthier portfolios face the risks of reputation harm and increased regulatory pressure, whilst those opting to engage in suboptimal reformulation face the problem of gustatory backlash and reduced repurchase. In this respect, this means that Nestlé needs to incorporate the value of nutrition and transparency into its category </w:t>
      </w:r>
      <w:proofErr w:type="spellStart"/>
      <w:r w:rsidRPr="00755C00">
        <w:t>defence</w:t>
      </w:r>
      <w:proofErr w:type="spellEnd"/>
      <w:r w:rsidRPr="00755C00">
        <w:t xml:space="preserve"> strategy, as opposed to the action of corporate social responsibility messaging.</w:t>
      </w:r>
    </w:p>
    <w:p w14:paraId="3FD45A9F" w14:textId="77777777" w:rsidR="00D555C8" w:rsidRPr="00755C00" w:rsidRDefault="000822C3" w:rsidP="00EC5267">
      <w:pPr>
        <w:pStyle w:val="Heading4"/>
      </w:pPr>
      <w:r w:rsidRPr="00755C00">
        <w:t>3</w:t>
      </w:r>
      <w:r w:rsidR="00D555C8" w:rsidRPr="00755C00">
        <w:t>.2.4 Technological factors</w:t>
      </w:r>
    </w:p>
    <w:p w14:paraId="50A55D0D" w14:textId="77777777" w:rsidR="00D555C8" w:rsidRPr="00755C00" w:rsidRDefault="00D555C8" w:rsidP="00EC5267">
      <w:r w:rsidRPr="00755C00">
        <w:t xml:space="preserve">The increase in the scale of the UK fast-moving consumer goods (FMCG) marketplace is increasingly being mediated by retail media as well as first-party retailer information, hence transferring impact from the customary mass advertising to in-store and online shelf algorithms. Sainsbury calls Nectar360 a single-brand retail media platform, thus demonstrating how the largest grocers have started </w:t>
      </w:r>
      <w:proofErr w:type="spellStart"/>
      <w:r w:rsidRPr="00755C00">
        <w:t>monetising</w:t>
      </w:r>
      <w:proofErr w:type="spellEnd"/>
      <w:r w:rsidRPr="00755C00">
        <w:t xml:space="preserve"> data and having control over Visa's access to shoppers </w:t>
      </w:r>
      <w:r w:rsidR="00605465" w:rsidRPr="00755C00">
        <w:t>(J Sainsbury plc, 2025)</w:t>
      </w:r>
      <w:r w:rsidRPr="00755C00">
        <w:t xml:space="preserve">. This is an important development since the limitations on high-fat, salt, and sugar (HFSS) advertising online could potentially force luxury brands to pick compliant options so that retail media would become more and more appealing. The dependency is one of the strategic risks related to this change: once retailers control distribution and data-driven visibility at the same time, the power equilibrium is going to shift even more towards manufacturers. As a result, </w:t>
      </w:r>
      <w:proofErr w:type="gramStart"/>
      <w:r w:rsidRPr="00755C00">
        <w:t>Nestle</w:t>
      </w:r>
      <w:proofErr w:type="gramEnd"/>
      <w:r w:rsidRPr="00755C00">
        <w:t xml:space="preserve"> should work towards building strong analytical skills to ascertain returns on investment and prevent the pay-to-play type of spending, which becomes costly to profit margins without creating brand loyalty in the long term.</w:t>
      </w:r>
    </w:p>
    <w:p w14:paraId="72EFAD03" w14:textId="77777777" w:rsidR="00D555C8" w:rsidRPr="00755C00" w:rsidRDefault="000822C3" w:rsidP="00EC5267">
      <w:pPr>
        <w:pStyle w:val="Heading4"/>
      </w:pPr>
      <w:r w:rsidRPr="00755C00">
        <w:t>3</w:t>
      </w:r>
      <w:r w:rsidR="00D555C8" w:rsidRPr="00755C00">
        <w:t>.2.5 Environmental factors</w:t>
      </w:r>
    </w:p>
    <w:p w14:paraId="6FCD3E81" w14:textId="77777777" w:rsidR="00D555C8" w:rsidRPr="00755C00" w:rsidRDefault="00D555C8" w:rsidP="00EC5267">
      <w:r w:rsidRPr="00755C00">
        <w:t xml:space="preserve">Environmental: Packaging and carbon are shifting from voluntary to mandatory at a cost. The UK Packaging Extended Producer Responsibility (EPR) scheme has been implemented in progressive steps since April 2025, thus imposing the cost of household packaging waste upon producers (UK Parliament, 2026). The directions by the UK affirm the reporting and, beginning in 2025 (based on 2024 figures), fee charges and regulator expenses on qualifying producers </w:t>
      </w:r>
      <w:r w:rsidR="00605465" w:rsidRPr="00755C00">
        <w:t>(PWC, 2025)</w:t>
      </w:r>
      <w:r w:rsidRPr="00755C00">
        <w:t xml:space="preserve">. In the case of Nestle UK, this </w:t>
      </w:r>
      <w:r w:rsidRPr="00755C00">
        <w:lastRenderedPageBreak/>
        <w:t xml:space="preserve">transition is a strategic cost driver that motivates redesign, e.g., </w:t>
      </w:r>
      <w:proofErr w:type="spellStart"/>
      <w:r w:rsidRPr="00755C00">
        <w:t>lightweighting</w:t>
      </w:r>
      <w:proofErr w:type="spellEnd"/>
      <w:r w:rsidRPr="00755C00">
        <w:t xml:space="preserve"> and increased recyclability, but at the same time cannot but pose a governance dilemma: packaging decisions as motivated by marketing can create compliance expenses that are recurring. In the context of climate change, Nestlé has a net-zero pathway to achieve a 50% emission of greenhouse gases by the year 2030, compared to 2018, and complete net-zero emissions by the year 2050, transforming supply chain decarbonization more into an action plan than a story (Nestlé, </w:t>
      </w:r>
      <w:r w:rsidR="00605465" w:rsidRPr="00755C00">
        <w:t>2026b</w:t>
      </w:r>
      <w:r w:rsidRPr="00755C00">
        <w:t>).</w:t>
      </w:r>
    </w:p>
    <w:p w14:paraId="2FE3C2CA" w14:textId="77777777" w:rsidR="00B81889" w:rsidRPr="00755C00" w:rsidRDefault="00B81889" w:rsidP="00B81889">
      <w:pPr>
        <w:keepNext/>
      </w:pPr>
      <w:r w:rsidRPr="00755C00">
        <w:rPr>
          <w:noProof/>
          <w:lang w:bidi="ar-SA"/>
        </w:rPr>
        <w:drawing>
          <wp:inline distT="0" distB="0" distL="0" distR="0" wp14:anchorId="4277633A" wp14:editId="79267ADD">
            <wp:extent cx="5943600" cy="39624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60301_2021_Nestlé UK Sustainability Strategy_simple_compose_01kjmwbw48egx93202ddry21rb.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4FB496D3" w14:textId="2EEC9E68" w:rsidR="00B81889" w:rsidRPr="00755C00" w:rsidRDefault="00B81889" w:rsidP="00B81889">
      <w:pPr>
        <w:pStyle w:val="Caption"/>
        <w:jc w:val="center"/>
        <w:rPr>
          <w:i/>
          <w:color w:val="auto"/>
        </w:rPr>
      </w:pPr>
      <w:r w:rsidRPr="00755C00">
        <w:rPr>
          <w:i/>
          <w:color w:val="auto"/>
        </w:rPr>
        <w:t xml:space="preserve">Figure </w:t>
      </w:r>
      <w:r w:rsidRPr="00755C00">
        <w:rPr>
          <w:i/>
          <w:color w:val="auto"/>
        </w:rPr>
        <w:fldChar w:fldCharType="begin"/>
      </w:r>
      <w:r w:rsidRPr="00755C00">
        <w:rPr>
          <w:i/>
          <w:color w:val="auto"/>
        </w:rPr>
        <w:instrText xml:space="preserve"> SEQ Figure \* ARABIC </w:instrText>
      </w:r>
      <w:r w:rsidRPr="00755C00">
        <w:rPr>
          <w:i/>
          <w:color w:val="auto"/>
        </w:rPr>
        <w:fldChar w:fldCharType="separate"/>
      </w:r>
      <w:r w:rsidR="008311AF" w:rsidRPr="00755C00">
        <w:rPr>
          <w:i/>
          <w:noProof/>
          <w:color w:val="auto"/>
        </w:rPr>
        <w:t>4</w:t>
      </w:r>
      <w:r w:rsidRPr="00755C00">
        <w:rPr>
          <w:i/>
          <w:color w:val="auto"/>
        </w:rPr>
        <w:fldChar w:fldCharType="end"/>
      </w:r>
      <w:r w:rsidRPr="00755C00">
        <w:rPr>
          <w:i/>
          <w:color w:val="auto"/>
        </w:rPr>
        <w:t>: Environmental compliance is reshaping Nestlé UK strategy (</w:t>
      </w:r>
      <w:r w:rsidR="006E5056" w:rsidRPr="00755C00">
        <w:rPr>
          <w:i/>
          <w:color w:val="auto"/>
        </w:rPr>
        <w:t>Nestlé, 2026b</w:t>
      </w:r>
      <w:r w:rsidRPr="00755C00">
        <w:rPr>
          <w:i/>
          <w:color w:val="auto"/>
        </w:rPr>
        <w:t>)</w:t>
      </w:r>
    </w:p>
    <w:p w14:paraId="5E0AF584" w14:textId="77777777" w:rsidR="00D555C8" w:rsidRPr="00755C00" w:rsidRDefault="000822C3" w:rsidP="00EC5267">
      <w:pPr>
        <w:pStyle w:val="Heading4"/>
      </w:pPr>
      <w:r w:rsidRPr="00755C00">
        <w:t>3</w:t>
      </w:r>
      <w:r w:rsidR="00D555C8" w:rsidRPr="00755C00">
        <w:t>.2.6 Legal factors</w:t>
      </w:r>
    </w:p>
    <w:p w14:paraId="6579B320" w14:textId="77777777" w:rsidR="00D555C8" w:rsidRPr="00755C00" w:rsidRDefault="00D555C8" w:rsidP="00EC5267">
      <w:r w:rsidRPr="00755C00">
        <w:t xml:space="preserve">Legal considerations: The strategic change of the approach towards growth at any cost is strengthened by legal considerations. In addition to food safety and labelling regulations, the promotion of high-fat, salt, and sugar (HFSS) products is restricted by the regulations on product placement and volume-price promotion. Location rules will already be enforced, and volume promotion will start on 1 October 2025 (DHSC, 2023). These stipulations have a direct impact on confectionery and some types of breakfast or </w:t>
      </w:r>
      <w:r w:rsidRPr="00755C00">
        <w:lastRenderedPageBreak/>
        <w:t>snacks, where volume promotions have traditionally created a basket uplift. As a result, the legal compliance competence of Nestlé is a competitive requirement</w:t>
      </w:r>
      <w:r w:rsidR="00605465" w:rsidRPr="00755C00">
        <w:t>. I</w:t>
      </w:r>
      <w:r w:rsidRPr="00755C00">
        <w:t>t, however, is not necessarily a competitive advantage; it is a requirement to enter the market.</w:t>
      </w:r>
    </w:p>
    <w:p w14:paraId="08D9BB3B" w14:textId="77777777" w:rsidR="00EC5267" w:rsidRPr="00755C00" w:rsidRDefault="000822C3" w:rsidP="00EC5267">
      <w:pPr>
        <w:pStyle w:val="Heading4"/>
      </w:pPr>
      <w:r w:rsidRPr="00755C00">
        <w:t>3</w:t>
      </w:r>
      <w:r w:rsidR="00EC5267" w:rsidRPr="00755C00">
        <w:t xml:space="preserve">.2.7 </w:t>
      </w:r>
      <w:r w:rsidR="00D555C8" w:rsidRPr="00755C00">
        <w:t>Priority statement (top external pressures for Nestlé UK):</w:t>
      </w:r>
    </w:p>
    <w:p w14:paraId="23F0696D" w14:textId="77777777" w:rsidR="00D555C8" w:rsidRPr="00755C00" w:rsidRDefault="00D555C8" w:rsidP="00EC5267">
      <w:pPr>
        <w:pStyle w:val="ListParagraph"/>
        <w:numPr>
          <w:ilvl w:val="0"/>
          <w:numId w:val="4"/>
        </w:numPr>
      </w:pPr>
      <w:r w:rsidRPr="00755C00">
        <w:t>HFSS regulatory tightening is the most direct strategic limitation, since it includes changes in marketing, promotion mechanisms, and product design as well (DCMS, 2025).</w:t>
      </w:r>
    </w:p>
    <w:p w14:paraId="59094DC4" w14:textId="77777777" w:rsidR="00D555C8" w:rsidRPr="00755C00" w:rsidRDefault="00D555C8" w:rsidP="00EC5267">
      <w:pPr>
        <w:pStyle w:val="ListParagraph"/>
        <w:numPr>
          <w:ilvl w:val="0"/>
          <w:numId w:val="4"/>
        </w:numPr>
      </w:pPr>
      <w:r w:rsidRPr="00755C00">
        <w:t>The most significant commercial force is cost-of-living and grocery inflation volatility that increases the retailer's power and</w:t>
      </w:r>
      <w:r w:rsidR="00605465" w:rsidRPr="00755C00">
        <w:t xml:space="preserve"> slows trading speed (ONS, 2026</w:t>
      </w:r>
      <w:r w:rsidRPr="00755C00">
        <w:t>).</w:t>
      </w:r>
    </w:p>
    <w:p w14:paraId="54F949DE" w14:textId="77777777" w:rsidR="00D555C8" w:rsidRPr="00755C00" w:rsidRDefault="00D555C8" w:rsidP="00EC5267">
      <w:pPr>
        <w:pStyle w:val="ListParagraph"/>
        <w:numPr>
          <w:ilvl w:val="0"/>
          <w:numId w:val="4"/>
        </w:numPr>
      </w:pPr>
      <w:r w:rsidRPr="00755C00">
        <w:t xml:space="preserve">The most structural medium-term pressure is that of packaging EPR and climate cost </w:t>
      </w:r>
      <w:proofErr w:type="spellStart"/>
      <w:r w:rsidRPr="00755C00">
        <w:t>internalisation</w:t>
      </w:r>
      <w:proofErr w:type="spellEnd"/>
      <w:r w:rsidRPr="00755C00">
        <w:t xml:space="preserve"> because it changes the economics of the packaging and supply chain decisions (UK Parliament, 2026).</w:t>
      </w:r>
    </w:p>
    <w:p w14:paraId="7A93B88A" w14:textId="77777777" w:rsidR="00D555C8" w:rsidRPr="00755C00" w:rsidRDefault="000822C3" w:rsidP="00EC5267">
      <w:pPr>
        <w:pStyle w:val="Heading3"/>
      </w:pPr>
      <w:bookmarkStart w:id="6" w:name="_Toc223208677"/>
      <w:r w:rsidRPr="00755C00">
        <w:t>3</w:t>
      </w:r>
      <w:r w:rsidR="00D555C8" w:rsidRPr="00755C00">
        <w:t>.3 Critical success factors and strategic challenges</w:t>
      </w:r>
      <w:bookmarkEnd w:id="6"/>
    </w:p>
    <w:p w14:paraId="101B7FBF" w14:textId="77777777" w:rsidR="00EC5267" w:rsidRPr="00755C00" w:rsidRDefault="000822C3" w:rsidP="00EC5267">
      <w:pPr>
        <w:pStyle w:val="Heading4"/>
      </w:pPr>
      <w:r w:rsidRPr="00755C00">
        <w:t>3</w:t>
      </w:r>
      <w:r w:rsidR="00EC5267" w:rsidRPr="00755C00">
        <w:t>.3.1 Critical success factors (UK)</w:t>
      </w:r>
    </w:p>
    <w:p w14:paraId="0A006E60" w14:textId="77777777" w:rsidR="00EC5267" w:rsidRPr="00755C00" w:rsidRDefault="00D555C8" w:rsidP="00EC5267">
      <w:pPr>
        <w:rPr>
          <w:b/>
          <w:bCs/>
        </w:rPr>
      </w:pPr>
      <w:r w:rsidRPr="00755C00">
        <w:t xml:space="preserve">The critical success factors in the United Kingdom may be outlined along seven major axes: </w:t>
      </w:r>
    </w:p>
    <w:p w14:paraId="4D96FDE4" w14:textId="3E6EBF3A" w:rsidR="00EC5267" w:rsidRPr="00755C00" w:rsidRDefault="00D555C8" w:rsidP="00CA17F8">
      <w:pPr>
        <w:pStyle w:val="ListParagraph"/>
        <w:numPr>
          <w:ilvl w:val="0"/>
          <w:numId w:val="5"/>
        </w:numPr>
      </w:pPr>
      <w:r w:rsidRPr="00755C00">
        <w:t>the speed of reformulation and innovative product development to reduce the exposure in the UK to the high percentage of sugary and salty food</w:t>
      </w:r>
      <w:r w:rsidR="00CA17F8" w:rsidRPr="00755C00">
        <w:t xml:space="preserve"> (Public Health England, 2019)</w:t>
      </w:r>
      <w:r w:rsidRPr="00755C00">
        <w:t xml:space="preserve">; </w:t>
      </w:r>
    </w:p>
    <w:p w14:paraId="3496E354" w14:textId="341F85CC" w:rsidR="00EC5267" w:rsidRPr="00755C00" w:rsidRDefault="00D555C8" w:rsidP="00DA6DDB">
      <w:pPr>
        <w:pStyle w:val="ListParagraph"/>
        <w:numPr>
          <w:ilvl w:val="0"/>
          <w:numId w:val="5"/>
        </w:numPr>
      </w:pPr>
      <w:r w:rsidRPr="00755C00">
        <w:t>the long-term continuity of brand trust and sustained quality with respect to pricing stress (PS);</w:t>
      </w:r>
      <w:r w:rsidR="00CA17F8" w:rsidRPr="00755C00">
        <w:t xml:space="preserve"> </w:t>
      </w:r>
      <w:r w:rsidR="00DA6DDB" w:rsidRPr="00755C00">
        <w:t>(</w:t>
      </w:r>
      <w:proofErr w:type="spellStart"/>
      <w:r w:rsidR="00DA6DDB" w:rsidRPr="00755C00">
        <w:t>Glotz</w:t>
      </w:r>
      <w:proofErr w:type="spellEnd"/>
      <w:r w:rsidR="00DA6DDB" w:rsidRPr="00755C00">
        <w:t>, 2024)</w:t>
      </w:r>
      <w:r w:rsidRPr="00755C00">
        <w:t xml:space="preserve"> </w:t>
      </w:r>
    </w:p>
    <w:p w14:paraId="1B9BDCA4" w14:textId="1A6ACC8B" w:rsidR="00EC5267" w:rsidRPr="00755C00" w:rsidRDefault="00D555C8" w:rsidP="00DA6DDB">
      <w:pPr>
        <w:pStyle w:val="ListParagraph"/>
        <w:numPr>
          <w:ilvl w:val="0"/>
          <w:numId w:val="5"/>
        </w:numPr>
      </w:pPr>
      <w:r w:rsidRPr="00755C00">
        <w:t xml:space="preserve">it should be established that there is robust joint-business planning and category implementation done with retailers; </w:t>
      </w:r>
      <w:r w:rsidR="00DA6DDB" w:rsidRPr="00755C00">
        <w:t xml:space="preserve">(McGregor </w:t>
      </w:r>
      <w:proofErr w:type="spellStart"/>
      <w:r w:rsidR="00DA6DDB" w:rsidRPr="00755C00">
        <w:t>Boyall</w:t>
      </w:r>
      <w:proofErr w:type="spellEnd"/>
      <w:r w:rsidR="00DA6DDB" w:rsidRPr="00755C00">
        <w:t>, 2025)</w:t>
      </w:r>
    </w:p>
    <w:p w14:paraId="456C5239" w14:textId="5EF830B6" w:rsidR="00EC5267" w:rsidRPr="00755C00" w:rsidRDefault="00D555C8" w:rsidP="00907534">
      <w:pPr>
        <w:pStyle w:val="ListParagraph"/>
        <w:numPr>
          <w:ilvl w:val="0"/>
          <w:numId w:val="5"/>
        </w:numPr>
      </w:pPr>
      <w:r w:rsidRPr="00755C00">
        <w:t>it should be introduced that there are analytics capabilities that need to be developed to streamline the acquisition of retail media;</w:t>
      </w:r>
      <w:r w:rsidR="00907534" w:rsidRPr="00755C00">
        <w:t xml:space="preserve"> (Deloitte, 2020)</w:t>
      </w:r>
    </w:p>
    <w:p w14:paraId="49580B62" w14:textId="77777777" w:rsidR="00B81889" w:rsidRPr="00755C00" w:rsidRDefault="00B81889">
      <w:pPr>
        <w:spacing w:line="276" w:lineRule="auto"/>
        <w:jc w:val="left"/>
        <w:rPr>
          <w:b/>
          <w:bCs/>
        </w:rPr>
      </w:pPr>
      <w:r w:rsidRPr="00755C00">
        <w:rPr>
          <w:b/>
          <w:bCs/>
        </w:rPr>
        <w:br w:type="page"/>
      </w:r>
    </w:p>
    <w:p w14:paraId="51B97F39" w14:textId="77777777" w:rsidR="00EC5267" w:rsidRPr="00755C00" w:rsidRDefault="000822C3" w:rsidP="00EC5267">
      <w:pPr>
        <w:rPr>
          <w:b/>
          <w:bCs/>
        </w:rPr>
      </w:pPr>
      <w:r w:rsidRPr="00755C00">
        <w:rPr>
          <w:b/>
          <w:bCs/>
        </w:rPr>
        <w:lastRenderedPageBreak/>
        <w:t>3</w:t>
      </w:r>
      <w:r w:rsidR="00EC5267" w:rsidRPr="00755C00">
        <w:rPr>
          <w:b/>
          <w:bCs/>
        </w:rPr>
        <w:t>.3.2 Strategic challenges</w:t>
      </w:r>
    </w:p>
    <w:p w14:paraId="545298A1" w14:textId="77777777" w:rsidR="00EC5267" w:rsidRPr="00755C00" w:rsidRDefault="00D555C8" w:rsidP="00EC5267">
      <w:pPr>
        <w:pStyle w:val="ListParagraph"/>
        <w:numPr>
          <w:ilvl w:val="0"/>
          <w:numId w:val="7"/>
        </w:numPr>
      </w:pPr>
      <w:r w:rsidRPr="00755C00">
        <w:t xml:space="preserve">inflation-induced squeeze on margins and the intensity of promotion (ONS, 2026), </w:t>
      </w:r>
    </w:p>
    <w:p w14:paraId="7FB63A0B" w14:textId="77777777" w:rsidR="00EC5267" w:rsidRPr="00755C00" w:rsidRDefault="00D555C8" w:rsidP="00EC5267">
      <w:pPr>
        <w:pStyle w:val="ListParagraph"/>
        <w:numPr>
          <w:ilvl w:val="0"/>
          <w:numId w:val="7"/>
        </w:numPr>
      </w:pPr>
      <w:r w:rsidRPr="00755C00">
        <w:t>diminished marketing freedom of HFSS categ</w:t>
      </w:r>
      <w:r w:rsidR="00605465" w:rsidRPr="00755C00">
        <w:t>ories (D</w:t>
      </w:r>
      <w:r w:rsidRPr="00755C00">
        <w:t xml:space="preserve">HSC, 2023), </w:t>
      </w:r>
    </w:p>
    <w:p w14:paraId="0CDDA4DF" w14:textId="77777777" w:rsidR="00EC5267" w:rsidRPr="00755C00" w:rsidRDefault="00D555C8" w:rsidP="00EC5267">
      <w:pPr>
        <w:pStyle w:val="ListParagraph"/>
        <w:numPr>
          <w:ilvl w:val="0"/>
          <w:numId w:val="7"/>
        </w:numPr>
      </w:pPr>
      <w:r w:rsidRPr="00755C00">
        <w:t xml:space="preserve">growing retailer leverage through retail media and data control (J Sainsbury plc, 2025), </w:t>
      </w:r>
    </w:p>
    <w:p w14:paraId="2E0AAFA4" w14:textId="77777777" w:rsidR="00EC5267" w:rsidRPr="00755C00" w:rsidRDefault="00D555C8" w:rsidP="00605465">
      <w:pPr>
        <w:pStyle w:val="ListParagraph"/>
        <w:numPr>
          <w:ilvl w:val="0"/>
          <w:numId w:val="7"/>
        </w:numPr>
      </w:pPr>
      <w:r w:rsidRPr="00755C00">
        <w:t xml:space="preserve">compliance expenses via packaging EPR </w:t>
      </w:r>
      <w:r w:rsidR="00605465" w:rsidRPr="00755C00">
        <w:t>(PWC, 2025)</w:t>
      </w:r>
      <w:r w:rsidRPr="00755C00">
        <w:t xml:space="preserve">, and </w:t>
      </w:r>
    </w:p>
    <w:p w14:paraId="6B00FBFE" w14:textId="77777777" w:rsidR="00D555C8" w:rsidRPr="00755C00" w:rsidRDefault="00D555C8" w:rsidP="00EC5267">
      <w:pPr>
        <w:pStyle w:val="ListParagraph"/>
        <w:numPr>
          <w:ilvl w:val="0"/>
          <w:numId w:val="7"/>
        </w:numPr>
      </w:pPr>
      <w:r w:rsidRPr="00755C00">
        <w:t xml:space="preserve">climate risk to supply chains of commodities and scrutiny of delivery (Nestle, </w:t>
      </w:r>
      <w:r w:rsidR="00605465" w:rsidRPr="00755C00">
        <w:t>2026a)</w:t>
      </w:r>
      <w:r w:rsidRPr="00755C00">
        <w:t>.</w:t>
      </w:r>
    </w:p>
    <w:p w14:paraId="1FD0422D" w14:textId="77777777" w:rsidR="00D555C8" w:rsidRPr="00755C00" w:rsidRDefault="000822C3" w:rsidP="00EC5267">
      <w:pPr>
        <w:pStyle w:val="Heading3"/>
      </w:pPr>
      <w:bookmarkStart w:id="7" w:name="_Toc223208678"/>
      <w:r w:rsidRPr="00755C00">
        <w:t>3</w:t>
      </w:r>
      <w:r w:rsidR="00D555C8" w:rsidRPr="00755C00">
        <w:t>.4 Internal environment analysis</w:t>
      </w:r>
      <w:bookmarkEnd w:id="7"/>
    </w:p>
    <w:p w14:paraId="1387786A" w14:textId="77777777" w:rsidR="00EC5267" w:rsidRPr="00755C00" w:rsidRDefault="000822C3" w:rsidP="00EC5267">
      <w:pPr>
        <w:pStyle w:val="Heading4"/>
      </w:pPr>
      <w:r w:rsidRPr="00755C00">
        <w:t>3</w:t>
      </w:r>
      <w:r w:rsidR="00EC5267" w:rsidRPr="00755C00">
        <w:t>.4.1 Key resources</w:t>
      </w:r>
    </w:p>
    <w:p w14:paraId="4F233999" w14:textId="5560B108" w:rsidR="00D555C8" w:rsidRPr="00755C00" w:rsidRDefault="00D555C8" w:rsidP="00EC5267">
      <w:r w:rsidRPr="00755C00">
        <w:t xml:space="preserve">Physical resources include assembly presence, quality control mechanisms, and supply chain networking that enable a dependable supply chain in the dynamic grocery market. </w:t>
      </w:r>
      <w:r w:rsidR="007F6F6B" w:rsidRPr="00755C00">
        <w:t>T</w:t>
      </w:r>
      <w:r w:rsidRPr="00755C00">
        <w:t xml:space="preserve">he diversification of brands, consumer confidence, and the accumulated product-processing experience acquired by Nestlé </w:t>
      </w:r>
      <w:r w:rsidR="007F6F6B" w:rsidRPr="00755C00">
        <w:t xml:space="preserve">are the less tangible resources which are more critical because in times of consumer unwillingness, these </w:t>
      </w:r>
      <w:r w:rsidRPr="00755C00">
        <w:t>provide the capacity to protect consumer shelf space</w:t>
      </w:r>
      <w:r w:rsidR="00CA17F8" w:rsidRPr="00755C00">
        <w:t xml:space="preserve"> (Nestle, 2026a)</w:t>
      </w:r>
      <w:r w:rsidRPr="00755C00">
        <w:t>. Substantive strategic advantage is not simply about having brands but about having the ability to coordinate brand management, price-pack structure, and retailer performance in a variety of categories in such a way that the small players cannot easily follow</w:t>
      </w:r>
      <w:r w:rsidR="00CA17F8" w:rsidRPr="00755C00">
        <w:t xml:space="preserve"> (ONS, 2026)</w:t>
      </w:r>
      <w:r w:rsidRPr="00755C00">
        <w:t>.</w:t>
      </w:r>
    </w:p>
    <w:p w14:paraId="15657A2D" w14:textId="77777777" w:rsidR="00EC5267" w:rsidRPr="00755C00" w:rsidRDefault="000822C3" w:rsidP="00EC5267">
      <w:pPr>
        <w:pStyle w:val="Heading4"/>
      </w:pPr>
      <w:r w:rsidRPr="00755C00">
        <w:t>3</w:t>
      </w:r>
      <w:r w:rsidR="00EC5267" w:rsidRPr="00755C00">
        <w:t xml:space="preserve">.4.2 </w:t>
      </w:r>
      <w:r w:rsidR="00D555C8" w:rsidRPr="00755C00">
        <w:t>Capabilities and core c</w:t>
      </w:r>
      <w:r w:rsidR="00EC5267" w:rsidRPr="00755C00">
        <w:t>ompetencies</w:t>
      </w:r>
    </w:p>
    <w:p w14:paraId="710CD0C9" w14:textId="77777777" w:rsidR="00EC5267" w:rsidRPr="00755C00" w:rsidRDefault="00D555C8" w:rsidP="00EC5267">
      <w:r w:rsidRPr="00755C00">
        <w:t xml:space="preserve">The most relevant competencies of Nestlé to the arena in the United Kingdom market are </w:t>
      </w:r>
    </w:p>
    <w:p w14:paraId="13B290F4" w14:textId="77777777" w:rsidR="00EC5267" w:rsidRPr="00755C00" w:rsidRDefault="00D555C8" w:rsidP="00EC5267">
      <w:pPr>
        <w:pStyle w:val="ListParagraph"/>
        <w:numPr>
          <w:ilvl w:val="0"/>
          <w:numId w:val="10"/>
        </w:numPr>
      </w:pPr>
      <w:r w:rsidRPr="00755C00">
        <w:t xml:space="preserve">science-led innovation and reformulation, which is aimed at the creation of appropriate product compliance and desirability; </w:t>
      </w:r>
    </w:p>
    <w:p w14:paraId="446FA3B4" w14:textId="77777777" w:rsidR="00EC5267" w:rsidRPr="00755C00" w:rsidRDefault="00D555C8" w:rsidP="00EC5267">
      <w:pPr>
        <w:pStyle w:val="ListParagraph"/>
        <w:numPr>
          <w:ilvl w:val="0"/>
          <w:numId w:val="10"/>
        </w:numPr>
      </w:pPr>
      <w:r w:rsidRPr="00755C00">
        <w:t xml:space="preserve">large-scale procurement and manufacturing </w:t>
      </w:r>
      <w:proofErr w:type="spellStart"/>
      <w:r w:rsidRPr="00755C00">
        <w:t>optimisation</w:t>
      </w:r>
      <w:proofErr w:type="spellEnd"/>
      <w:r w:rsidRPr="00755C00">
        <w:t xml:space="preserve">; and </w:t>
      </w:r>
    </w:p>
    <w:p w14:paraId="09E7F9AD" w14:textId="77777777" w:rsidR="00EC5267" w:rsidRPr="00755C00" w:rsidRDefault="00D555C8" w:rsidP="00EC5267">
      <w:pPr>
        <w:pStyle w:val="ListParagraph"/>
        <w:numPr>
          <w:ilvl w:val="0"/>
          <w:numId w:val="10"/>
        </w:numPr>
      </w:pPr>
      <w:r w:rsidRPr="00755C00">
        <w:t xml:space="preserve">a governance-and-compliance framework that reduces regulatory disruption. </w:t>
      </w:r>
    </w:p>
    <w:p w14:paraId="236207B0" w14:textId="77777777" w:rsidR="00D555C8" w:rsidRPr="00755C00" w:rsidRDefault="00D555C8" w:rsidP="00EC5267">
      <w:r w:rsidRPr="00755C00">
        <w:lastRenderedPageBreak/>
        <w:t xml:space="preserve">The implementation of digital sourcing applications that create cost savings and scaling of a coherent manufacturing platform that relies on real-time data in order to </w:t>
      </w:r>
      <w:proofErr w:type="spellStart"/>
      <w:r w:rsidRPr="00755C00">
        <w:t>maximise</w:t>
      </w:r>
      <w:proofErr w:type="spellEnd"/>
      <w:r w:rsidRPr="00755C00">
        <w:t xml:space="preserve"> the productivity of lines and achieve perfect resiliency and cost discipline are highlighted in the 2025 annual review (Nestle, 2026</w:t>
      </w:r>
      <w:r w:rsidR="00605465" w:rsidRPr="00755C00">
        <w:t>b</w:t>
      </w:r>
      <w:r w:rsidRPr="00755C00">
        <w:t>).</w:t>
      </w:r>
    </w:p>
    <w:p w14:paraId="02CDBA5E" w14:textId="77777777" w:rsidR="00F819A8" w:rsidRPr="00755C00" w:rsidRDefault="000822C3" w:rsidP="00EC5267">
      <w:pPr>
        <w:pStyle w:val="Heading3"/>
        <w:rPr>
          <w:rFonts w:eastAsia="Times New Roman"/>
          <w:lang w:bidi="ar-SA"/>
        </w:rPr>
      </w:pPr>
      <w:bookmarkStart w:id="8" w:name="_Toc223208679"/>
      <w:r w:rsidRPr="00755C00">
        <w:rPr>
          <w:rFonts w:eastAsia="Times New Roman"/>
          <w:lang w:bidi="ar-SA"/>
        </w:rPr>
        <w:t>3</w:t>
      </w:r>
      <w:r w:rsidR="00F819A8" w:rsidRPr="00755C00">
        <w:rPr>
          <w:rFonts w:eastAsia="Times New Roman"/>
          <w:lang w:bidi="ar-SA"/>
        </w:rPr>
        <w:t>.5 Strategic capabilities evaluation using VRIO</w:t>
      </w:r>
      <w:bookmarkEnd w:id="8"/>
      <w:r w:rsidR="00F819A8" w:rsidRPr="00755C00">
        <w:rPr>
          <w:rFonts w:eastAsia="Times New Roman"/>
          <w:lang w:bidi="ar-SA"/>
        </w:rPr>
        <w:t xml:space="preserve"> </w:t>
      </w:r>
    </w:p>
    <w:p w14:paraId="297349F1" w14:textId="77777777" w:rsidR="00EC5267" w:rsidRPr="00755C00" w:rsidRDefault="00EC5267" w:rsidP="00EC5267">
      <w:pPr>
        <w:pStyle w:val="Caption"/>
        <w:keepNext/>
        <w:jc w:val="center"/>
        <w:rPr>
          <w:i/>
          <w:color w:val="auto"/>
        </w:rPr>
      </w:pPr>
      <w:r w:rsidRPr="00755C00">
        <w:rPr>
          <w:i/>
          <w:color w:val="auto"/>
        </w:rPr>
        <w:t xml:space="preserve">Table </w:t>
      </w:r>
      <w:r w:rsidRPr="00755C00">
        <w:rPr>
          <w:i/>
          <w:color w:val="auto"/>
        </w:rPr>
        <w:fldChar w:fldCharType="begin"/>
      </w:r>
      <w:r w:rsidRPr="00755C00">
        <w:rPr>
          <w:i/>
          <w:color w:val="auto"/>
        </w:rPr>
        <w:instrText xml:space="preserve"> SEQ Table \* ARABIC </w:instrText>
      </w:r>
      <w:r w:rsidRPr="00755C00">
        <w:rPr>
          <w:i/>
          <w:color w:val="auto"/>
        </w:rPr>
        <w:fldChar w:fldCharType="separate"/>
      </w:r>
      <w:r w:rsidR="00EF6458" w:rsidRPr="00755C00">
        <w:rPr>
          <w:i/>
          <w:noProof/>
          <w:color w:val="auto"/>
        </w:rPr>
        <w:t>1</w:t>
      </w:r>
      <w:r w:rsidRPr="00755C00">
        <w:rPr>
          <w:i/>
          <w:color w:val="auto"/>
        </w:rPr>
        <w:fldChar w:fldCharType="end"/>
      </w:r>
      <w:r w:rsidRPr="00755C00">
        <w:rPr>
          <w:i/>
          <w:color w:val="auto"/>
        </w:rPr>
        <w:t>: VRIO Analysis of Nestlé UK’s Strategic Capabilities (Author)</w:t>
      </w:r>
    </w:p>
    <w:p w14:paraId="46E87952" w14:textId="77777777" w:rsidR="00EC5267" w:rsidRPr="00755C00" w:rsidRDefault="00EC5267" w:rsidP="00EC5267">
      <w:pPr>
        <w:rPr>
          <w:lang w:bidi="ar-SA"/>
        </w:rPr>
      </w:pPr>
      <w:r w:rsidRPr="00755C00">
        <w:rPr>
          <w:noProof/>
          <w:lang w:bidi="ar-SA"/>
        </w:rPr>
        <w:drawing>
          <wp:inline distT="0" distB="0" distL="0" distR="0" wp14:anchorId="54446579" wp14:editId="5EF5B017">
            <wp:extent cx="5943600" cy="26130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943600" cy="2613025"/>
                    </a:xfrm>
                    <a:prstGeom prst="rect">
                      <a:avLst/>
                    </a:prstGeom>
                  </pic:spPr>
                </pic:pic>
              </a:graphicData>
            </a:graphic>
          </wp:inline>
        </w:drawing>
      </w:r>
    </w:p>
    <w:p w14:paraId="5F83164E" w14:textId="77777777" w:rsidR="00D555C8" w:rsidRPr="00755C00" w:rsidRDefault="00D555C8" w:rsidP="00EC5267">
      <w:pPr>
        <w:rPr>
          <w:lang w:bidi="ar-SA"/>
        </w:rPr>
      </w:pPr>
      <w:r w:rsidRPr="00755C00">
        <w:rPr>
          <w:lang w:bidi="ar-SA"/>
        </w:rPr>
        <w:t xml:space="preserve">The Nestle VRIO analysis shows that some of the strengths are strategic yet common to many companies, including compliance, thus protecting performance instead of creating differences. The stronger </w:t>
      </w:r>
      <w:proofErr w:type="spellStart"/>
      <w:r w:rsidRPr="00755C00">
        <w:rPr>
          <w:lang w:bidi="ar-SA"/>
        </w:rPr>
        <w:t>defence</w:t>
      </w:r>
      <w:proofErr w:type="spellEnd"/>
      <w:r w:rsidRPr="00755C00">
        <w:rPr>
          <w:lang w:bidi="ar-SA"/>
        </w:rPr>
        <w:t xml:space="preserve"> towards a benefit comes in the capacity to incorporate the renewal skills along with brand loyalty, so the products can maintain their relevance even within the HFSS restrictions without losing when it comes to the aspect of value (DCMS, 2025).</w:t>
      </w:r>
    </w:p>
    <w:p w14:paraId="42FB8E2B" w14:textId="77777777" w:rsidR="00D555C8" w:rsidRPr="00755C00" w:rsidRDefault="000822C3" w:rsidP="00EC5267">
      <w:pPr>
        <w:pStyle w:val="Heading3"/>
        <w:rPr>
          <w:rFonts w:eastAsia="Times New Roman"/>
          <w:lang w:bidi="ar-SA"/>
        </w:rPr>
      </w:pPr>
      <w:bookmarkStart w:id="9" w:name="_Toc223208680"/>
      <w:r w:rsidRPr="00755C00">
        <w:rPr>
          <w:rFonts w:eastAsia="Times New Roman"/>
          <w:lang w:bidi="ar-SA"/>
        </w:rPr>
        <w:t>3</w:t>
      </w:r>
      <w:r w:rsidR="00D555C8" w:rsidRPr="00755C00">
        <w:rPr>
          <w:rFonts w:eastAsia="Times New Roman"/>
          <w:lang w:bidi="ar-SA"/>
        </w:rPr>
        <w:t>.6 Internal strengths and competitive advantage</w:t>
      </w:r>
      <w:bookmarkEnd w:id="9"/>
    </w:p>
    <w:p w14:paraId="4789EDAC" w14:textId="77777777" w:rsidR="00541A45" w:rsidRPr="00755C00" w:rsidRDefault="00D555C8" w:rsidP="00EC5267">
      <w:pPr>
        <w:rPr>
          <w:lang w:bidi="ar-SA"/>
        </w:rPr>
      </w:pPr>
      <w:r w:rsidRPr="00755C00">
        <w:rPr>
          <w:lang w:bidi="ar-SA"/>
        </w:rPr>
        <w:t xml:space="preserve">Adaptive differentiation and strict discipline towards productivity can be identified as the core conceptualizers of the competitive advantage of Nestlé in the United Kingdom. HFSS regulations that reduce and control the impact of traditional demand forces; this also means that Nestlé's ability to reformulate and rebrand product lines is a distinctive feature, but not a supportive one (DHSC, 2023). At the same time, cost elongation of the </w:t>
      </w:r>
      <w:proofErr w:type="spellStart"/>
      <w:r w:rsidRPr="00755C00">
        <w:rPr>
          <w:lang w:bidi="ar-SA"/>
        </w:rPr>
        <w:t>pressurisation</w:t>
      </w:r>
      <w:proofErr w:type="spellEnd"/>
      <w:r w:rsidRPr="00755C00">
        <w:rPr>
          <w:lang w:bidi="ar-SA"/>
        </w:rPr>
        <w:t xml:space="preserve"> expands its price sensitivity and enhances its retailer bargaining </w:t>
      </w:r>
      <w:r w:rsidRPr="00755C00">
        <w:rPr>
          <w:lang w:bidi="ar-SA"/>
        </w:rPr>
        <w:lastRenderedPageBreak/>
        <w:t>power, which makes manufacturing efficiency and procurement savings absolutely crucial to protect the margins without diminishing its brand equity (ONS, 2026). Last, the introduction of EPR costs forces the redesign of packaging, which makes sustainability efforts more viable and turns them into cost containment and legitimacy-generating factors instead of just a factor of reputation improvement (UK Parliament, 2026).</w:t>
      </w:r>
    </w:p>
    <w:p w14:paraId="116FC876" w14:textId="77777777" w:rsidR="00BE3935" w:rsidRPr="00755C00" w:rsidRDefault="000822C3" w:rsidP="000822C3">
      <w:pPr>
        <w:pStyle w:val="Heading2"/>
        <w:rPr>
          <w:rFonts w:eastAsia="Times New Roman"/>
          <w:lang w:bidi="ar-SA"/>
        </w:rPr>
      </w:pPr>
      <w:bookmarkStart w:id="10" w:name="_Toc223208681"/>
      <w:r w:rsidRPr="00755C00">
        <w:rPr>
          <w:rFonts w:eastAsia="Times New Roman"/>
          <w:lang w:bidi="ar-SA"/>
        </w:rPr>
        <w:t>4</w:t>
      </w:r>
      <w:r w:rsidR="00BE3935" w:rsidRPr="00755C00">
        <w:rPr>
          <w:rFonts w:eastAsia="Times New Roman"/>
          <w:lang w:bidi="ar-SA"/>
        </w:rPr>
        <w:t>.</w:t>
      </w:r>
      <w:r w:rsidR="00EC5267" w:rsidRPr="00755C00">
        <w:rPr>
          <w:rFonts w:eastAsia="Times New Roman"/>
          <w:lang w:bidi="ar-SA"/>
        </w:rPr>
        <w:t>0</w:t>
      </w:r>
      <w:r w:rsidR="00BE3935" w:rsidRPr="00755C00">
        <w:rPr>
          <w:rFonts w:eastAsia="Times New Roman"/>
          <w:lang w:bidi="ar-SA"/>
        </w:rPr>
        <w:t xml:space="preserve"> CSR and Sustainability Objectives</w:t>
      </w:r>
      <w:bookmarkEnd w:id="10"/>
    </w:p>
    <w:p w14:paraId="086A1CB4" w14:textId="77777777" w:rsidR="00EC5267" w:rsidRPr="00755C00" w:rsidRDefault="00EC5267" w:rsidP="00EC5267">
      <w:pPr>
        <w:rPr>
          <w:lang w:bidi="ar-SA"/>
        </w:rPr>
      </w:pPr>
      <w:r w:rsidRPr="00755C00">
        <w:rPr>
          <w:lang w:bidi="ar-SA"/>
        </w:rPr>
        <w:t>The Corporate Social Responsibility approach of Nestle is presented in the framework of CSRs called Creating Shared Value (CSV), which ties responsible sourcing, nutrition, environmental action, packaging reduction, and community impact to the overall business performance instead of considering them as philanthropic efforts as such. The priorities have been stated by the firm, including traceable sourcing as part of its Responsible Sourcing Core Requirements, creating healthier and more nutritious products, climate action through its net-zero roadmap, and redesigning its packaging through formal sustainability rules (Nestle, 2025a). This has given the concept of strategic relevancy to the concept of CSR since, in the food and beverage industry, stakeholder trust is largely pegged on the credibility that a firm displays in its supply chain and product lines.</w:t>
      </w:r>
    </w:p>
    <w:p w14:paraId="69DBE3F4" w14:textId="77777777" w:rsidR="00EC5267" w:rsidRPr="00755C00" w:rsidRDefault="00EC5267" w:rsidP="00EC5267">
      <w:pPr>
        <w:rPr>
          <w:lang w:bidi="ar-SA"/>
        </w:rPr>
      </w:pPr>
      <w:r w:rsidRPr="00755C00">
        <w:rPr>
          <w:lang w:bidi="ar-SA"/>
        </w:rPr>
        <w:t xml:space="preserve">CSR is consistent with the business goals of Nestlé in a number of ways. An increase in sourcing standards and climate goals can address the issue of supply interruption and regulatory risks, whereas nutritional product supply and better packaging can protect brand reputation and consumer loyalty. Therefore, these aspects contribute to the long-term profitability by mitigating market entry and reputational shocks exposure </w:t>
      </w:r>
      <w:r w:rsidR="00EC4D50" w:rsidRPr="00755C00">
        <w:rPr>
          <w:lang w:bidi="ar-SA"/>
        </w:rPr>
        <w:t>(European Commission, 2024)</w:t>
      </w:r>
      <w:r w:rsidRPr="00755C00">
        <w:rPr>
          <w:lang w:bidi="ar-SA"/>
        </w:rPr>
        <w:t xml:space="preserve">. The fact that, by the year 2025, Nestle will have been rated a low-risk company by </w:t>
      </w:r>
      <w:proofErr w:type="spellStart"/>
      <w:r w:rsidRPr="00755C00">
        <w:rPr>
          <w:lang w:bidi="ar-SA"/>
        </w:rPr>
        <w:t>Sustainalytics</w:t>
      </w:r>
      <w:proofErr w:type="spellEnd"/>
      <w:r w:rsidRPr="00755C00">
        <w:rPr>
          <w:lang w:bidi="ar-SA"/>
        </w:rPr>
        <w:t xml:space="preserve"> as well demonstrates that ESG performance might be used to support investor confidence and competitiveness (Nestle, 2025</w:t>
      </w:r>
      <w:r w:rsidR="00EC4D50" w:rsidRPr="00755C00">
        <w:rPr>
          <w:lang w:bidi="ar-SA"/>
        </w:rPr>
        <w:t>b</w:t>
      </w:r>
      <w:r w:rsidRPr="00755C00">
        <w:rPr>
          <w:lang w:bidi="ar-SA"/>
        </w:rPr>
        <w:t>).</w:t>
      </w:r>
    </w:p>
    <w:p w14:paraId="33C4FB2E" w14:textId="77777777" w:rsidR="008311AF" w:rsidRPr="00755C00" w:rsidRDefault="008311AF" w:rsidP="008311AF">
      <w:pPr>
        <w:keepNext/>
      </w:pPr>
      <w:r w:rsidRPr="00755C00">
        <w:rPr>
          <w:noProof/>
          <w:lang w:bidi="ar-SA"/>
        </w:rPr>
        <w:lastRenderedPageBreak/>
        <w:drawing>
          <wp:inline distT="0" distB="0" distL="0" distR="0" wp14:anchorId="12715A18" wp14:editId="219A083D">
            <wp:extent cx="5943600" cy="39624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60301_2029_Nestlé's CSR Framework_simple_compose_01kjmwtfrzewvs0e4jm0zatv4j.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26E4F100" w14:textId="1FD294EF" w:rsidR="008311AF" w:rsidRPr="00755C00" w:rsidRDefault="008311AF" w:rsidP="008311AF">
      <w:pPr>
        <w:pStyle w:val="Caption"/>
        <w:jc w:val="center"/>
        <w:rPr>
          <w:i/>
          <w:color w:val="auto"/>
          <w:lang w:bidi="ar-SA"/>
        </w:rPr>
      </w:pPr>
      <w:r w:rsidRPr="00755C00">
        <w:rPr>
          <w:i/>
          <w:color w:val="auto"/>
        </w:rPr>
        <w:t xml:space="preserve">Figure </w:t>
      </w:r>
      <w:r w:rsidRPr="00755C00">
        <w:rPr>
          <w:i/>
          <w:color w:val="auto"/>
        </w:rPr>
        <w:fldChar w:fldCharType="begin"/>
      </w:r>
      <w:r w:rsidRPr="00755C00">
        <w:rPr>
          <w:i/>
          <w:color w:val="auto"/>
        </w:rPr>
        <w:instrText xml:space="preserve"> SEQ Figure \* ARABIC </w:instrText>
      </w:r>
      <w:r w:rsidRPr="00755C00">
        <w:rPr>
          <w:i/>
          <w:color w:val="auto"/>
        </w:rPr>
        <w:fldChar w:fldCharType="separate"/>
      </w:r>
      <w:r w:rsidRPr="00755C00">
        <w:rPr>
          <w:i/>
          <w:noProof/>
          <w:color w:val="auto"/>
        </w:rPr>
        <w:t>5</w:t>
      </w:r>
      <w:r w:rsidRPr="00755C00">
        <w:rPr>
          <w:i/>
          <w:color w:val="auto"/>
        </w:rPr>
        <w:fldChar w:fldCharType="end"/>
      </w:r>
      <w:r w:rsidRPr="00755C00">
        <w:rPr>
          <w:i/>
          <w:color w:val="auto"/>
        </w:rPr>
        <w:t>: Nestlé links CSR with long-term business value (</w:t>
      </w:r>
      <w:r w:rsidR="006E5056" w:rsidRPr="00755C00">
        <w:rPr>
          <w:i/>
          <w:color w:val="auto"/>
        </w:rPr>
        <w:t>Nestlé, 2026a</w:t>
      </w:r>
      <w:r w:rsidRPr="00755C00">
        <w:rPr>
          <w:i/>
          <w:color w:val="auto"/>
        </w:rPr>
        <w:t>)</w:t>
      </w:r>
    </w:p>
    <w:p w14:paraId="37FE45F2" w14:textId="77777777" w:rsidR="00EC5267" w:rsidRPr="00755C00" w:rsidRDefault="00EC5267" w:rsidP="00EC5267">
      <w:pPr>
        <w:rPr>
          <w:lang w:bidi="ar-SA"/>
        </w:rPr>
      </w:pPr>
      <w:r w:rsidRPr="00755C00">
        <w:rPr>
          <w:lang w:bidi="ar-SA"/>
        </w:rPr>
        <w:t>CSR, however, should not be blindly embraced. Nestle's reaction as a company to the ESG scandal itself is an example of how promises continue to be monitored by the implementation loopholes, especially in intertwined international supply chains and when the topic of nutrition is in question. Consequently, CSR is relevant in terms of business strategy only when delivery works in line with publicly stated promises, or one will get reputational weakness instead of a strategic edge (Nestlé, 202</w:t>
      </w:r>
      <w:r w:rsidR="00EC4D50" w:rsidRPr="00755C00">
        <w:rPr>
          <w:lang w:bidi="ar-SA"/>
        </w:rPr>
        <w:t>6a</w:t>
      </w:r>
      <w:r w:rsidRPr="00755C00">
        <w:rPr>
          <w:lang w:bidi="ar-SA"/>
        </w:rPr>
        <w:t>).</w:t>
      </w:r>
    </w:p>
    <w:p w14:paraId="30CE308D" w14:textId="77777777" w:rsidR="008A4950" w:rsidRPr="00755C00" w:rsidRDefault="000822C3" w:rsidP="00EC5267">
      <w:pPr>
        <w:pStyle w:val="Heading2"/>
        <w:rPr>
          <w:rFonts w:eastAsia="Times New Roman"/>
          <w:lang w:bidi="ar-SA"/>
        </w:rPr>
      </w:pPr>
      <w:bookmarkStart w:id="11" w:name="_Toc223208682"/>
      <w:r w:rsidRPr="00755C00">
        <w:rPr>
          <w:rFonts w:eastAsia="Times New Roman"/>
          <w:lang w:bidi="ar-SA"/>
        </w:rPr>
        <w:t>5</w:t>
      </w:r>
      <w:r w:rsidR="008A4950" w:rsidRPr="00755C00">
        <w:rPr>
          <w:rFonts w:eastAsia="Times New Roman"/>
          <w:lang w:bidi="ar-SA"/>
        </w:rPr>
        <w:t>.</w:t>
      </w:r>
      <w:r w:rsidR="00EC5267" w:rsidRPr="00755C00">
        <w:rPr>
          <w:rFonts w:eastAsia="Times New Roman"/>
          <w:lang w:bidi="ar-SA"/>
        </w:rPr>
        <w:t>0</w:t>
      </w:r>
      <w:r w:rsidR="008A4950" w:rsidRPr="00755C00">
        <w:rPr>
          <w:rFonts w:eastAsia="Times New Roman"/>
          <w:lang w:bidi="ar-SA"/>
        </w:rPr>
        <w:t xml:space="preserve"> Comprehensive and Holistic View of the </w:t>
      </w:r>
      <w:proofErr w:type="spellStart"/>
      <w:r w:rsidR="008A4950" w:rsidRPr="00755C00">
        <w:rPr>
          <w:rFonts w:eastAsia="Times New Roman"/>
          <w:lang w:bidi="ar-SA"/>
        </w:rPr>
        <w:t>Organ</w:t>
      </w:r>
      <w:r w:rsidR="00EC5267" w:rsidRPr="00755C00">
        <w:rPr>
          <w:rFonts w:eastAsia="Times New Roman"/>
          <w:lang w:bidi="ar-SA"/>
        </w:rPr>
        <w:t>isation</w:t>
      </w:r>
      <w:proofErr w:type="spellEnd"/>
      <w:r w:rsidR="00EC5267" w:rsidRPr="00755C00">
        <w:rPr>
          <w:rFonts w:eastAsia="Times New Roman"/>
          <w:lang w:bidi="ar-SA"/>
        </w:rPr>
        <w:t>: Balanced Scorecard</w:t>
      </w:r>
      <w:bookmarkEnd w:id="11"/>
    </w:p>
    <w:p w14:paraId="712970AE" w14:textId="77777777" w:rsidR="008A4950" w:rsidRPr="00755C00" w:rsidRDefault="000822C3" w:rsidP="00EC5267">
      <w:pPr>
        <w:pStyle w:val="Heading3"/>
        <w:rPr>
          <w:rFonts w:eastAsia="Times New Roman"/>
          <w:lang w:bidi="ar-SA"/>
        </w:rPr>
      </w:pPr>
      <w:bookmarkStart w:id="12" w:name="_Toc223208683"/>
      <w:r w:rsidRPr="00755C00">
        <w:rPr>
          <w:rFonts w:eastAsia="Times New Roman"/>
          <w:lang w:bidi="ar-SA"/>
        </w:rPr>
        <w:t>5</w:t>
      </w:r>
      <w:r w:rsidR="008A4950" w:rsidRPr="00755C00">
        <w:rPr>
          <w:rFonts w:eastAsia="Times New Roman"/>
          <w:lang w:bidi="ar-SA"/>
        </w:rPr>
        <w:t>.1 Balanced Scorecard overview</w:t>
      </w:r>
      <w:bookmarkEnd w:id="12"/>
    </w:p>
    <w:p w14:paraId="5DD4ACC9" w14:textId="77777777" w:rsidR="008A4950" w:rsidRPr="00755C00" w:rsidRDefault="00EC5267" w:rsidP="00EC5267">
      <w:pPr>
        <w:rPr>
          <w:lang w:bidi="ar-SA"/>
        </w:rPr>
      </w:pPr>
      <w:r w:rsidRPr="00755C00">
        <w:rPr>
          <w:lang w:bidi="ar-SA"/>
        </w:rPr>
        <w:t xml:space="preserve">The Balanced Scorecard puts the strategy in a simple form of metrics of financial, customer, internal processes, and learning and growth to reduce the risk of managing something that is easy to measure instead of something that makes the </w:t>
      </w:r>
      <w:proofErr w:type="spellStart"/>
      <w:r w:rsidRPr="00755C00">
        <w:rPr>
          <w:lang w:bidi="ar-SA"/>
        </w:rPr>
        <w:t>organisation</w:t>
      </w:r>
      <w:proofErr w:type="spellEnd"/>
      <w:r w:rsidRPr="00755C00">
        <w:rPr>
          <w:lang w:bidi="ar-SA"/>
        </w:rPr>
        <w:t xml:space="preserve"> create a competitive advantage </w:t>
      </w:r>
      <w:r w:rsidR="00EC4D50" w:rsidRPr="00755C00">
        <w:rPr>
          <w:lang w:bidi="ar-SA"/>
        </w:rPr>
        <w:t>(</w:t>
      </w:r>
      <w:proofErr w:type="spellStart"/>
      <w:r w:rsidR="00EC4D50" w:rsidRPr="00755C00">
        <w:rPr>
          <w:lang w:bidi="ar-SA"/>
        </w:rPr>
        <w:t>Biazzo</w:t>
      </w:r>
      <w:proofErr w:type="spellEnd"/>
      <w:r w:rsidR="00EC4D50" w:rsidRPr="00755C00">
        <w:rPr>
          <w:lang w:bidi="ar-SA"/>
        </w:rPr>
        <w:t xml:space="preserve"> </w:t>
      </w:r>
      <w:r w:rsidR="008311AF" w:rsidRPr="00755C00">
        <w:rPr>
          <w:lang w:bidi="ar-SA"/>
        </w:rPr>
        <w:t>and</w:t>
      </w:r>
      <w:r w:rsidR="00EC4D50" w:rsidRPr="00755C00">
        <w:rPr>
          <w:lang w:bidi="ar-SA"/>
        </w:rPr>
        <w:t xml:space="preserve"> </w:t>
      </w:r>
      <w:proofErr w:type="spellStart"/>
      <w:r w:rsidR="00EC4D50" w:rsidRPr="00755C00">
        <w:rPr>
          <w:lang w:bidi="ar-SA"/>
        </w:rPr>
        <w:t>Garengo</w:t>
      </w:r>
      <w:proofErr w:type="spellEnd"/>
      <w:r w:rsidR="00EC4D50" w:rsidRPr="00755C00">
        <w:rPr>
          <w:lang w:bidi="ar-SA"/>
        </w:rPr>
        <w:t>, 2011)</w:t>
      </w:r>
      <w:r w:rsidRPr="00755C00">
        <w:rPr>
          <w:lang w:bidi="ar-SA"/>
        </w:rPr>
        <w:t xml:space="preserve">. In the case of Nestle UK, </w:t>
      </w:r>
      <w:r w:rsidRPr="00755C00">
        <w:rPr>
          <w:lang w:bidi="ar-SA"/>
        </w:rPr>
        <w:lastRenderedPageBreak/>
        <w:t xml:space="preserve">it is relevant since its purpose-led strategy, including health, sustainability, and value creation, can only be credible once linked with outcome-based measures that can resist a retailer's bargaining power, HFSS, and increased compliance expenses (Nestle, </w:t>
      </w:r>
      <w:r w:rsidR="00EC4D50" w:rsidRPr="00755C00">
        <w:rPr>
          <w:lang w:bidi="ar-SA"/>
        </w:rPr>
        <w:t>2026</w:t>
      </w:r>
      <w:r w:rsidRPr="00755C00">
        <w:rPr>
          <w:lang w:bidi="ar-SA"/>
        </w:rPr>
        <w:t>).</w:t>
      </w:r>
      <w:r w:rsidR="008A4950" w:rsidRPr="00755C00">
        <w:rPr>
          <w:lang w:bidi="ar-SA"/>
        </w:rPr>
        <w:t xml:space="preserve"> </w:t>
      </w:r>
    </w:p>
    <w:p w14:paraId="42F57250" w14:textId="6923D012" w:rsidR="00EC5267" w:rsidRPr="00755C00" w:rsidRDefault="00EC5267" w:rsidP="00EC5267">
      <w:pPr>
        <w:pStyle w:val="Caption"/>
        <w:keepNext/>
        <w:jc w:val="center"/>
        <w:rPr>
          <w:rFonts w:eastAsia="Times New Roman" w:cs="Arial"/>
          <w:i/>
          <w:color w:val="auto"/>
          <w:szCs w:val="18"/>
          <w:lang w:bidi="ar-SA"/>
        </w:rPr>
      </w:pPr>
      <w:r w:rsidRPr="00755C00">
        <w:rPr>
          <w:rFonts w:cs="Arial"/>
          <w:i/>
          <w:color w:val="auto"/>
          <w:szCs w:val="18"/>
        </w:rPr>
        <w:t xml:space="preserve">Table </w:t>
      </w:r>
      <w:r w:rsidRPr="00755C00">
        <w:rPr>
          <w:rFonts w:cs="Arial"/>
          <w:i/>
          <w:color w:val="auto"/>
          <w:szCs w:val="18"/>
        </w:rPr>
        <w:fldChar w:fldCharType="begin"/>
      </w:r>
      <w:r w:rsidRPr="00755C00">
        <w:rPr>
          <w:rFonts w:cs="Arial"/>
          <w:i/>
          <w:color w:val="auto"/>
          <w:szCs w:val="18"/>
        </w:rPr>
        <w:instrText xml:space="preserve"> SEQ Table \* ARABIC </w:instrText>
      </w:r>
      <w:r w:rsidRPr="00755C00">
        <w:rPr>
          <w:rFonts w:cs="Arial"/>
          <w:i/>
          <w:color w:val="auto"/>
          <w:szCs w:val="18"/>
        </w:rPr>
        <w:fldChar w:fldCharType="separate"/>
      </w:r>
      <w:r w:rsidR="00EF6458" w:rsidRPr="00755C00">
        <w:rPr>
          <w:rFonts w:cs="Arial"/>
          <w:i/>
          <w:noProof/>
          <w:color w:val="auto"/>
          <w:szCs w:val="18"/>
        </w:rPr>
        <w:t>2</w:t>
      </w:r>
      <w:r w:rsidRPr="00755C00">
        <w:rPr>
          <w:rFonts w:cs="Arial"/>
          <w:i/>
          <w:color w:val="auto"/>
          <w:szCs w:val="18"/>
        </w:rPr>
        <w:fldChar w:fldCharType="end"/>
      </w:r>
      <w:r w:rsidRPr="00755C00">
        <w:rPr>
          <w:rFonts w:cs="Arial"/>
          <w:i/>
          <w:color w:val="auto"/>
          <w:szCs w:val="18"/>
        </w:rPr>
        <w:t xml:space="preserve">: </w:t>
      </w:r>
      <w:r w:rsidRPr="00755C00">
        <w:rPr>
          <w:rFonts w:eastAsia="Times New Roman" w:cs="Arial"/>
          <w:i/>
          <w:color w:val="auto"/>
          <w:szCs w:val="18"/>
          <w:lang w:bidi="ar-SA"/>
        </w:rPr>
        <w:t>Balanced Scorecard for Nestlé UK (Author)</w:t>
      </w:r>
    </w:p>
    <w:p w14:paraId="1DF2381B" w14:textId="4135A712" w:rsidR="00907534" w:rsidRPr="00755C00" w:rsidRDefault="00907534" w:rsidP="00907534">
      <w:pPr>
        <w:rPr>
          <w:lang w:bidi="ar-SA"/>
        </w:rPr>
      </w:pPr>
      <w:r w:rsidRPr="00755C00">
        <w:rPr>
          <w:noProof/>
          <w:lang w:bidi="ar-SA"/>
        </w:rPr>
        <w:drawing>
          <wp:inline distT="0" distB="0" distL="0" distR="0" wp14:anchorId="42573548" wp14:editId="5BD8FD8E">
            <wp:extent cx="5943600" cy="261429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943600" cy="2614295"/>
                    </a:xfrm>
                    <a:prstGeom prst="rect">
                      <a:avLst/>
                    </a:prstGeom>
                  </pic:spPr>
                </pic:pic>
              </a:graphicData>
            </a:graphic>
          </wp:inline>
        </w:drawing>
      </w:r>
    </w:p>
    <w:p w14:paraId="5D2F31FD" w14:textId="77777777" w:rsidR="00EC5267" w:rsidRPr="00755C00" w:rsidRDefault="00EC5267" w:rsidP="00EC5267">
      <w:pPr>
        <w:rPr>
          <w:lang w:bidi="ar-SA"/>
        </w:rPr>
      </w:pPr>
      <w:r w:rsidRPr="00755C00">
        <w:rPr>
          <w:lang w:bidi="ar-SA"/>
        </w:rPr>
        <w:t>The priorities of these actions that Nestlé must exercise in the United Kingdom should be guided by two contextual considerations. To start with, the boundaries of the high-fat, sugar, and salt (HFSS) advertising and promotional restrictions weaken the traditional methods of brand activation. As a result, the overall achievement of customer-</w:t>
      </w:r>
      <w:proofErr w:type="spellStart"/>
      <w:r w:rsidRPr="00755C00">
        <w:rPr>
          <w:lang w:bidi="ar-SA"/>
        </w:rPr>
        <w:t>centred</w:t>
      </w:r>
      <w:proofErr w:type="spellEnd"/>
      <w:r w:rsidRPr="00755C00">
        <w:rPr>
          <w:lang w:bidi="ar-SA"/>
        </w:rPr>
        <w:t xml:space="preserve"> performance results should be </w:t>
      </w:r>
      <w:proofErr w:type="spellStart"/>
      <w:r w:rsidRPr="00755C00">
        <w:rPr>
          <w:lang w:bidi="ar-SA"/>
        </w:rPr>
        <w:t>realised</w:t>
      </w:r>
      <w:proofErr w:type="spellEnd"/>
      <w:r w:rsidRPr="00755C00">
        <w:rPr>
          <w:lang w:bidi="ar-SA"/>
        </w:rPr>
        <w:t xml:space="preserve"> to a higher level on the product's innovative and compliant marketing channels, but not only through volume-based mechanisms (DHSC/DCMS, 2024-2025). Second, the introduction of packaging Extended Producer Responsibility (EPR) makes sustainability one of the operationally mandatory factors, turning the aspect of recyclability into a mere cost driver </w:t>
      </w:r>
      <w:r w:rsidR="00EC4D50" w:rsidRPr="00755C00">
        <w:rPr>
          <w:lang w:bidi="ar-SA"/>
        </w:rPr>
        <w:t>(PWC, 2025)</w:t>
      </w:r>
      <w:r w:rsidRPr="00755C00">
        <w:rPr>
          <w:lang w:bidi="ar-SA"/>
        </w:rPr>
        <w:t>.</w:t>
      </w:r>
    </w:p>
    <w:p w14:paraId="769DA953" w14:textId="77777777" w:rsidR="008A4950" w:rsidRPr="00755C00" w:rsidRDefault="00EC5267" w:rsidP="00EC5267">
      <w:pPr>
        <w:rPr>
          <w:lang w:bidi="ar-SA"/>
        </w:rPr>
      </w:pPr>
      <w:r w:rsidRPr="00755C00">
        <w:rPr>
          <w:lang w:bidi="ar-SA"/>
        </w:rPr>
        <w:t xml:space="preserve">There is a significant danger that faces these initiatives, and this is metric overload. Thus, Nestle UK must have a lean executive team with ten or twelve of the most important performance indicators (KPIs) and review them quarterly. By linking rewards to a balanced set of measures and not limiting them to a sales-related strategy, the </w:t>
      </w:r>
      <w:proofErr w:type="spellStart"/>
      <w:r w:rsidRPr="00755C00">
        <w:rPr>
          <w:lang w:bidi="ar-SA"/>
        </w:rPr>
        <w:t>organisation</w:t>
      </w:r>
      <w:proofErr w:type="spellEnd"/>
      <w:r w:rsidRPr="00755C00">
        <w:rPr>
          <w:lang w:bidi="ar-SA"/>
        </w:rPr>
        <w:t xml:space="preserve"> can reduce the risk of promoting on a short-term basis.</w:t>
      </w:r>
    </w:p>
    <w:p w14:paraId="1975BD01" w14:textId="77777777" w:rsidR="008A4950" w:rsidRPr="00755C00" w:rsidRDefault="000822C3" w:rsidP="00EC5267">
      <w:pPr>
        <w:pStyle w:val="Heading2"/>
        <w:rPr>
          <w:rFonts w:eastAsia="Times New Roman"/>
          <w:lang w:bidi="ar-SA"/>
        </w:rPr>
      </w:pPr>
      <w:bookmarkStart w:id="13" w:name="_Toc223208684"/>
      <w:r w:rsidRPr="00755C00">
        <w:rPr>
          <w:rFonts w:eastAsia="Times New Roman"/>
          <w:lang w:bidi="ar-SA"/>
        </w:rPr>
        <w:lastRenderedPageBreak/>
        <w:t>6</w:t>
      </w:r>
      <w:r w:rsidR="008A4950" w:rsidRPr="00755C00">
        <w:rPr>
          <w:rFonts w:eastAsia="Times New Roman"/>
          <w:lang w:bidi="ar-SA"/>
        </w:rPr>
        <w:t>.</w:t>
      </w:r>
      <w:r w:rsidR="00EC5267" w:rsidRPr="00755C00">
        <w:rPr>
          <w:rFonts w:eastAsia="Times New Roman"/>
          <w:lang w:bidi="ar-SA"/>
        </w:rPr>
        <w:t>0</w:t>
      </w:r>
      <w:r w:rsidR="008A4950" w:rsidRPr="00755C00">
        <w:rPr>
          <w:rFonts w:eastAsia="Times New Roman"/>
          <w:lang w:bidi="ar-SA"/>
        </w:rPr>
        <w:t xml:space="preserve"> Strategic Choices and Implementation</w:t>
      </w:r>
      <w:bookmarkEnd w:id="13"/>
      <w:r w:rsidR="008A4950" w:rsidRPr="00755C00">
        <w:rPr>
          <w:rFonts w:eastAsia="Times New Roman"/>
          <w:lang w:bidi="ar-SA"/>
        </w:rPr>
        <w:t xml:space="preserve"> </w:t>
      </w:r>
    </w:p>
    <w:p w14:paraId="54E09FE9" w14:textId="77777777" w:rsidR="008A4950" w:rsidRPr="00755C00" w:rsidRDefault="000822C3" w:rsidP="0032507D">
      <w:pPr>
        <w:pStyle w:val="Heading3"/>
        <w:rPr>
          <w:rFonts w:eastAsia="Times New Roman"/>
          <w:lang w:bidi="ar-SA"/>
        </w:rPr>
      </w:pPr>
      <w:bookmarkStart w:id="14" w:name="_Toc223208685"/>
      <w:r w:rsidRPr="00755C00">
        <w:rPr>
          <w:rFonts w:eastAsia="Times New Roman"/>
          <w:lang w:bidi="ar-SA"/>
        </w:rPr>
        <w:t>6</w:t>
      </w:r>
      <w:r w:rsidR="008A4950" w:rsidRPr="00755C00">
        <w:rPr>
          <w:rFonts w:eastAsia="Times New Roman"/>
          <w:lang w:bidi="ar-SA"/>
        </w:rPr>
        <w:t>.1 Business-level strategic options</w:t>
      </w:r>
      <w:bookmarkEnd w:id="14"/>
    </w:p>
    <w:p w14:paraId="48639199" w14:textId="77777777" w:rsidR="0032507D" w:rsidRPr="00755C00" w:rsidRDefault="0032507D" w:rsidP="0032507D">
      <w:pPr>
        <w:rPr>
          <w:lang w:bidi="ar-SA"/>
        </w:rPr>
      </w:pPr>
      <w:r w:rsidRPr="00755C00">
        <w:rPr>
          <w:lang w:bidi="ar-SA"/>
        </w:rPr>
        <w:t>The UK fast-moving consumer goods market features a cost leadership that poses a structural problem to Nestlé since supermarkets and discount stores often lower the price of branded products. Manufacturers of brands also incur high marketing, compliance, and innovation costs. The current cost-of-living landscape is pushing consumers to the discounted products and hence intensifying the bargaining power of retailers. A wholesome cost-leadership strategy, therefore, has a danger of watering down any brand equity and also establishing the company as being stuck at the margin of erosion (ONS, 2026).</w:t>
      </w:r>
    </w:p>
    <w:p w14:paraId="2ED58043" w14:textId="77777777" w:rsidR="0032507D" w:rsidRPr="00755C00" w:rsidRDefault="0032507D" w:rsidP="0032507D">
      <w:pPr>
        <w:rPr>
          <w:lang w:bidi="ar-SA"/>
        </w:rPr>
      </w:pPr>
      <w:r w:rsidRPr="00755C00">
        <w:rPr>
          <w:lang w:bidi="ar-SA"/>
        </w:rPr>
        <w:t xml:space="preserve">Differentiation matches better with the interests of Nestlé in the UK, though it demands adaptive differentiation that is dependent on taste, trust, and nutritional reformulation, as well as relating credible, sustainable practices. Additionally, the approach has a defensive nature: the introduction of high-fat, salt, and sugar (HFSS) advertising bans throughout the United Kingdom on 5 January 2026 dilutes the effectiveness of conventional online paid advertising of the products of worse nutritional value, which justifies a higher level of value penetration into the product itself and to its portfolio, instead of </w:t>
      </w:r>
      <w:proofErr w:type="spellStart"/>
      <w:r w:rsidRPr="00755C00">
        <w:rPr>
          <w:lang w:bidi="ar-SA"/>
        </w:rPr>
        <w:t>emphasi</w:t>
      </w:r>
      <w:r w:rsidR="00EC4D50" w:rsidRPr="00755C00">
        <w:rPr>
          <w:lang w:bidi="ar-SA"/>
        </w:rPr>
        <w:t>s</w:t>
      </w:r>
      <w:r w:rsidRPr="00755C00">
        <w:rPr>
          <w:lang w:bidi="ar-SA"/>
        </w:rPr>
        <w:t>ing</w:t>
      </w:r>
      <w:proofErr w:type="spellEnd"/>
      <w:r w:rsidRPr="00755C00">
        <w:rPr>
          <w:lang w:bidi="ar-SA"/>
        </w:rPr>
        <w:t xml:space="preserve"> the promotion tool (DCMS, 2025).</w:t>
      </w:r>
    </w:p>
    <w:p w14:paraId="4FA65079" w14:textId="77777777" w:rsidR="0032507D" w:rsidRPr="00755C00" w:rsidRDefault="0032507D" w:rsidP="0032507D">
      <w:pPr>
        <w:rPr>
          <w:lang w:bidi="ar-SA"/>
        </w:rPr>
      </w:pPr>
      <w:r w:rsidRPr="00755C00">
        <w:rPr>
          <w:lang w:bidi="ar-SA"/>
        </w:rPr>
        <w:t xml:space="preserve">A focus strategy, where there is a play on the narrow segment, is not very appropriate at the corporate level. However, narrowing the range can effectively protect the margins in the slow-selling core business in times of de-traded mainstream demand in the </w:t>
      </w:r>
      <w:proofErr w:type="spellStart"/>
      <w:r w:rsidRPr="00755C00">
        <w:rPr>
          <w:lang w:bidi="ar-SA"/>
        </w:rPr>
        <w:t>specialised</w:t>
      </w:r>
      <w:proofErr w:type="spellEnd"/>
      <w:r w:rsidRPr="00755C00">
        <w:rPr>
          <w:lang w:bidi="ar-SA"/>
        </w:rPr>
        <w:t xml:space="preserve"> pet nutrition category or in premium coffee systems.</w:t>
      </w:r>
    </w:p>
    <w:p w14:paraId="3A6A0C65" w14:textId="77777777" w:rsidR="0032507D" w:rsidRPr="00755C00" w:rsidRDefault="000822C3" w:rsidP="0032507D">
      <w:pPr>
        <w:pStyle w:val="Heading3"/>
        <w:rPr>
          <w:lang w:bidi="ar-SA"/>
        </w:rPr>
      </w:pPr>
      <w:bookmarkStart w:id="15" w:name="_Toc223208686"/>
      <w:r w:rsidRPr="00755C00">
        <w:rPr>
          <w:lang w:bidi="ar-SA"/>
        </w:rPr>
        <w:t>6</w:t>
      </w:r>
      <w:r w:rsidR="0032507D" w:rsidRPr="00755C00">
        <w:rPr>
          <w:lang w:bidi="ar-SA"/>
        </w:rPr>
        <w:t>.2 Corporate-level strategic options</w:t>
      </w:r>
      <w:bookmarkEnd w:id="15"/>
    </w:p>
    <w:p w14:paraId="116A61C0" w14:textId="77777777" w:rsidR="0032507D" w:rsidRPr="00755C00" w:rsidRDefault="0032507D" w:rsidP="0032507D">
      <w:pPr>
        <w:rPr>
          <w:lang w:bidi="ar-SA"/>
        </w:rPr>
      </w:pPr>
      <w:r w:rsidRPr="00755C00">
        <w:rPr>
          <w:lang w:bidi="ar-SA"/>
        </w:rPr>
        <w:t xml:space="preserve">In the case of Nestle UK, a portfolio strategy with a greater emphasis on categories that have a higher growth potential and returns is the most powerful corporate-level leverage. The new strategic update is reflecting the enhanced focus on four core businesses, such as coffee, pet care, nutrition, and food and snacks, which means that the company is being even more disciplined on where it chooses to invest capital and </w:t>
      </w:r>
      <w:r w:rsidRPr="00755C00">
        <w:rPr>
          <w:lang w:bidi="ar-SA"/>
        </w:rPr>
        <w:lastRenderedPageBreak/>
        <w:t>marketing resources and a corresponding cut of activities acting as the mediocre achievers (Nestle, 2026a).</w:t>
      </w:r>
    </w:p>
    <w:p w14:paraId="3934BB2C" w14:textId="77777777" w:rsidR="0032507D" w:rsidRPr="00755C00" w:rsidRDefault="0032507D" w:rsidP="0032507D">
      <w:pPr>
        <w:rPr>
          <w:lang w:bidi="ar-SA"/>
        </w:rPr>
      </w:pPr>
      <w:r w:rsidRPr="00755C00">
        <w:rPr>
          <w:lang w:bidi="ar-SA"/>
        </w:rPr>
        <w:t xml:space="preserve">Though international expansion is not a major focus of the UK market, as the UK operations scale in line with global locations, including innovation, product redesign, and procurement, it will allow the </w:t>
      </w:r>
      <w:proofErr w:type="spellStart"/>
      <w:r w:rsidRPr="00755C00">
        <w:rPr>
          <w:lang w:bidi="ar-SA"/>
        </w:rPr>
        <w:t>organisation</w:t>
      </w:r>
      <w:proofErr w:type="spellEnd"/>
      <w:r w:rsidRPr="00755C00">
        <w:rPr>
          <w:lang w:bidi="ar-SA"/>
        </w:rPr>
        <w:t xml:space="preserve"> to achieve scale advantages.</w:t>
      </w:r>
    </w:p>
    <w:p w14:paraId="36FD5835" w14:textId="77777777" w:rsidR="0032507D" w:rsidRPr="00755C00" w:rsidRDefault="0032507D" w:rsidP="0032507D">
      <w:pPr>
        <w:rPr>
          <w:lang w:bidi="ar-SA"/>
        </w:rPr>
      </w:pPr>
      <w:r w:rsidRPr="00755C00">
        <w:rPr>
          <w:lang w:bidi="ar-SA"/>
        </w:rPr>
        <w:t xml:space="preserve">The alliances and joint ventures will have the highest strategic value in those areas where foreign pressure is escalating most, specifically in the areas of packaging and recycling infrastructure. Since EPR base fees are planned to apply in the 2025–26 period, the packaging choice poses direct cost implications as well, thus making partnerships aimed at making recycling and material development strategies strategically wise </w:t>
      </w:r>
      <w:r w:rsidR="00EC4D50" w:rsidRPr="00755C00">
        <w:rPr>
          <w:lang w:bidi="ar-SA"/>
        </w:rPr>
        <w:t>(PWC, 2025)</w:t>
      </w:r>
      <w:r w:rsidRPr="00755C00">
        <w:rPr>
          <w:lang w:bidi="ar-SA"/>
        </w:rPr>
        <w:t>.</w:t>
      </w:r>
    </w:p>
    <w:p w14:paraId="302DBF33" w14:textId="77777777" w:rsidR="0032507D" w:rsidRPr="00755C00" w:rsidRDefault="000822C3" w:rsidP="0032507D">
      <w:pPr>
        <w:pStyle w:val="Heading3"/>
        <w:rPr>
          <w:lang w:bidi="ar-SA"/>
        </w:rPr>
      </w:pPr>
      <w:bookmarkStart w:id="16" w:name="_Toc223208687"/>
      <w:r w:rsidRPr="00755C00">
        <w:rPr>
          <w:lang w:bidi="ar-SA"/>
        </w:rPr>
        <w:t>6</w:t>
      </w:r>
      <w:r w:rsidR="0032507D" w:rsidRPr="00755C00">
        <w:rPr>
          <w:lang w:bidi="ar-SA"/>
        </w:rPr>
        <w:t>.3 Recommended strategic choice</w:t>
      </w:r>
      <w:bookmarkEnd w:id="16"/>
      <w:r w:rsidR="0032507D" w:rsidRPr="00755C00">
        <w:rPr>
          <w:lang w:bidi="ar-SA"/>
        </w:rPr>
        <w:t xml:space="preserve"> </w:t>
      </w:r>
    </w:p>
    <w:p w14:paraId="660CC81D" w14:textId="77777777" w:rsidR="0032507D" w:rsidRPr="00755C00" w:rsidRDefault="0032507D" w:rsidP="0032507D">
      <w:pPr>
        <w:rPr>
          <w:lang w:bidi="ar-SA"/>
        </w:rPr>
      </w:pPr>
      <w:r w:rsidRPr="00755C00">
        <w:rPr>
          <w:lang w:bidi="ar-SA"/>
        </w:rPr>
        <w:t>Grow through adaptive differentiation such as healthier innovation, trusted brands, and high-quality signals coupled with vigorous productivity to safeguard price, and extend this through a winning categories portfolio allocation as well as selected partnerships on packaging compliance. This suggestion is consistent with PESTEL and VRIO reasoning: HFSS regulation encourages the ability to renovate, and inflation, as well as retailer power, requires the presence of a cost-to-serve advantage and trade-spend discipline (DCMS, 2025; ONS, 2026).</w:t>
      </w:r>
    </w:p>
    <w:p w14:paraId="1365F068" w14:textId="77777777" w:rsidR="0032507D" w:rsidRPr="00755C00" w:rsidRDefault="000822C3" w:rsidP="0032507D">
      <w:pPr>
        <w:pStyle w:val="Heading3"/>
        <w:rPr>
          <w:lang w:bidi="ar-SA"/>
        </w:rPr>
      </w:pPr>
      <w:bookmarkStart w:id="17" w:name="_Toc223208688"/>
      <w:r w:rsidRPr="00755C00">
        <w:rPr>
          <w:lang w:bidi="ar-SA"/>
        </w:rPr>
        <w:t>6</w:t>
      </w:r>
      <w:r w:rsidR="0032507D" w:rsidRPr="00755C00">
        <w:rPr>
          <w:lang w:bidi="ar-SA"/>
        </w:rPr>
        <w:t>.4 Change management and implementation assessment</w:t>
      </w:r>
      <w:bookmarkEnd w:id="17"/>
    </w:p>
    <w:p w14:paraId="48C48086" w14:textId="77777777" w:rsidR="0032507D" w:rsidRPr="00755C00" w:rsidRDefault="0032507D" w:rsidP="0032507D">
      <w:pPr>
        <w:rPr>
          <w:lang w:bidi="ar-SA"/>
        </w:rPr>
      </w:pPr>
      <w:r w:rsidRPr="00755C00">
        <w:rPr>
          <w:lang w:bidi="ar-SA"/>
        </w:rPr>
        <w:t xml:space="preserve">The cursory transformation agenda of Nestlé, along with interrelated activities and procurement </w:t>
      </w:r>
      <w:proofErr w:type="spellStart"/>
      <w:r w:rsidRPr="00755C00">
        <w:rPr>
          <w:lang w:bidi="ar-SA"/>
        </w:rPr>
        <w:t>digitalisation</w:t>
      </w:r>
      <w:proofErr w:type="spellEnd"/>
      <w:r w:rsidRPr="00755C00">
        <w:rPr>
          <w:lang w:bidi="ar-SA"/>
        </w:rPr>
        <w:t xml:space="preserve"> (e-auctions) to enable more efficient sourcing and savings, points to not only reactive change management but also proactive change management with the focus on earning the right to invest using efficiency (Nestlé, 2026b). The key implementation risk in the United Kingdom is people capability, and especially manufacturing and analytics technical and digital skills. According to the UK research conducted by Nestle, which identifies low awareness of manufacturing careers amongst the youth, one element of the talent pipeline bears the limitation of hindering any </w:t>
      </w:r>
      <w:r w:rsidRPr="00755C00">
        <w:rPr>
          <w:lang w:bidi="ar-SA"/>
        </w:rPr>
        <w:lastRenderedPageBreak/>
        <w:t xml:space="preserve">operational change unless managed by means of apprenticeships and employer branding </w:t>
      </w:r>
      <w:r w:rsidR="00EC4D50" w:rsidRPr="00755C00">
        <w:rPr>
          <w:lang w:bidi="ar-SA"/>
        </w:rPr>
        <w:t xml:space="preserve">(Nestlé UK </w:t>
      </w:r>
      <w:r w:rsidR="008311AF" w:rsidRPr="00755C00">
        <w:rPr>
          <w:lang w:bidi="ar-SA"/>
        </w:rPr>
        <w:t>and</w:t>
      </w:r>
      <w:r w:rsidR="00EC4D50" w:rsidRPr="00755C00">
        <w:rPr>
          <w:lang w:bidi="ar-SA"/>
        </w:rPr>
        <w:t xml:space="preserve"> Ireland, 2025)</w:t>
      </w:r>
      <w:r w:rsidRPr="00755C00">
        <w:rPr>
          <w:lang w:bidi="ar-SA"/>
        </w:rPr>
        <w:t>.</w:t>
      </w:r>
    </w:p>
    <w:p w14:paraId="35837E1B" w14:textId="77777777" w:rsidR="008A4950" w:rsidRPr="00755C00" w:rsidRDefault="000822C3" w:rsidP="000822C3">
      <w:pPr>
        <w:pStyle w:val="Heading2"/>
        <w:rPr>
          <w:rFonts w:eastAsia="Times New Roman"/>
          <w:lang w:bidi="ar-SA"/>
        </w:rPr>
      </w:pPr>
      <w:bookmarkStart w:id="18" w:name="_Toc223208689"/>
      <w:r w:rsidRPr="00755C00">
        <w:rPr>
          <w:rFonts w:eastAsia="Times New Roman"/>
          <w:lang w:bidi="ar-SA"/>
        </w:rPr>
        <w:t>7</w:t>
      </w:r>
      <w:r w:rsidR="008A4950" w:rsidRPr="00755C00">
        <w:rPr>
          <w:rFonts w:eastAsia="Times New Roman"/>
          <w:lang w:bidi="ar-SA"/>
        </w:rPr>
        <w:t>.</w:t>
      </w:r>
      <w:r w:rsidR="0032507D" w:rsidRPr="00755C00">
        <w:rPr>
          <w:rFonts w:eastAsia="Times New Roman"/>
          <w:lang w:bidi="ar-SA"/>
        </w:rPr>
        <w:t>0</w:t>
      </w:r>
      <w:r w:rsidR="008A4950" w:rsidRPr="00755C00">
        <w:rPr>
          <w:rFonts w:eastAsia="Times New Roman"/>
          <w:lang w:bidi="ar-SA"/>
        </w:rPr>
        <w:t xml:space="preserve"> Strategic Evaluation and Recommendations</w:t>
      </w:r>
      <w:bookmarkEnd w:id="18"/>
      <w:r w:rsidR="008A4950" w:rsidRPr="00755C00">
        <w:rPr>
          <w:rFonts w:eastAsia="Times New Roman"/>
          <w:lang w:bidi="ar-SA"/>
        </w:rPr>
        <w:t xml:space="preserve"> </w:t>
      </w:r>
    </w:p>
    <w:p w14:paraId="10899B17" w14:textId="77777777" w:rsidR="008A4950" w:rsidRPr="00755C00" w:rsidRDefault="000822C3" w:rsidP="00626C53">
      <w:pPr>
        <w:pStyle w:val="Heading3"/>
        <w:rPr>
          <w:rFonts w:eastAsia="Times New Roman"/>
          <w:lang w:bidi="ar-SA"/>
        </w:rPr>
      </w:pPr>
      <w:bookmarkStart w:id="19" w:name="_Toc223208690"/>
      <w:r w:rsidRPr="00755C00">
        <w:rPr>
          <w:rFonts w:eastAsia="Times New Roman"/>
          <w:lang w:bidi="ar-SA"/>
        </w:rPr>
        <w:t>7</w:t>
      </w:r>
      <w:r w:rsidR="008A4950" w:rsidRPr="00755C00">
        <w:rPr>
          <w:rFonts w:eastAsia="Times New Roman"/>
          <w:lang w:bidi="ar-SA"/>
        </w:rPr>
        <w:t xml:space="preserve">.1 Strategic evaluation using SWOT </w:t>
      </w:r>
      <w:r w:rsidR="008311AF" w:rsidRPr="00755C00">
        <w:rPr>
          <w:rFonts w:eastAsia="Times New Roman"/>
          <w:lang w:bidi="ar-SA"/>
        </w:rPr>
        <w:t>and</w:t>
      </w:r>
      <w:r w:rsidR="008A4950" w:rsidRPr="00755C00">
        <w:rPr>
          <w:rFonts w:eastAsia="Times New Roman"/>
          <w:lang w:bidi="ar-SA"/>
        </w:rPr>
        <w:t xml:space="preserve"> Ansoff</w:t>
      </w:r>
      <w:bookmarkEnd w:id="19"/>
    </w:p>
    <w:p w14:paraId="0A0F8D90" w14:textId="77777777" w:rsidR="0032507D" w:rsidRPr="00755C00" w:rsidRDefault="000822C3" w:rsidP="00626C53">
      <w:pPr>
        <w:pStyle w:val="Heading4"/>
        <w:rPr>
          <w:rFonts w:eastAsia="Times New Roman"/>
          <w:lang w:bidi="ar-SA"/>
        </w:rPr>
      </w:pPr>
      <w:r w:rsidRPr="00755C00">
        <w:rPr>
          <w:rFonts w:eastAsia="Times New Roman"/>
          <w:lang w:bidi="ar-SA"/>
        </w:rPr>
        <w:t>7</w:t>
      </w:r>
      <w:r w:rsidR="00626C53" w:rsidRPr="00755C00">
        <w:rPr>
          <w:rFonts w:eastAsia="Times New Roman"/>
          <w:lang w:bidi="ar-SA"/>
        </w:rPr>
        <w:t xml:space="preserve">.1.1 </w:t>
      </w:r>
      <w:r w:rsidR="0032507D" w:rsidRPr="00755C00">
        <w:rPr>
          <w:rFonts w:eastAsia="Times New Roman"/>
          <w:lang w:bidi="ar-SA"/>
        </w:rPr>
        <w:t>SWOT (Nestlé UK)</w:t>
      </w:r>
    </w:p>
    <w:p w14:paraId="11B67660" w14:textId="77777777" w:rsidR="0032507D" w:rsidRPr="00755C00" w:rsidRDefault="00626C53" w:rsidP="00626C53">
      <w:pPr>
        <w:pStyle w:val="Caption"/>
        <w:keepNext/>
        <w:jc w:val="center"/>
        <w:rPr>
          <w:i/>
          <w:color w:val="auto"/>
        </w:rPr>
      </w:pPr>
      <w:r w:rsidRPr="00755C00">
        <w:rPr>
          <w:i/>
          <w:color w:val="auto"/>
        </w:rPr>
        <w:t xml:space="preserve">Table </w:t>
      </w:r>
      <w:r w:rsidRPr="00755C00">
        <w:rPr>
          <w:i/>
          <w:color w:val="auto"/>
        </w:rPr>
        <w:fldChar w:fldCharType="begin"/>
      </w:r>
      <w:r w:rsidRPr="00755C00">
        <w:rPr>
          <w:i/>
          <w:color w:val="auto"/>
        </w:rPr>
        <w:instrText xml:space="preserve"> SEQ Table \* ARABIC </w:instrText>
      </w:r>
      <w:r w:rsidRPr="00755C00">
        <w:rPr>
          <w:i/>
          <w:color w:val="auto"/>
        </w:rPr>
        <w:fldChar w:fldCharType="separate"/>
      </w:r>
      <w:r w:rsidR="00EF6458" w:rsidRPr="00755C00">
        <w:rPr>
          <w:i/>
          <w:noProof/>
          <w:color w:val="auto"/>
        </w:rPr>
        <w:t>3</w:t>
      </w:r>
      <w:r w:rsidRPr="00755C00">
        <w:rPr>
          <w:i/>
          <w:color w:val="auto"/>
        </w:rPr>
        <w:fldChar w:fldCharType="end"/>
      </w:r>
      <w:r w:rsidRPr="00755C00">
        <w:rPr>
          <w:i/>
          <w:color w:val="auto"/>
        </w:rPr>
        <w:t>: SWOT Analysis of Nestlé UK under HFSS and EPR Regulatory Pressures (Author)</w:t>
      </w:r>
    </w:p>
    <w:tbl>
      <w:tblPr>
        <w:tblW w:w="8340" w:type="dxa"/>
        <w:jc w:val="center"/>
        <w:tblLook w:val="04A0" w:firstRow="1" w:lastRow="0" w:firstColumn="1" w:lastColumn="0" w:noHBand="0" w:noVBand="1"/>
      </w:tblPr>
      <w:tblGrid>
        <w:gridCol w:w="4240"/>
        <w:gridCol w:w="4100"/>
      </w:tblGrid>
      <w:tr w:rsidR="00755C00" w:rsidRPr="00755C00" w14:paraId="176A035D" w14:textId="77777777" w:rsidTr="00626C53">
        <w:trPr>
          <w:trHeight w:val="315"/>
          <w:jc w:val="center"/>
        </w:trPr>
        <w:tc>
          <w:tcPr>
            <w:tcW w:w="4240" w:type="dxa"/>
            <w:tcBorders>
              <w:top w:val="single" w:sz="8" w:space="0" w:color="auto"/>
              <w:left w:val="single" w:sz="8" w:space="0" w:color="auto"/>
              <w:bottom w:val="single" w:sz="8" w:space="0" w:color="auto"/>
              <w:right w:val="single" w:sz="8" w:space="0" w:color="auto"/>
            </w:tcBorders>
            <w:vAlign w:val="center"/>
            <w:hideMark/>
          </w:tcPr>
          <w:p w14:paraId="1FE80909" w14:textId="77777777" w:rsidR="00626C53" w:rsidRPr="00755C00" w:rsidRDefault="00626C53" w:rsidP="00626C53">
            <w:pPr>
              <w:spacing w:after="0" w:line="240" w:lineRule="auto"/>
              <w:jc w:val="center"/>
              <w:rPr>
                <w:rFonts w:eastAsia="Times New Roman" w:cs="Arial"/>
                <w:b/>
                <w:bCs/>
                <w:sz w:val="20"/>
                <w:szCs w:val="20"/>
                <w:lang w:bidi="ar-SA"/>
              </w:rPr>
            </w:pPr>
            <w:r w:rsidRPr="00755C00">
              <w:rPr>
                <w:rFonts w:eastAsia="Times New Roman" w:cs="Arial"/>
                <w:b/>
                <w:bCs/>
                <w:sz w:val="20"/>
                <w:szCs w:val="20"/>
                <w:lang w:bidi="ar-SA"/>
              </w:rPr>
              <w:t>Strengths</w:t>
            </w:r>
          </w:p>
        </w:tc>
        <w:tc>
          <w:tcPr>
            <w:tcW w:w="4100" w:type="dxa"/>
            <w:tcBorders>
              <w:top w:val="single" w:sz="8" w:space="0" w:color="auto"/>
              <w:left w:val="nil"/>
              <w:bottom w:val="single" w:sz="8" w:space="0" w:color="auto"/>
              <w:right w:val="single" w:sz="8" w:space="0" w:color="auto"/>
            </w:tcBorders>
            <w:vAlign w:val="center"/>
            <w:hideMark/>
          </w:tcPr>
          <w:p w14:paraId="23AF4EAD" w14:textId="77777777" w:rsidR="00626C53" w:rsidRPr="00755C00" w:rsidRDefault="00626C53" w:rsidP="00626C53">
            <w:pPr>
              <w:spacing w:after="0" w:line="240" w:lineRule="auto"/>
              <w:jc w:val="center"/>
              <w:rPr>
                <w:rFonts w:eastAsia="Times New Roman" w:cs="Arial"/>
                <w:b/>
                <w:bCs/>
                <w:sz w:val="20"/>
                <w:szCs w:val="20"/>
                <w:lang w:bidi="ar-SA"/>
              </w:rPr>
            </w:pPr>
            <w:r w:rsidRPr="00755C00">
              <w:rPr>
                <w:rFonts w:eastAsia="Times New Roman" w:cs="Arial"/>
                <w:b/>
                <w:bCs/>
                <w:sz w:val="20"/>
                <w:szCs w:val="20"/>
                <w:lang w:bidi="ar-SA"/>
              </w:rPr>
              <w:t>Weaknesses</w:t>
            </w:r>
          </w:p>
        </w:tc>
      </w:tr>
      <w:tr w:rsidR="00755C00" w:rsidRPr="00755C00" w14:paraId="71CC87D5" w14:textId="77777777" w:rsidTr="00626C53">
        <w:trPr>
          <w:trHeight w:val="965"/>
          <w:jc w:val="center"/>
        </w:trPr>
        <w:tc>
          <w:tcPr>
            <w:tcW w:w="4240" w:type="dxa"/>
            <w:tcBorders>
              <w:top w:val="nil"/>
              <w:left w:val="single" w:sz="8" w:space="0" w:color="auto"/>
              <w:right w:val="single" w:sz="8" w:space="0" w:color="auto"/>
            </w:tcBorders>
            <w:vAlign w:val="center"/>
            <w:hideMark/>
          </w:tcPr>
          <w:p w14:paraId="590FC952" w14:textId="6DEFE801" w:rsidR="00626C53" w:rsidRPr="00755C00" w:rsidRDefault="00626C53" w:rsidP="00CA17F8">
            <w:pPr>
              <w:pStyle w:val="ListParagraph"/>
              <w:numPr>
                <w:ilvl w:val="0"/>
                <w:numId w:val="11"/>
              </w:numPr>
              <w:spacing w:after="0" w:line="240" w:lineRule="auto"/>
              <w:rPr>
                <w:rFonts w:eastAsia="Times New Roman" w:cs="Arial"/>
                <w:sz w:val="20"/>
                <w:szCs w:val="20"/>
                <w:lang w:bidi="ar-SA"/>
              </w:rPr>
            </w:pPr>
            <w:r w:rsidRPr="00755C00">
              <w:rPr>
                <w:rFonts w:eastAsia="Times New Roman" w:cs="Arial"/>
                <w:sz w:val="20"/>
                <w:szCs w:val="20"/>
                <w:lang w:bidi="ar-SA"/>
              </w:rPr>
              <w:t>Strong brand equity</w:t>
            </w:r>
            <w:r w:rsidR="00CA17F8" w:rsidRPr="00755C00">
              <w:rPr>
                <w:rFonts w:eastAsia="Times New Roman" w:cs="Arial"/>
                <w:sz w:val="20"/>
                <w:szCs w:val="20"/>
                <w:lang w:bidi="ar-SA"/>
              </w:rPr>
              <w:t xml:space="preserve"> (Euromonitor, 2025)</w:t>
            </w:r>
          </w:p>
          <w:p w14:paraId="4DAB3404" w14:textId="77777777" w:rsidR="00626C53" w:rsidRPr="00755C00" w:rsidRDefault="00626C53" w:rsidP="00626C53">
            <w:pPr>
              <w:pStyle w:val="ListParagraph"/>
              <w:numPr>
                <w:ilvl w:val="0"/>
                <w:numId w:val="11"/>
              </w:numPr>
              <w:spacing w:after="0" w:line="240" w:lineRule="auto"/>
              <w:rPr>
                <w:rFonts w:eastAsia="Times New Roman" w:cs="Arial"/>
                <w:sz w:val="20"/>
                <w:szCs w:val="20"/>
                <w:lang w:bidi="ar-SA"/>
              </w:rPr>
            </w:pPr>
            <w:r w:rsidRPr="00755C00">
              <w:rPr>
                <w:rFonts w:eastAsia="Times New Roman" w:cs="Arial"/>
                <w:sz w:val="20"/>
                <w:szCs w:val="20"/>
                <w:lang w:bidi="ar-SA"/>
              </w:rPr>
              <w:t>Broad portfolio</w:t>
            </w:r>
          </w:p>
          <w:p w14:paraId="3BF76681" w14:textId="77777777" w:rsidR="00626C53" w:rsidRPr="00755C00" w:rsidRDefault="00626C53" w:rsidP="00626C53">
            <w:pPr>
              <w:pStyle w:val="ListParagraph"/>
              <w:numPr>
                <w:ilvl w:val="0"/>
                <w:numId w:val="11"/>
              </w:numPr>
              <w:spacing w:after="0" w:line="240" w:lineRule="auto"/>
              <w:rPr>
                <w:rFonts w:eastAsia="Times New Roman" w:cs="Arial"/>
                <w:sz w:val="20"/>
                <w:szCs w:val="20"/>
                <w:lang w:bidi="ar-SA"/>
              </w:rPr>
            </w:pPr>
            <w:r w:rsidRPr="00755C00">
              <w:rPr>
                <w:rFonts w:eastAsia="Times New Roman" w:cs="Arial"/>
                <w:sz w:val="20"/>
                <w:szCs w:val="20"/>
                <w:lang w:bidi="ar-SA"/>
              </w:rPr>
              <w:t>Reformulation capability</w:t>
            </w:r>
          </w:p>
        </w:tc>
        <w:tc>
          <w:tcPr>
            <w:tcW w:w="4100" w:type="dxa"/>
            <w:tcBorders>
              <w:top w:val="nil"/>
              <w:left w:val="nil"/>
              <w:right w:val="single" w:sz="8" w:space="0" w:color="auto"/>
            </w:tcBorders>
            <w:vAlign w:val="center"/>
            <w:hideMark/>
          </w:tcPr>
          <w:p w14:paraId="1D242FAB" w14:textId="77777777" w:rsidR="00626C53" w:rsidRPr="00755C00" w:rsidRDefault="00626C53" w:rsidP="00626C53">
            <w:pPr>
              <w:pStyle w:val="ListParagraph"/>
              <w:numPr>
                <w:ilvl w:val="0"/>
                <w:numId w:val="12"/>
              </w:numPr>
              <w:spacing w:after="0" w:line="240" w:lineRule="auto"/>
              <w:rPr>
                <w:rFonts w:eastAsia="Times New Roman" w:cs="Arial"/>
                <w:sz w:val="20"/>
                <w:szCs w:val="20"/>
                <w:lang w:bidi="ar-SA"/>
              </w:rPr>
            </w:pPr>
            <w:r w:rsidRPr="00755C00">
              <w:rPr>
                <w:rFonts w:eastAsia="Times New Roman" w:cs="Arial"/>
                <w:sz w:val="20"/>
                <w:szCs w:val="20"/>
                <w:lang w:bidi="ar-SA"/>
              </w:rPr>
              <w:t>Retailer power exposure</w:t>
            </w:r>
          </w:p>
          <w:p w14:paraId="10456D92" w14:textId="4523EDFC" w:rsidR="00626C53" w:rsidRPr="00755C00" w:rsidRDefault="00626C53" w:rsidP="00CA17F8">
            <w:pPr>
              <w:pStyle w:val="ListParagraph"/>
              <w:numPr>
                <w:ilvl w:val="0"/>
                <w:numId w:val="12"/>
              </w:numPr>
              <w:spacing w:after="0" w:line="240" w:lineRule="auto"/>
              <w:rPr>
                <w:rFonts w:eastAsia="Times New Roman" w:cs="Arial"/>
                <w:sz w:val="20"/>
                <w:szCs w:val="20"/>
                <w:lang w:bidi="ar-SA"/>
              </w:rPr>
            </w:pPr>
            <w:r w:rsidRPr="00755C00">
              <w:rPr>
                <w:rFonts w:eastAsia="Times New Roman" w:cs="Arial"/>
                <w:sz w:val="20"/>
                <w:szCs w:val="20"/>
                <w:lang w:bidi="ar-SA"/>
              </w:rPr>
              <w:t>Promotion dependence</w:t>
            </w:r>
            <w:r w:rsidR="00CA17F8" w:rsidRPr="00755C00">
              <w:rPr>
                <w:rFonts w:eastAsia="Times New Roman" w:cs="Arial"/>
                <w:sz w:val="20"/>
                <w:szCs w:val="20"/>
                <w:lang w:bidi="ar-SA"/>
              </w:rPr>
              <w:t xml:space="preserve"> (Kantar, 2025)</w:t>
            </w:r>
          </w:p>
          <w:p w14:paraId="5289213A" w14:textId="45564E3C" w:rsidR="00626C53" w:rsidRPr="00755C00" w:rsidRDefault="00626C53" w:rsidP="00CA17F8">
            <w:pPr>
              <w:pStyle w:val="ListParagraph"/>
              <w:numPr>
                <w:ilvl w:val="0"/>
                <w:numId w:val="12"/>
              </w:numPr>
              <w:spacing w:after="0" w:line="240" w:lineRule="auto"/>
              <w:rPr>
                <w:rFonts w:eastAsia="Times New Roman" w:cs="Arial"/>
                <w:sz w:val="20"/>
                <w:szCs w:val="20"/>
                <w:lang w:bidi="ar-SA"/>
              </w:rPr>
            </w:pPr>
            <w:r w:rsidRPr="00755C00">
              <w:rPr>
                <w:rFonts w:eastAsia="Times New Roman" w:cs="Arial"/>
                <w:sz w:val="20"/>
                <w:szCs w:val="20"/>
                <w:lang w:bidi="ar-SA"/>
              </w:rPr>
              <w:t>Margin pressure under inflation.</w:t>
            </w:r>
            <w:r w:rsidR="00CA17F8" w:rsidRPr="00755C00">
              <w:t xml:space="preserve"> </w:t>
            </w:r>
            <w:r w:rsidR="00CA17F8" w:rsidRPr="00755C00">
              <w:rPr>
                <w:rFonts w:eastAsia="Times New Roman" w:cs="Arial"/>
                <w:sz w:val="20"/>
                <w:szCs w:val="20"/>
                <w:lang w:bidi="ar-SA"/>
              </w:rPr>
              <w:t>(</w:t>
            </w:r>
            <w:proofErr w:type="spellStart"/>
            <w:r w:rsidR="00CA17F8" w:rsidRPr="00755C00">
              <w:rPr>
                <w:rFonts w:eastAsia="Times New Roman" w:cs="Arial"/>
                <w:sz w:val="20"/>
                <w:szCs w:val="20"/>
                <w:lang w:bidi="ar-SA"/>
              </w:rPr>
              <w:t>Glotz</w:t>
            </w:r>
            <w:proofErr w:type="spellEnd"/>
            <w:r w:rsidR="00CA17F8" w:rsidRPr="00755C00">
              <w:rPr>
                <w:rFonts w:eastAsia="Times New Roman" w:cs="Arial"/>
                <w:sz w:val="20"/>
                <w:szCs w:val="20"/>
                <w:lang w:bidi="ar-SA"/>
              </w:rPr>
              <w:t>, 2024)</w:t>
            </w:r>
          </w:p>
        </w:tc>
      </w:tr>
      <w:tr w:rsidR="00755C00" w:rsidRPr="00755C00" w14:paraId="471B7AD2" w14:textId="77777777" w:rsidTr="00626C53">
        <w:trPr>
          <w:trHeight w:val="315"/>
          <w:jc w:val="center"/>
        </w:trPr>
        <w:tc>
          <w:tcPr>
            <w:tcW w:w="4240" w:type="dxa"/>
            <w:tcBorders>
              <w:top w:val="nil"/>
              <w:left w:val="single" w:sz="8" w:space="0" w:color="auto"/>
              <w:bottom w:val="single" w:sz="8" w:space="0" w:color="auto"/>
              <w:right w:val="single" w:sz="8" w:space="0" w:color="auto"/>
            </w:tcBorders>
            <w:vAlign w:val="center"/>
            <w:hideMark/>
          </w:tcPr>
          <w:p w14:paraId="4E83E772" w14:textId="77777777" w:rsidR="00626C53" w:rsidRPr="00755C00" w:rsidRDefault="00626C53" w:rsidP="00626C53">
            <w:pPr>
              <w:spacing w:after="0" w:line="240" w:lineRule="auto"/>
              <w:jc w:val="center"/>
              <w:rPr>
                <w:rFonts w:eastAsia="Times New Roman" w:cs="Arial"/>
                <w:b/>
                <w:bCs/>
                <w:sz w:val="20"/>
                <w:szCs w:val="20"/>
                <w:lang w:bidi="ar-SA"/>
              </w:rPr>
            </w:pPr>
            <w:r w:rsidRPr="00755C00">
              <w:rPr>
                <w:rFonts w:eastAsia="Times New Roman" w:cs="Arial"/>
                <w:b/>
                <w:bCs/>
                <w:sz w:val="20"/>
                <w:lang w:bidi="ar-SA"/>
              </w:rPr>
              <w:t>Opportunities</w:t>
            </w:r>
          </w:p>
        </w:tc>
        <w:tc>
          <w:tcPr>
            <w:tcW w:w="4100" w:type="dxa"/>
            <w:tcBorders>
              <w:top w:val="nil"/>
              <w:left w:val="nil"/>
              <w:bottom w:val="single" w:sz="8" w:space="0" w:color="auto"/>
              <w:right w:val="single" w:sz="8" w:space="0" w:color="auto"/>
            </w:tcBorders>
            <w:vAlign w:val="center"/>
            <w:hideMark/>
          </w:tcPr>
          <w:p w14:paraId="3552DE00" w14:textId="77777777" w:rsidR="00626C53" w:rsidRPr="00755C00" w:rsidRDefault="00626C53" w:rsidP="00626C53">
            <w:pPr>
              <w:spacing w:after="0" w:line="240" w:lineRule="auto"/>
              <w:jc w:val="center"/>
              <w:rPr>
                <w:rFonts w:eastAsia="Times New Roman" w:cs="Arial"/>
                <w:b/>
                <w:bCs/>
                <w:sz w:val="20"/>
                <w:szCs w:val="20"/>
                <w:lang w:bidi="ar-SA"/>
              </w:rPr>
            </w:pPr>
            <w:r w:rsidRPr="00755C00">
              <w:rPr>
                <w:rFonts w:eastAsia="Times New Roman" w:cs="Arial"/>
                <w:b/>
                <w:bCs/>
                <w:sz w:val="20"/>
                <w:lang w:bidi="ar-SA"/>
              </w:rPr>
              <w:t>Threats</w:t>
            </w:r>
          </w:p>
        </w:tc>
      </w:tr>
      <w:tr w:rsidR="00755C00" w:rsidRPr="00755C00" w14:paraId="72F99874" w14:textId="77777777" w:rsidTr="00626C53">
        <w:trPr>
          <w:trHeight w:val="1300"/>
          <w:jc w:val="center"/>
        </w:trPr>
        <w:tc>
          <w:tcPr>
            <w:tcW w:w="4240" w:type="dxa"/>
            <w:tcBorders>
              <w:top w:val="nil"/>
              <w:left w:val="single" w:sz="8" w:space="0" w:color="auto"/>
              <w:right w:val="single" w:sz="8" w:space="0" w:color="auto"/>
            </w:tcBorders>
            <w:vAlign w:val="center"/>
            <w:hideMark/>
          </w:tcPr>
          <w:p w14:paraId="04439572" w14:textId="77777777" w:rsidR="00626C53" w:rsidRPr="00755C00" w:rsidRDefault="00626C53" w:rsidP="00626C53">
            <w:pPr>
              <w:pStyle w:val="ListParagraph"/>
              <w:numPr>
                <w:ilvl w:val="0"/>
                <w:numId w:val="13"/>
              </w:numPr>
              <w:spacing w:after="0" w:line="240" w:lineRule="auto"/>
              <w:rPr>
                <w:rFonts w:eastAsia="Times New Roman" w:cs="Arial"/>
                <w:sz w:val="20"/>
                <w:szCs w:val="20"/>
                <w:lang w:bidi="ar-SA"/>
              </w:rPr>
            </w:pPr>
            <w:r w:rsidRPr="00755C00">
              <w:rPr>
                <w:rFonts w:eastAsia="Times New Roman" w:cs="Arial"/>
                <w:sz w:val="20"/>
                <w:szCs w:val="20"/>
                <w:lang w:bidi="ar-SA"/>
              </w:rPr>
              <w:t>HFSS-compliant innovation</w:t>
            </w:r>
          </w:p>
          <w:p w14:paraId="2FC8F102" w14:textId="78DC51A2" w:rsidR="00626C53" w:rsidRPr="00755C00" w:rsidRDefault="00626C53" w:rsidP="00CA17F8">
            <w:pPr>
              <w:pStyle w:val="ListParagraph"/>
              <w:numPr>
                <w:ilvl w:val="0"/>
                <w:numId w:val="13"/>
              </w:numPr>
              <w:spacing w:after="0" w:line="240" w:lineRule="auto"/>
              <w:rPr>
                <w:rFonts w:eastAsia="Times New Roman" w:cs="Arial"/>
                <w:sz w:val="20"/>
                <w:szCs w:val="20"/>
                <w:lang w:bidi="ar-SA"/>
              </w:rPr>
            </w:pPr>
            <w:r w:rsidRPr="00755C00">
              <w:rPr>
                <w:rFonts w:eastAsia="Times New Roman" w:cs="Arial"/>
                <w:sz w:val="20"/>
                <w:szCs w:val="20"/>
                <w:lang w:bidi="ar-SA"/>
              </w:rPr>
              <w:t xml:space="preserve">Premium coffee and </w:t>
            </w:r>
            <w:proofErr w:type="spellStart"/>
            <w:r w:rsidRPr="00755C00">
              <w:rPr>
                <w:rFonts w:eastAsia="Times New Roman" w:cs="Arial"/>
                <w:sz w:val="20"/>
                <w:szCs w:val="20"/>
                <w:lang w:bidi="ar-SA"/>
              </w:rPr>
              <w:t>petcare</w:t>
            </w:r>
            <w:proofErr w:type="spellEnd"/>
            <w:r w:rsidRPr="00755C00">
              <w:rPr>
                <w:rFonts w:eastAsia="Times New Roman" w:cs="Arial"/>
                <w:sz w:val="20"/>
                <w:szCs w:val="20"/>
                <w:lang w:bidi="ar-SA"/>
              </w:rPr>
              <w:t xml:space="preserve"> growth</w:t>
            </w:r>
            <w:r w:rsidR="00CA17F8" w:rsidRPr="00755C00">
              <w:rPr>
                <w:rFonts w:eastAsia="Times New Roman" w:cs="Arial"/>
                <w:sz w:val="20"/>
                <w:szCs w:val="20"/>
                <w:lang w:bidi="ar-SA"/>
              </w:rPr>
              <w:t xml:space="preserve"> (</w:t>
            </w:r>
            <w:proofErr w:type="spellStart"/>
            <w:r w:rsidR="00CA17F8" w:rsidRPr="00755C00">
              <w:rPr>
                <w:rFonts w:eastAsia="Times New Roman" w:cs="Arial"/>
                <w:sz w:val="20"/>
                <w:szCs w:val="20"/>
                <w:lang w:bidi="ar-SA"/>
              </w:rPr>
              <w:t>Glotz</w:t>
            </w:r>
            <w:proofErr w:type="spellEnd"/>
            <w:r w:rsidR="00CA17F8" w:rsidRPr="00755C00">
              <w:rPr>
                <w:rFonts w:eastAsia="Times New Roman" w:cs="Arial"/>
                <w:sz w:val="20"/>
                <w:szCs w:val="20"/>
                <w:lang w:bidi="ar-SA"/>
              </w:rPr>
              <w:t>, 2024)</w:t>
            </w:r>
          </w:p>
          <w:p w14:paraId="4AD2B537" w14:textId="77777777" w:rsidR="00626C53" w:rsidRPr="00755C00" w:rsidRDefault="00626C53" w:rsidP="00626C53">
            <w:pPr>
              <w:pStyle w:val="ListParagraph"/>
              <w:numPr>
                <w:ilvl w:val="0"/>
                <w:numId w:val="13"/>
              </w:numPr>
              <w:spacing w:after="0" w:line="240" w:lineRule="auto"/>
              <w:rPr>
                <w:rFonts w:eastAsia="Times New Roman" w:cs="Arial"/>
                <w:sz w:val="20"/>
                <w:szCs w:val="20"/>
                <w:lang w:bidi="ar-SA"/>
              </w:rPr>
            </w:pPr>
            <w:r w:rsidRPr="00755C00">
              <w:rPr>
                <w:rFonts w:eastAsia="Times New Roman" w:cs="Arial"/>
                <w:sz w:val="20"/>
                <w:szCs w:val="20"/>
                <w:lang w:bidi="ar-SA"/>
              </w:rPr>
              <w:t>Packaging redesign under EPR</w:t>
            </w:r>
          </w:p>
          <w:p w14:paraId="107ED081" w14:textId="77777777" w:rsidR="00626C53" w:rsidRPr="00755C00" w:rsidRDefault="00626C53" w:rsidP="00626C53">
            <w:pPr>
              <w:pStyle w:val="ListParagraph"/>
              <w:spacing w:after="0" w:line="240" w:lineRule="auto"/>
              <w:rPr>
                <w:rFonts w:eastAsia="Times New Roman" w:cs="Arial"/>
                <w:sz w:val="20"/>
                <w:szCs w:val="20"/>
                <w:lang w:bidi="ar-SA"/>
              </w:rPr>
            </w:pPr>
          </w:p>
        </w:tc>
        <w:tc>
          <w:tcPr>
            <w:tcW w:w="4100" w:type="dxa"/>
            <w:tcBorders>
              <w:top w:val="nil"/>
              <w:left w:val="nil"/>
              <w:right w:val="single" w:sz="8" w:space="0" w:color="auto"/>
            </w:tcBorders>
            <w:vAlign w:val="center"/>
            <w:hideMark/>
          </w:tcPr>
          <w:p w14:paraId="6C11B050" w14:textId="77777777" w:rsidR="00626C53" w:rsidRPr="00755C00" w:rsidRDefault="00626C53" w:rsidP="00626C53">
            <w:pPr>
              <w:pStyle w:val="ListParagraph"/>
              <w:numPr>
                <w:ilvl w:val="0"/>
                <w:numId w:val="14"/>
              </w:numPr>
              <w:spacing w:after="0" w:line="240" w:lineRule="auto"/>
              <w:rPr>
                <w:rFonts w:eastAsia="Times New Roman" w:cs="Arial"/>
                <w:sz w:val="20"/>
                <w:szCs w:val="20"/>
                <w:lang w:bidi="ar-SA"/>
              </w:rPr>
            </w:pPr>
            <w:r w:rsidRPr="00755C00">
              <w:rPr>
                <w:rFonts w:eastAsia="Times New Roman" w:cs="Arial"/>
                <w:sz w:val="20"/>
                <w:szCs w:val="20"/>
                <w:lang w:bidi="ar-SA"/>
              </w:rPr>
              <w:t>HFSS ad/promo restrictions</w:t>
            </w:r>
          </w:p>
          <w:p w14:paraId="7DA5E9E4" w14:textId="77777777" w:rsidR="00626C53" w:rsidRPr="00755C00" w:rsidRDefault="00626C53" w:rsidP="00626C53">
            <w:pPr>
              <w:pStyle w:val="ListParagraph"/>
              <w:numPr>
                <w:ilvl w:val="0"/>
                <w:numId w:val="14"/>
              </w:numPr>
              <w:spacing w:after="0" w:line="240" w:lineRule="auto"/>
              <w:rPr>
                <w:rFonts w:eastAsia="Times New Roman" w:cs="Arial"/>
                <w:sz w:val="20"/>
                <w:szCs w:val="20"/>
                <w:lang w:bidi="ar-SA"/>
              </w:rPr>
            </w:pPr>
            <w:r w:rsidRPr="00755C00">
              <w:rPr>
                <w:rFonts w:eastAsia="Times New Roman" w:cs="Arial"/>
                <w:sz w:val="20"/>
                <w:szCs w:val="20"/>
                <w:lang w:bidi="ar-SA"/>
              </w:rPr>
              <w:t>Rising compliance costs</w:t>
            </w:r>
          </w:p>
          <w:p w14:paraId="610AC158" w14:textId="77777777" w:rsidR="00626C53" w:rsidRPr="00755C00" w:rsidRDefault="00626C53" w:rsidP="00626C53">
            <w:pPr>
              <w:pStyle w:val="ListParagraph"/>
              <w:numPr>
                <w:ilvl w:val="0"/>
                <w:numId w:val="14"/>
              </w:numPr>
              <w:spacing w:after="0" w:line="240" w:lineRule="auto"/>
              <w:rPr>
                <w:rFonts w:eastAsia="Times New Roman" w:cs="Arial"/>
                <w:sz w:val="20"/>
                <w:szCs w:val="20"/>
                <w:lang w:bidi="ar-SA"/>
              </w:rPr>
            </w:pPr>
            <w:r w:rsidRPr="00755C00">
              <w:rPr>
                <w:rFonts w:eastAsia="Times New Roman" w:cs="Arial"/>
                <w:sz w:val="20"/>
                <w:szCs w:val="20"/>
                <w:lang w:bidi="ar-SA"/>
              </w:rPr>
              <w:t>Discounter competition</w:t>
            </w:r>
          </w:p>
          <w:p w14:paraId="74A82DFF" w14:textId="03365389" w:rsidR="00626C53" w:rsidRPr="00755C00" w:rsidRDefault="00626C53" w:rsidP="00CA17F8">
            <w:pPr>
              <w:pStyle w:val="ListParagraph"/>
              <w:numPr>
                <w:ilvl w:val="0"/>
                <w:numId w:val="14"/>
              </w:numPr>
              <w:spacing w:after="0" w:line="240" w:lineRule="auto"/>
              <w:rPr>
                <w:rFonts w:eastAsia="Times New Roman" w:cs="Arial"/>
                <w:sz w:val="20"/>
                <w:szCs w:val="20"/>
                <w:lang w:bidi="ar-SA"/>
              </w:rPr>
            </w:pPr>
            <w:r w:rsidRPr="00755C00">
              <w:rPr>
                <w:rFonts w:eastAsia="Times New Roman" w:cs="Arial"/>
                <w:sz w:val="20"/>
                <w:szCs w:val="20"/>
                <w:lang w:bidi="ar-SA"/>
              </w:rPr>
              <w:t>Retailer data power</w:t>
            </w:r>
            <w:r w:rsidR="00CA17F8" w:rsidRPr="00755C00">
              <w:rPr>
                <w:rFonts w:eastAsia="Times New Roman" w:cs="Arial"/>
                <w:sz w:val="20"/>
                <w:szCs w:val="20"/>
                <w:lang w:bidi="ar-SA"/>
              </w:rPr>
              <w:t xml:space="preserve"> (Mintel, 2025)</w:t>
            </w:r>
          </w:p>
        </w:tc>
      </w:tr>
    </w:tbl>
    <w:p w14:paraId="6C5A8E0D" w14:textId="77777777" w:rsidR="00626C53" w:rsidRPr="00755C00" w:rsidRDefault="00626C53" w:rsidP="00626C53">
      <w:pPr>
        <w:rPr>
          <w:lang w:bidi="ar-SA"/>
        </w:rPr>
      </w:pPr>
      <w:r w:rsidRPr="00755C00">
        <w:rPr>
          <w:lang w:bidi="ar-SA"/>
        </w:rPr>
        <w:t>The SWOT analysis states that the brand equity and ability to refurbish its products are the most outstanding strengths of Nestlé UK, but it is still subject to the power of the retail channel, promotional limitations, and compression as a margin. The most reasonable way to attain sustainable growth is by HFSS-compliant innovation, premiumization programs, and the extension of operations into the pet care industry. The main risks are tightening of regulatory requirements, increasing costs of compliance, and growing competition.</w:t>
      </w:r>
    </w:p>
    <w:p w14:paraId="690888EC" w14:textId="77777777" w:rsidR="00626C53" w:rsidRPr="00755C00" w:rsidRDefault="000822C3" w:rsidP="00626C53">
      <w:pPr>
        <w:pStyle w:val="Heading4"/>
        <w:rPr>
          <w:rFonts w:eastAsia="Times New Roman"/>
          <w:lang w:bidi="ar-SA"/>
        </w:rPr>
      </w:pPr>
      <w:r w:rsidRPr="00755C00">
        <w:rPr>
          <w:rFonts w:eastAsia="Times New Roman"/>
          <w:lang w:bidi="ar-SA"/>
        </w:rPr>
        <w:lastRenderedPageBreak/>
        <w:t>7</w:t>
      </w:r>
      <w:r w:rsidR="00626C53" w:rsidRPr="00755C00">
        <w:rPr>
          <w:rFonts w:eastAsia="Times New Roman"/>
          <w:lang w:bidi="ar-SA"/>
        </w:rPr>
        <w:t xml:space="preserve">.1.2 </w:t>
      </w:r>
      <w:r w:rsidR="008A4950" w:rsidRPr="00755C00">
        <w:rPr>
          <w:rFonts w:eastAsia="Times New Roman"/>
          <w:lang w:bidi="ar-SA"/>
        </w:rPr>
        <w:t>Ansoff</w:t>
      </w:r>
      <w:r w:rsidR="00626C53" w:rsidRPr="00755C00">
        <w:rPr>
          <w:rFonts w:eastAsia="Times New Roman"/>
          <w:lang w:bidi="ar-SA"/>
        </w:rPr>
        <w:t xml:space="preserve"> </w:t>
      </w:r>
    </w:p>
    <w:p w14:paraId="0779BDD9" w14:textId="77777777" w:rsidR="00643E0F" w:rsidRPr="00755C00" w:rsidRDefault="00EF6458" w:rsidP="00643E0F">
      <w:pPr>
        <w:keepNext/>
      </w:pPr>
      <w:r w:rsidRPr="00755C00">
        <w:rPr>
          <w:noProof/>
          <w:lang w:bidi="ar-SA"/>
        </w:rPr>
        <w:drawing>
          <wp:inline distT="0" distB="0" distL="0" distR="0" wp14:anchorId="067434A1" wp14:editId="3313B7D1">
            <wp:extent cx="5943600" cy="39624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60228_2058_Image Generation_simple_compose_01kjjc30tzfh2vf3jy95knf8e4.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6474E7D3" w14:textId="64D81A13" w:rsidR="00EF6458" w:rsidRPr="00755C00" w:rsidRDefault="00643E0F" w:rsidP="00643E0F">
      <w:pPr>
        <w:pStyle w:val="Caption"/>
        <w:jc w:val="center"/>
        <w:rPr>
          <w:i/>
          <w:color w:val="auto"/>
          <w:lang w:bidi="ar-SA"/>
        </w:rPr>
      </w:pPr>
      <w:r w:rsidRPr="00755C00">
        <w:rPr>
          <w:i/>
          <w:color w:val="auto"/>
        </w:rPr>
        <w:t xml:space="preserve">Figure </w:t>
      </w:r>
      <w:r w:rsidRPr="00755C00">
        <w:rPr>
          <w:i/>
          <w:color w:val="auto"/>
        </w:rPr>
        <w:fldChar w:fldCharType="begin"/>
      </w:r>
      <w:r w:rsidRPr="00755C00">
        <w:rPr>
          <w:i/>
          <w:color w:val="auto"/>
        </w:rPr>
        <w:instrText xml:space="preserve"> SEQ Figure \* ARABIC </w:instrText>
      </w:r>
      <w:r w:rsidRPr="00755C00">
        <w:rPr>
          <w:i/>
          <w:color w:val="auto"/>
        </w:rPr>
        <w:fldChar w:fldCharType="separate"/>
      </w:r>
      <w:r w:rsidR="008311AF" w:rsidRPr="00755C00">
        <w:rPr>
          <w:i/>
          <w:noProof/>
          <w:color w:val="auto"/>
        </w:rPr>
        <w:t>6</w:t>
      </w:r>
      <w:r w:rsidRPr="00755C00">
        <w:rPr>
          <w:i/>
          <w:color w:val="auto"/>
        </w:rPr>
        <w:fldChar w:fldCharType="end"/>
      </w:r>
      <w:r w:rsidRPr="00755C00">
        <w:rPr>
          <w:i/>
          <w:color w:val="auto"/>
        </w:rPr>
        <w:t>: Nestlé UK Ansoff Growth Strategy (</w:t>
      </w:r>
      <w:r w:rsidR="006E5056" w:rsidRPr="00755C00">
        <w:rPr>
          <w:i/>
          <w:color w:val="auto"/>
        </w:rPr>
        <w:t>Nestlé, 2026a</w:t>
      </w:r>
      <w:r w:rsidRPr="00755C00">
        <w:rPr>
          <w:i/>
          <w:color w:val="auto"/>
        </w:rPr>
        <w:t>)</w:t>
      </w:r>
    </w:p>
    <w:p w14:paraId="73EE7A1E" w14:textId="77777777" w:rsidR="00EF6458" w:rsidRPr="00755C00" w:rsidRDefault="00EF6458" w:rsidP="008311AF">
      <w:pPr>
        <w:rPr>
          <w:lang w:bidi="ar-SA"/>
        </w:rPr>
      </w:pPr>
      <w:r w:rsidRPr="00755C00">
        <w:rPr>
          <w:lang w:bidi="ar-SA"/>
        </w:rPr>
        <w:t xml:space="preserve">The market penetration ought to focus on the implementation of comfortable activation processes and value architecture as opposed to relying on multibuys of current products within the existing market. Product development should be kept at the core, and this could entail the reworking and </w:t>
      </w:r>
      <w:proofErr w:type="spellStart"/>
      <w:r w:rsidRPr="00755C00">
        <w:rPr>
          <w:lang w:bidi="ar-SA"/>
        </w:rPr>
        <w:t>remodelling</w:t>
      </w:r>
      <w:proofErr w:type="spellEnd"/>
      <w:r w:rsidRPr="00755C00">
        <w:rPr>
          <w:lang w:bidi="ar-SA"/>
        </w:rPr>
        <w:t xml:space="preserve"> of SKUs to shift the demand to less restricted segments. The secondary goal of market development is related to a short dedicated to the United Kingdom. Diversification strategies must be selective, and it is more preferable to venture into better-performing winning businesses that resonate with the sophisticated portfolio focus of Nestlé.</w:t>
      </w:r>
    </w:p>
    <w:p w14:paraId="1ECFC364" w14:textId="77777777" w:rsidR="008A4950" w:rsidRPr="00755C00" w:rsidRDefault="000822C3" w:rsidP="00EF6458">
      <w:pPr>
        <w:pStyle w:val="Heading3"/>
        <w:rPr>
          <w:rFonts w:eastAsia="Times New Roman"/>
          <w:lang w:bidi="ar-SA"/>
        </w:rPr>
      </w:pPr>
      <w:bookmarkStart w:id="20" w:name="_Toc223208691"/>
      <w:r w:rsidRPr="00755C00">
        <w:rPr>
          <w:rFonts w:eastAsia="Times New Roman"/>
          <w:lang w:bidi="ar-SA"/>
        </w:rPr>
        <w:t>7</w:t>
      </w:r>
      <w:r w:rsidR="008A4950" w:rsidRPr="00755C00">
        <w:rPr>
          <w:rFonts w:eastAsia="Times New Roman"/>
          <w:lang w:bidi="ar-SA"/>
        </w:rPr>
        <w:t>.2 Recommendations to maintain or enhance competitive advantage</w:t>
      </w:r>
      <w:bookmarkEnd w:id="20"/>
    </w:p>
    <w:p w14:paraId="23879BC9" w14:textId="77777777" w:rsidR="008A4950" w:rsidRPr="00755C00" w:rsidRDefault="008A4950" w:rsidP="008A4950">
      <w:pPr>
        <w:spacing w:after="0" w:line="240" w:lineRule="auto"/>
        <w:jc w:val="left"/>
        <w:rPr>
          <w:rFonts w:ascii="Times New Roman" w:eastAsia="Times New Roman" w:hAnsi="Times New Roman" w:cs="Times New Roman"/>
          <w:b/>
          <w:bCs/>
          <w:szCs w:val="24"/>
          <w:lang w:bidi="ar-SA"/>
        </w:rPr>
      </w:pPr>
    </w:p>
    <w:p w14:paraId="24703A4C" w14:textId="77777777" w:rsidR="00EF6458" w:rsidRPr="00755C00" w:rsidRDefault="00EF6458" w:rsidP="00EF6458">
      <w:pPr>
        <w:pStyle w:val="Caption"/>
        <w:keepNext/>
        <w:jc w:val="center"/>
        <w:rPr>
          <w:i/>
          <w:color w:val="auto"/>
        </w:rPr>
      </w:pPr>
      <w:r w:rsidRPr="00755C00">
        <w:rPr>
          <w:i/>
          <w:color w:val="auto"/>
        </w:rPr>
        <w:lastRenderedPageBreak/>
        <w:t xml:space="preserve">Table </w:t>
      </w:r>
      <w:r w:rsidRPr="00755C00">
        <w:rPr>
          <w:i/>
          <w:color w:val="auto"/>
        </w:rPr>
        <w:fldChar w:fldCharType="begin"/>
      </w:r>
      <w:r w:rsidRPr="00755C00">
        <w:rPr>
          <w:i/>
          <w:color w:val="auto"/>
        </w:rPr>
        <w:instrText xml:space="preserve"> SEQ Table \* ARABIC </w:instrText>
      </w:r>
      <w:r w:rsidRPr="00755C00">
        <w:rPr>
          <w:i/>
          <w:color w:val="auto"/>
        </w:rPr>
        <w:fldChar w:fldCharType="separate"/>
      </w:r>
      <w:r w:rsidRPr="00755C00">
        <w:rPr>
          <w:i/>
          <w:noProof/>
          <w:color w:val="auto"/>
        </w:rPr>
        <w:t>4</w:t>
      </w:r>
      <w:r w:rsidRPr="00755C00">
        <w:rPr>
          <w:i/>
          <w:color w:val="auto"/>
        </w:rPr>
        <w:fldChar w:fldCharType="end"/>
      </w:r>
      <w:r w:rsidRPr="00755C00">
        <w:rPr>
          <w:i/>
          <w:color w:val="auto"/>
        </w:rPr>
        <w:t>: Strategic Recommendations for Nestlé UK to Maintain or Enhance Competitive Advantage (Author)</w:t>
      </w:r>
    </w:p>
    <w:p w14:paraId="00794C02" w14:textId="18C7ECF8" w:rsidR="00EF6458" w:rsidRPr="00755C00" w:rsidRDefault="00907534" w:rsidP="008A4950">
      <w:pPr>
        <w:spacing w:after="0" w:line="240" w:lineRule="auto"/>
        <w:jc w:val="left"/>
        <w:rPr>
          <w:rFonts w:ascii="Times New Roman" w:eastAsia="Times New Roman" w:hAnsi="Times New Roman" w:cs="Times New Roman"/>
          <w:szCs w:val="24"/>
          <w:lang w:bidi="ar-SA"/>
        </w:rPr>
      </w:pPr>
      <w:r w:rsidRPr="00755C00">
        <w:rPr>
          <w:rFonts w:ascii="Times New Roman" w:eastAsia="Times New Roman" w:hAnsi="Times New Roman" w:cs="Times New Roman"/>
          <w:noProof/>
          <w:szCs w:val="24"/>
          <w:lang w:bidi="ar-SA"/>
        </w:rPr>
        <w:drawing>
          <wp:inline distT="0" distB="0" distL="0" distR="0" wp14:anchorId="48DAAD0D" wp14:editId="753028D4">
            <wp:extent cx="5943600" cy="35064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943600" cy="3506470"/>
                    </a:xfrm>
                    <a:prstGeom prst="rect">
                      <a:avLst/>
                    </a:prstGeom>
                  </pic:spPr>
                </pic:pic>
              </a:graphicData>
            </a:graphic>
          </wp:inline>
        </w:drawing>
      </w:r>
    </w:p>
    <w:p w14:paraId="48658666" w14:textId="77777777" w:rsidR="008A4950" w:rsidRPr="00755C00" w:rsidRDefault="000822C3" w:rsidP="00643E0F">
      <w:pPr>
        <w:pStyle w:val="Heading3"/>
        <w:rPr>
          <w:rFonts w:eastAsia="Times New Roman"/>
          <w:lang w:bidi="ar-SA"/>
        </w:rPr>
      </w:pPr>
      <w:bookmarkStart w:id="21" w:name="_Toc223208692"/>
      <w:r w:rsidRPr="00755C00">
        <w:rPr>
          <w:rFonts w:eastAsia="Times New Roman"/>
          <w:lang w:bidi="ar-SA"/>
        </w:rPr>
        <w:t>7</w:t>
      </w:r>
      <w:r w:rsidR="008A4950" w:rsidRPr="00755C00">
        <w:rPr>
          <w:rFonts w:eastAsia="Times New Roman"/>
          <w:lang w:bidi="ar-SA"/>
        </w:rPr>
        <w:t>.3 Theory and real-world justification</w:t>
      </w:r>
      <w:bookmarkEnd w:id="21"/>
    </w:p>
    <w:p w14:paraId="79E1CE32" w14:textId="77777777" w:rsidR="00EC4D50" w:rsidRPr="00755C00" w:rsidRDefault="00643E0F" w:rsidP="00643E0F">
      <w:pPr>
        <w:rPr>
          <w:lang w:bidi="ar-SA"/>
        </w:rPr>
      </w:pPr>
      <w:r w:rsidRPr="00755C00">
        <w:rPr>
          <w:lang w:bidi="ar-SA"/>
        </w:rPr>
        <w:t>The proposed plan meets the guidelines provided by Ansoff (</w:t>
      </w:r>
      <w:r w:rsidR="00EC4D50" w:rsidRPr="00755C00">
        <w:rPr>
          <w:lang w:bidi="ar-SA"/>
        </w:rPr>
        <w:t>2025</w:t>
      </w:r>
      <w:r w:rsidRPr="00755C00">
        <w:rPr>
          <w:lang w:bidi="ar-SA"/>
        </w:rPr>
        <w:t>) in his steps of product development and market penetration, wherein the principle of growth in the presence of limited resources is focused on innovations based on the expansion in existing markets and not on the forceful promotion of the product. Within HFSS limitations, reformulation and compliant innovation are structural competitive levers and not tactical ones. The di</w:t>
      </w:r>
      <w:r w:rsidR="00EC4D50" w:rsidRPr="00755C00">
        <w:rPr>
          <w:lang w:bidi="ar-SA"/>
        </w:rPr>
        <w:t xml:space="preserve">fferentiation theory of Porter </w:t>
      </w:r>
      <w:r w:rsidRPr="00755C00">
        <w:rPr>
          <w:lang w:bidi="ar-SA"/>
        </w:rPr>
        <w:t xml:space="preserve">further provides the arguments in </w:t>
      </w:r>
      <w:proofErr w:type="spellStart"/>
      <w:r w:rsidRPr="00755C00">
        <w:rPr>
          <w:lang w:bidi="ar-SA"/>
        </w:rPr>
        <w:t>favour</w:t>
      </w:r>
      <w:proofErr w:type="spellEnd"/>
      <w:r w:rsidRPr="00755C00">
        <w:rPr>
          <w:lang w:bidi="ar-SA"/>
        </w:rPr>
        <w:t xml:space="preserve"> of investing in good product quality, healthy positioning, and brand trust so as to maintain price power against the </w:t>
      </w:r>
      <w:r w:rsidR="000822C3" w:rsidRPr="00755C00">
        <w:rPr>
          <w:lang w:bidi="ar-SA"/>
        </w:rPr>
        <w:t>bargaining power of a retailer</w:t>
      </w:r>
      <w:r w:rsidR="00EC4D50" w:rsidRPr="00755C00">
        <w:rPr>
          <w:lang w:bidi="ar-SA"/>
        </w:rPr>
        <w:t xml:space="preserve"> (Barney </w:t>
      </w:r>
      <w:r w:rsidR="008311AF" w:rsidRPr="00755C00">
        <w:rPr>
          <w:lang w:bidi="ar-SA"/>
        </w:rPr>
        <w:t>and</w:t>
      </w:r>
      <w:r w:rsidR="00EC4D50" w:rsidRPr="00755C00">
        <w:rPr>
          <w:lang w:bidi="ar-SA"/>
        </w:rPr>
        <w:t xml:space="preserve"> Clark, 2007)</w:t>
      </w:r>
      <w:r w:rsidR="000822C3" w:rsidRPr="00755C00">
        <w:rPr>
          <w:lang w:bidi="ar-SA"/>
        </w:rPr>
        <w:t>.</w:t>
      </w:r>
    </w:p>
    <w:p w14:paraId="66B042FB" w14:textId="77777777" w:rsidR="00643E0F" w:rsidRPr="00755C00" w:rsidRDefault="00643E0F" w:rsidP="00643E0F">
      <w:pPr>
        <w:rPr>
          <w:lang w:bidi="ar-SA"/>
        </w:rPr>
      </w:pPr>
      <w:r w:rsidRPr="00755C00">
        <w:rPr>
          <w:lang w:bidi="ar-SA"/>
        </w:rPr>
        <w:t xml:space="preserve">The practical experience supports this course. The willingness of large UK retailers (including Tesco) to voluntarily selectively restrict the promotional activities of HFSS has indicated that compliant innovation is a long-term necessity rather than a short-term reaction. In a parallel move, top FMCG players have stepped up the pace of renovation, as well as portfolio </w:t>
      </w:r>
      <w:proofErr w:type="spellStart"/>
      <w:r w:rsidRPr="00755C00">
        <w:rPr>
          <w:lang w:bidi="ar-SA"/>
        </w:rPr>
        <w:t>optimisation</w:t>
      </w:r>
      <w:proofErr w:type="spellEnd"/>
      <w:r w:rsidRPr="00755C00">
        <w:rPr>
          <w:lang w:bidi="ar-SA"/>
        </w:rPr>
        <w:t xml:space="preserve">, in order to protect under-inflationary margins. Thus, the </w:t>
      </w:r>
      <w:r w:rsidRPr="00755C00">
        <w:rPr>
          <w:lang w:bidi="ar-SA"/>
        </w:rPr>
        <w:lastRenderedPageBreak/>
        <w:t xml:space="preserve">adaptive differentiation and portfolio </w:t>
      </w:r>
      <w:proofErr w:type="spellStart"/>
      <w:r w:rsidRPr="00755C00">
        <w:rPr>
          <w:lang w:bidi="ar-SA"/>
        </w:rPr>
        <w:t>prioritisation</w:t>
      </w:r>
      <w:proofErr w:type="spellEnd"/>
      <w:r w:rsidRPr="00755C00">
        <w:rPr>
          <w:lang w:bidi="ar-SA"/>
        </w:rPr>
        <w:t xml:space="preserve"> of Nestle feature theoretically consistent and industry-best practices.</w:t>
      </w:r>
    </w:p>
    <w:p w14:paraId="130689E7" w14:textId="77777777" w:rsidR="005F1F51" w:rsidRPr="00755C00" w:rsidRDefault="000822C3" w:rsidP="005F1F51">
      <w:pPr>
        <w:pStyle w:val="Heading2"/>
        <w:rPr>
          <w:rFonts w:eastAsia="Times New Roman"/>
          <w:lang w:bidi="ar-SA"/>
        </w:rPr>
      </w:pPr>
      <w:bookmarkStart w:id="22" w:name="_Toc223208693"/>
      <w:r w:rsidRPr="00755C00">
        <w:rPr>
          <w:rFonts w:eastAsia="Times New Roman"/>
          <w:lang w:bidi="ar-SA"/>
        </w:rPr>
        <w:t xml:space="preserve">8.0 </w:t>
      </w:r>
      <w:r w:rsidR="005F1F51" w:rsidRPr="00755C00">
        <w:rPr>
          <w:rFonts w:eastAsia="Times New Roman"/>
          <w:lang w:bidi="ar-SA"/>
        </w:rPr>
        <w:t>Conclusion</w:t>
      </w:r>
      <w:bookmarkEnd w:id="22"/>
    </w:p>
    <w:p w14:paraId="7CE519E9" w14:textId="77777777" w:rsidR="00643E0F" w:rsidRPr="00755C00" w:rsidRDefault="005F1F51" w:rsidP="00966127">
      <w:pPr>
        <w:rPr>
          <w:lang w:bidi="ar-SA"/>
        </w:rPr>
      </w:pPr>
      <w:r w:rsidRPr="00755C00">
        <w:rPr>
          <w:lang w:bidi="ar-SA"/>
        </w:rPr>
        <w:t xml:space="preserve">The strategic management in the current United Kingdom fast-moving consumer goods (FMCG) industry compels companies to balance the regulatory, cost, and competition challenges and maintain a sustainable competitive advantage. </w:t>
      </w:r>
      <w:r w:rsidR="007F6F6B" w:rsidRPr="00755C00">
        <w:rPr>
          <w:lang w:bidi="ar-SA"/>
        </w:rPr>
        <w:t xml:space="preserve">The report undergoes in a very critical analysis of the whole </w:t>
      </w:r>
      <w:proofErr w:type="spellStart"/>
      <w:r w:rsidR="007F6F6B" w:rsidRPr="00755C00">
        <w:rPr>
          <w:lang w:bidi="ar-SA"/>
        </w:rPr>
        <w:t>organisational</w:t>
      </w:r>
      <w:proofErr w:type="spellEnd"/>
      <w:r w:rsidR="007F6F6B" w:rsidRPr="00755C00">
        <w:rPr>
          <w:lang w:bidi="ar-SA"/>
        </w:rPr>
        <w:t xml:space="preserve"> environment along with the external environment as well as internal capabilities, and growth which showcases the strategic position of Nestle UK. Regulatory changes which include Health-First-Screen-Score (HFSS) limitations, inflation volatility, and sustainability requirements are also determined by the help using </w:t>
      </w:r>
      <w:r w:rsidRPr="00755C00">
        <w:rPr>
          <w:lang w:bidi="ar-SA"/>
        </w:rPr>
        <w:t>PESTEL, VRIO, SWOT, and Ansoff analytical lenses. It ends with recommendations that are well based on empirical analysis to strengthen the adaptive differentiation, operational resilience, and portfolio concentration in the UK market.</w:t>
      </w:r>
    </w:p>
    <w:p w14:paraId="7C200C48" w14:textId="77777777" w:rsidR="008A4950" w:rsidRPr="00755C00" w:rsidRDefault="008A4950" w:rsidP="008A4950">
      <w:pPr>
        <w:spacing w:before="100" w:beforeAutospacing="1" w:after="100" w:afterAutospacing="1" w:line="240" w:lineRule="auto"/>
        <w:jc w:val="left"/>
        <w:rPr>
          <w:rFonts w:ascii="Times New Roman" w:eastAsia="Times New Roman" w:hAnsi="Times New Roman" w:cs="Times New Roman"/>
          <w:szCs w:val="24"/>
          <w:lang w:bidi="ar-SA"/>
        </w:rPr>
      </w:pPr>
    </w:p>
    <w:p w14:paraId="7484241C" w14:textId="77777777" w:rsidR="00643E0F" w:rsidRPr="00755C00" w:rsidRDefault="00643E0F">
      <w:pPr>
        <w:spacing w:line="276" w:lineRule="auto"/>
        <w:jc w:val="left"/>
        <w:rPr>
          <w:rFonts w:ascii="Times New Roman" w:eastAsia="Times New Roman" w:hAnsi="Times New Roman" w:cs="Times New Roman"/>
          <w:b/>
          <w:bCs/>
          <w:sz w:val="36"/>
          <w:szCs w:val="36"/>
          <w:lang w:bidi="ar-SA"/>
        </w:rPr>
      </w:pPr>
      <w:r w:rsidRPr="00755C00">
        <w:rPr>
          <w:rFonts w:ascii="Times New Roman" w:eastAsia="Times New Roman" w:hAnsi="Times New Roman" w:cs="Times New Roman"/>
          <w:b/>
          <w:bCs/>
          <w:sz w:val="36"/>
          <w:szCs w:val="36"/>
          <w:lang w:bidi="ar-SA"/>
        </w:rPr>
        <w:br w:type="page"/>
      </w:r>
    </w:p>
    <w:p w14:paraId="0C6A2D0D" w14:textId="77777777" w:rsidR="008A4950" w:rsidRPr="00755C00" w:rsidRDefault="008A4950" w:rsidP="005F1F51">
      <w:pPr>
        <w:pStyle w:val="Heading1"/>
        <w:rPr>
          <w:rFonts w:eastAsia="Times New Roman"/>
          <w:color w:val="auto"/>
          <w:lang w:bidi="ar-SA"/>
        </w:rPr>
      </w:pPr>
      <w:bookmarkStart w:id="23" w:name="_Toc223208694"/>
      <w:r w:rsidRPr="00755C00">
        <w:rPr>
          <w:rFonts w:eastAsia="Times New Roman"/>
          <w:color w:val="auto"/>
          <w:lang w:bidi="ar-SA"/>
        </w:rPr>
        <w:lastRenderedPageBreak/>
        <w:t>SECTION 2: Reflective Account</w:t>
      </w:r>
      <w:r w:rsidR="005F1F51" w:rsidRPr="00755C00">
        <w:rPr>
          <w:rFonts w:eastAsia="Times New Roman"/>
          <w:color w:val="auto"/>
          <w:lang w:bidi="ar-SA"/>
        </w:rPr>
        <w:t xml:space="preserve"> </w:t>
      </w:r>
      <w:r w:rsidRPr="00755C00">
        <w:rPr>
          <w:rFonts w:eastAsia="Times New Roman"/>
          <w:color w:val="auto"/>
          <w:lang w:bidi="ar-SA"/>
        </w:rPr>
        <w:t>— Gibbs Reflective Cycle</w:t>
      </w:r>
      <w:bookmarkEnd w:id="23"/>
    </w:p>
    <w:p w14:paraId="604F0E55" w14:textId="77777777" w:rsidR="005F1F51" w:rsidRPr="00755C00" w:rsidRDefault="005F1F51" w:rsidP="005F1F51">
      <w:pPr>
        <w:pStyle w:val="Heading2"/>
        <w:rPr>
          <w:lang w:bidi="ar-SA"/>
        </w:rPr>
      </w:pPr>
      <w:bookmarkStart w:id="24" w:name="_Toc223208695"/>
      <w:r w:rsidRPr="00755C00">
        <w:rPr>
          <w:lang w:bidi="ar-SA"/>
        </w:rPr>
        <w:t>1.0 Description</w:t>
      </w:r>
      <w:bookmarkEnd w:id="24"/>
    </w:p>
    <w:p w14:paraId="53E5BF13" w14:textId="77777777" w:rsidR="00EC4D50" w:rsidRPr="00755C00" w:rsidRDefault="005F1F51" w:rsidP="005F1F51">
      <w:pPr>
        <w:rPr>
          <w:lang w:bidi="ar-SA"/>
        </w:rPr>
      </w:pPr>
      <w:r w:rsidRPr="00755C00">
        <w:rPr>
          <w:lang w:bidi="ar-SA"/>
        </w:rPr>
        <w:t xml:space="preserve">To conduct the research, it was decided to define the scope that is Nestle and the UK market with a narrow orientation specifically and to transform the requirements of the module on the plan of evidence. In this plan, external pressure was included using the PESTEL analysis, internal capabilities using the VRIO analysis, performance metrics translation using the Balanced Scorecard, and the combination of the SWOT and the matrix of Ansoff as a strategic evaluation. It was then decided to gather a </w:t>
      </w:r>
      <w:proofErr w:type="spellStart"/>
      <w:r w:rsidRPr="00755C00">
        <w:rPr>
          <w:lang w:bidi="ar-SA"/>
        </w:rPr>
        <w:t>formalised</w:t>
      </w:r>
      <w:proofErr w:type="spellEnd"/>
      <w:r w:rsidRPr="00755C00">
        <w:rPr>
          <w:lang w:bidi="ar-SA"/>
        </w:rPr>
        <w:t xml:space="preserve"> collection of sources put into three levels: </w:t>
      </w:r>
    </w:p>
    <w:p w14:paraId="2FE020D5" w14:textId="77777777" w:rsidR="00EC4D50" w:rsidRPr="00755C00" w:rsidRDefault="005F1F51" w:rsidP="00EC4D50">
      <w:pPr>
        <w:pStyle w:val="ListParagraph"/>
        <w:numPr>
          <w:ilvl w:val="2"/>
          <w:numId w:val="5"/>
        </w:numPr>
        <w:rPr>
          <w:lang w:bidi="ar-SA"/>
        </w:rPr>
      </w:pPr>
      <w:r w:rsidRPr="00755C00">
        <w:rPr>
          <w:lang w:bidi="ar-SA"/>
        </w:rPr>
        <w:t xml:space="preserve">primary </w:t>
      </w:r>
      <w:proofErr w:type="spellStart"/>
      <w:r w:rsidRPr="00755C00">
        <w:rPr>
          <w:lang w:bidi="ar-SA"/>
        </w:rPr>
        <w:t>organisational</w:t>
      </w:r>
      <w:proofErr w:type="spellEnd"/>
      <w:r w:rsidRPr="00755C00">
        <w:rPr>
          <w:lang w:bidi="ar-SA"/>
        </w:rPr>
        <w:t xml:space="preserve"> sources: Nestlé annual and sustainability reports; </w:t>
      </w:r>
    </w:p>
    <w:p w14:paraId="4458588E" w14:textId="77777777" w:rsidR="00EC4D50" w:rsidRPr="00755C00" w:rsidRDefault="005F1F51" w:rsidP="00EC4D50">
      <w:pPr>
        <w:pStyle w:val="ListParagraph"/>
        <w:numPr>
          <w:ilvl w:val="2"/>
          <w:numId w:val="5"/>
        </w:numPr>
        <w:rPr>
          <w:lang w:bidi="ar-SA"/>
        </w:rPr>
      </w:pPr>
      <w:r w:rsidRPr="00755C00">
        <w:rPr>
          <w:lang w:bidi="ar-SA"/>
        </w:rPr>
        <w:t xml:space="preserve">government and </w:t>
      </w:r>
      <w:r w:rsidR="00EC4D50" w:rsidRPr="00755C00">
        <w:rPr>
          <w:lang w:bidi="ar-SA"/>
        </w:rPr>
        <w:t>regulatory</w:t>
      </w:r>
      <w:r w:rsidRPr="00755C00">
        <w:rPr>
          <w:lang w:bidi="ar-SA"/>
        </w:rPr>
        <w:t xml:space="preserve"> guidelines in the UK that respectively address policy drivers and compliance drivers; and </w:t>
      </w:r>
    </w:p>
    <w:p w14:paraId="0C4A1CE0" w14:textId="77777777" w:rsidR="00EC4D50" w:rsidRPr="00755C00" w:rsidRDefault="00EC4D50" w:rsidP="00EC4D50">
      <w:pPr>
        <w:pStyle w:val="ListParagraph"/>
        <w:numPr>
          <w:ilvl w:val="2"/>
          <w:numId w:val="5"/>
        </w:numPr>
        <w:rPr>
          <w:lang w:bidi="ar-SA"/>
        </w:rPr>
      </w:pPr>
      <w:r w:rsidRPr="00755C00">
        <w:rPr>
          <w:lang w:bidi="ar-SA"/>
        </w:rPr>
        <w:t>Peer-reviewed</w:t>
      </w:r>
      <w:r w:rsidR="005F1F51" w:rsidRPr="00755C00">
        <w:rPr>
          <w:lang w:bidi="ar-SA"/>
        </w:rPr>
        <w:t xml:space="preserve"> and scholarly texts to base the analysis on the existing strategic theory. </w:t>
      </w:r>
    </w:p>
    <w:p w14:paraId="12427653" w14:textId="77777777" w:rsidR="005F1F51" w:rsidRPr="00755C00" w:rsidRDefault="005F1F51" w:rsidP="005F1F51">
      <w:pPr>
        <w:rPr>
          <w:lang w:bidi="ar-SA"/>
        </w:rPr>
      </w:pPr>
      <w:r w:rsidRPr="00755C00">
        <w:rPr>
          <w:lang w:bidi="ar-SA"/>
        </w:rPr>
        <w:t xml:space="preserve">To ensure a systematic reflective process as opposed to an anecdotal one, the Gibbs reflective cycle </w:t>
      </w:r>
      <w:r w:rsidR="00632AF4" w:rsidRPr="00755C00">
        <w:rPr>
          <w:lang w:bidi="ar-SA"/>
        </w:rPr>
        <w:t>(Gibbs, 2001)</w:t>
      </w:r>
      <w:r w:rsidRPr="00755C00">
        <w:rPr>
          <w:lang w:bidi="ar-SA"/>
        </w:rPr>
        <w:t xml:space="preserve"> was used.</w:t>
      </w:r>
    </w:p>
    <w:p w14:paraId="1AC2036E" w14:textId="77777777" w:rsidR="000822C3" w:rsidRPr="00755C00" w:rsidRDefault="000822C3" w:rsidP="00EC4D50">
      <w:pPr>
        <w:keepNext/>
        <w:jc w:val="center"/>
      </w:pPr>
      <w:r w:rsidRPr="00755C00">
        <w:rPr>
          <w:noProof/>
          <w:lang w:bidi="ar-SA"/>
        </w:rPr>
        <w:drawing>
          <wp:inline distT="0" distB="0" distL="0" distR="0" wp14:anchorId="67F9F172" wp14:editId="7AB0937A">
            <wp:extent cx="4773881" cy="2807715"/>
            <wp:effectExtent l="0" t="0" r="825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4779802" cy="2811197"/>
                    </a:xfrm>
                    <a:prstGeom prst="rect">
                      <a:avLst/>
                    </a:prstGeom>
                  </pic:spPr>
                </pic:pic>
              </a:graphicData>
            </a:graphic>
          </wp:inline>
        </w:drawing>
      </w:r>
    </w:p>
    <w:p w14:paraId="200A4C0F" w14:textId="77777777" w:rsidR="000822C3" w:rsidRPr="00755C00" w:rsidRDefault="000822C3" w:rsidP="00EC4D50">
      <w:pPr>
        <w:jc w:val="center"/>
        <w:rPr>
          <w:b/>
          <w:i/>
          <w:sz w:val="18"/>
          <w:lang w:bidi="ar-SA"/>
        </w:rPr>
      </w:pPr>
      <w:r w:rsidRPr="00755C00">
        <w:rPr>
          <w:b/>
          <w:i/>
          <w:sz w:val="18"/>
        </w:rPr>
        <w:t xml:space="preserve">Figure </w:t>
      </w:r>
      <w:r w:rsidRPr="00755C00">
        <w:rPr>
          <w:b/>
          <w:i/>
          <w:sz w:val="18"/>
        </w:rPr>
        <w:fldChar w:fldCharType="begin"/>
      </w:r>
      <w:r w:rsidRPr="00755C00">
        <w:rPr>
          <w:b/>
          <w:i/>
          <w:sz w:val="18"/>
        </w:rPr>
        <w:instrText xml:space="preserve"> SEQ Figure \* ARABIC </w:instrText>
      </w:r>
      <w:r w:rsidRPr="00755C00">
        <w:rPr>
          <w:b/>
          <w:i/>
          <w:sz w:val="18"/>
        </w:rPr>
        <w:fldChar w:fldCharType="separate"/>
      </w:r>
      <w:r w:rsidR="008311AF" w:rsidRPr="00755C00">
        <w:rPr>
          <w:b/>
          <w:i/>
          <w:noProof/>
          <w:sz w:val="18"/>
        </w:rPr>
        <w:t>7</w:t>
      </w:r>
      <w:r w:rsidRPr="00755C00">
        <w:rPr>
          <w:b/>
          <w:i/>
          <w:sz w:val="18"/>
        </w:rPr>
        <w:fldChar w:fldCharType="end"/>
      </w:r>
      <w:r w:rsidRPr="00755C00">
        <w:rPr>
          <w:b/>
          <w:i/>
          <w:sz w:val="18"/>
        </w:rPr>
        <w:t>: Gibbs' Reflective Cycle</w:t>
      </w:r>
      <w:r w:rsidR="00D278BB" w:rsidRPr="00755C00">
        <w:rPr>
          <w:b/>
          <w:i/>
          <w:sz w:val="18"/>
        </w:rPr>
        <w:t xml:space="preserve"> </w:t>
      </w:r>
      <w:r w:rsidR="00632AF4" w:rsidRPr="00755C00">
        <w:rPr>
          <w:b/>
          <w:i/>
          <w:sz w:val="18"/>
        </w:rPr>
        <w:t>(Gibbs, 2001)</w:t>
      </w:r>
    </w:p>
    <w:p w14:paraId="46149EA9" w14:textId="77777777" w:rsidR="005F1F51" w:rsidRPr="00755C00" w:rsidRDefault="005F1F51" w:rsidP="005F1F51">
      <w:pPr>
        <w:pStyle w:val="Heading2"/>
        <w:rPr>
          <w:lang w:bidi="ar-SA"/>
        </w:rPr>
      </w:pPr>
      <w:bookmarkStart w:id="25" w:name="_Toc223208696"/>
      <w:r w:rsidRPr="00755C00">
        <w:rPr>
          <w:lang w:bidi="ar-SA"/>
        </w:rPr>
        <w:lastRenderedPageBreak/>
        <w:t>2.0 Feelings</w:t>
      </w:r>
      <w:bookmarkEnd w:id="25"/>
    </w:p>
    <w:p w14:paraId="2017909D" w14:textId="77777777" w:rsidR="005F1F51" w:rsidRPr="00755C00" w:rsidRDefault="005F1F51" w:rsidP="005F1F51">
      <w:pPr>
        <w:rPr>
          <w:lang w:bidi="ar-SA"/>
        </w:rPr>
      </w:pPr>
      <w:r w:rsidRPr="00755C00">
        <w:rPr>
          <w:lang w:bidi="ar-SA"/>
        </w:rPr>
        <w:t xml:space="preserve">The confidence was initially founded on the large extent of reporting and bundled portfolio of Nestlé that guaranteed a more profound analysis. This trust, however, soon turned into a worrying one when it came to the establishment of a surpassingly business-affected story. Due to the polished and persuasive reports by Nestlé itself, it raised concern of making claims repeatedly without proving them against the realities of the UK market. Also, it was </w:t>
      </w:r>
      <w:proofErr w:type="spellStart"/>
      <w:r w:rsidRPr="00755C00">
        <w:rPr>
          <w:lang w:bidi="ar-SA"/>
        </w:rPr>
        <w:t>realised</w:t>
      </w:r>
      <w:proofErr w:type="spellEnd"/>
      <w:r w:rsidRPr="00755C00">
        <w:rPr>
          <w:lang w:bidi="ar-SA"/>
        </w:rPr>
        <w:t xml:space="preserve"> that there was a need to shun generic listings of frameworks, whose briefs required critical discourse and concrete connections to strategy as opposed to straightforward definitions.</w:t>
      </w:r>
    </w:p>
    <w:p w14:paraId="43139AFF" w14:textId="77777777" w:rsidR="005F1F51" w:rsidRPr="00755C00" w:rsidRDefault="005F1F51" w:rsidP="00EC4D50">
      <w:pPr>
        <w:pStyle w:val="Heading2"/>
        <w:rPr>
          <w:lang w:bidi="ar-SA"/>
        </w:rPr>
      </w:pPr>
      <w:bookmarkStart w:id="26" w:name="_Toc223208697"/>
      <w:r w:rsidRPr="00755C00">
        <w:rPr>
          <w:lang w:bidi="ar-SA"/>
        </w:rPr>
        <w:t>3.0 Evaluation</w:t>
      </w:r>
      <w:bookmarkEnd w:id="26"/>
    </w:p>
    <w:p w14:paraId="622DF8CF" w14:textId="77777777" w:rsidR="005F1F51" w:rsidRPr="00755C00" w:rsidRDefault="005F1F51" w:rsidP="005F1F51">
      <w:pPr>
        <w:rPr>
          <w:lang w:bidi="ar-SA"/>
        </w:rPr>
      </w:pPr>
      <w:r w:rsidRPr="00755C00">
        <w:rPr>
          <w:lang w:bidi="ar-SA"/>
        </w:rPr>
        <w:t>A number of factors were also effective. To start with, translating the brief into a checklist was the only way to inject the required discipline: every paragraph had to respond to one of the requirements of the module (such as external impacts, internal strengths, competitive advantage, and implementation feasibility). Second, triangulation of the sources increased credibility. As an example, the UK regulatory guidance was applied to understand how components of marketing and promotion restrictions could reformulate the category strategy, thus eliminating the business-as-usual assumptions. Third, there was a filter of source quality to eliminate weak web claims and support the increased level of reliance on some evidence. There was some assistance provided by the CRAAP Test, which is an assessment of Currency, Relevance, Authority, Accuracy, and Purpose, that helped assess company communication in contrast to external publications (Meriam Library, CSU Chico, 20</w:t>
      </w:r>
      <w:r w:rsidR="00D278BB" w:rsidRPr="00755C00">
        <w:rPr>
          <w:lang w:bidi="ar-SA"/>
        </w:rPr>
        <w:t>25</w:t>
      </w:r>
      <w:r w:rsidRPr="00755C00">
        <w:rPr>
          <w:lang w:bidi="ar-SA"/>
        </w:rPr>
        <w:t>).</w:t>
      </w:r>
    </w:p>
    <w:p w14:paraId="18AF04AE" w14:textId="77777777" w:rsidR="005F1F51" w:rsidRPr="00755C00" w:rsidRDefault="005F1F51" w:rsidP="005F1F51">
      <w:pPr>
        <w:rPr>
          <w:lang w:bidi="ar-SA"/>
        </w:rPr>
      </w:pPr>
      <w:r w:rsidRPr="00755C00">
        <w:rPr>
          <w:lang w:bidi="ar-SA"/>
        </w:rPr>
        <w:t xml:space="preserve">Worse allocated was the time. To begin with, the unnecessary scanning time has been devoted to external scanning at the cost of the internal logic chain improvement (PESTEL to CSFs to VRIO to strategy choice to KPIs). This was corrected by rearranging links between sections to allow the analysis to be fluid as opposed to being </w:t>
      </w:r>
      <w:proofErr w:type="spellStart"/>
      <w:r w:rsidRPr="00755C00">
        <w:rPr>
          <w:lang w:bidi="ar-SA"/>
        </w:rPr>
        <w:t>compartmentalised</w:t>
      </w:r>
      <w:proofErr w:type="spellEnd"/>
      <w:r w:rsidRPr="00755C00">
        <w:rPr>
          <w:lang w:bidi="ar-SA"/>
        </w:rPr>
        <w:t>.</w:t>
      </w:r>
    </w:p>
    <w:p w14:paraId="0D5334C5" w14:textId="77777777" w:rsidR="005F1F51" w:rsidRPr="00755C00" w:rsidRDefault="005F1F51" w:rsidP="005F1F51">
      <w:pPr>
        <w:pStyle w:val="Heading2"/>
        <w:rPr>
          <w:lang w:bidi="ar-SA"/>
        </w:rPr>
      </w:pPr>
      <w:bookmarkStart w:id="27" w:name="_Toc223208698"/>
      <w:r w:rsidRPr="00755C00">
        <w:rPr>
          <w:lang w:bidi="ar-SA"/>
        </w:rPr>
        <w:lastRenderedPageBreak/>
        <w:t>4.0 Analysis</w:t>
      </w:r>
      <w:bookmarkEnd w:id="27"/>
    </w:p>
    <w:p w14:paraId="4C1C2DD3" w14:textId="77777777" w:rsidR="005F1F51" w:rsidRPr="00755C00" w:rsidRDefault="005F1F51" w:rsidP="005F1F51">
      <w:pPr>
        <w:rPr>
          <w:lang w:bidi="ar-SA"/>
        </w:rPr>
      </w:pPr>
      <w:r w:rsidRPr="00755C00">
        <w:rPr>
          <w:lang w:bidi="ar-SA"/>
        </w:rPr>
        <w:t xml:space="preserve">This assignment helped me work on research as an iterative design problem. Instead of going after any sources blindly, I was mindful of the relevance of sources to every claim and how the judgment can be influenced by evidence. This practice is in line with the recommendation of basing research design on the question and that data-collection options should be visible and justifiable </w:t>
      </w:r>
      <w:r w:rsidR="00D278BB" w:rsidRPr="00755C00">
        <w:rPr>
          <w:lang w:bidi="ar-SA"/>
        </w:rPr>
        <w:t>(Saunders et al., 2023)</w:t>
      </w:r>
      <w:r w:rsidRPr="00755C00">
        <w:rPr>
          <w:lang w:bidi="ar-SA"/>
        </w:rPr>
        <w:t>.</w:t>
      </w:r>
    </w:p>
    <w:p w14:paraId="7016E3B2" w14:textId="77777777" w:rsidR="005F1F51" w:rsidRPr="00755C00" w:rsidRDefault="005F1F51" w:rsidP="005F1F51">
      <w:pPr>
        <w:rPr>
          <w:lang w:bidi="ar-SA"/>
        </w:rPr>
      </w:pPr>
      <w:r w:rsidRPr="00755C00">
        <w:rPr>
          <w:lang w:bidi="ar-SA"/>
        </w:rPr>
        <w:t>One of the main Level 7 learning outcomes was incomplete data management. Assiduous competition cost arrangements or shop negotiations in the UK fast-moving consumer products/fast-moving consumer goods (FMCG) industry are rarely on record. I did not assume certainty but made limited judgments by trying to fill in the data gaps as constraints. An example of this is that in cases where hard figures were not available, I used unchanging proxies, such as date of policy and compliance requirements, and explained how these proxies affected strategic decisions.</w:t>
      </w:r>
    </w:p>
    <w:p w14:paraId="392A2105" w14:textId="77777777" w:rsidR="005F1F51" w:rsidRPr="00755C00" w:rsidRDefault="005F1F51" w:rsidP="005F1F51">
      <w:pPr>
        <w:rPr>
          <w:lang w:bidi="ar-SA"/>
        </w:rPr>
      </w:pPr>
      <w:r w:rsidRPr="00755C00">
        <w:rPr>
          <w:lang w:bidi="ar-SA"/>
        </w:rPr>
        <w:t xml:space="preserve">Besides, I also understood that the term "critical analysis" does not imply a negative attitude, but it is a component of a disciplined judgment. Once a company claims to be improving in terms of sustainability, the main question of interest is what is measured, what is not measured, and what results can be credited to Nestlé and not the changes in the whole industry. This further forced me to untangle the corporate social responsibility intention on operational delivery, where strategic implementation tends to succeed or not. This was made possible by the Gibbs structure, where a description-evaluation-analysis process was required to ensure that a mere </w:t>
      </w:r>
      <w:proofErr w:type="spellStart"/>
      <w:r w:rsidRPr="00755C00">
        <w:rPr>
          <w:lang w:bidi="ar-SA"/>
        </w:rPr>
        <w:t>summarisation</w:t>
      </w:r>
      <w:proofErr w:type="spellEnd"/>
      <w:r w:rsidRPr="00755C00">
        <w:rPr>
          <w:lang w:bidi="ar-SA"/>
        </w:rPr>
        <w:t xml:space="preserve"> was not made (Gibbs, </w:t>
      </w:r>
      <w:r w:rsidR="00D278BB" w:rsidRPr="00755C00">
        <w:rPr>
          <w:lang w:bidi="ar-SA"/>
        </w:rPr>
        <w:t>2001</w:t>
      </w:r>
      <w:r w:rsidRPr="00755C00">
        <w:rPr>
          <w:lang w:bidi="ar-SA"/>
        </w:rPr>
        <w:t>).</w:t>
      </w:r>
    </w:p>
    <w:p w14:paraId="20419250" w14:textId="77777777" w:rsidR="005F1F51" w:rsidRPr="00755C00" w:rsidRDefault="005F1F51" w:rsidP="005F1F51">
      <w:pPr>
        <w:rPr>
          <w:lang w:bidi="ar-SA"/>
        </w:rPr>
      </w:pPr>
      <w:r w:rsidRPr="00755C00">
        <w:rPr>
          <w:lang w:bidi="ar-SA"/>
        </w:rPr>
        <w:t xml:space="preserve">Lastly, I used the pedagogical model developed by Kolb that suggests that the process of learning is based on the conversion of the experience into ideas and their eventual application. I used it by repeatedly updating the argument, putting a check on whether each of the framework results varied the final recommendations, and eliminating any of the output of frameworks that did not affect decision-making (Kolb, </w:t>
      </w:r>
      <w:r w:rsidR="00D278BB" w:rsidRPr="00755C00">
        <w:rPr>
          <w:lang w:bidi="ar-SA"/>
        </w:rPr>
        <w:t>2022</w:t>
      </w:r>
      <w:r w:rsidRPr="00755C00">
        <w:rPr>
          <w:lang w:bidi="ar-SA"/>
        </w:rPr>
        <w:t>).</w:t>
      </w:r>
    </w:p>
    <w:p w14:paraId="0E96C435" w14:textId="77777777" w:rsidR="005F1F51" w:rsidRPr="00755C00" w:rsidRDefault="005F1F51" w:rsidP="005F1F51">
      <w:pPr>
        <w:pStyle w:val="Heading2"/>
        <w:rPr>
          <w:lang w:bidi="ar-SA"/>
        </w:rPr>
      </w:pPr>
      <w:bookmarkStart w:id="28" w:name="_Toc223208699"/>
      <w:r w:rsidRPr="00755C00">
        <w:rPr>
          <w:lang w:bidi="ar-SA"/>
        </w:rPr>
        <w:lastRenderedPageBreak/>
        <w:t>5.0 Conclusion</w:t>
      </w:r>
      <w:bookmarkEnd w:id="28"/>
    </w:p>
    <w:p w14:paraId="48F1E11F" w14:textId="77777777" w:rsidR="00EC4D50" w:rsidRPr="00755C00" w:rsidRDefault="005F1F51" w:rsidP="005F1F51">
      <w:pPr>
        <w:rPr>
          <w:lang w:bidi="ar-SA"/>
        </w:rPr>
      </w:pPr>
      <w:r w:rsidRPr="00755C00">
        <w:rPr>
          <w:lang w:bidi="ar-SA"/>
        </w:rPr>
        <w:t xml:space="preserve">All in all, I made the greatest progress in three areas: </w:t>
      </w:r>
    </w:p>
    <w:p w14:paraId="02564120" w14:textId="77777777" w:rsidR="00632AF4" w:rsidRPr="00755C00" w:rsidRDefault="005F1F51" w:rsidP="00632AF4">
      <w:pPr>
        <w:pStyle w:val="ListParagraph"/>
        <w:numPr>
          <w:ilvl w:val="0"/>
          <w:numId w:val="18"/>
        </w:numPr>
        <w:rPr>
          <w:lang w:bidi="ar-SA"/>
        </w:rPr>
      </w:pPr>
      <w:r w:rsidRPr="00755C00">
        <w:rPr>
          <w:lang w:bidi="ar-SA"/>
        </w:rPr>
        <w:t xml:space="preserve">the use of evidence-based reasoning under a clear purpose, </w:t>
      </w:r>
    </w:p>
    <w:p w14:paraId="420D1A74" w14:textId="77777777" w:rsidR="00632AF4" w:rsidRPr="00755C00" w:rsidRDefault="005F1F51" w:rsidP="00632AF4">
      <w:pPr>
        <w:pStyle w:val="ListParagraph"/>
        <w:numPr>
          <w:ilvl w:val="0"/>
          <w:numId w:val="18"/>
        </w:numPr>
        <w:rPr>
          <w:lang w:bidi="ar-SA"/>
        </w:rPr>
      </w:pPr>
      <w:r w:rsidRPr="00755C00">
        <w:rPr>
          <w:lang w:bidi="ar-SA"/>
        </w:rPr>
        <w:t xml:space="preserve">applying frameworks to create an understandable argument, and </w:t>
      </w:r>
    </w:p>
    <w:p w14:paraId="0BBCA5F8" w14:textId="77777777" w:rsidR="00632AF4" w:rsidRPr="00755C00" w:rsidRDefault="005F1F51" w:rsidP="00632AF4">
      <w:pPr>
        <w:pStyle w:val="ListParagraph"/>
        <w:numPr>
          <w:ilvl w:val="0"/>
          <w:numId w:val="18"/>
        </w:numPr>
        <w:rPr>
          <w:lang w:bidi="ar-SA"/>
        </w:rPr>
      </w:pPr>
      <w:r w:rsidRPr="00755C00">
        <w:rPr>
          <w:lang w:bidi="ar-SA"/>
        </w:rPr>
        <w:t xml:space="preserve">creating defensible judgments under uncertainty without addressing it through vagueness. </w:t>
      </w:r>
    </w:p>
    <w:p w14:paraId="5F37CCB2" w14:textId="77777777" w:rsidR="005F1F51" w:rsidRPr="00755C00" w:rsidRDefault="005F1F51" w:rsidP="005F1F51">
      <w:pPr>
        <w:rPr>
          <w:lang w:bidi="ar-SA"/>
        </w:rPr>
      </w:pPr>
      <w:r w:rsidRPr="00755C00">
        <w:rPr>
          <w:lang w:bidi="ar-SA"/>
        </w:rPr>
        <w:t>The main weakness was the over-gathering of information in the early stages of the research, which I countered by narrowing down the research question in each subsection and only focusing on those factors that directly influenced strategic decision and implementation viability.</w:t>
      </w:r>
    </w:p>
    <w:p w14:paraId="7AB4ABF1" w14:textId="77777777" w:rsidR="005F1F51" w:rsidRPr="00755C00" w:rsidRDefault="005F1F51" w:rsidP="00632AF4">
      <w:pPr>
        <w:pStyle w:val="Heading2"/>
        <w:rPr>
          <w:lang w:bidi="ar-SA"/>
        </w:rPr>
      </w:pPr>
      <w:bookmarkStart w:id="29" w:name="_Toc223208700"/>
      <w:r w:rsidRPr="00755C00">
        <w:rPr>
          <w:lang w:bidi="ar-SA"/>
        </w:rPr>
        <w:t>6.0 Action Plan</w:t>
      </w:r>
      <w:bookmarkEnd w:id="29"/>
    </w:p>
    <w:p w14:paraId="0035303F" w14:textId="77777777" w:rsidR="005F1F51" w:rsidRPr="00755C00" w:rsidRDefault="005F1F51" w:rsidP="005F1F51">
      <w:pPr>
        <w:rPr>
          <w:lang w:bidi="ar-SA"/>
        </w:rPr>
      </w:pPr>
      <w:r w:rsidRPr="00755C00">
        <w:rPr>
          <w:lang w:bidi="ar-SA"/>
        </w:rPr>
        <w:t>Next time, I will:</w:t>
      </w:r>
    </w:p>
    <w:p w14:paraId="13887F63" w14:textId="77777777" w:rsidR="005F1F51" w:rsidRPr="00755C00" w:rsidRDefault="005F1F51" w:rsidP="005F1F51">
      <w:pPr>
        <w:pStyle w:val="ListParagraph"/>
        <w:numPr>
          <w:ilvl w:val="1"/>
          <w:numId w:val="5"/>
        </w:numPr>
        <w:rPr>
          <w:lang w:bidi="ar-SA"/>
        </w:rPr>
      </w:pPr>
      <w:r w:rsidRPr="00755C00">
        <w:rPr>
          <w:lang w:bidi="ar-SA"/>
        </w:rPr>
        <w:t>The logical map that will guide me in future research will be based on a clear one-page map that will clearly show how PESTEL factors inform the critical success factors (CSFs), how VRIO components maintain competitive advantage, and also how the Balanced Scorecard is used to measure the outcome delivery.</w:t>
      </w:r>
    </w:p>
    <w:p w14:paraId="768BA9AB" w14:textId="77777777" w:rsidR="005F1F51" w:rsidRPr="00755C00" w:rsidRDefault="005F1F51" w:rsidP="005F1F51">
      <w:pPr>
        <w:pStyle w:val="ListParagraph"/>
        <w:numPr>
          <w:ilvl w:val="1"/>
          <w:numId w:val="5"/>
        </w:numPr>
        <w:rPr>
          <w:lang w:bidi="ar-SA"/>
        </w:rPr>
      </w:pPr>
      <w:r w:rsidRPr="00755C00">
        <w:rPr>
          <w:lang w:bidi="ar-SA"/>
        </w:rPr>
        <w:t>I will also establish a minimum evidence standard in which any critical claim will be backed either by a primary source, or by a government or regulator publication, or by a peer-reviewed study; otherwise, less authoritative web sources will be used only with a sense-making purpose and will be clearly marked. I will use the CRAAP rules earlier to eliminate wastage of time in reading unsuitable references (Meriam Library, CSU Chico, 2010).</w:t>
      </w:r>
    </w:p>
    <w:p w14:paraId="66F8EFE0" w14:textId="77777777" w:rsidR="000822C3" w:rsidRPr="00755C00" w:rsidRDefault="005F1F51" w:rsidP="005F1F51">
      <w:pPr>
        <w:pStyle w:val="ListParagraph"/>
        <w:numPr>
          <w:ilvl w:val="1"/>
          <w:numId w:val="5"/>
        </w:numPr>
        <w:rPr>
          <w:lang w:bidi="ar-SA"/>
        </w:rPr>
      </w:pPr>
      <w:r w:rsidRPr="00755C00">
        <w:rPr>
          <w:lang w:bidi="ar-SA"/>
        </w:rPr>
        <w:t>I will maintain a brief audit trail of the justification of each source selection and the impact of each choice on the developing argument in line with the recommended practices in research (Saunders, Lewis, and Thornhill, 2019).</w:t>
      </w:r>
    </w:p>
    <w:p w14:paraId="77173FDC" w14:textId="77777777" w:rsidR="000822C3" w:rsidRPr="00755C00" w:rsidRDefault="000822C3">
      <w:pPr>
        <w:spacing w:line="276" w:lineRule="auto"/>
        <w:jc w:val="left"/>
        <w:rPr>
          <w:lang w:bidi="ar-SA"/>
        </w:rPr>
      </w:pPr>
      <w:r w:rsidRPr="00755C00">
        <w:rPr>
          <w:lang w:bidi="ar-SA"/>
        </w:rPr>
        <w:br w:type="page"/>
      </w:r>
    </w:p>
    <w:p w14:paraId="51F9D2CE" w14:textId="77777777" w:rsidR="005F1F51" w:rsidRPr="00755C00" w:rsidRDefault="000822C3" w:rsidP="000822C3">
      <w:pPr>
        <w:pStyle w:val="Heading1"/>
        <w:rPr>
          <w:color w:val="auto"/>
          <w:lang w:bidi="ar-SA"/>
        </w:rPr>
      </w:pPr>
      <w:bookmarkStart w:id="30" w:name="_Toc223208701"/>
      <w:r w:rsidRPr="00755C00">
        <w:rPr>
          <w:color w:val="auto"/>
          <w:lang w:bidi="ar-SA"/>
        </w:rPr>
        <w:lastRenderedPageBreak/>
        <w:t>References</w:t>
      </w:r>
      <w:bookmarkEnd w:id="30"/>
    </w:p>
    <w:p w14:paraId="596BC0C4" w14:textId="77777777" w:rsidR="00DA6DDB" w:rsidRPr="00755C00" w:rsidRDefault="00DA6DDB" w:rsidP="006E5056">
      <w:pPr>
        <w:ind w:left="720" w:hanging="720"/>
        <w:rPr>
          <w:lang w:bidi="ar-SA"/>
        </w:rPr>
      </w:pPr>
      <w:r w:rsidRPr="00755C00">
        <w:rPr>
          <w:lang w:bidi="ar-SA"/>
        </w:rPr>
        <w:t xml:space="preserve">Ansoff, H.I. (2025) </w:t>
      </w:r>
      <w:r w:rsidRPr="00755C00">
        <w:rPr>
          <w:i/>
          <w:iCs/>
          <w:lang w:bidi="ar-SA"/>
        </w:rPr>
        <w:t>Strategies for diversification</w:t>
      </w:r>
      <w:r w:rsidRPr="00755C00">
        <w:rPr>
          <w:lang w:bidi="ar-SA"/>
        </w:rPr>
        <w:t xml:space="preserve">. Available at: https://www.casrilanka.com/casl/images/stories/2017/2017_pdfs/sab_portal/course_material/strategies_for_diversification.pdf (Accessed: 28 February 2026). </w:t>
      </w:r>
    </w:p>
    <w:p w14:paraId="15CF0BC7" w14:textId="77777777" w:rsidR="00DA6DDB" w:rsidRPr="00755C00" w:rsidRDefault="00DA6DDB" w:rsidP="006E5056">
      <w:pPr>
        <w:ind w:left="720" w:hanging="720"/>
        <w:rPr>
          <w:lang w:bidi="ar-SA"/>
        </w:rPr>
      </w:pPr>
      <w:r w:rsidRPr="00755C00">
        <w:rPr>
          <w:lang w:bidi="ar-SA"/>
        </w:rPr>
        <w:t xml:space="preserve">Barney, J.B. and Clark, D.N. (2007) ‘Firm Resources and sustained competitive advantage*’, </w:t>
      </w:r>
      <w:r w:rsidRPr="00755C00">
        <w:rPr>
          <w:i/>
          <w:iCs/>
          <w:lang w:bidi="ar-SA"/>
        </w:rPr>
        <w:t>Resource-Based Theory</w:t>
      </w:r>
      <w:r w:rsidRPr="00755C00">
        <w:rPr>
          <w:lang w:bidi="ar-SA"/>
        </w:rPr>
        <w:t>, pp. 49–75. doi:10.1093/</w:t>
      </w:r>
      <w:proofErr w:type="spellStart"/>
      <w:r w:rsidRPr="00755C00">
        <w:rPr>
          <w:lang w:bidi="ar-SA"/>
        </w:rPr>
        <w:t>oso</w:t>
      </w:r>
      <w:proofErr w:type="spellEnd"/>
      <w:r w:rsidRPr="00755C00">
        <w:rPr>
          <w:lang w:bidi="ar-SA"/>
        </w:rPr>
        <w:t xml:space="preserve">/9780199277681.003.0003. </w:t>
      </w:r>
    </w:p>
    <w:p w14:paraId="43038C56" w14:textId="77777777" w:rsidR="00DA6DDB" w:rsidRPr="00755C00" w:rsidRDefault="00DA6DDB" w:rsidP="006E5056">
      <w:pPr>
        <w:ind w:left="720" w:hanging="720"/>
        <w:rPr>
          <w:lang w:bidi="ar-SA"/>
        </w:rPr>
      </w:pPr>
      <w:proofErr w:type="spellStart"/>
      <w:r w:rsidRPr="00755C00">
        <w:rPr>
          <w:lang w:bidi="ar-SA"/>
        </w:rPr>
        <w:t>Biazzo</w:t>
      </w:r>
      <w:proofErr w:type="spellEnd"/>
      <w:r w:rsidRPr="00755C00">
        <w:rPr>
          <w:lang w:bidi="ar-SA"/>
        </w:rPr>
        <w:t xml:space="preserve">, S. and </w:t>
      </w:r>
      <w:proofErr w:type="spellStart"/>
      <w:r w:rsidRPr="00755C00">
        <w:rPr>
          <w:lang w:bidi="ar-SA"/>
        </w:rPr>
        <w:t>Garengo</w:t>
      </w:r>
      <w:proofErr w:type="spellEnd"/>
      <w:r w:rsidRPr="00755C00">
        <w:rPr>
          <w:lang w:bidi="ar-SA"/>
        </w:rPr>
        <w:t xml:space="preserve">, P. (2011) ‘Measuring business performances: The balanced scorecard model’, </w:t>
      </w:r>
      <w:proofErr w:type="spellStart"/>
      <w:r w:rsidRPr="00755C00">
        <w:rPr>
          <w:i/>
          <w:iCs/>
          <w:lang w:bidi="ar-SA"/>
        </w:rPr>
        <w:t>SpringerBriefs</w:t>
      </w:r>
      <w:proofErr w:type="spellEnd"/>
      <w:r w:rsidRPr="00755C00">
        <w:rPr>
          <w:i/>
          <w:iCs/>
          <w:lang w:bidi="ar-SA"/>
        </w:rPr>
        <w:t xml:space="preserve"> in Business</w:t>
      </w:r>
      <w:r w:rsidRPr="00755C00">
        <w:rPr>
          <w:lang w:bidi="ar-SA"/>
        </w:rPr>
        <w:t xml:space="preserve">, pp. 1–22. doi:10.1007/978-3-642-24761-3_1. </w:t>
      </w:r>
    </w:p>
    <w:p w14:paraId="7A2B9E2C" w14:textId="77777777" w:rsidR="00DA6DDB" w:rsidRPr="00755C00" w:rsidRDefault="00DA6DDB" w:rsidP="006E5056">
      <w:pPr>
        <w:ind w:left="720" w:hanging="720"/>
        <w:rPr>
          <w:lang w:bidi="ar-SA"/>
        </w:rPr>
      </w:pPr>
      <w:r w:rsidRPr="00755C00">
        <w:rPr>
          <w:lang w:bidi="ar-SA"/>
        </w:rPr>
        <w:t xml:space="preserve">DCMS (2025) </w:t>
      </w:r>
      <w:r w:rsidRPr="00755C00">
        <w:rPr>
          <w:i/>
          <w:iCs/>
          <w:lang w:bidi="ar-SA"/>
        </w:rPr>
        <w:t>Introducing further advertising restrictions on TV and online for products high in fat, salt or Sugar: Consultation on secondary legislation</w:t>
      </w:r>
      <w:r w:rsidRPr="00755C00">
        <w:rPr>
          <w:lang w:bidi="ar-SA"/>
        </w:rPr>
        <w:t xml:space="preserve">, </w:t>
      </w:r>
      <w:r w:rsidRPr="00755C00">
        <w:rPr>
          <w:i/>
          <w:iCs/>
          <w:lang w:bidi="ar-SA"/>
        </w:rPr>
        <w:t>GOV.UK</w:t>
      </w:r>
      <w:r w:rsidRPr="00755C00">
        <w:rPr>
          <w:lang w:bidi="ar-SA"/>
        </w:rPr>
        <w:t xml:space="preserve">. Available at: https://www.gov.uk/government/consultations/introducing-further-advertising-restrictions-on-tv-and-online-for-products-high-in-fat-salt-or-sugar-secondary-legislation/introducing-further-advertising-restrictions-on-tv-and-online-for-products-high-in-fat-salt-or-sugar-consultation-on-secondary-legislation (Accessed: 28 February 2026). </w:t>
      </w:r>
    </w:p>
    <w:p w14:paraId="76600381" w14:textId="77777777" w:rsidR="00DA6DDB" w:rsidRPr="00755C00" w:rsidRDefault="00DA6DDB" w:rsidP="00DA6DDB">
      <w:pPr>
        <w:spacing w:before="100" w:beforeAutospacing="1" w:after="100" w:afterAutospacing="1"/>
        <w:ind w:left="567" w:hanging="567"/>
        <w:rPr>
          <w:rFonts w:eastAsia="Times New Roman" w:cs="Arial"/>
          <w:szCs w:val="24"/>
          <w:lang w:bidi="ar-SA"/>
        </w:rPr>
      </w:pPr>
      <w:r w:rsidRPr="00755C00">
        <w:rPr>
          <w:rFonts w:eastAsia="Times New Roman" w:cs="Arial"/>
          <w:szCs w:val="24"/>
          <w:lang w:bidi="ar-SA"/>
        </w:rPr>
        <w:t xml:space="preserve">Deloitte (2020) </w:t>
      </w:r>
      <w:r w:rsidRPr="00755C00">
        <w:rPr>
          <w:rFonts w:eastAsia="Times New Roman" w:cs="Arial"/>
          <w:i/>
          <w:iCs/>
          <w:szCs w:val="24"/>
          <w:lang w:bidi="ar-SA"/>
        </w:rPr>
        <w:t>CE retail reimagined: Data Driven Evolution | Deloitte</w:t>
      </w:r>
      <w:r w:rsidRPr="00755C00">
        <w:rPr>
          <w:rFonts w:eastAsia="Times New Roman" w:cs="Arial"/>
          <w:szCs w:val="24"/>
          <w:lang w:bidi="ar-SA"/>
        </w:rPr>
        <w:t xml:space="preserve">, </w:t>
      </w:r>
      <w:r w:rsidRPr="00755C00">
        <w:rPr>
          <w:rFonts w:eastAsia="Times New Roman" w:cs="Arial"/>
          <w:i/>
          <w:iCs/>
          <w:szCs w:val="24"/>
          <w:lang w:bidi="ar-SA"/>
        </w:rPr>
        <w:t>Deloitte</w:t>
      </w:r>
      <w:r w:rsidRPr="00755C00">
        <w:rPr>
          <w:rFonts w:eastAsia="Times New Roman" w:cs="Arial"/>
          <w:szCs w:val="24"/>
          <w:lang w:bidi="ar-SA"/>
        </w:rPr>
        <w:t xml:space="preserve">. Available at: https://www.deloitte.com/cz-sk/en/Industries/retail/analysis/retail-reimagined.html (Accessed: 25 March 2026). </w:t>
      </w:r>
    </w:p>
    <w:p w14:paraId="5C736013" w14:textId="77777777" w:rsidR="00DA6DDB" w:rsidRPr="00755C00" w:rsidRDefault="00DA6DDB" w:rsidP="006E5056">
      <w:pPr>
        <w:ind w:left="720" w:hanging="720"/>
        <w:rPr>
          <w:lang w:bidi="ar-SA"/>
        </w:rPr>
      </w:pPr>
      <w:r w:rsidRPr="00755C00">
        <w:rPr>
          <w:lang w:bidi="ar-SA"/>
        </w:rPr>
        <w:t xml:space="preserve">Department of Health and Social Care (DHSC) (2023) </w:t>
      </w:r>
      <w:r w:rsidRPr="00755C00">
        <w:rPr>
          <w:i/>
          <w:iCs/>
          <w:lang w:bidi="ar-SA"/>
        </w:rPr>
        <w:t>Restricting promotions of products high in fat, sugar and salt by location and by price: Government response to public consultation</w:t>
      </w:r>
      <w:r w:rsidRPr="00755C00">
        <w:rPr>
          <w:lang w:bidi="ar-SA"/>
        </w:rPr>
        <w:t xml:space="preserve">, </w:t>
      </w:r>
      <w:r w:rsidRPr="00755C00">
        <w:rPr>
          <w:i/>
          <w:iCs/>
          <w:lang w:bidi="ar-SA"/>
        </w:rPr>
        <w:t>GOV.UK</w:t>
      </w:r>
      <w:r w:rsidRPr="00755C00">
        <w:rPr>
          <w:lang w:bidi="ar-SA"/>
        </w:rPr>
        <w:t xml:space="preserve">. Available at: https://www.gov.uk/government/consultations/restricting-promotions-of-food-and-drink-that-is-high-in-fat-sugar-and-salt/outcome/restricting-promotions-of-products-high-in-fat-sugar-and-salt-by-location-and-by-price-government-response-to-public-consultation (Accessed: 28 February 2026). </w:t>
      </w:r>
    </w:p>
    <w:p w14:paraId="5139AE9D" w14:textId="77777777" w:rsidR="00DA6DDB" w:rsidRPr="00755C00" w:rsidRDefault="00DA6DDB" w:rsidP="00DA6DDB">
      <w:pPr>
        <w:spacing w:before="100" w:beforeAutospacing="1" w:after="100" w:afterAutospacing="1"/>
        <w:ind w:left="567" w:hanging="567"/>
        <w:rPr>
          <w:rFonts w:eastAsia="Times New Roman" w:cs="Arial"/>
          <w:szCs w:val="24"/>
          <w:lang w:bidi="ar-SA"/>
        </w:rPr>
      </w:pPr>
      <w:r w:rsidRPr="00755C00">
        <w:rPr>
          <w:rFonts w:eastAsia="Times New Roman" w:cs="Arial"/>
          <w:szCs w:val="24"/>
          <w:lang w:bidi="ar-SA"/>
        </w:rPr>
        <w:lastRenderedPageBreak/>
        <w:t xml:space="preserve">Euromonitor (2025) </w:t>
      </w:r>
      <w:r w:rsidRPr="00755C00">
        <w:rPr>
          <w:rFonts w:eastAsia="Times New Roman" w:cs="Arial"/>
          <w:i/>
          <w:iCs/>
          <w:szCs w:val="24"/>
          <w:lang w:bidi="ar-SA"/>
        </w:rPr>
        <w:t>Nestlé SA in Hot Drinks | Market Research Report | Euromonitor</w:t>
      </w:r>
      <w:r w:rsidRPr="00755C00">
        <w:rPr>
          <w:rFonts w:eastAsia="Times New Roman" w:cs="Arial"/>
          <w:szCs w:val="24"/>
          <w:lang w:bidi="ar-SA"/>
        </w:rPr>
        <w:t xml:space="preserve">. Available at: https://www.euromonitor.com/nestle-sa-in-hot-drinks/report (Accessed: 25 March 2026). </w:t>
      </w:r>
    </w:p>
    <w:p w14:paraId="2CECA496" w14:textId="77777777" w:rsidR="00DA6DDB" w:rsidRPr="00755C00" w:rsidRDefault="00DA6DDB" w:rsidP="006E5056">
      <w:pPr>
        <w:ind w:left="720" w:hanging="720"/>
        <w:rPr>
          <w:lang w:bidi="ar-SA"/>
        </w:rPr>
      </w:pPr>
      <w:r w:rsidRPr="00755C00">
        <w:rPr>
          <w:lang w:bidi="ar-SA"/>
        </w:rPr>
        <w:t xml:space="preserve">European Commission (2024) </w:t>
      </w:r>
      <w:r w:rsidRPr="00755C00">
        <w:rPr>
          <w:i/>
          <w:iCs/>
          <w:lang w:bidi="ar-SA"/>
        </w:rPr>
        <w:t>EU Code of conduct on responsible food business and marketing practices</w:t>
      </w:r>
      <w:r w:rsidRPr="00755C00">
        <w:rPr>
          <w:lang w:bidi="ar-SA"/>
        </w:rPr>
        <w:t xml:space="preserve">, </w:t>
      </w:r>
      <w:r w:rsidRPr="00755C00">
        <w:rPr>
          <w:i/>
          <w:iCs/>
          <w:lang w:bidi="ar-SA"/>
        </w:rPr>
        <w:t>Food Safety</w:t>
      </w:r>
      <w:r w:rsidRPr="00755C00">
        <w:rPr>
          <w:lang w:bidi="ar-SA"/>
        </w:rPr>
        <w:t xml:space="preserve">. Available at: https://food.ec.europa.eu/food-safety-news-0/eu-code-conduct-responsible-food-business-and-marketing-practices-2024-03-06_en (Accessed: 28 February 2026). </w:t>
      </w:r>
    </w:p>
    <w:p w14:paraId="0D72E962" w14:textId="77777777" w:rsidR="00DA6DDB" w:rsidRPr="00755C00" w:rsidRDefault="00DA6DDB" w:rsidP="006E5056">
      <w:pPr>
        <w:ind w:left="720" w:hanging="720"/>
        <w:rPr>
          <w:lang w:bidi="ar-SA"/>
        </w:rPr>
      </w:pPr>
      <w:r w:rsidRPr="00755C00">
        <w:rPr>
          <w:lang w:bidi="ar-SA"/>
        </w:rPr>
        <w:t xml:space="preserve">Gibbs, G. (2001) </w:t>
      </w:r>
      <w:r w:rsidRPr="00755C00">
        <w:rPr>
          <w:i/>
          <w:iCs/>
          <w:lang w:bidi="ar-SA"/>
        </w:rPr>
        <w:t>Learning by doing: A guide to teaching and learning methods</w:t>
      </w:r>
      <w:r w:rsidRPr="00755C00">
        <w:rPr>
          <w:lang w:bidi="ar-SA"/>
        </w:rPr>
        <w:t xml:space="preserve">. Gloucester: Geography Discipline Network. </w:t>
      </w:r>
    </w:p>
    <w:p w14:paraId="0C7014BE" w14:textId="77777777" w:rsidR="00DA6DDB" w:rsidRPr="00755C00" w:rsidRDefault="00DA6DDB" w:rsidP="00DA6DDB">
      <w:pPr>
        <w:spacing w:before="100" w:beforeAutospacing="1" w:after="100" w:afterAutospacing="1"/>
        <w:ind w:left="567" w:hanging="567"/>
        <w:rPr>
          <w:rFonts w:eastAsia="Times New Roman" w:cs="Arial"/>
          <w:szCs w:val="24"/>
          <w:lang w:bidi="ar-SA"/>
        </w:rPr>
      </w:pPr>
      <w:proofErr w:type="spellStart"/>
      <w:r w:rsidRPr="00755C00">
        <w:rPr>
          <w:rFonts w:eastAsia="Times New Roman" w:cs="Arial"/>
          <w:szCs w:val="24"/>
          <w:lang w:bidi="ar-SA"/>
        </w:rPr>
        <w:t>Glotz</w:t>
      </w:r>
      <w:proofErr w:type="spellEnd"/>
      <w:r w:rsidRPr="00755C00">
        <w:rPr>
          <w:rFonts w:eastAsia="Times New Roman" w:cs="Arial"/>
          <w:szCs w:val="24"/>
          <w:lang w:bidi="ar-SA"/>
        </w:rPr>
        <w:t xml:space="preserve">, J. (2024a) </w:t>
      </w:r>
      <w:r w:rsidRPr="00755C00">
        <w:rPr>
          <w:rFonts w:eastAsia="Times New Roman" w:cs="Arial"/>
          <w:i/>
          <w:iCs/>
          <w:szCs w:val="24"/>
          <w:lang w:bidi="ar-SA"/>
        </w:rPr>
        <w:t xml:space="preserve">Are grocery promotions and prices facing fresh </w:t>
      </w:r>
      <w:proofErr w:type="gramStart"/>
      <w:r w:rsidRPr="00755C00">
        <w:rPr>
          <w:rFonts w:eastAsia="Times New Roman" w:cs="Arial"/>
          <w:i/>
          <w:iCs/>
          <w:szCs w:val="24"/>
          <w:lang w:bidi="ar-SA"/>
        </w:rPr>
        <w:t>scrutiny?</w:t>
      </w:r>
      <w:r w:rsidRPr="00755C00">
        <w:rPr>
          <w:rFonts w:eastAsia="Times New Roman" w:cs="Arial"/>
          <w:szCs w:val="24"/>
          <w:lang w:bidi="ar-SA"/>
        </w:rPr>
        <w:t>,</w:t>
      </w:r>
      <w:proofErr w:type="gramEnd"/>
      <w:r w:rsidRPr="00755C00">
        <w:rPr>
          <w:rFonts w:eastAsia="Times New Roman" w:cs="Arial"/>
          <w:szCs w:val="24"/>
          <w:lang w:bidi="ar-SA"/>
        </w:rPr>
        <w:t xml:space="preserve"> </w:t>
      </w:r>
      <w:r w:rsidRPr="00755C00">
        <w:rPr>
          <w:rFonts w:eastAsia="Times New Roman" w:cs="Arial"/>
          <w:i/>
          <w:iCs/>
          <w:szCs w:val="24"/>
          <w:lang w:bidi="ar-SA"/>
        </w:rPr>
        <w:t>The Grocer</w:t>
      </w:r>
      <w:r w:rsidRPr="00755C00">
        <w:rPr>
          <w:rFonts w:eastAsia="Times New Roman" w:cs="Arial"/>
          <w:szCs w:val="24"/>
          <w:lang w:bidi="ar-SA"/>
        </w:rPr>
        <w:t xml:space="preserve">. Available at: https://www.thegrocer.co.uk/analysis-and-features/are-grocery-promotions-and-prices-facing-fresh-scrutiny/528642.article (Accessed: 25 March 2026). </w:t>
      </w:r>
    </w:p>
    <w:p w14:paraId="42D88315" w14:textId="77777777" w:rsidR="00DA6DDB" w:rsidRPr="00755C00" w:rsidRDefault="00DA6DDB" w:rsidP="00DA6DDB">
      <w:pPr>
        <w:spacing w:before="100" w:beforeAutospacing="1" w:after="100" w:afterAutospacing="1"/>
        <w:ind w:left="567" w:hanging="567"/>
        <w:rPr>
          <w:rFonts w:eastAsia="Times New Roman" w:cs="Arial"/>
          <w:szCs w:val="24"/>
          <w:lang w:bidi="ar-SA"/>
        </w:rPr>
      </w:pPr>
      <w:proofErr w:type="spellStart"/>
      <w:r w:rsidRPr="00755C00">
        <w:rPr>
          <w:rFonts w:eastAsia="Times New Roman" w:cs="Arial"/>
          <w:szCs w:val="24"/>
          <w:lang w:bidi="ar-SA"/>
        </w:rPr>
        <w:t>Glotz</w:t>
      </w:r>
      <w:proofErr w:type="spellEnd"/>
      <w:r w:rsidRPr="00755C00">
        <w:rPr>
          <w:rFonts w:eastAsia="Times New Roman" w:cs="Arial"/>
          <w:szCs w:val="24"/>
          <w:lang w:bidi="ar-SA"/>
        </w:rPr>
        <w:t xml:space="preserve">, J. (2024b) </w:t>
      </w:r>
      <w:r w:rsidRPr="00755C00">
        <w:rPr>
          <w:rFonts w:eastAsia="Times New Roman" w:cs="Arial"/>
          <w:i/>
          <w:iCs/>
          <w:szCs w:val="24"/>
          <w:lang w:bidi="ar-SA"/>
        </w:rPr>
        <w:t xml:space="preserve">Are grocery promotions and prices facing fresh </w:t>
      </w:r>
      <w:proofErr w:type="gramStart"/>
      <w:r w:rsidRPr="00755C00">
        <w:rPr>
          <w:rFonts w:eastAsia="Times New Roman" w:cs="Arial"/>
          <w:i/>
          <w:iCs/>
          <w:szCs w:val="24"/>
          <w:lang w:bidi="ar-SA"/>
        </w:rPr>
        <w:t>scrutiny?</w:t>
      </w:r>
      <w:r w:rsidRPr="00755C00">
        <w:rPr>
          <w:rFonts w:eastAsia="Times New Roman" w:cs="Arial"/>
          <w:szCs w:val="24"/>
          <w:lang w:bidi="ar-SA"/>
        </w:rPr>
        <w:t>,</w:t>
      </w:r>
      <w:proofErr w:type="gramEnd"/>
      <w:r w:rsidRPr="00755C00">
        <w:rPr>
          <w:rFonts w:eastAsia="Times New Roman" w:cs="Arial"/>
          <w:szCs w:val="24"/>
          <w:lang w:bidi="ar-SA"/>
        </w:rPr>
        <w:t xml:space="preserve"> </w:t>
      </w:r>
      <w:r w:rsidRPr="00755C00">
        <w:rPr>
          <w:rFonts w:eastAsia="Times New Roman" w:cs="Arial"/>
          <w:i/>
          <w:iCs/>
          <w:szCs w:val="24"/>
          <w:lang w:bidi="ar-SA"/>
        </w:rPr>
        <w:t>The Grocer</w:t>
      </w:r>
      <w:r w:rsidRPr="00755C00">
        <w:rPr>
          <w:rFonts w:eastAsia="Times New Roman" w:cs="Arial"/>
          <w:szCs w:val="24"/>
          <w:lang w:bidi="ar-SA"/>
        </w:rPr>
        <w:t xml:space="preserve">. Available at: https://www.thegrocer.co.uk/analysis-and-features/are-grocery-promotions-and-prices-facing-fresh-scrutiny/528642.article (Accessed: 25 March 2026). </w:t>
      </w:r>
    </w:p>
    <w:p w14:paraId="0729901A" w14:textId="77777777" w:rsidR="00DA6DDB" w:rsidRPr="00755C00" w:rsidRDefault="00DA6DDB" w:rsidP="006E5056">
      <w:pPr>
        <w:ind w:left="720" w:hanging="720"/>
        <w:rPr>
          <w:lang w:bidi="ar-SA"/>
        </w:rPr>
      </w:pPr>
      <w:r w:rsidRPr="00755C00">
        <w:rPr>
          <w:lang w:bidi="ar-SA"/>
        </w:rPr>
        <w:t xml:space="preserve">Holmes, H. (2024) </w:t>
      </w:r>
      <w:r w:rsidRPr="00755C00">
        <w:rPr>
          <w:i/>
          <w:iCs/>
          <w:lang w:bidi="ar-SA"/>
        </w:rPr>
        <w:t>The top 150 UK Food and Drink Supplier Rankings and Report 2024</w:t>
      </w:r>
      <w:r w:rsidRPr="00755C00">
        <w:rPr>
          <w:lang w:bidi="ar-SA"/>
        </w:rPr>
        <w:t xml:space="preserve">, </w:t>
      </w:r>
      <w:r w:rsidRPr="00755C00">
        <w:rPr>
          <w:i/>
          <w:iCs/>
          <w:lang w:bidi="ar-SA"/>
        </w:rPr>
        <w:t>The Grocer</w:t>
      </w:r>
      <w:r w:rsidRPr="00755C00">
        <w:rPr>
          <w:lang w:bidi="ar-SA"/>
        </w:rPr>
        <w:t xml:space="preserve">. Available at: https://www.thegrocer.co.uk/analysis-and-features/the-top-150-uk-food-and-drink-supplier-rankings-and-report-2024/697358.article (Accessed: 28 February 2026). </w:t>
      </w:r>
    </w:p>
    <w:p w14:paraId="6089F642" w14:textId="77777777" w:rsidR="00DA6DDB" w:rsidRPr="00755C00" w:rsidRDefault="00DA6DDB" w:rsidP="006E5056">
      <w:pPr>
        <w:ind w:left="720" w:hanging="720"/>
        <w:rPr>
          <w:lang w:bidi="ar-SA"/>
        </w:rPr>
      </w:pPr>
      <w:r w:rsidRPr="00755C00">
        <w:rPr>
          <w:lang w:bidi="ar-SA"/>
        </w:rPr>
        <w:t xml:space="preserve">J Sainsbury plc (2025) </w:t>
      </w:r>
      <w:r w:rsidRPr="00755C00">
        <w:rPr>
          <w:i/>
          <w:iCs/>
          <w:lang w:bidi="ar-SA"/>
        </w:rPr>
        <w:t>Interim results for the 28 weeks ended 13 September 2025</w:t>
      </w:r>
      <w:r w:rsidRPr="00755C00">
        <w:rPr>
          <w:lang w:bidi="ar-SA"/>
        </w:rPr>
        <w:t xml:space="preserve">, </w:t>
      </w:r>
      <w:r w:rsidRPr="00755C00">
        <w:rPr>
          <w:i/>
          <w:iCs/>
          <w:lang w:bidi="ar-SA"/>
        </w:rPr>
        <w:t>J Sainsbury plc</w:t>
      </w:r>
      <w:r w:rsidRPr="00755C00">
        <w:rPr>
          <w:lang w:bidi="ar-SA"/>
        </w:rPr>
        <w:t xml:space="preserve">. Available at: https://corporate.sainsburys.co.uk/news/press-releases/interim-results-for-the-28-weeks-ended-13-september-2025/ (Accessed: 28 February 2026). </w:t>
      </w:r>
    </w:p>
    <w:p w14:paraId="27B92063" w14:textId="77777777" w:rsidR="00DA6DDB" w:rsidRPr="00755C00" w:rsidRDefault="00DA6DDB" w:rsidP="00DA6DDB">
      <w:pPr>
        <w:spacing w:before="100" w:beforeAutospacing="1" w:after="100" w:afterAutospacing="1"/>
        <w:ind w:left="567" w:hanging="567"/>
        <w:rPr>
          <w:rFonts w:eastAsia="Times New Roman" w:cs="Arial"/>
          <w:szCs w:val="24"/>
          <w:lang w:bidi="ar-SA"/>
        </w:rPr>
      </w:pPr>
      <w:r w:rsidRPr="00755C00">
        <w:rPr>
          <w:rFonts w:eastAsia="Times New Roman" w:cs="Arial"/>
          <w:szCs w:val="24"/>
          <w:lang w:bidi="ar-SA"/>
        </w:rPr>
        <w:t xml:space="preserve">Kantar (2025) </w:t>
      </w:r>
      <w:r w:rsidRPr="00755C00">
        <w:rPr>
          <w:rFonts w:eastAsia="Times New Roman" w:cs="Arial"/>
          <w:i/>
          <w:iCs/>
          <w:szCs w:val="24"/>
          <w:lang w:bidi="ar-SA"/>
        </w:rPr>
        <w:t>UK grocery growth accelerates as retailers and shoppers look to next stage of lockdown</w:t>
      </w:r>
      <w:r w:rsidRPr="00755C00">
        <w:rPr>
          <w:rFonts w:eastAsia="Times New Roman" w:cs="Arial"/>
          <w:szCs w:val="24"/>
          <w:lang w:bidi="ar-SA"/>
        </w:rPr>
        <w:t xml:space="preserve">, </w:t>
      </w:r>
      <w:r w:rsidRPr="00755C00">
        <w:rPr>
          <w:rFonts w:eastAsia="Times New Roman" w:cs="Arial"/>
          <w:i/>
          <w:iCs/>
          <w:szCs w:val="24"/>
          <w:lang w:bidi="ar-SA"/>
        </w:rPr>
        <w:t>Kantar. Shape your brand future</w:t>
      </w:r>
      <w:r w:rsidRPr="00755C00">
        <w:rPr>
          <w:rFonts w:eastAsia="Times New Roman" w:cs="Arial"/>
          <w:szCs w:val="24"/>
          <w:lang w:bidi="ar-SA"/>
        </w:rPr>
        <w:t xml:space="preserve">. Available at: </w:t>
      </w:r>
      <w:r w:rsidRPr="00755C00">
        <w:rPr>
          <w:rFonts w:eastAsia="Times New Roman" w:cs="Arial"/>
          <w:szCs w:val="24"/>
          <w:lang w:bidi="ar-SA"/>
        </w:rPr>
        <w:lastRenderedPageBreak/>
        <w:t xml:space="preserve">https://www.kantar.com/uki/inspiration/fmcg/uk-grocery-growth-accelerates-as-retailers-and-shoppers-look-to-next-stage-of-lockdown (Accessed: 25 March 2026). </w:t>
      </w:r>
    </w:p>
    <w:p w14:paraId="041C4AB6" w14:textId="77777777" w:rsidR="00DA6DDB" w:rsidRPr="00755C00" w:rsidRDefault="00DA6DDB" w:rsidP="006E5056">
      <w:pPr>
        <w:ind w:left="720" w:hanging="720"/>
        <w:rPr>
          <w:lang w:bidi="ar-SA"/>
        </w:rPr>
      </w:pPr>
      <w:r w:rsidRPr="00755C00">
        <w:rPr>
          <w:lang w:bidi="ar-SA"/>
        </w:rPr>
        <w:t xml:space="preserve">Kolb, D.A. (2022) </w:t>
      </w:r>
      <w:r w:rsidRPr="00755C00">
        <w:rPr>
          <w:i/>
          <w:iCs/>
          <w:lang w:bidi="ar-SA"/>
        </w:rPr>
        <w:t>Experiential learning: Experience as the source of learning and development</w:t>
      </w:r>
      <w:r w:rsidRPr="00755C00">
        <w:rPr>
          <w:lang w:bidi="ar-SA"/>
        </w:rPr>
        <w:t xml:space="preserve">. Upper Saddle River, NJ: Pearson Education. </w:t>
      </w:r>
    </w:p>
    <w:p w14:paraId="4C6AEC4D" w14:textId="77777777" w:rsidR="00DA6DDB" w:rsidRPr="00755C00" w:rsidRDefault="00DA6DDB" w:rsidP="006E5056">
      <w:pPr>
        <w:ind w:left="720" w:hanging="720"/>
        <w:rPr>
          <w:lang w:bidi="ar-SA"/>
        </w:rPr>
      </w:pPr>
      <w:r w:rsidRPr="00755C00">
        <w:rPr>
          <w:lang w:bidi="ar-SA"/>
        </w:rPr>
        <w:t xml:space="preserve">Lawrence, M. (2005) ‘The potential of food regulation as a policy instrument for obesity prevention in developing countries’, </w:t>
      </w:r>
      <w:r w:rsidRPr="00755C00">
        <w:rPr>
          <w:i/>
          <w:iCs/>
          <w:lang w:bidi="ar-SA"/>
        </w:rPr>
        <w:t>Obesity prevention and public health</w:t>
      </w:r>
      <w:r w:rsidRPr="00755C00">
        <w:rPr>
          <w:lang w:bidi="ar-SA"/>
        </w:rPr>
        <w:t>, pp. 285–305. doi:10.1093/</w:t>
      </w:r>
      <w:proofErr w:type="spellStart"/>
      <w:r w:rsidRPr="00755C00">
        <w:rPr>
          <w:lang w:bidi="ar-SA"/>
        </w:rPr>
        <w:t>oso</w:t>
      </w:r>
      <w:proofErr w:type="spellEnd"/>
      <w:r w:rsidRPr="00755C00">
        <w:rPr>
          <w:lang w:bidi="ar-SA"/>
        </w:rPr>
        <w:t xml:space="preserve">/9780198566007.003.0013. </w:t>
      </w:r>
    </w:p>
    <w:p w14:paraId="3CF82B0D" w14:textId="77777777" w:rsidR="00DA6DDB" w:rsidRPr="00755C00" w:rsidRDefault="00DA6DDB" w:rsidP="00DA6DDB">
      <w:pPr>
        <w:spacing w:before="100" w:beforeAutospacing="1" w:after="100" w:afterAutospacing="1"/>
        <w:ind w:left="567" w:hanging="567"/>
        <w:rPr>
          <w:rFonts w:eastAsia="Times New Roman" w:cs="Arial"/>
          <w:szCs w:val="24"/>
          <w:lang w:bidi="ar-SA"/>
        </w:rPr>
      </w:pPr>
      <w:r w:rsidRPr="00755C00">
        <w:rPr>
          <w:rFonts w:eastAsia="Times New Roman" w:cs="Arial"/>
          <w:szCs w:val="24"/>
          <w:lang w:bidi="ar-SA"/>
        </w:rPr>
        <w:t xml:space="preserve">McGregor </w:t>
      </w:r>
      <w:proofErr w:type="spellStart"/>
      <w:r w:rsidRPr="00755C00">
        <w:rPr>
          <w:rFonts w:eastAsia="Times New Roman" w:cs="Arial"/>
          <w:szCs w:val="24"/>
          <w:lang w:bidi="ar-SA"/>
        </w:rPr>
        <w:t>Boyall</w:t>
      </w:r>
      <w:proofErr w:type="spellEnd"/>
      <w:r w:rsidRPr="00755C00">
        <w:rPr>
          <w:rFonts w:eastAsia="Times New Roman" w:cs="Arial"/>
          <w:szCs w:val="24"/>
          <w:lang w:bidi="ar-SA"/>
        </w:rPr>
        <w:t xml:space="preserve"> (2025) </w:t>
      </w:r>
      <w:r w:rsidRPr="00755C00">
        <w:rPr>
          <w:rFonts w:eastAsia="Times New Roman" w:cs="Arial"/>
          <w:i/>
          <w:iCs/>
          <w:szCs w:val="24"/>
          <w:lang w:bidi="ar-SA"/>
        </w:rPr>
        <w:t xml:space="preserve">Is the cost-of-living crisis damaging brand </w:t>
      </w:r>
      <w:proofErr w:type="gramStart"/>
      <w:r w:rsidRPr="00755C00">
        <w:rPr>
          <w:rFonts w:eastAsia="Times New Roman" w:cs="Arial"/>
          <w:i/>
          <w:iCs/>
          <w:szCs w:val="24"/>
          <w:lang w:bidi="ar-SA"/>
        </w:rPr>
        <w:t>loyalty?</w:t>
      </w:r>
      <w:r w:rsidRPr="00755C00">
        <w:rPr>
          <w:rFonts w:eastAsia="Times New Roman" w:cs="Arial"/>
          <w:szCs w:val="24"/>
          <w:lang w:bidi="ar-SA"/>
        </w:rPr>
        <w:t>,</w:t>
      </w:r>
      <w:proofErr w:type="gramEnd"/>
      <w:r w:rsidRPr="00755C00">
        <w:rPr>
          <w:rFonts w:eastAsia="Times New Roman" w:cs="Arial"/>
          <w:szCs w:val="24"/>
          <w:lang w:bidi="ar-SA"/>
        </w:rPr>
        <w:t xml:space="preserve"> </w:t>
      </w:r>
      <w:r w:rsidRPr="00755C00">
        <w:rPr>
          <w:rFonts w:eastAsia="Times New Roman" w:cs="Arial"/>
          <w:i/>
          <w:iCs/>
          <w:szCs w:val="24"/>
          <w:lang w:bidi="ar-SA"/>
        </w:rPr>
        <w:t xml:space="preserve">McGregor </w:t>
      </w:r>
      <w:proofErr w:type="spellStart"/>
      <w:r w:rsidRPr="00755C00">
        <w:rPr>
          <w:rFonts w:eastAsia="Times New Roman" w:cs="Arial"/>
          <w:i/>
          <w:iCs/>
          <w:szCs w:val="24"/>
          <w:lang w:bidi="ar-SA"/>
        </w:rPr>
        <w:t>Boyall</w:t>
      </w:r>
      <w:proofErr w:type="spellEnd"/>
      <w:r w:rsidRPr="00755C00">
        <w:rPr>
          <w:rFonts w:eastAsia="Times New Roman" w:cs="Arial"/>
          <w:szCs w:val="24"/>
          <w:lang w:bidi="ar-SA"/>
        </w:rPr>
        <w:t xml:space="preserve">. Available at: https://www.mcgregor-boyall.com/resources/blog/is-the-cost-of-living-crisis-damaging-brand-loyalty-/ (Accessed: 25 March 2026). </w:t>
      </w:r>
    </w:p>
    <w:p w14:paraId="17986CD7" w14:textId="77777777" w:rsidR="00DA6DDB" w:rsidRPr="00755C00" w:rsidRDefault="00DA6DDB" w:rsidP="006E5056">
      <w:pPr>
        <w:ind w:left="720" w:hanging="720"/>
        <w:rPr>
          <w:lang w:bidi="ar-SA"/>
        </w:rPr>
      </w:pPr>
      <w:r w:rsidRPr="00755C00">
        <w:rPr>
          <w:lang w:bidi="ar-SA"/>
        </w:rPr>
        <w:t xml:space="preserve">Meriam Library, California State University, Chico (2010) Evaluating Information: Applying the CRAAP Test. (2025) </w:t>
      </w:r>
      <w:r w:rsidRPr="00755C00">
        <w:rPr>
          <w:i/>
          <w:iCs/>
          <w:lang w:bidi="ar-SA"/>
        </w:rPr>
        <w:t xml:space="preserve">Library guides: Evaluating resources and misinformation: </w:t>
      </w:r>
      <w:proofErr w:type="spellStart"/>
      <w:r w:rsidRPr="00755C00">
        <w:rPr>
          <w:i/>
          <w:iCs/>
          <w:lang w:bidi="ar-SA"/>
        </w:rPr>
        <w:t>Craap</w:t>
      </w:r>
      <w:proofErr w:type="spellEnd"/>
      <w:r w:rsidRPr="00755C00">
        <w:rPr>
          <w:i/>
          <w:iCs/>
          <w:lang w:bidi="ar-SA"/>
        </w:rPr>
        <w:t xml:space="preserve"> Test</w:t>
      </w:r>
      <w:r w:rsidRPr="00755C00">
        <w:rPr>
          <w:lang w:bidi="ar-SA"/>
        </w:rPr>
        <w:t xml:space="preserve">, </w:t>
      </w:r>
      <w:r w:rsidRPr="00755C00">
        <w:rPr>
          <w:i/>
          <w:iCs/>
          <w:lang w:bidi="ar-SA"/>
        </w:rPr>
        <w:t>CRAAP Test - Evaluating Resources and Misinformation - Library Guides at UChicago</w:t>
      </w:r>
      <w:r w:rsidRPr="00755C00">
        <w:rPr>
          <w:lang w:bidi="ar-SA"/>
        </w:rPr>
        <w:t xml:space="preserve">. Available at: https://guides.lib.uchicago.edu/c.php?g=1241077andp=9082343 (Accessed: 28 February 2026). </w:t>
      </w:r>
    </w:p>
    <w:p w14:paraId="4D9422C9" w14:textId="77777777" w:rsidR="00DA6DDB" w:rsidRPr="00755C00" w:rsidRDefault="00DA6DDB" w:rsidP="00DA6DDB">
      <w:pPr>
        <w:spacing w:before="100" w:beforeAutospacing="1" w:after="100" w:afterAutospacing="1"/>
        <w:ind w:left="567" w:hanging="567"/>
        <w:rPr>
          <w:rFonts w:eastAsia="Times New Roman" w:cs="Arial"/>
          <w:szCs w:val="24"/>
          <w:lang w:bidi="ar-SA"/>
        </w:rPr>
      </w:pPr>
      <w:r w:rsidRPr="00755C00">
        <w:rPr>
          <w:rFonts w:eastAsia="Times New Roman" w:cs="Arial"/>
          <w:szCs w:val="24"/>
          <w:lang w:bidi="ar-SA"/>
        </w:rPr>
        <w:t xml:space="preserve">Mintel (2025) </w:t>
      </w:r>
      <w:r w:rsidRPr="00755C00">
        <w:rPr>
          <w:rFonts w:eastAsia="Times New Roman" w:cs="Arial"/>
          <w:i/>
          <w:iCs/>
          <w:szCs w:val="24"/>
          <w:lang w:bidi="ar-SA"/>
        </w:rPr>
        <w:t>UK Online Grocery Retail Market Analysis &amp; Forecast: Mintel</w:t>
      </w:r>
      <w:r w:rsidRPr="00755C00">
        <w:rPr>
          <w:rFonts w:eastAsia="Times New Roman" w:cs="Arial"/>
          <w:szCs w:val="24"/>
          <w:lang w:bidi="ar-SA"/>
        </w:rPr>
        <w:t xml:space="preserve">, </w:t>
      </w:r>
      <w:r w:rsidRPr="00755C00">
        <w:rPr>
          <w:rFonts w:eastAsia="Times New Roman" w:cs="Arial"/>
          <w:i/>
          <w:iCs/>
          <w:szCs w:val="24"/>
          <w:lang w:bidi="ar-SA"/>
        </w:rPr>
        <w:t>Mintel Store</w:t>
      </w:r>
      <w:r w:rsidRPr="00755C00">
        <w:rPr>
          <w:rFonts w:eastAsia="Times New Roman" w:cs="Arial"/>
          <w:szCs w:val="24"/>
          <w:lang w:bidi="ar-SA"/>
        </w:rPr>
        <w:t xml:space="preserve">. Available at: https://store.mintel.com/report/uk-online-grocery-retailing-market-report (Accessed: 25 March 2026). </w:t>
      </w:r>
    </w:p>
    <w:p w14:paraId="47075914" w14:textId="77777777" w:rsidR="00DA6DDB" w:rsidRPr="00755C00" w:rsidRDefault="00DA6DDB" w:rsidP="006E5056">
      <w:pPr>
        <w:ind w:left="720" w:hanging="720"/>
        <w:rPr>
          <w:lang w:bidi="ar-SA"/>
        </w:rPr>
      </w:pPr>
      <w:r w:rsidRPr="00755C00">
        <w:rPr>
          <w:lang w:bidi="ar-SA"/>
        </w:rPr>
        <w:t xml:space="preserve">Nestlé (2025a) </w:t>
      </w:r>
      <w:r w:rsidRPr="00755C00">
        <w:rPr>
          <w:i/>
          <w:iCs/>
          <w:lang w:bidi="ar-SA"/>
        </w:rPr>
        <w:t>Financial statements 2024 consolidated financial statements</w:t>
      </w:r>
      <w:r w:rsidRPr="00755C00">
        <w:rPr>
          <w:lang w:bidi="ar-SA"/>
        </w:rPr>
        <w:t xml:space="preserve">, </w:t>
      </w:r>
      <w:r w:rsidRPr="00755C00">
        <w:rPr>
          <w:i/>
          <w:iCs/>
          <w:lang w:bidi="ar-SA"/>
        </w:rPr>
        <w:t>Nestlé</w:t>
      </w:r>
      <w:r w:rsidRPr="00755C00">
        <w:rPr>
          <w:lang w:bidi="ar-SA"/>
        </w:rPr>
        <w:t xml:space="preserve">. Available at: https://www.nestle.com/sites/default/files/2025-02/2024-financial-statements-en.pdf (Accessed: 28 February 2026). </w:t>
      </w:r>
    </w:p>
    <w:p w14:paraId="7FF128DB" w14:textId="77777777" w:rsidR="00DA6DDB" w:rsidRPr="00755C00" w:rsidRDefault="00DA6DDB" w:rsidP="006E5056">
      <w:pPr>
        <w:ind w:left="720" w:hanging="720"/>
        <w:rPr>
          <w:lang w:bidi="ar-SA"/>
        </w:rPr>
      </w:pPr>
      <w:r w:rsidRPr="00755C00">
        <w:rPr>
          <w:lang w:bidi="ar-SA"/>
        </w:rPr>
        <w:t xml:space="preserve">Nestlé (2025b) </w:t>
      </w:r>
      <w:r w:rsidRPr="00755C00">
        <w:rPr>
          <w:i/>
          <w:iCs/>
          <w:lang w:bidi="ar-SA"/>
        </w:rPr>
        <w:t>The timeline of Nestlé’s company history</w:t>
      </w:r>
      <w:r w:rsidRPr="00755C00">
        <w:rPr>
          <w:lang w:bidi="ar-SA"/>
        </w:rPr>
        <w:t xml:space="preserve">, </w:t>
      </w:r>
      <w:r w:rsidRPr="00755C00">
        <w:rPr>
          <w:i/>
          <w:iCs/>
          <w:lang w:bidi="ar-SA"/>
        </w:rPr>
        <w:t>Nestlé</w:t>
      </w:r>
      <w:r w:rsidRPr="00755C00">
        <w:rPr>
          <w:lang w:bidi="ar-SA"/>
        </w:rPr>
        <w:t xml:space="preserve">. Available at: https://www.nestle.com/about/history/nestle-company-history (Accessed: 28 February 2026). </w:t>
      </w:r>
    </w:p>
    <w:p w14:paraId="61B95C88" w14:textId="77777777" w:rsidR="00DA6DDB" w:rsidRPr="00755C00" w:rsidRDefault="00DA6DDB" w:rsidP="006E5056">
      <w:pPr>
        <w:ind w:left="720" w:hanging="720"/>
        <w:rPr>
          <w:lang w:bidi="ar-SA"/>
        </w:rPr>
      </w:pPr>
      <w:r w:rsidRPr="00755C00">
        <w:rPr>
          <w:lang w:bidi="ar-SA"/>
        </w:rPr>
        <w:lastRenderedPageBreak/>
        <w:t xml:space="preserve">Nestlé (2026a) </w:t>
      </w:r>
      <w:r w:rsidRPr="00755C00">
        <w:rPr>
          <w:i/>
          <w:iCs/>
          <w:lang w:bidi="ar-SA"/>
        </w:rPr>
        <w:t xml:space="preserve">Our net zero roadmap | </w:t>
      </w:r>
      <w:proofErr w:type="spellStart"/>
      <w:r w:rsidRPr="00755C00">
        <w:rPr>
          <w:i/>
          <w:iCs/>
          <w:lang w:bidi="ar-SA"/>
        </w:rPr>
        <w:t>nestlé</w:t>
      </w:r>
      <w:proofErr w:type="spellEnd"/>
      <w:r w:rsidRPr="00755C00">
        <w:rPr>
          <w:i/>
          <w:iCs/>
          <w:lang w:bidi="ar-SA"/>
        </w:rPr>
        <w:t xml:space="preserve"> global</w:t>
      </w:r>
      <w:r w:rsidRPr="00755C00">
        <w:rPr>
          <w:lang w:bidi="ar-SA"/>
        </w:rPr>
        <w:t xml:space="preserve">, </w:t>
      </w:r>
      <w:r w:rsidRPr="00755C00">
        <w:rPr>
          <w:i/>
          <w:iCs/>
          <w:lang w:bidi="ar-SA"/>
        </w:rPr>
        <w:t>Nestlé</w:t>
      </w:r>
      <w:r w:rsidRPr="00755C00">
        <w:rPr>
          <w:lang w:bidi="ar-SA"/>
        </w:rPr>
        <w:t xml:space="preserve">. Available at: https://www.nestle.com/sustainability/climate-change/zero-environmental-impact (Accessed: 28 February 2026). </w:t>
      </w:r>
    </w:p>
    <w:p w14:paraId="1F1FBABB" w14:textId="77777777" w:rsidR="00DA6DDB" w:rsidRPr="00755C00" w:rsidRDefault="00DA6DDB" w:rsidP="006E5056">
      <w:pPr>
        <w:ind w:left="720" w:hanging="720"/>
        <w:rPr>
          <w:lang w:bidi="ar-SA"/>
        </w:rPr>
      </w:pPr>
      <w:r w:rsidRPr="00755C00">
        <w:rPr>
          <w:lang w:bidi="ar-SA"/>
        </w:rPr>
        <w:t xml:space="preserve">Nestlé (2026b) </w:t>
      </w:r>
      <w:r w:rsidRPr="00755C00">
        <w:rPr>
          <w:i/>
          <w:iCs/>
          <w:lang w:bidi="ar-SA"/>
        </w:rPr>
        <w:t>Our purpose and values</w:t>
      </w:r>
      <w:r w:rsidRPr="00755C00">
        <w:rPr>
          <w:lang w:bidi="ar-SA"/>
        </w:rPr>
        <w:t xml:space="preserve">, </w:t>
      </w:r>
      <w:r w:rsidRPr="00755C00">
        <w:rPr>
          <w:i/>
          <w:iCs/>
          <w:lang w:bidi="ar-SA"/>
        </w:rPr>
        <w:t>Nestlé</w:t>
      </w:r>
      <w:r w:rsidRPr="00755C00">
        <w:rPr>
          <w:lang w:bidi="ar-SA"/>
        </w:rPr>
        <w:t xml:space="preserve">. Available at: https://www.nestle.com/about/how-we-do-business/purpose-values (Accessed: 28 February 2026). </w:t>
      </w:r>
    </w:p>
    <w:p w14:paraId="1F4B4BF0" w14:textId="77777777" w:rsidR="00DA6DDB" w:rsidRPr="00755C00" w:rsidRDefault="00DA6DDB" w:rsidP="006E5056">
      <w:pPr>
        <w:ind w:left="720" w:hanging="720"/>
        <w:rPr>
          <w:lang w:bidi="ar-SA"/>
        </w:rPr>
      </w:pPr>
      <w:r w:rsidRPr="00755C00">
        <w:rPr>
          <w:lang w:bidi="ar-SA"/>
        </w:rPr>
        <w:t xml:space="preserve">Nestlé UK and Ireland (2025a) </w:t>
      </w:r>
      <w:r w:rsidRPr="00755C00">
        <w:rPr>
          <w:i/>
          <w:iCs/>
          <w:lang w:bidi="ar-SA"/>
        </w:rPr>
        <w:t xml:space="preserve">Our brands | </w:t>
      </w:r>
      <w:proofErr w:type="spellStart"/>
      <w:r w:rsidRPr="00755C00">
        <w:rPr>
          <w:i/>
          <w:iCs/>
          <w:lang w:bidi="ar-SA"/>
        </w:rPr>
        <w:t>nestlé</w:t>
      </w:r>
      <w:proofErr w:type="spellEnd"/>
      <w:r w:rsidRPr="00755C00">
        <w:rPr>
          <w:i/>
          <w:iCs/>
          <w:lang w:bidi="ar-SA"/>
        </w:rPr>
        <w:t xml:space="preserve"> UK and </w:t>
      </w:r>
      <w:proofErr w:type="spellStart"/>
      <w:r w:rsidRPr="00755C00">
        <w:rPr>
          <w:i/>
          <w:iCs/>
          <w:lang w:bidi="ar-SA"/>
        </w:rPr>
        <w:t>ireland</w:t>
      </w:r>
      <w:proofErr w:type="spellEnd"/>
      <w:r w:rsidRPr="00755C00">
        <w:rPr>
          <w:lang w:bidi="ar-SA"/>
        </w:rPr>
        <w:t xml:space="preserve">, </w:t>
      </w:r>
      <w:r w:rsidRPr="00755C00">
        <w:rPr>
          <w:i/>
          <w:iCs/>
          <w:lang w:bidi="ar-SA"/>
        </w:rPr>
        <w:t>Nestlé UK and Ireland</w:t>
      </w:r>
      <w:r w:rsidRPr="00755C00">
        <w:rPr>
          <w:lang w:bidi="ar-SA"/>
        </w:rPr>
        <w:t xml:space="preserve">. Available at: https://www.nestle.co.uk/en-ie/brands (Accessed: 28 February 2026). </w:t>
      </w:r>
    </w:p>
    <w:p w14:paraId="26ACEBEA" w14:textId="77777777" w:rsidR="00DA6DDB" w:rsidRPr="00755C00" w:rsidRDefault="00DA6DDB" w:rsidP="006E5056">
      <w:pPr>
        <w:ind w:left="720" w:hanging="720"/>
        <w:rPr>
          <w:lang w:bidi="ar-SA"/>
        </w:rPr>
      </w:pPr>
      <w:r w:rsidRPr="00755C00">
        <w:rPr>
          <w:lang w:bidi="ar-SA"/>
        </w:rPr>
        <w:t xml:space="preserve">Nestlé UK and Ireland (2025b) </w:t>
      </w:r>
      <w:r w:rsidRPr="00755C00">
        <w:rPr>
          <w:i/>
          <w:iCs/>
          <w:lang w:bidi="ar-SA"/>
        </w:rPr>
        <w:t xml:space="preserve">Our brands | </w:t>
      </w:r>
      <w:proofErr w:type="spellStart"/>
      <w:r w:rsidRPr="00755C00">
        <w:rPr>
          <w:i/>
          <w:iCs/>
          <w:lang w:bidi="ar-SA"/>
        </w:rPr>
        <w:t>nestlé</w:t>
      </w:r>
      <w:proofErr w:type="spellEnd"/>
      <w:r w:rsidRPr="00755C00">
        <w:rPr>
          <w:i/>
          <w:iCs/>
          <w:lang w:bidi="ar-SA"/>
        </w:rPr>
        <w:t xml:space="preserve"> UK and </w:t>
      </w:r>
      <w:proofErr w:type="spellStart"/>
      <w:r w:rsidRPr="00755C00">
        <w:rPr>
          <w:i/>
          <w:iCs/>
          <w:lang w:bidi="ar-SA"/>
        </w:rPr>
        <w:t>ireland</w:t>
      </w:r>
      <w:proofErr w:type="spellEnd"/>
      <w:r w:rsidRPr="00755C00">
        <w:rPr>
          <w:lang w:bidi="ar-SA"/>
        </w:rPr>
        <w:t xml:space="preserve">, </w:t>
      </w:r>
      <w:r w:rsidRPr="00755C00">
        <w:rPr>
          <w:i/>
          <w:iCs/>
          <w:lang w:bidi="ar-SA"/>
        </w:rPr>
        <w:t>Nestlé UK and Ireland</w:t>
      </w:r>
      <w:r w:rsidRPr="00755C00">
        <w:rPr>
          <w:lang w:bidi="ar-SA"/>
        </w:rPr>
        <w:t xml:space="preserve">. Available at: https://www.nestle.co.uk/en-ie/brands (Accessed: 28 February 2026). </w:t>
      </w:r>
    </w:p>
    <w:p w14:paraId="52E32C8D" w14:textId="77777777" w:rsidR="00DA6DDB" w:rsidRPr="00755C00" w:rsidRDefault="00DA6DDB" w:rsidP="006E5056">
      <w:pPr>
        <w:ind w:left="720" w:hanging="720"/>
        <w:rPr>
          <w:lang w:bidi="ar-SA"/>
        </w:rPr>
      </w:pPr>
      <w:r w:rsidRPr="00755C00">
        <w:rPr>
          <w:lang w:bidi="ar-SA"/>
        </w:rPr>
        <w:t xml:space="preserve">ONS (2026) </w:t>
      </w:r>
      <w:r w:rsidRPr="00755C00">
        <w:rPr>
          <w:i/>
          <w:iCs/>
          <w:lang w:bidi="ar-SA"/>
        </w:rPr>
        <w:t>Consumer price inflation, UK: December 2025</w:t>
      </w:r>
      <w:r w:rsidRPr="00755C00">
        <w:rPr>
          <w:lang w:bidi="ar-SA"/>
        </w:rPr>
        <w:t xml:space="preserve">, </w:t>
      </w:r>
      <w:r w:rsidRPr="00755C00">
        <w:rPr>
          <w:i/>
          <w:iCs/>
          <w:lang w:bidi="ar-SA"/>
        </w:rPr>
        <w:t>Consumer price inflation, UK - Office for National Statistics</w:t>
      </w:r>
      <w:r w:rsidRPr="00755C00">
        <w:rPr>
          <w:lang w:bidi="ar-SA"/>
        </w:rPr>
        <w:t xml:space="preserve">. Available at: https://www.ons.gov.uk/economy/inflationandpriceindices/bulletins/consumerpriceinflation/december2025 (Accessed: 28 February 2026). </w:t>
      </w:r>
    </w:p>
    <w:p w14:paraId="7030EE11" w14:textId="77777777" w:rsidR="00DA6DDB" w:rsidRPr="00755C00" w:rsidRDefault="00DA6DDB" w:rsidP="00DA6DDB">
      <w:pPr>
        <w:spacing w:before="100" w:beforeAutospacing="1" w:after="100" w:afterAutospacing="1"/>
        <w:ind w:left="567" w:hanging="567"/>
        <w:rPr>
          <w:rFonts w:eastAsia="Times New Roman" w:cs="Arial"/>
          <w:szCs w:val="24"/>
          <w:lang w:bidi="ar-SA"/>
        </w:rPr>
      </w:pPr>
      <w:r w:rsidRPr="00755C00">
        <w:rPr>
          <w:rFonts w:eastAsia="Times New Roman" w:cs="Arial"/>
          <w:szCs w:val="24"/>
          <w:lang w:bidi="ar-SA"/>
        </w:rPr>
        <w:t xml:space="preserve">Public Health England (2019) </w:t>
      </w:r>
      <w:r w:rsidRPr="00755C00">
        <w:rPr>
          <w:rFonts w:eastAsia="Times New Roman" w:cs="Arial"/>
          <w:i/>
          <w:iCs/>
          <w:szCs w:val="24"/>
          <w:lang w:bidi="ar-SA"/>
        </w:rPr>
        <w:t>Sugar reduction: Achieving the 20%</w:t>
      </w:r>
      <w:r w:rsidRPr="00755C00">
        <w:rPr>
          <w:rFonts w:eastAsia="Times New Roman" w:cs="Arial"/>
          <w:szCs w:val="24"/>
          <w:lang w:bidi="ar-SA"/>
        </w:rPr>
        <w:t xml:space="preserve">, </w:t>
      </w:r>
      <w:r w:rsidRPr="00755C00">
        <w:rPr>
          <w:rFonts w:eastAsia="Times New Roman" w:cs="Arial"/>
          <w:i/>
          <w:iCs/>
          <w:szCs w:val="24"/>
          <w:lang w:bidi="ar-SA"/>
        </w:rPr>
        <w:t>GOV.UK</w:t>
      </w:r>
      <w:r w:rsidRPr="00755C00">
        <w:rPr>
          <w:rFonts w:eastAsia="Times New Roman" w:cs="Arial"/>
          <w:szCs w:val="24"/>
          <w:lang w:bidi="ar-SA"/>
        </w:rPr>
        <w:t xml:space="preserve">. Available at: https://www.gov.uk/government/publications/sugar-reduction-achieving-the-20 (Accessed: 25 March 2026). </w:t>
      </w:r>
    </w:p>
    <w:p w14:paraId="202A0201" w14:textId="77777777" w:rsidR="00DA6DDB" w:rsidRPr="00755C00" w:rsidRDefault="00DA6DDB" w:rsidP="006E5056">
      <w:pPr>
        <w:ind w:left="720" w:hanging="720"/>
        <w:rPr>
          <w:lang w:bidi="ar-SA"/>
        </w:rPr>
      </w:pPr>
      <w:r w:rsidRPr="00755C00">
        <w:rPr>
          <w:lang w:bidi="ar-SA"/>
        </w:rPr>
        <w:t xml:space="preserve">PWC (2025) </w:t>
      </w:r>
      <w:r w:rsidRPr="00755C00">
        <w:rPr>
          <w:i/>
          <w:iCs/>
          <w:lang w:bidi="ar-SA"/>
        </w:rPr>
        <w:t>Extended producer responsibility for packaging - new UK timeline - PWC UK</w:t>
      </w:r>
      <w:r w:rsidRPr="00755C00">
        <w:rPr>
          <w:lang w:bidi="ar-SA"/>
        </w:rPr>
        <w:t xml:space="preserve">, </w:t>
      </w:r>
      <w:r w:rsidRPr="00755C00">
        <w:rPr>
          <w:i/>
          <w:iCs/>
          <w:lang w:bidi="ar-SA"/>
        </w:rPr>
        <w:t>PWC</w:t>
      </w:r>
      <w:r w:rsidRPr="00755C00">
        <w:rPr>
          <w:lang w:bidi="ar-SA"/>
        </w:rPr>
        <w:t xml:space="preserve">. Available at: https://www.pwc.co.uk/services/legal/insights/extended-producer-responsibility-for-packaging-new-uk-timeline.html (Accessed: 28 February 2026). </w:t>
      </w:r>
    </w:p>
    <w:p w14:paraId="069BB5B6" w14:textId="77777777" w:rsidR="00DA6DDB" w:rsidRPr="00755C00" w:rsidRDefault="00DA6DDB" w:rsidP="006E5056">
      <w:pPr>
        <w:ind w:left="720" w:hanging="720"/>
        <w:rPr>
          <w:lang w:bidi="ar-SA"/>
        </w:rPr>
      </w:pPr>
      <w:r w:rsidRPr="00755C00">
        <w:rPr>
          <w:lang w:bidi="ar-SA"/>
        </w:rPr>
        <w:t xml:space="preserve">Reuters (2025) </w:t>
      </w:r>
      <w:r w:rsidRPr="00755C00">
        <w:rPr>
          <w:i/>
          <w:iCs/>
          <w:lang w:bidi="ar-SA"/>
        </w:rPr>
        <w:t>UK grocery inflation accelerates to 5.2%, says Worldpanel | Reuters</w:t>
      </w:r>
      <w:r w:rsidRPr="00755C00">
        <w:rPr>
          <w:lang w:bidi="ar-SA"/>
        </w:rPr>
        <w:t xml:space="preserve">, </w:t>
      </w:r>
      <w:r w:rsidRPr="00755C00">
        <w:rPr>
          <w:i/>
          <w:iCs/>
          <w:lang w:bidi="ar-SA"/>
        </w:rPr>
        <w:t>Reuters</w:t>
      </w:r>
      <w:r w:rsidRPr="00755C00">
        <w:rPr>
          <w:lang w:bidi="ar-SA"/>
        </w:rPr>
        <w:t xml:space="preserve">. Available at: https://www.reuters.com/business/retail-consumer/uk-grocery-inflation-rises-52-says-worldpanel-2025-10-14/ (Accessed: 28 February 2026). </w:t>
      </w:r>
    </w:p>
    <w:p w14:paraId="1E96B653" w14:textId="77777777" w:rsidR="00DA6DDB" w:rsidRPr="00755C00" w:rsidRDefault="00DA6DDB" w:rsidP="006E5056">
      <w:pPr>
        <w:ind w:left="720" w:hanging="720"/>
        <w:rPr>
          <w:lang w:bidi="ar-SA"/>
        </w:rPr>
      </w:pPr>
      <w:r w:rsidRPr="00755C00">
        <w:rPr>
          <w:lang w:bidi="ar-SA"/>
        </w:rPr>
        <w:lastRenderedPageBreak/>
        <w:t xml:space="preserve">Saunders, M.N.K., Lewis, P. and Thornhill, A. (2023) </w:t>
      </w:r>
      <w:r w:rsidRPr="00755C00">
        <w:rPr>
          <w:i/>
          <w:iCs/>
          <w:lang w:bidi="ar-SA"/>
        </w:rPr>
        <w:t>Research methods for business students</w:t>
      </w:r>
      <w:r w:rsidRPr="00755C00">
        <w:rPr>
          <w:lang w:bidi="ar-SA"/>
        </w:rPr>
        <w:t xml:space="preserve">. Harlow, England: Pearson. </w:t>
      </w:r>
    </w:p>
    <w:p w14:paraId="16DD5244" w14:textId="77777777" w:rsidR="00DA6DDB" w:rsidRPr="00755C00" w:rsidRDefault="00DA6DDB" w:rsidP="006E5056">
      <w:pPr>
        <w:ind w:left="720" w:hanging="720"/>
        <w:rPr>
          <w:lang w:bidi="ar-SA"/>
        </w:rPr>
      </w:pPr>
      <w:r w:rsidRPr="00755C00">
        <w:rPr>
          <w:lang w:bidi="ar-SA"/>
        </w:rPr>
        <w:t xml:space="preserve">UK Parliament (2026) </w:t>
      </w:r>
      <w:r w:rsidRPr="00755C00">
        <w:rPr>
          <w:i/>
          <w:iCs/>
          <w:lang w:bidi="ar-SA"/>
        </w:rPr>
        <w:t>Packaging Extended Producer Responsibility - House of Commons Library</w:t>
      </w:r>
      <w:r w:rsidRPr="00755C00">
        <w:rPr>
          <w:lang w:bidi="ar-SA"/>
        </w:rPr>
        <w:t xml:space="preserve">, </w:t>
      </w:r>
      <w:r w:rsidRPr="00755C00">
        <w:rPr>
          <w:i/>
          <w:iCs/>
          <w:lang w:bidi="ar-SA"/>
        </w:rPr>
        <w:t>UK Parliament</w:t>
      </w:r>
      <w:r w:rsidRPr="00755C00">
        <w:rPr>
          <w:lang w:bidi="ar-SA"/>
        </w:rPr>
        <w:t xml:space="preserve">. Available at: https://commonslibrary.parliament.uk/research-briefings/cbp-10352/ (Accessed: 28 February 2026). </w:t>
      </w:r>
    </w:p>
    <w:p w14:paraId="5CCF151C" w14:textId="77777777" w:rsidR="00DA6DDB" w:rsidRPr="00755C00" w:rsidRDefault="00DA6DDB" w:rsidP="006E5056">
      <w:pPr>
        <w:ind w:left="720" w:hanging="720"/>
        <w:rPr>
          <w:lang w:bidi="ar-SA"/>
        </w:rPr>
      </w:pPr>
    </w:p>
    <w:sectPr w:rsidR="00DA6DDB" w:rsidRPr="00755C00" w:rsidSect="000822C3">
      <w:footerReference w:type="default" r:id="rId1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168C5A" w14:textId="77777777" w:rsidR="00020EF9" w:rsidRDefault="00020EF9" w:rsidP="000822C3">
      <w:pPr>
        <w:spacing w:after="0" w:line="240" w:lineRule="auto"/>
      </w:pPr>
      <w:r>
        <w:separator/>
      </w:r>
    </w:p>
  </w:endnote>
  <w:endnote w:type="continuationSeparator" w:id="0">
    <w:p w14:paraId="7C819D3F" w14:textId="77777777" w:rsidR="00020EF9" w:rsidRDefault="00020EF9" w:rsidP="000822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4413939"/>
      <w:docPartObj>
        <w:docPartGallery w:val="Page Numbers (Bottom of Page)"/>
        <w:docPartUnique/>
      </w:docPartObj>
    </w:sdtPr>
    <w:sdtEndPr/>
    <w:sdtContent>
      <w:p w14:paraId="0EE82C83" w14:textId="26561D76" w:rsidR="00C8261E" w:rsidRDefault="00C8261E">
        <w:pPr>
          <w:pStyle w:val="Footer"/>
          <w:jc w:val="right"/>
        </w:pPr>
        <w:r>
          <w:t xml:space="preserve">Page | </w:t>
        </w:r>
        <w:r>
          <w:fldChar w:fldCharType="begin"/>
        </w:r>
        <w:r>
          <w:instrText xml:space="preserve"> PAGE   \* MERGEFORMAT </w:instrText>
        </w:r>
        <w:r>
          <w:fldChar w:fldCharType="separate"/>
        </w:r>
        <w:r w:rsidR="00755C00">
          <w:rPr>
            <w:noProof/>
          </w:rPr>
          <w:t>28</w:t>
        </w:r>
        <w:r>
          <w:rPr>
            <w:noProof/>
          </w:rPr>
          <w:fldChar w:fldCharType="end"/>
        </w:r>
        <w:r>
          <w:t xml:space="preserve"> </w:t>
        </w:r>
      </w:p>
    </w:sdtContent>
  </w:sdt>
  <w:p w14:paraId="7C006691" w14:textId="77777777" w:rsidR="00C8261E" w:rsidRDefault="00C826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31D089" w14:textId="77777777" w:rsidR="00020EF9" w:rsidRDefault="00020EF9" w:rsidP="000822C3">
      <w:pPr>
        <w:spacing w:after="0" w:line="240" w:lineRule="auto"/>
      </w:pPr>
      <w:r>
        <w:separator/>
      </w:r>
    </w:p>
  </w:footnote>
  <w:footnote w:type="continuationSeparator" w:id="0">
    <w:p w14:paraId="7E62ECDD" w14:textId="77777777" w:rsidR="00020EF9" w:rsidRDefault="00020EF9" w:rsidP="000822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86EA9"/>
    <w:multiLevelType w:val="hybridMultilevel"/>
    <w:tmpl w:val="4D00540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C234A0"/>
    <w:multiLevelType w:val="hybridMultilevel"/>
    <w:tmpl w:val="4DB22D3E"/>
    <w:lvl w:ilvl="0" w:tplc="BEAAFD52">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10426F88"/>
    <w:multiLevelType w:val="hybridMultilevel"/>
    <w:tmpl w:val="76229A2C"/>
    <w:lvl w:ilvl="0" w:tplc="0D500A88">
      <w:start w:val="1"/>
      <w:numFmt w:val="decimal"/>
      <w:lvlText w:val="(%1)"/>
      <w:lvlJc w:val="left"/>
      <w:pPr>
        <w:ind w:left="735" w:hanging="37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A473AEC"/>
    <w:multiLevelType w:val="hybridMultilevel"/>
    <w:tmpl w:val="C9461006"/>
    <w:lvl w:ilvl="0" w:tplc="BEAAFD5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152093B"/>
    <w:multiLevelType w:val="hybridMultilevel"/>
    <w:tmpl w:val="2F9035D0"/>
    <w:lvl w:ilvl="0" w:tplc="B464E2C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21B0E44"/>
    <w:multiLevelType w:val="hybridMultilevel"/>
    <w:tmpl w:val="E410F746"/>
    <w:lvl w:ilvl="0" w:tplc="BEAAFD5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20A75EC"/>
    <w:multiLevelType w:val="hybridMultilevel"/>
    <w:tmpl w:val="70D054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352164E"/>
    <w:multiLevelType w:val="hybridMultilevel"/>
    <w:tmpl w:val="765C3D50"/>
    <w:lvl w:ilvl="0" w:tplc="E12C16F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93140AD"/>
    <w:multiLevelType w:val="multilevel"/>
    <w:tmpl w:val="F6E65F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BD80DE9"/>
    <w:multiLevelType w:val="hybridMultilevel"/>
    <w:tmpl w:val="C750DB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2BA2C5D"/>
    <w:multiLevelType w:val="hybridMultilevel"/>
    <w:tmpl w:val="6ADAC80E"/>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47463D4"/>
    <w:multiLevelType w:val="hybridMultilevel"/>
    <w:tmpl w:val="04F47A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A5C74D9"/>
    <w:multiLevelType w:val="hybridMultilevel"/>
    <w:tmpl w:val="37BC7B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DC00611"/>
    <w:multiLevelType w:val="hybridMultilevel"/>
    <w:tmpl w:val="B9B4C7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8027D8A"/>
    <w:multiLevelType w:val="hybridMultilevel"/>
    <w:tmpl w:val="E438CE9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E5D42FA"/>
    <w:multiLevelType w:val="hybridMultilevel"/>
    <w:tmpl w:val="9BF467E2"/>
    <w:lvl w:ilvl="0" w:tplc="144E594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F2A5351"/>
    <w:multiLevelType w:val="hybridMultilevel"/>
    <w:tmpl w:val="50483810"/>
    <w:lvl w:ilvl="0" w:tplc="0409001B">
      <w:start w:val="1"/>
      <w:numFmt w:val="lowerRoman"/>
      <w:lvlText w:val="%1."/>
      <w:lvlJc w:val="right"/>
      <w:pPr>
        <w:ind w:left="720" w:hanging="360"/>
      </w:pPr>
    </w:lvl>
    <w:lvl w:ilvl="1" w:tplc="CFB86EE8">
      <w:start w:val="1"/>
      <w:numFmt w:val="decimal"/>
      <w:lvlText w:val="%2."/>
      <w:lvlJc w:val="left"/>
      <w:pPr>
        <w:ind w:left="900" w:hanging="360"/>
      </w:pPr>
      <w:rPr>
        <w:rFonts w:hint="default"/>
      </w:rPr>
    </w:lvl>
    <w:lvl w:ilvl="2" w:tplc="4BCE75A8">
      <w:start w:val="1"/>
      <w:numFmt w:val="decimal"/>
      <w:lvlText w:val="(%3)"/>
      <w:lvlJc w:val="left"/>
      <w:pPr>
        <w:ind w:left="1530" w:hanging="360"/>
      </w:pPr>
      <w:rPr>
        <w:rFonts w:hint="default"/>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FAA7631"/>
    <w:multiLevelType w:val="hybridMultilevel"/>
    <w:tmpl w:val="32EE40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8"/>
  </w:num>
  <w:num w:numId="3">
    <w:abstractNumId w:val="11"/>
  </w:num>
  <w:num w:numId="4">
    <w:abstractNumId w:val="2"/>
  </w:num>
  <w:num w:numId="5">
    <w:abstractNumId w:val="16"/>
  </w:num>
  <w:num w:numId="6">
    <w:abstractNumId w:val="15"/>
  </w:num>
  <w:num w:numId="7">
    <w:abstractNumId w:val="10"/>
  </w:num>
  <w:num w:numId="8">
    <w:abstractNumId w:val="7"/>
  </w:num>
  <w:num w:numId="9">
    <w:abstractNumId w:val="3"/>
  </w:num>
  <w:num w:numId="10">
    <w:abstractNumId w:val="1"/>
  </w:num>
  <w:num w:numId="11">
    <w:abstractNumId w:val="17"/>
  </w:num>
  <w:num w:numId="12">
    <w:abstractNumId w:val="13"/>
  </w:num>
  <w:num w:numId="13">
    <w:abstractNumId w:val="9"/>
  </w:num>
  <w:num w:numId="14">
    <w:abstractNumId w:val="6"/>
  </w:num>
  <w:num w:numId="15">
    <w:abstractNumId w:val="5"/>
  </w:num>
  <w:num w:numId="16">
    <w:abstractNumId w:val="14"/>
  </w:num>
  <w:num w:numId="17">
    <w:abstractNumId w:val="0"/>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LM0NjUyMDA1NjQzMjNR0lEKTi0uzszPAykwrAUAnclFYCwAAAA="/>
  </w:docVars>
  <w:rsids>
    <w:rsidRoot w:val="00AB08D4"/>
    <w:rsid w:val="00020EF9"/>
    <w:rsid w:val="00044068"/>
    <w:rsid w:val="000822C3"/>
    <w:rsid w:val="000B527C"/>
    <w:rsid w:val="0032507D"/>
    <w:rsid w:val="003A4290"/>
    <w:rsid w:val="004A6236"/>
    <w:rsid w:val="004D0A89"/>
    <w:rsid w:val="00541A45"/>
    <w:rsid w:val="00581545"/>
    <w:rsid w:val="005B33D6"/>
    <w:rsid w:val="005F1F51"/>
    <w:rsid w:val="00605465"/>
    <w:rsid w:val="00626C53"/>
    <w:rsid w:val="00632AF4"/>
    <w:rsid w:val="00643E0F"/>
    <w:rsid w:val="00694D8E"/>
    <w:rsid w:val="006950CB"/>
    <w:rsid w:val="006E5056"/>
    <w:rsid w:val="00717416"/>
    <w:rsid w:val="007427F2"/>
    <w:rsid w:val="00755C00"/>
    <w:rsid w:val="007A57B2"/>
    <w:rsid w:val="007F4D64"/>
    <w:rsid w:val="007F6F6B"/>
    <w:rsid w:val="008311AF"/>
    <w:rsid w:val="008A4950"/>
    <w:rsid w:val="00907534"/>
    <w:rsid w:val="00966127"/>
    <w:rsid w:val="009A6C1D"/>
    <w:rsid w:val="00A05BE7"/>
    <w:rsid w:val="00A07625"/>
    <w:rsid w:val="00A25103"/>
    <w:rsid w:val="00AB08D4"/>
    <w:rsid w:val="00B81889"/>
    <w:rsid w:val="00BE3935"/>
    <w:rsid w:val="00C8261E"/>
    <w:rsid w:val="00CA17F8"/>
    <w:rsid w:val="00D278BB"/>
    <w:rsid w:val="00D555C8"/>
    <w:rsid w:val="00DA016E"/>
    <w:rsid w:val="00DA6DDB"/>
    <w:rsid w:val="00EC4D50"/>
    <w:rsid w:val="00EC5267"/>
    <w:rsid w:val="00EE4E63"/>
    <w:rsid w:val="00EF6458"/>
    <w:rsid w:val="00F7685A"/>
    <w:rsid w:val="00F819A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743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08D4"/>
    <w:pPr>
      <w:spacing w:line="360" w:lineRule="auto"/>
      <w:jc w:val="both"/>
    </w:pPr>
    <w:rPr>
      <w:rFonts w:ascii="Arial" w:hAnsi="Arial" w:cs="Vrinda"/>
      <w:sz w:val="24"/>
    </w:rPr>
  </w:style>
  <w:style w:type="paragraph" w:styleId="Heading1">
    <w:name w:val="heading 1"/>
    <w:basedOn w:val="Normal"/>
    <w:next w:val="Normal"/>
    <w:link w:val="Heading1Char"/>
    <w:uiPriority w:val="9"/>
    <w:qFormat/>
    <w:rsid w:val="00AB08D4"/>
    <w:pPr>
      <w:keepNext/>
      <w:keepLines/>
      <w:spacing w:before="720" w:after="240"/>
      <w:jc w:val="center"/>
      <w:outlineLvl w:val="0"/>
    </w:pPr>
    <w:rPr>
      <w:rFonts w:eastAsiaTheme="majorEastAsia" w:cstheme="majorBidi"/>
      <w:bCs/>
      <w:color w:val="000000" w:themeColor="text1"/>
      <w:sz w:val="36"/>
      <w:szCs w:val="35"/>
    </w:rPr>
  </w:style>
  <w:style w:type="paragraph" w:styleId="Heading2">
    <w:name w:val="heading 2"/>
    <w:basedOn w:val="Normal"/>
    <w:next w:val="Normal"/>
    <w:link w:val="Heading2Char"/>
    <w:uiPriority w:val="9"/>
    <w:unhideWhenUsed/>
    <w:qFormat/>
    <w:rsid w:val="00AB08D4"/>
    <w:pPr>
      <w:keepNext/>
      <w:keepLines/>
      <w:spacing w:before="320" w:after="120"/>
      <w:outlineLvl w:val="1"/>
    </w:pPr>
    <w:rPr>
      <w:rFonts w:eastAsiaTheme="majorEastAsia" w:cstheme="majorBidi"/>
      <w:b/>
      <w:bCs/>
      <w:sz w:val="28"/>
      <w:szCs w:val="33"/>
    </w:rPr>
  </w:style>
  <w:style w:type="paragraph" w:styleId="Heading3">
    <w:name w:val="heading 3"/>
    <w:basedOn w:val="Normal"/>
    <w:next w:val="Normal"/>
    <w:link w:val="Heading3Char"/>
    <w:uiPriority w:val="9"/>
    <w:unhideWhenUsed/>
    <w:qFormat/>
    <w:rsid w:val="00EC5267"/>
    <w:pPr>
      <w:keepNext/>
      <w:keepLines/>
      <w:spacing w:before="200" w:after="0"/>
      <w:outlineLvl w:val="2"/>
    </w:pPr>
    <w:rPr>
      <w:rFonts w:eastAsiaTheme="majorEastAsia" w:cstheme="majorBidi"/>
      <w:b/>
      <w:bCs/>
      <w:i/>
      <w:sz w:val="26"/>
    </w:rPr>
  </w:style>
  <w:style w:type="paragraph" w:styleId="Heading4">
    <w:name w:val="heading 4"/>
    <w:basedOn w:val="Normal"/>
    <w:next w:val="Normal"/>
    <w:link w:val="Heading4Char"/>
    <w:uiPriority w:val="9"/>
    <w:unhideWhenUsed/>
    <w:qFormat/>
    <w:rsid w:val="00EC5267"/>
    <w:pPr>
      <w:keepNext/>
      <w:keepLines/>
      <w:spacing w:before="200" w:after="0"/>
      <w:outlineLvl w:val="3"/>
    </w:pPr>
    <w:rPr>
      <w:rFonts w:eastAsiaTheme="majorEastAsia" w:cstheme="majorBidi"/>
      <w:b/>
      <w:bCs/>
      <w:i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B08D4"/>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AB08D4"/>
    <w:rPr>
      <w:rFonts w:ascii="Tahoma" w:hAnsi="Tahoma" w:cs="Tahoma"/>
      <w:sz w:val="16"/>
      <w:szCs w:val="20"/>
    </w:rPr>
  </w:style>
  <w:style w:type="paragraph" w:styleId="ListParagraph">
    <w:name w:val="List Paragraph"/>
    <w:basedOn w:val="Normal"/>
    <w:uiPriority w:val="34"/>
    <w:qFormat/>
    <w:rsid w:val="00AB08D4"/>
    <w:pPr>
      <w:ind w:left="720"/>
      <w:contextualSpacing/>
    </w:pPr>
  </w:style>
  <w:style w:type="character" w:customStyle="1" w:styleId="Heading1Char">
    <w:name w:val="Heading 1 Char"/>
    <w:basedOn w:val="DefaultParagraphFont"/>
    <w:link w:val="Heading1"/>
    <w:uiPriority w:val="9"/>
    <w:rsid w:val="00AB08D4"/>
    <w:rPr>
      <w:rFonts w:ascii="Arial" w:eastAsiaTheme="majorEastAsia" w:hAnsi="Arial" w:cstheme="majorBidi"/>
      <w:bCs/>
      <w:color w:val="000000" w:themeColor="text1"/>
      <w:sz w:val="36"/>
      <w:szCs w:val="35"/>
    </w:rPr>
  </w:style>
  <w:style w:type="character" w:customStyle="1" w:styleId="Heading2Char">
    <w:name w:val="Heading 2 Char"/>
    <w:basedOn w:val="DefaultParagraphFont"/>
    <w:link w:val="Heading2"/>
    <w:uiPriority w:val="9"/>
    <w:rsid w:val="00AB08D4"/>
    <w:rPr>
      <w:rFonts w:ascii="Arial" w:eastAsiaTheme="majorEastAsia" w:hAnsi="Arial" w:cstheme="majorBidi"/>
      <w:b/>
      <w:bCs/>
      <w:sz w:val="28"/>
      <w:szCs w:val="33"/>
    </w:rPr>
  </w:style>
  <w:style w:type="paragraph" w:styleId="NormalWeb">
    <w:name w:val="Normal (Web)"/>
    <w:basedOn w:val="Normal"/>
    <w:uiPriority w:val="99"/>
    <w:semiHidden/>
    <w:unhideWhenUsed/>
    <w:rsid w:val="00AB08D4"/>
    <w:pPr>
      <w:spacing w:before="100" w:beforeAutospacing="1" w:after="100" w:afterAutospacing="1" w:line="240" w:lineRule="auto"/>
      <w:jc w:val="left"/>
    </w:pPr>
    <w:rPr>
      <w:rFonts w:ascii="Times New Roman" w:eastAsia="Times New Roman" w:hAnsi="Times New Roman" w:cs="Times New Roman"/>
      <w:szCs w:val="24"/>
      <w:lang w:bidi="ar-SA"/>
    </w:rPr>
  </w:style>
  <w:style w:type="character" w:styleId="Strong">
    <w:name w:val="Strong"/>
    <w:basedOn w:val="DefaultParagraphFont"/>
    <w:uiPriority w:val="22"/>
    <w:qFormat/>
    <w:rsid w:val="00AB08D4"/>
    <w:rPr>
      <w:b/>
      <w:bCs/>
    </w:rPr>
  </w:style>
  <w:style w:type="character" w:customStyle="1" w:styleId="Heading3Char">
    <w:name w:val="Heading 3 Char"/>
    <w:basedOn w:val="DefaultParagraphFont"/>
    <w:link w:val="Heading3"/>
    <w:uiPriority w:val="9"/>
    <w:rsid w:val="00EC5267"/>
    <w:rPr>
      <w:rFonts w:ascii="Arial" w:eastAsiaTheme="majorEastAsia" w:hAnsi="Arial" w:cstheme="majorBidi"/>
      <w:b/>
      <w:bCs/>
      <w:i/>
      <w:sz w:val="26"/>
    </w:rPr>
  </w:style>
  <w:style w:type="character" w:customStyle="1" w:styleId="Heading4Char">
    <w:name w:val="Heading 4 Char"/>
    <w:basedOn w:val="DefaultParagraphFont"/>
    <w:link w:val="Heading4"/>
    <w:uiPriority w:val="9"/>
    <w:rsid w:val="00EC5267"/>
    <w:rPr>
      <w:rFonts w:ascii="Arial" w:eastAsiaTheme="majorEastAsia" w:hAnsi="Arial" w:cstheme="majorBidi"/>
      <w:b/>
      <w:bCs/>
      <w:iCs/>
      <w:sz w:val="24"/>
      <w:u w:val="single"/>
    </w:rPr>
  </w:style>
  <w:style w:type="table" w:styleId="TableGrid">
    <w:name w:val="Table Grid"/>
    <w:basedOn w:val="TableNormal"/>
    <w:uiPriority w:val="59"/>
    <w:rsid w:val="00EC52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C5267"/>
    <w:pPr>
      <w:spacing w:line="240" w:lineRule="auto"/>
    </w:pPr>
    <w:rPr>
      <w:b/>
      <w:bCs/>
      <w:color w:val="4F81BD" w:themeColor="accent1"/>
      <w:sz w:val="18"/>
      <w:szCs w:val="22"/>
    </w:rPr>
  </w:style>
  <w:style w:type="character" w:styleId="Hyperlink">
    <w:name w:val="Hyperlink"/>
    <w:basedOn w:val="DefaultParagraphFont"/>
    <w:uiPriority w:val="99"/>
    <w:unhideWhenUsed/>
    <w:rsid w:val="000822C3"/>
    <w:rPr>
      <w:color w:val="0000FF"/>
      <w:u w:val="single"/>
    </w:rPr>
  </w:style>
  <w:style w:type="paragraph" w:styleId="Header">
    <w:name w:val="header"/>
    <w:basedOn w:val="Normal"/>
    <w:link w:val="HeaderChar"/>
    <w:uiPriority w:val="99"/>
    <w:unhideWhenUsed/>
    <w:rsid w:val="000822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22C3"/>
    <w:rPr>
      <w:rFonts w:ascii="Arial" w:hAnsi="Arial" w:cs="Vrinda"/>
      <w:sz w:val="24"/>
    </w:rPr>
  </w:style>
  <w:style w:type="paragraph" w:styleId="Footer">
    <w:name w:val="footer"/>
    <w:basedOn w:val="Normal"/>
    <w:link w:val="FooterChar"/>
    <w:uiPriority w:val="99"/>
    <w:unhideWhenUsed/>
    <w:rsid w:val="000822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22C3"/>
    <w:rPr>
      <w:rFonts w:ascii="Arial" w:hAnsi="Arial" w:cs="Vrinda"/>
      <w:sz w:val="24"/>
    </w:rPr>
  </w:style>
  <w:style w:type="paragraph" w:styleId="TOCHeading">
    <w:name w:val="TOC Heading"/>
    <w:basedOn w:val="Heading1"/>
    <w:next w:val="Normal"/>
    <w:uiPriority w:val="39"/>
    <w:semiHidden/>
    <w:unhideWhenUsed/>
    <w:qFormat/>
    <w:rsid w:val="000822C3"/>
    <w:pPr>
      <w:spacing w:before="480" w:after="0" w:line="276" w:lineRule="auto"/>
      <w:jc w:val="left"/>
      <w:outlineLvl w:val="9"/>
    </w:pPr>
    <w:rPr>
      <w:rFonts w:asciiTheme="majorHAnsi" w:hAnsiTheme="majorHAnsi"/>
      <w:b/>
      <w:color w:val="365F91" w:themeColor="accent1" w:themeShade="BF"/>
      <w:sz w:val="28"/>
      <w:szCs w:val="28"/>
      <w:lang w:eastAsia="ja-JP" w:bidi="ar-SA"/>
    </w:rPr>
  </w:style>
  <w:style w:type="paragraph" w:styleId="TOC1">
    <w:name w:val="toc 1"/>
    <w:basedOn w:val="Normal"/>
    <w:next w:val="Normal"/>
    <w:autoRedefine/>
    <w:uiPriority w:val="39"/>
    <w:unhideWhenUsed/>
    <w:rsid w:val="000822C3"/>
    <w:pPr>
      <w:spacing w:after="100"/>
    </w:pPr>
  </w:style>
  <w:style w:type="paragraph" w:styleId="TOC2">
    <w:name w:val="toc 2"/>
    <w:basedOn w:val="Normal"/>
    <w:next w:val="Normal"/>
    <w:autoRedefine/>
    <w:uiPriority w:val="39"/>
    <w:unhideWhenUsed/>
    <w:rsid w:val="000822C3"/>
    <w:pPr>
      <w:spacing w:after="100"/>
      <w:ind w:left="240"/>
    </w:pPr>
  </w:style>
  <w:style w:type="paragraph" w:styleId="TOC3">
    <w:name w:val="toc 3"/>
    <w:basedOn w:val="Normal"/>
    <w:next w:val="Normal"/>
    <w:autoRedefine/>
    <w:uiPriority w:val="39"/>
    <w:unhideWhenUsed/>
    <w:rsid w:val="000822C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40712">
      <w:bodyDiv w:val="1"/>
      <w:marLeft w:val="0"/>
      <w:marRight w:val="0"/>
      <w:marTop w:val="0"/>
      <w:marBottom w:val="0"/>
      <w:divBdr>
        <w:top w:val="none" w:sz="0" w:space="0" w:color="auto"/>
        <w:left w:val="none" w:sz="0" w:space="0" w:color="auto"/>
        <w:bottom w:val="none" w:sz="0" w:space="0" w:color="auto"/>
        <w:right w:val="none" w:sz="0" w:space="0" w:color="auto"/>
      </w:divBdr>
    </w:div>
    <w:div w:id="17004063">
      <w:bodyDiv w:val="1"/>
      <w:marLeft w:val="0"/>
      <w:marRight w:val="0"/>
      <w:marTop w:val="0"/>
      <w:marBottom w:val="0"/>
      <w:divBdr>
        <w:top w:val="none" w:sz="0" w:space="0" w:color="auto"/>
        <w:left w:val="none" w:sz="0" w:space="0" w:color="auto"/>
        <w:bottom w:val="none" w:sz="0" w:space="0" w:color="auto"/>
        <w:right w:val="none" w:sz="0" w:space="0" w:color="auto"/>
      </w:divBdr>
      <w:divsChild>
        <w:div w:id="1385906401">
          <w:marLeft w:val="0"/>
          <w:marRight w:val="0"/>
          <w:marTop w:val="120"/>
          <w:marBottom w:val="120"/>
          <w:divBdr>
            <w:top w:val="none" w:sz="0" w:space="0" w:color="auto"/>
            <w:left w:val="none" w:sz="0" w:space="0" w:color="auto"/>
            <w:bottom w:val="none" w:sz="0" w:space="0" w:color="auto"/>
            <w:right w:val="none" w:sz="0" w:space="0" w:color="auto"/>
          </w:divBdr>
        </w:div>
        <w:div w:id="623774078">
          <w:marLeft w:val="0"/>
          <w:marRight w:val="0"/>
          <w:marTop w:val="120"/>
          <w:marBottom w:val="120"/>
          <w:divBdr>
            <w:top w:val="none" w:sz="0" w:space="0" w:color="auto"/>
            <w:left w:val="none" w:sz="0" w:space="0" w:color="auto"/>
            <w:bottom w:val="none" w:sz="0" w:space="0" w:color="auto"/>
            <w:right w:val="none" w:sz="0" w:space="0" w:color="auto"/>
          </w:divBdr>
        </w:div>
        <w:div w:id="630867363">
          <w:marLeft w:val="0"/>
          <w:marRight w:val="0"/>
          <w:marTop w:val="120"/>
          <w:marBottom w:val="120"/>
          <w:divBdr>
            <w:top w:val="none" w:sz="0" w:space="0" w:color="auto"/>
            <w:left w:val="none" w:sz="0" w:space="0" w:color="auto"/>
            <w:bottom w:val="none" w:sz="0" w:space="0" w:color="auto"/>
            <w:right w:val="none" w:sz="0" w:space="0" w:color="auto"/>
          </w:divBdr>
        </w:div>
        <w:div w:id="253707935">
          <w:marLeft w:val="0"/>
          <w:marRight w:val="0"/>
          <w:marTop w:val="120"/>
          <w:marBottom w:val="120"/>
          <w:divBdr>
            <w:top w:val="none" w:sz="0" w:space="0" w:color="auto"/>
            <w:left w:val="none" w:sz="0" w:space="0" w:color="auto"/>
            <w:bottom w:val="none" w:sz="0" w:space="0" w:color="auto"/>
            <w:right w:val="none" w:sz="0" w:space="0" w:color="auto"/>
          </w:divBdr>
        </w:div>
        <w:div w:id="1817064771">
          <w:marLeft w:val="0"/>
          <w:marRight w:val="0"/>
          <w:marTop w:val="120"/>
          <w:marBottom w:val="120"/>
          <w:divBdr>
            <w:top w:val="none" w:sz="0" w:space="0" w:color="auto"/>
            <w:left w:val="none" w:sz="0" w:space="0" w:color="auto"/>
            <w:bottom w:val="none" w:sz="0" w:space="0" w:color="auto"/>
            <w:right w:val="none" w:sz="0" w:space="0" w:color="auto"/>
          </w:divBdr>
        </w:div>
        <w:div w:id="1879588804">
          <w:marLeft w:val="0"/>
          <w:marRight w:val="0"/>
          <w:marTop w:val="120"/>
          <w:marBottom w:val="120"/>
          <w:divBdr>
            <w:top w:val="none" w:sz="0" w:space="0" w:color="auto"/>
            <w:left w:val="none" w:sz="0" w:space="0" w:color="auto"/>
            <w:bottom w:val="none" w:sz="0" w:space="0" w:color="auto"/>
            <w:right w:val="none" w:sz="0" w:space="0" w:color="auto"/>
          </w:divBdr>
        </w:div>
        <w:div w:id="1819106091">
          <w:marLeft w:val="0"/>
          <w:marRight w:val="0"/>
          <w:marTop w:val="120"/>
          <w:marBottom w:val="120"/>
          <w:divBdr>
            <w:top w:val="none" w:sz="0" w:space="0" w:color="auto"/>
            <w:left w:val="none" w:sz="0" w:space="0" w:color="auto"/>
            <w:bottom w:val="none" w:sz="0" w:space="0" w:color="auto"/>
            <w:right w:val="none" w:sz="0" w:space="0" w:color="auto"/>
          </w:divBdr>
        </w:div>
        <w:div w:id="306014031">
          <w:marLeft w:val="0"/>
          <w:marRight w:val="0"/>
          <w:marTop w:val="120"/>
          <w:marBottom w:val="120"/>
          <w:divBdr>
            <w:top w:val="none" w:sz="0" w:space="0" w:color="auto"/>
            <w:left w:val="none" w:sz="0" w:space="0" w:color="auto"/>
            <w:bottom w:val="none" w:sz="0" w:space="0" w:color="auto"/>
            <w:right w:val="none" w:sz="0" w:space="0" w:color="auto"/>
          </w:divBdr>
        </w:div>
        <w:div w:id="1580166620">
          <w:marLeft w:val="0"/>
          <w:marRight w:val="0"/>
          <w:marTop w:val="120"/>
          <w:marBottom w:val="120"/>
          <w:divBdr>
            <w:top w:val="none" w:sz="0" w:space="0" w:color="auto"/>
            <w:left w:val="none" w:sz="0" w:space="0" w:color="auto"/>
            <w:bottom w:val="none" w:sz="0" w:space="0" w:color="auto"/>
            <w:right w:val="none" w:sz="0" w:space="0" w:color="auto"/>
          </w:divBdr>
        </w:div>
        <w:div w:id="676467081">
          <w:marLeft w:val="0"/>
          <w:marRight w:val="0"/>
          <w:marTop w:val="120"/>
          <w:marBottom w:val="120"/>
          <w:divBdr>
            <w:top w:val="none" w:sz="0" w:space="0" w:color="auto"/>
            <w:left w:val="none" w:sz="0" w:space="0" w:color="auto"/>
            <w:bottom w:val="none" w:sz="0" w:space="0" w:color="auto"/>
            <w:right w:val="none" w:sz="0" w:space="0" w:color="auto"/>
          </w:divBdr>
        </w:div>
        <w:div w:id="1189686722">
          <w:marLeft w:val="0"/>
          <w:marRight w:val="0"/>
          <w:marTop w:val="120"/>
          <w:marBottom w:val="120"/>
          <w:divBdr>
            <w:top w:val="none" w:sz="0" w:space="0" w:color="auto"/>
            <w:left w:val="none" w:sz="0" w:space="0" w:color="auto"/>
            <w:bottom w:val="none" w:sz="0" w:space="0" w:color="auto"/>
            <w:right w:val="none" w:sz="0" w:space="0" w:color="auto"/>
          </w:divBdr>
        </w:div>
        <w:div w:id="187332339">
          <w:marLeft w:val="0"/>
          <w:marRight w:val="0"/>
          <w:marTop w:val="120"/>
          <w:marBottom w:val="120"/>
          <w:divBdr>
            <w:top w:val="none" w:sz="0" w:space="0" w:color="auto"/>
            <w:left w:val="none" w:sz="0" w:space="0" w:color="auto"/>
            <w:bottom w:val="none" w:sz="0" w:space="0" w:color="auto"/>
            <w:right w:val="none" w:sz="0" w:space="0" w:color="auto"/>
          </w:divBdr>
        </w:div>
        <w:div w:id="1626348906">
          <w:marLeft w:val="0"/>
          <w:marRight w:val="0"/>
          <w:marTop w:val="120"/>
          <w:marBottom w:val="120"/>
          <w:divBdr>
            <w:top w:val="none" w:sz="0" w:space="0" w:color="auto"/>
            <w:left w:val="none" w:sz="0" w:space="0" w:color="auto"/>
            <w:bottom w:val="none" w:sz="0" w:space="0" w:color="auto"/>
            <w:right w:val="none" w:sz="0" w:space="0" w:color="auto"/>
          </w:divBdr>
        </w:div>
        <w:div w:id="2003312722">
          <w:marLeft w:val="0"/>
          <w:marRight w:val="0"/>
          <w:marTop w:val="120"/>
          <w:marBottom w:val="120"/>
          <w:divBdr>
            <w:top w:val="none" w:sz="0" w:space="0" w:color="auto"/>
            <w:left w:val="none" w:sz="0" w:space="0" w:color="auto"/>
            <w:bottom w:val="none" w:sz="0" w:space="0" w:color="auto"/>
            <w:right w:val="none" w:sz="0" w:space="0" w:color="auto"/>
          </w:divBdr>
        </w:div>
        <w:div w:id="1914702450">
          <w:marLeft w:val="0"/>
          <w:marRight w:val="0"/>
          <w:marTop w:val="120"/>
          <w:marBottom w:val="120"/>
          <w:divBdr>
            <w:top w:val="none" w:sz="0" w:space="0" w:color="auto"/>
            <w:left w:val="none" w:sz="0" w:space="0" w:color="auto"/>
            <w:bottom w:val="none" w:sz="0" w:space="0" w:color="auto"/>
            <w:right w:val="none" w:sz="0" w:space="0" w:color="auto"/>
          </w:divBdr>
        </w:div>
        <w:div w:id="1388186952">
          <w:marLeft w:val="0"/>
          <w:marRight w:val="0"/>
          <w:marTop w:val="120"/>
          <w:marBottom w:val="120"/>
          <w:divBdr>
            <w:top w:val="none" w:sz="0" w:space="0" w:color="auto"/>
            <w:left w:val="none" w:sz="0" w:space="0" w:color="auto"/>
            <w:bottom w:val="none" w:sz="0" w:space="0" w:color="auto"/>
            <w:right w:val="none" w:sz="0" w:space="0" w:color="auto"/>
          </w:divBdr>
        </w:div>
        <w:div w:id="148526679">
          <w:marLeft w:val="0"/>
          <w:marRight w:val="0"/>
          <w:marTop w:val="120"/>
          <w:marBottom w:val="120"/>
          <w:divBdr>
            <w:top w:val="none" w:sz="0" w:space="0" w:color="auto"/>
            <w:left w:val="none" w:sz="0" w:space="0" w:color="auto"/>
            <w:bottom w:val="none" w:sz="0" w:space="0" w:color="auto"/>
            <w:right w:val="none" w:sz="0" w:space="0" w:color="auto"/>
          </w:divBdr>
        </w:div>
        <w:div w:id="1703633758">
          <w:marLeft w:val="0"/>
          <w:marRight w:val="0"/>
          <w:marTop w:val="120"/>
          <w:marBottom w:val="120"/>
          <w:divBdr>
            <w:top w:val="none" w:sz="0" w:space="0" w:color="auto"/>
            <w:left w:val="none" w:sz="0" w:space="0" w:color="auto"/>
            <w:bottom w:val="none" w:sz="0" w:space="0" w:color="auto"/>
            <w:right w:val="none" w:sz="0" w:space="0" w:color="auto"/>
          </w:divBdr>
        </w:div>
        <w:div w:id="736173999">
          <w:marLeft w:val="0"/>
          <w:marRight w:val="0"/>
          <w:marTop w:val="120"/>
          <w:marBottom w:val="120"/>
          <w:divBdr>
            <w:top w:val="none" w:sz="0" w:space="0" w:color="auto"/>
            <w:left w:val="none" w:sz="0" w:space="0" w:color="auto"/>
            <w:bottom w:val="none" w:sz="0" w:space="0" w:color="auto"/>
            <w:right w:val="none" w:sz="0" w:space="0" w:color="auto"/>
          </w:divBdr>
        </w:div>
      </w:divsChild>
    </w:div>
    <w:div w:id="64956255">
      <w:bodyDiv w:val="1"/>
      <w:marLeft w:val="0"/>
      <w:marRight w:val="0"/>
      <w:marTop w:val="0"/>
      <w:marBottom w:val="0"/>
      <w:divBdr>
        <w:top w:val="none" w:sz="0" w:space="0" w:color="auto"/>
        <w:left w:val="none" w:sz="0" w:space="0" w:color="auto"/>
        <w:bottom w:val="none" w:sz="0" w:space="0" w:color="auto"/>
        <w:right w:val="none" w:sz="0" w:space="0" w:color="auto"/>
      </w:divBdr>
    </w:div>
    <w:div w:id="129710386">
      <w:bodyDiv w:val="1"/>
      <w:marLeft w:val="0"/>
      <w:marRight w:val="0"/>
      <w:marTop w:val="0"/>
      <w:marBottom w:val="0"/>
      <w:divBdr>
        <w:top w:val="none" w:sz="0" w:space="0" w:color="auto"/>
        <w:left w:val="none" w:sz="0" w:space="0" w:color="auto"/>
        <w:bottom w:val="none" w:sz="0" w:space="0" w:color="auto"/>
        <w:right w:val="none" w:sz="0" w:space="0" w:color="auto"/>
      </w:divBdr>
    </w:div>
    <w:div w:id="144011962">
      <w:bodyDiv w:val="1"/>
      <w:marLeft w:val="0"/>
      <w:marRight w:val="0"/>
      <w:marTop w:val="0"/>
      <w:marBottom w:val="0"/>
      <w:divBdr>
        <w:top w:val="none" w:sz="0" w:space="0" w:color="auto"/>
        <w:left w:val="none" w:sz="0" w:space="0" w:color="auto"/>
        <w:bottom w:val="none" w:sz="0" w:space="0" w:color="auto"/>
        <w:right w:val="none" w:sz="0" w:space="0" w:color="auto"/>
      </w:divBdr>
      <w:divsChild>
        <w:div w:id="1706833857">
          <w:marLeft w:val="0"/>
          <w:marRight w:val="0"/>
          <w:marTop w:val="0"/>
          <w:marBottom w:val="0"/>
          <w:divBdr>
            <w:top w:val="none" w:sz="0" w:space="0" w:color="auto"/>
            <w:left w:val="none" w:sz="0" w:space="0" w:color="auto"/>
            <w:bottom w:val="none" w:sz="0" w:space="0" w:color="auto"/>
            <w:right w:val="none" w:sz="0" w:space="0" w:color="auto"/>
          </w:divBdr>
          <w:divsChild>
            <w:div w:id="11103949">
              <w:marLeft w:val="0"/>
              <w:marRight w:val="0"/>
              <w:marTop w:val="0"/>
              <w:marBottom w:val="0"/>
              <w:divBdr>
                <w:top w:val="none" w:sz="0" w:space="0" w:color="auto"/>
                <w:left w:val="none" w:sz="0" w:space="0" w:color="auto"/>
                <w:bottom w:val="none" w:sz="0" w:space="0" w:color="auto"/>
                <w:right w:val="none" w:sz="0" w:space="0" w:color="auto"/>
              </w:divBdr>
              <w:divsChild>
                <w:div w:id="125585596">
                  <w:marLeft w:val="0"/>
                  <w:marRight w:val="0"/>
                  <w:marTop w:val="0"/>
                  <w:marBottom w:val="0"/>
                  <w:divBdr>
                    <w:top w:val="none" w:sz="0" w:space="0" w:color="auto"/>
                    <w:left w:val="none" w:sz="0" w:space="0" w:color="auto"/>
                    <w:bottom w:val="none" w:sz="0" w:space="0" w:color="auto"/>
                    <w:right w:val="none" w:sz="0" w:space="0" w:color="auto"/>
                  </w:divBdr>
                  <w:divsChild>
                    <w:div w:id="363598429">
                      <w:marLeft w:val="0"/>
                      <w:marRight w:val="0"/>
                      <w:marTop w:val="0"/>
                      <w:marBottom w:val="0"/>
                      <w:divBdr>
                        <w:top w:val="none" w:sz="0" w:space="0" w:color="auto"/>
                        <w:left w:val="none" w:sz="0" w:space="0" w:color="auto"/>
                        <w:bottom w:val="none" w:sz="0" w:space="0" w:color="auto"/>
                        <w:right w:val="none" w:sz="0" w:space="0" w:color="auto"/>
                      </w:divBdr>
                      <w:divsChild>
                        <w:div w:id="1249654004">
                          <w:marLeft w:val="0"/>
                          <w:marRight w:val="0"/>
                          <w:marTop w:val="0"/>
                          <w:marBottom w:val="0"/>
                          <w:divBdr>
                            <w:top w:val="none" w:sz="0" w:space="0" w:color="auto"/>
                            <w:left w:val="none" w:sz="0" w:space="0" w:color="auto"/>
                            <w:bottom w:val="none" w:sz="0" w:space="0" w:color="auto"/>
                            <w:right w:val="none" w:sz="0" w:space="0" w:color="auto"/>
                          </w:divBdr>
                          <w:divsChild>
                            <w:div w:id="1666933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596120">
      <w:bodyDiv w:val="1"/>
      <w:marLeft w:val="0"/>
      <w:marRight w:val="0"/>
      <w:marTop w:val="0"/>
      <w:marBottom w:val="0"/>
      <w:divBdr>
        <w:top w:val="none" w:sz="0" w:space="0" w:color="auto"/>
        <w:left w:val="none" w:sz="0" w:space="0" w:color="auto"/>
        <w:bottom w:val="none" w:sz="0" w:space="0" w:color="auto"/>
        <w:right w:val="none" w:sz="0" w:space="0" w:color="auto"/>
      </w:divBdr>
    </w:div>
    <w:div w:id="152111515">
      <w:bodyDiv w:val="1"/>
      <w:marLeft w:val="0"/>
      <w:marRight w:val="0"/>
      <w:marTop w:val="0"/>
      <w:marBottom w:val="0"/>
      <w:divBdr>
        <w:top w:val="none" w:sz="0" w:space="0" w:color="auto"/>
        <w:left w:val="none" w:sz="0" w:space="0" w:color="auto"/>
        <w:bottom w:val="none" w:sz="0" w:space="0" w:color="auto"/>
        <w:right w:val="none" w:sz="0" w:space="0" w:color="auto"/>
      </w:divBdr>
    </w:div>
    <w:div w:id="222562802">
      <w:bodyDiv w:val="1"/>
      <w:marLeft w:val="0"/>
      <w:marRight w:val="0"/>
      <w:marTop w:val="0"/>
      <w:marBottom w:val="0"/>
      <w:divBdr>
        <w:top w:val="none" w:sz="0" w:space="0" w:color="auto"/>
        <w:left w:val="none" w:sz="0" w:space="0" w:color="auto"/>
        <w:bottom w:val="none" w:sz="0" w:space="0" w:color="auto"/>
        <w:right w:val="none" w:sz="0" w:space="0" w:color="auto"/>
      </w:divBdr>
    </w:div>
    <w:div w:id="286669859">
      <w:bodyDiv w:val="1"/>
      <w:marLeft w:val="0"/>
      <w:marRight w:val="0"/>
      <w:marTop w:val="0"/>
      <w:marBottom w:val="0"/>
      <w:divBdr>
        <w:top w:val="none" w:sz="0" w:space="0" w:color="auto"/>
        <w:left w:val="none" w:sz="0" w:space="0" w:color="auto"/>
        <w:bottom w:val="none" w:sz="0" w:space="0" w:color="auto"/>
        <w:right w:val="none" w:sz="0" w:space="0" w:color="auto"/>
      </w:divBdr>
    </w:div>
    <w:div w:id="449711039">
      <w:bodyDiv w:val="1"/>
      <w:marLeft w:val="0"/>
      <w:marRight w:val="0"/>
      <w:marTop w:val="0"/>
      <w:marBottom w:val="0"/>
      <w:divBdr>
        <w:top w:val="none" w:sz="0" w:space="0" w:color="auto"/>
        <w:left w:val="none" w:sz="0" w:space="0" w:color="auto"/>
        <w:bottom w:val="none" w:sz="0" w:space="0" w:color="auto"/>
        <w:right w:val="none" w:sz="0" w:space="0" w:color="auto"/>
      </w:divBdr>
    </w:div>
    <w:div w:id="580525426">
      <w:bodyDiv w:val="1"/>
      <w:marLeft w:val="0"/>
      <w:marRight w:val="0"/>
      <w:marTop w:val="0"/>
      <w:marBottom w:val="0"/>
      <w:divBdr>
        <w:top w:val="none" w:sz="0" w:space="0" w:color="auto"/>
        <w:left w:val="none" w:sz="0" w:space="0" w:color="auto"/>
        <w:bottom w:val="none" w:sz="0" w:space="0" w:color="auto"/>
        <w:right w:val="none" w:sz="0" w:space="0" w:color="auto"/>
      </w:divBdr>
      <w:divsChild>
        <w:div w:id="1931353688">
          <w:marLeft w:val="0"/>
          <w:marRight w:val="0"/>
          <w:marTop w:val="120"/>
          <w:marBottom w:val="120"/>
          <w:divBdr>
            <w:top w:val="none" w:sz="0" w:space="0" w:color="auto"/>
            <w:left w:val="none" w:sz="0" w:space="0" w:color="auto"/>
            <w:bottom w:val="none" w:sz="0" w:space="0" w:color="auto"/>
            <w:right w:val="none" w:sz="0" w:space="0" w:color="auto"/>
          </w:divBdr>
        </w:div>
        <w:div w:id="396632831">
          <w:marLeft w:val="0"/>
          <w:marRight w:val="0"/>
          <w:marTop w:val="120"/>
          <w:marBottom w:val="120"/>
          <w:divBdr>
            <w:top w:val="none" w:sz="0" w:space="0" w:color="auto"/>
            <w:left w:val="none" w:sz="0" w:space="0" w:color="auto"/>
            <w:bottom w:val="none" w:sz="0" w:space="0" w:color="auto"/>
            <w:right w:val="none" w:sz="0" w:space="0" w:color="auto"/>
          </w:divBdr>
        </w:div>
      </w:divsChild>
    </w:div>
    <w:div w:id="683239889">
      <w:bodyDiv w:val="1"/>
      <w:marLeft w:val="0"/>
      <w:marRight w:val="0"/>
      <w:marTop w:val="0"/>
      <w:marBottom w:val="0"/>
      <w:divBdr>
        <w:top w:val="none" w:sz="0" w:space="0" w:color="auto"/>
        <w:left w:val="none" w:sz="0" w:space="0" w:color="auto"/>
        <w:bottom w:val="none" w:sz="0" w:space="0" w:color="auto"/>
        <w:right w:val="none" w:sz="0" w:space="0" w:color="auto"/>
      </w:divBdr>
    </w:div>
    <w:div w:id="768744573">
      <w:bodyDiv w:val="1"/>
      <w:marLeft w:val="0"/>
      <w:marRight w:val="0"/>
      <w:marTop w:val="0"/>
      <w:marBottom w:val="0"/>
      <w:divBdr>
        <w:top w:val="none" w:sz="0" w:space="0" w:color="auto"/>
        <w:left w:val="none" w:sz="0" w:space="0" w:color="auto"/>
        <w:bottom w:val="none" w:sz="0" w:space="0" w:color="auto"/>
        <w:right w:val="none" w:sz="0" w:space="0" w:color="auto"/>
      </w:divBdr>
      <w:divsChild>
        <w:div w:id="2077239015">
          <w:marLeft w:val="0"/>
          <w:marRight w:val="0"/>
          <w:marTop w:val="120"/>
          <w:marBottom w:val="120"/>
          <w:divBdr>
            <w:top w:val="none" w:sz="0" w:space="0" w:color="auto"/>
            <w:left w:val="none" w:sz="0" w:space="0" w:color="auto"/>
            <w:bottom w:val="none" w:sz="0" w:space="0" w:color="auto"/>
            <w:right w:val="none" w:sz="0" w:space="0" w:color="auto"/>
          </w:divBdr>
        </w:div>
        <w:div w:id="59716716">
          <w:marLeft w:val="0"/>
          <w:marRight w:val="0"/>
          <w:marTop w:val="120"/>
          <w:marBottom w:val="120"/>
          <w:divBdr>
            <w:top w:val="none" w:sz="0" w:space="0" w:color="auto"/>
            <w:left w:val="none" w:sz="0" w:space="0" w:color="auto"/>
            <w:bottom w:val="none" w:sz="0" w:space="0" w:color="auto"/>
            <w:right w:val="none" w:sz="0" w:space="0" w:color="auto"/>
          </w:divBdr>
        </w:div>
      </w:divsChild>
    </w:div>
    <w:div w:id="770395450">
      <w:bodyDiv w:val="1"/>
      <w:marLeft w:val="0"/>
      <w:marRight w:val="0"/>
      <w:marTop w:val="0"/>
      <w:marBottom w:val="0"/>
      <w:divBdr>
        <w:top w:val="none" w:sz="0" w:space="0" w:color="auto"/>
        <w:left w:val="none" w:sz="0" w:space="0" w:color="auto"/>
        <w:bottom w:val="none" w:sz="0" w:space="0" w:color="auto"/>
        <w:right w:val="none" w:sz="0" w:space="0" w:color="auto"/>
      </w:divBdr>
      <w:divsChild>
        <w:div w:id="761098869">
          <w:marLeft w:val="0"/>
          <w:marRight w:val="0"/>
          <w:marTop w:val="0"/>
          <w:marBottom w:val="0"/>
          <w:divBdr>
            <w:top w:val="none" w:sz="0" w:space="0" w:color="auto"/>
            <w:left w:val="none" w:sz="0" w:space="0" w:color="auto"/>
            <w:bottom w:val="none" w:sz="0" w:space="0" w:color="auto"/>
            <w:right w:val="none" w:sz="0" w:space="0" w:color="auto"/>
          </w:divBdr>
          <w:divsChild>
            <w:div w:id="859588731">
              <w:marLeft w:val="0"/>
              <w:marRight w:val="0"/>
              <w:marTop w:val="0"/>
              <w:marBottom w:val="0"/>
              <w:divBdr>
                <w:top w:val="none" w:sz="0" w:space="0" w:color="auto"/>
                <w:left w:val="none" w:sz="0" w:space="0" w:color="auto"/>
                <w:bottom w:val="none" w:sz="0" w:space="0" w:color="auto"/>
                <w:right w:val="none" w:sz="0" w:space="0" w:color="auto"/>
              </w:divBdr>
              <w:divsChild>
                <w:div w:id="261766827">
                  <w:marLeft w:val="0"/>
                  <w:marRight w:val="0"/>
                  <w:marTop w:val="0"/>
                  <w:marBottom w:val="0"/>
                  <w:divBdr>
                    <w:top w:val="none" w:sz="0" w:space="0" w:color="auto"/>
                    <w:left w:val="none" w:sz="0" w:space="0" w:color="auto"/>
                    <w:bottom w:val="none" w:sz="0" w:space="0" w:color="auto"/>
                    <w:right w:val="none" w:sz="0" w:space="0" w:color="auto"/>
                  </w:divBdr>
                  <w:divsChild>
                    <w:div w:id="577447158">
                      <w:marLeft w:val="0"/>
                      <w:marRight w:val="0"/>
                      <w:marTop w:val="0"/>
                      <w:marBottom w:val="0"/>
                      <w:divBdr>
                        <w:top w:val="none" w:sz="0" w:space="0" w:color="auto"/>
                        <w:left w:val="none" w:sz="0" w:space="0" w:color="auto"/>
                        <w:bottom w:val="none" w:sz="0" w:space="0" w:color="auto"/>
                        <w:right w:val="none" w:sz="0" w:space="0" w:color="auto"/>
                      </w:divBdr>
                      <w:divsChild>
                        <w:div w:id="1861046702">
                          <w:marLeft w:val="0"/>
                          <w:marRight w:val="0"/>
                          <w:marTop w:val="0"/>
                          <w:marBottom w:val="0"/>
                          <w:divBdr>
                            <w:top w:val="none" w:sz="0" w:space="0" w:color="auto"/>
                            <w:left w:val="none" w:sz="0" w:space="0" w:color="auto"/>
                            <w:bottom w:val="none" w:sz="0" w:space="0" w:color="auto"/>
                            <w:right w:val="none" w:sz="0" w:space="0" w:color="auto"/>
                          </w:divBdr>
                          <w:divsChild>
                            <w:div w:id="1290742910">
                              <w:marLeft w:val="0"/>
                              <w:marRight w:val="0"/>
                              <w:marTop w:val="0"/>
                              <w:marBottom w:val="0"/>
                              <w:divBdr>
                                <w:top w:val="none" w:sz="0" w:space="0" w:color="auto"/>
                                <w:left w:val="none" w:sz="0" w:space="0" w:color="auto"/>
                                <w:bottom w:val="none" w:sz="0" w:space="0" w:color="auto"/>
                                <w:right w:val="none" w:sz="0" w:space="0" w:color="auto"/>
                              </w:divBdr>
                              <w:divsChild>
                                <w:div w:id="835456730">
                                  <w:marLeft w:val="0"/>
                                  <w:marRight w:val="0"/>
                                  <w:marTop w:val="0"/>
                                  <w:marBottom w:val="0"/>
                                  <w:divBdr>
                                    <w:top w:val="none" w:sz="0" w:space="0" w:color="auto"/>
                                    <w:left w:val="none" w:sz="0" w:space="0" w:color="auto"/>
                                    <w:bottom w:val="none" w:sz="0" w:space="0" w:color="auto"/>
                                    <w:right w:val="none" w:sz="0" w:space="0" w:color="auto"/>
                                  </w:divBdr>
                                  <w:divsChild>
                                    <w:div w:id="1348213610">
                                      <w:marLeft w:val="0"/>
                                      <w:marRight w:val="0"/>
                                      <w:marTop w:val="0"/>
                                      <w:marBottom w:val="0"/>
                                      <w:divBdr>
                                        <w:top w:val="none" w:sz="0" w:space="0" w:color="auto"/>
                                        <w:left w:val="none" w:sz="0" w:space="0" w:color="auto"/>
                                        <w:bottom w:val="none" w:sz="0" w:space="0" w:color="auto"/>
                                        <w:right w:val="none" w:sz="0" w:space="0" w:color="auto"/>
                                      </w:divBdr>
                                      <w:divsChild>
                                        <w:div w:id="2011759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73466305">
      <w:bodyDiv w:val="1"/>
      <w:marLeft w:val="0"/>
      <w:marRight w:val="0"/>
      <w:marTop w:val="0"/>
      <w:marBottom w:val="0"/>
      <w:divBdr>
        <w:top w:val="none" w:sz="0" w:space="0" w:color="auto"/>
        <w:left w:val="none" w:sz="0" w:space="0" w:color="auto"/>
        <w:bottom w:val="none" w:sz="0" w:space="0" w:color="auto"/>
        <w:right w:val="none" w:sz="0" w:space="0" w:color="auto"/>
      </w:divBdr>
    </w:div>
    <w:div w:id="1018775260">
      <w:bodyDiv w:val="1"/>
      <w:marLeft w:val="0"/>
      <w:marRight w:val="0"/>
      <w:marTop w:val="0"/>
      <w:marBottom w:val="0"/>
      <w:divBdr>
        <w:top w:val="none" w:sz="0" w:space="0" w:color="auto"/>
        <w:left w:val="none" w:sz="0" w:space="0" w:color="auto"/>
        <w:bottom w:val="none" w:sz="0" w:space="0" w:color="auto"/>
        <w:right w:val="none" w:sz="0" w:space="0" w:color="auto"/>
      </w:divBdr>
    </w:div>
    <w:div w:id="1085153164">
      <w:bodyDiv w:val="1"/>
      <w:marLeft w:val="0"/>
      <w:marRight w:val="0"/>
      <w:marTop w:val="0"/>
      <w:marBottom w:val="0"/>
      <w:divBdr>
        <w:top w:val="none" w:sz="0" w:space="0" w:color="auto"/>
        <w:left w:val="none" w:sz="0" w:space="0" w:color="auto"/>
        <w:bottom w:val="none" w:sz="0" w:space="0" w:color="auto"/>
        <w:right w:val="none" w:sz="0" w:space="0" w:color="auto"/>
      </w:divBdr>
      <w:divsChild>
        <w:div w:id="1640453710">
          <w:marLeft w:val="0"/>
          <w:marRight w:val="0"/>
          <w:marTop w:val="120"/>
          <w:marBottom w:val="120"/>
          <w:divBdr>
            <w:top w:val="none" w:sz="0" w:space="0" w:color="auto"/>
            <w:left w:val="none" w:sz="0" w:space="0" w:color="auto"/>
            <w:bottom w:val="none" w:sz="0" w:space="0" w:color="auto"/>
            <w:right w:val="none" w:sz="0" w:space="0" w:color="auto"/>
          </w:divBdr>
        </w:div>
        <w:div w:id="150756074">
          <w:marLeft w:val="0"/>
          <w:marRight w:val="0"/>
          <w:marTop w:val="120"/>
          <w:marBottom w:val="120"/>
          <w:divBdr>
            <w:top w:val="none" w:sz="0" w:space="0" w:color="auto"/>
            <w:left w:val="none" w:sz="0" w:space="0" w:color="auto"/>
            <w:bottom w:val="none" w:sz="0" w:space="0" w:color="auto"/>
            <w:right w:val="none" w:sz="0" w:space="0" w:color="auto"/>
          </w:divBdr>
        </w:div>
        <w:div w:id="1804076505">
          <w:marLeft w:val="0"/>
          <w:marRight w:val="0"/>
          <w:marTop w:val="120"/>
          <w:marBottom w:val="120"/>
          <w:divBdr>
            <w:top w:val="none" w:sz="0" w:space="0" w:color="auto"/>
            <w:left w:val="none" w:sz="0" w:space="0" w:color="auto"/>
            <w:bottom w:val="none" w:sz="0" w:space="0" w:color="auto"/>
            <w:right w:val="none" w:sz="0" w:space="0" w:color="auto"/>
          </w:divBdr>
        </w:div>
        <w:div w:id="1490245101">
          <w:marLeft w:val="0"/>
          <w:marRight w:val="0"/>
          <w:marTop w:val="120"/>
          <w:marBottom w:val="120"/>
          <w:divBdr>
            <w:top w:val="none" w:sz="0" w:space="0" w:color="auto"/>
            <w:left w:val="none" w:sz="0" w:space="0" w:color="auto"/>
            <w:bottom w:val="none" w:sz="0" w:space="0" w:color="auto"/>
            <w:right w:val="none" w:sz="0" w:space="0" w:color="auto"/>
          </w:divBdr>
        </w:div>
        <w:div w:id="413278923">
          <w:marLeft w:val="0"/>
          <w:marRight w:val="0"/>
          <w:marTop w:val="120"/>
          <w:marBottom w:val="120"/>
          <w:divBdr>
            <w:top w:val="none" w:sz="0" w:space="0" w:color="auto"/>
            <w:left w:val="none" w:sz="0" w:space="0" w:color="auto"/>
            <w:bottom w:val="none" w:sz="0" w:space="0" w:color="auto"/>
            <w:right w:val="none" w:sz="0" w:space="0" w:color="auto"/>
          </w:divBdr>
        </w:div>
        <w:div w:id="1414281651">
          <w:marLeft w:val="0"/>
          <w:marRight w:val="0"/>
          <w:marTop w:val="120"/>
          <w:marBottom w:val="120"/>
          <w:divBdr>
            <w:top w:val="none" w:sz="0" w:space="0" w:color="auto"/>
            <w:left w:val="none" w:sz="0" w:space="0" w:color="auto"/>
            <w:bottom w:val="none" w:sz="0" w:space="0" w:color="auto"/>
            <w:right w:val="none" w:sz="0" w:space="0" w:color="auto"/>
          </w:divBdr>
        </w:div>
        <w:div w:id="634601817">
          <w:marLeft w:val="0"/>
          <w:marRight w:val="0"/>
          <w:marTop w:val="120"/>
          <w:marBottom w:val="120"/>
          <w:divBdr>
            <w:top w:val="none" w:sz="0" w:space="0" w:color="auto"/>
            <w:left w:val="none" w:sz="0" w:space="0" w:color="auto"/>
            <w:bottom w:val="none" w:sz="0" w:space="0" w:color="auto"/>
            <w:right w:val="none" w:sz="0" w:space="0" w:color="auto"/>
          </w:divBdr>
        </w:div>
        <w:div w:id="60716931">
          <w:marLeft w:val="0"/>
          <w:marRight w:val="0"/>
          <w:marTop w:val="120"/>
          <w:marBottom w:val="120"/>
          <w:divBdr>
            <w:top w:val="none" w:sz="0" w:space="0" w:color="auto"/>
            <w:left w:val="none" w:sz="0" w:space="0" w:color="auto"/>
            <w:bottom w:val="none" w:sz="0" w:space="0" w:color="auto"/>
            <w:right w:val="none" w:sz="0" w:space="0" w:color="auto"/>
          </w:divBdr>
        </w:div>
        <w:div w:id="260913677">
          <w:marLeft w:val="0"/>
          <w:marRight w:val="0"/>
          <w:marTop w:val="120"/>
          <w:marBottom w:val="120"/>
          <w:divBdr>
            <w:top w:val="none" w:sz="0" w:space="0" w:color="auto"/>
            <w:left w:val="none" w:sz="0" w:space="0" w:color="auto"/>
            <w:bottom w:val="none" w:sz="0" w:space="0" w:color="auto"/>
            <w:right w:val="none" w:sz="0" w:space="0" w:color="auto"/>
          </w:divBdr>
        </w:div>
        <w:div w:id="733160033">
          <w:marLeft w:val="0"/>
          <w:marRight w:val="0"/>
          <w:marTop w:val="120"/>
          <w:marBottom w:val="120"/>
          <w:divBdr>
            <w:top w:val="none" w:sz="0" w:space="0" w:color="auto"/>
            <w:left w:val="none" w:sz="0" w:space="0" w:color="auto"/>
            <w:bottom w:val="none" w:sz="0" w:space="0" w:color="auto"/>
            <w:right w:val="none" w:sz="0" w:space="0" w:color="auto"/>
          </w:divBdr>
        </w:div>
        <w:div w:id="1678459581">
          <w:marLeft w:val="0"/>
          <w:marRight w:val="0"/>
          <w:marTop w:val="120"/>
          <w:marBottom w:val="120"/>
          <w:divBdr>
            <w:top w:val="none" w:sz="0" w:space="0" w:color="auto"/>
            <w:left w:val="none" w:sz="0" w:space="0" w:color="auto"/>
            <w:bottom w:val="none" w:sz="0" w:space="0" w:color="auto"/>
            <w:right w:val="none" w:sz="0" w:space="0" w:color="auto"/>
          </w:divBdr>
        </w:div>
        <w:div w:id="1993941731">
          <w:marLeft w:val="0"/>
          <w:marRight w:val="0"/>
          <w:marTop w:val="120"/>
          <w:marBottom w:val="120"/>
          <w:divBdr>
            <w:top w:val="none" w:sz="0" w:space="0" w:color="auto"/>
            <w:left w:val="none" w:sz="0" w:space="0" w:color="auto"/>
            <w:bottom w:val="none" w:sz="0" w:space="0" w:color="auto"/>
            <w:right w:val="none" w:sz="0" w:space="0" w:color="auto"/>
          </w:divBdr>
        </w:div>
        <w:div w:id="1614705038">
          <w:marLeft w:val="0"/>
          <w:marRight w:val="0"/>
          <w:marTop w:val="120"/>
          <w:marBottom w:val="120"/>
          <w:divBdr>
            <w:top w:val="none" w:sz="0" w:space="0" w:color="auto"/>
            <w:left w:val="none" w:sz="0" w:space="0" w:color="auto"/>
            <w:bottom w:val="none" w:sz="0" w:space="0" w:color="auto"/>
            <w:right w:val="none" w:sz="0" w:space="0" w:color="auto"/>
          </w:divBdr>
        </w:div>
        <w:div w:id="1920405297">
          <w:marLeft w:val="0"/>
          <w:marRight w:val="0"/>
          <w:marTop w:val="120"/>
          <w:marBottom w:val="120"/>
          <w:divBdr>
            <w:top w:val="none" w:sz="0" w:space="0" w:color="auto"/>
            <w:left w:val="none" w:sz="0" w:space="0" w:color="auto"/>
            <w:bottom w:val="none" w:sz="0" w:space="0" w:color="auto"/>
            <w:right w:val="none" w:sz="0" w:space="0" w:color="auto"/>
          </w:divBdr>
        </w:div>
        <w:div w:id="1459105859">
          <w:marLeft w:val="0"/>
          <w:marRight w:val="0"/>
          <w:marTop w:val="120"/>
          <w:marBottom w:val="120"/>
          <w:divBdr>
            <w:top w:val="none" w:sz="0" w:space="0" w:color="auto"/>
            <w:left w:val="none" w:sz="0" w:space="0" w:color="auto"/>
            <w:bottom w:val="none" w:sz="0" w:space="0" w:color="auto"/>
            <w:right w:val="none" w:sz="0" w:space="0" w:color="auto"/>
          </w:divBdr>
        </w:div>
        <w:div w:id="117649830">
          <w:marLeft w:val="0"/>
          <w:marRight w:val="0"/>
          <w:marTop w:val="120"/>
          <w:marBottom w:val="120"/>
          <w:divBdr>
            <w:top w:val="none" w:sz="0" w:space="0" w:color="auto"/>
            <w:left w:val="none" w:sz="0" w:space="0" w:color="auto"/>
            <w:bottom w:val="none" w:sz="0" w:space="0" w:color="auto"/>
            <w:right w:val="none" w:sz="0" w:space="0" w:color="auto"/>
          </w:divBdr>
        </w:div>
        <w:div w:id="988050097">
          <w:marLeft w:val="0"/>
          <w:marRight w:val="0"/>
          <w:marTop w:val="120"/>
          <w:marBottom w:val="120"/>
          <w:divBdr>
            <w:top w:val="none" w:sz="0" w:space="0" w:color="auto"/>
            <w:left w:val="none" w:sz="0" w:space="0" w:color="auto"/>
            <w:bottom w:val="none" w:sz="0" w:space="0" w:color="auto"/>
            <w:right w:val="none" w:sz="0" w:space="0" w:color="auto"/>
          </w:divBdr>
        </w:div>
        <w:div w:id="455834148">
          <w:marLeft w:val="0"/>
          <w:marRight w:val="0"/>
          <w:marTop w:val="120"/>
          <w:marBottom w:val="120"/>
          <w:divBdr>
            <w:top w:val="none" w:sz="0" w:space="0" w:color="auto"/>
            <w:left w:val="none" w:sz="0" w:space="0" w:color="auto"/>
            <w:bottom w:val="none" w:sz="0" w:space="0" w:color="auto"/>
            <w:right w:val="none" w:sz="0" w:space="0" w:color="auto"/>
          </w:divBdr>
        </w:div>
        <w:div w:id="1981029884">
          <w:marLeft w:val="0"/>
          <w:marRight w:val="0"/>
          <w:marTop w:val="120"/>
          <w:marBottom w:val="120"/>
          <w:divBdr>
            <w:top w:val="none" w:sz="0" w:space="0" w:color="auto"/>
            <w:left w:val="none" w:sz="0" w:space="0" w:color="auto"/>
            <w:bottom w:val="none" w:sz="0" w:space="0" w:color="auto"/>
            <w:right w:val="none" w:sz="0" w:space="0" w:color="auto"/>
          </w:divBdr>
        </w:div>
        <w:div w:id="1711149698">
          <w:marLeft w:val="0"/>
          <w:marRight w:val="0"/>
          <w:marTop w:val="120"/>
          <w:marBottom w:val="120"/>
          <w:divBdr>
            <w:top w:val="none" w:sz="0" w:space="0" w:color="auto"/>
            <w:left w:val="none" w:sz="0" w:space="0" w:color="auto"/>
            <w:bottom w:val="none" w:sz="0" w:space="0" w:color="auto"/>
            <w:right w:val="none" w:sz="0" w:space="0" w:color="auto"/>
          </w:divBdr>
        </w:div>
        <w:div w:id="257834938">
          <w:marLeft w:val="0"/>
          <w:marRight w:val="0"/>
          <w:marTop w:val="120"/>
          <w:marBottom w:val="120"/>
          <w:divBdr>
            <w:top w:val="none" w:sz="0" w:space="0" w:color="auto"/>
            <w:left w:val="none" w:sz="0" w:space="0" w:color="auto"/>
            <w:bottom w:val="none" w:sz="0" w:space="0" w:color="auto"/>
            <w:right w:val="none" w:sz="0" w:space="0" w:color="auto"/>
          </w:divBdr>
        </w:div>
        <w:div w:id="1543708518">
          <w:marLeft w:val="0"/>
          <w:marRight w:val="0"/>
          <w:marTop w:val="120"/>
          <w:marBottom w:val="120"/>
          <w:divBdr>
            <w:top w:val="none" w:sz="0" w:space="0" w:color="auto"/>
            <w:left w:val="none" w:sz="0" w:space="0" w:color="auto"/>
            <w:bottom w:val="none" w:sz="0" w:space="0" w:color="auto"/>
            <w:right w:val="none" w:sz="0" w:space="0" w:color="auto"/>
          </w:divBdr>
        </w:div>
        <w:div w:id="364334593">
          <w:marLeft w:val="0"/>
          <w:marRight w:val="0"/>
          <w:marTop w:val="120"/>
          <w:marBottom w:val="120"/>
          <w:divBdr>
            <w:top w:val="none" w:sz="0" w:space="0" w:color="auto"/>
            <w:left w:val="none" w:sz="0" w:space="0" w:color="auto"/>
            <w:bottom w:val="none" w:sz="0" w:space="0" w:color="auto"/>
            <w:right w:val="none" w:sz="0" w:space="0" w:color="auto"/>
          </w:divBdr>
        </w:div>
        <w:div w:id="591084549">
          <w:marLeft w:val="0"/>
          <w:marRight w:val="0"/>
          <w:marTop w:val="120"/>
          <w:marBottom w:val="120"/>
          <w:divBdr>
            <w:top w:val="none" w:sz="0" w:space="0" w:color="auto"/>
            <w:left w:val="none" w:sz="0" w:space="0" w:color="auto"/>
            <w:bottom w:val="none" w:sz="0" w:space="0" w:color="auto"/>
            <w:right w:val="none" w:sz="0" w:space="0" w:color="auto"/>
          </w:divBdr>
        </w:div>
        <w:div w:id="422384894">
          <w:marLeft w:val="0"/>
          <w:marRight w:val="0"/>
          <w:marTop w:val="120"/>
          <w:marBottom w:val="120"/>
          <w:divBdr>
            <w:top w:val="none" w:sz="0" w:space="0" w:color="auto"/>
            <w:left w:val="none" w:sz="0" w:space="0" w:color="auto"/>
            <w:bottom w:val="none" w:sz="0" w:space="0" w:color="auto"/>
            <w:right w:val="none" w:sz="0" w:space="0" w:color="auto"/>
          </w:divBdr>
        </w:div>
        <w:div w:id="1378628930">
          <w:marLeft w:val="0"/>
          <w:marRight w:val="0"/>
          <w:marTop w:val="120"/>
          <w:marBottom w:val="120"/>
          <w:divBdr>
            <w:top w:val="none" w:sz="0" w:space="0" w:color="auto"/>
            <w:left w:val="none" w:sz="0" w:space="0" w:color="auto"/>
            <w:bottom w:val="none" w:sz="0" w:space="0" w:color="auto"/>
            <w:right w:val="none" w:sz="0" w:space="0" w:color="auto"/>
          </w:divBdr>
        </w:div>
        <w:div w:id="872349733">
          <w:marLeft w:val="0"/>
          <w:marRight w:val="0"/>
          <w:marTop w:val="120"/>
          <w:marBottom w:val="120"/>
          <w:divBdr>
            <w:top w:val="none" w:sz="0" w:space="0" w:color="auto"/>
            <w:left w:val="none" w:sz="0" w:space="0" w:color="auto"/>
            <w:bottom w:val="none" w:sz="0" w:space="0" w:color="auto"/>
            <w:right w:val="none" w:sz="0" w:space="0" w:color="auto"/>
          </w:divBdr>
        </w:div>
        <w:div w:id="100881884">
          <w:marLeft w:val="0"/>
          <w:marRight w:val="0"/>
          <w:marTop w:val="120"/>
          <w:marBottom w:val="120"/>
          <w:divBdr>
            <w:top w:val="none" w:sz="0" w:space="0" w:color="auto"/>
            <w:left w:val="none" w:sz="0" w:space="0" w:color="auto"/>
            <w:bottom w:val="none" w:sz="0" w:space="0" w:color="auto"/>
            <w:right w:val="none" w:sz="0" w:space="0" w:color="auto"/>
          </w:divBdr>
        </w:div>
        <w:div w:id="2014407576">
          <w:marLeft w:val="0"/>
          <w:marRight w:val="0"/>
          <w:marTop w:val="120"/>
          <w:marBottom w:val="120"/>
          <w:divBdr>
            <w:top w:val="none" w:sz="0" w:space="0" w:color="auto"/>
            <w:left w:val="none" w:sz="0" w:space="0" w:color="auto"/>
            <w:bottom w:val="none" w:sz="0" w:space="0" w:color="auto"/>
            <w:right w:val="none" w:sz="0" w:space="0" w:color="auto"/>
          </w:divBdr>
        </w:div>
      </w:divsChild>
    </w:div>
    <w:div w:id="1174297145">
      <w:bodyDiv w:val="1"/>
      <w:marLeft w:val="0"/>
      <w:marRight w:val="0"/>
      <w:marTop w:val="0"/>
      <w:marBottom w:val="0"/>
      <w:divBdr>
        <w:top w:val="none" w:sz="0" w:space="0" w:color="auto"/>
        <w:left w:val="none" w:sz="0" w:space="0" w:color="auto"/>
        <w:bottom w:val="none" w:sz="0" w:space="0" w:color="auto"/>
        <w:right w:val="none" w:sz="0" w:space="0" w:color="auto"/>
      </w:divBdr>
    </w:div>
    <w:div w:id="1219130882">
      <w:bodyDiv w:val="1"/>
      <w:marLeft w:val="0"/>
      <w:marRight w:val="0"/>
      <w:marTop w:val="0"/>
      <w:marBottom w:val="0"/>
      <w:divBdr>
        <w:top w:val="none" w:sz="0" w:space="0" w:color="auto"/>
        <w:left w:val="none" w:sz="0" w:space="0" w:color="auto"/>
        <w:bottom w:val="none" w:sz="0" w:space="0" w:color="auto"/>
        <w:right w:val="none" w:sz="0" w:space="0" w:color="auto"/>
      </w:divBdr>
      <w:divsChild>
        <w:div w:id="530069849">
          <w:marLeft w:val="0"/>
          <w:marRight w:val="0"/>
          <w:marTop w:val="120"/>
          <w:marBottom w:val="120"/>
          <w:divBdr>
            <w:top w:val="none" w:sz="0" w:space="0" w:color="auto"/>
            <w:left w:val="none" w:sz="0" w:space="0" w:color="auto"/>
            <w:bottom w:val="none" w:sz="0" w:space="0" w:color="auto"/>
            <w:right w:val="none" w:sz="0" w:space="0" w:color="auto"/>
          </w:divBdr>
        </w:div>
        <w:div w:id="382027732">
          <w:marLeft w:val="0"/>
          <w:marRight w:val="0"/>
          <w:marTop w:val="120"/>
          <w:marBottom w:val="120"/>
          <w:divBdr>
            <w:top w:val="none" w:sz="0" w:space="0" w:color="auto"/>
            <w:left w:val="none" w:sz="0" w:space="0" w:color="auto"/>
            <w:bottom w:val="none" w:sz="0" w:space="0" w:color="auto"/>
            <w:right w:val="none" w:sz="0" w:space="0" w:color="auto"/>
          </w:divBdr>
        </w:div>
        <w:div w:id="762451981">
          <w:marLeft w:val="0"/>
          <w:marRight w:val="0"/>
          <w:marTop w:val="120"/>
          <w:marBottom w:val="120"/>
          <w:divBdr>
            <w:top w:val="none" w:sz="0" w:space="0" w:color="auto"/>
            <w:left w:val="none" w:sz="0" w:space="0" w:color="auto"/>
            <w:bottom w:val="none" w:sz="0" w:space="0" w:color="auto"/>
            <w:right w:val="none" w:sz="0" w:space="0" w:color="auto"/>
          </w:divBdr>
        </w:div>
      </w:divsChild>
    </w:div>
    <w:div w:id="1433891137">
      <w:bodyDiv w:val="1"/>
      <w:marLeft w:val="0"/>
      <w:marRight w:val="0"/>
      <w:marTop w:val="0"/>
      <w:marBottom w:val="0"/>
      <w:divBdr>
        <w:top w:val="none" w:sz="0" w:space="0" w:color="auto"/>
        <w:left w:val="none" w:sz="0" w:space="0" w:color="auto"/>
        <w:bottom w:val="none" w:sz="0" w:space="0" w:color="auto"/>
        <w:right w:val="none" w:sz="0" w:space="0" w:color="auto"/>
      </w:divBdr>
      <w:divsChild>
        <w:div w:id="1059015093">
          <w:marLeft w:val="0"/>
          <w:marRight w:val="0"/>
          <w:marTop w:val="0"/>
          <w:marBottom w:val="0"/>
          <w:divBdr>
            <w:top w:val="none" w:sz="0" w:space="0" w:color="auto"/>
            <w:left w:val="none" w:sz="0" w:space="0" w:color="auto"/>
            <w:bottom w:val="none" w:sz="0" w:space="0" w:color="auto"/>
            <w:right w:val="none" w:sz="0" w:space="0" w:color="auto"/>
          </w:divBdr>
          <w:divsChild>
            <w:div w:id="250700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414600">
      <w:bodyDiv w:val="1"/>
      <w:marLeft w:val="0"/>
      <w:marRight w:val="0"/>
      <w:marTop w:val="0"/>
      <w:marBottom w:val="0"/>
      <w:divBdr>
        <w:top w:val="none" w:sz="0" w:space="0" w:color="auto"/>
        <w:left w:val="none" w:sz="0" w:space="0" w:color="auto"/>
        <w:bottom w:val="none" w:sz="0" w:space="0" w:color="auto"/>
        <w:right w:val="none" w:sz="0" w:space="0" w:color="auto"/>
      </w:divBdr>
    </w:div>
    <w:div w:id="1590583042">
      <w:bodyDiv w:val="1"/>
      <w:marLeft w:val="0"/>
      <w:marRight w:val="0"/>
      <w:marTop w:val="0"/>
      <w:marBottom w:val="0"/>
      <w:divBdr>
        <w:top w:val="none" w:sz="0" w:space="0" w:color="auto"/>
        <w:left w:val="none" w:sz="0" w:space="0" w:color="auto"/>
        <w:bottom w:val="none" w:sz="0" w:space="0" w:color="auto"/>
        <w:right w:val="none" w:sz="0" w:space="0" w:color="auto"/>
      </w:divBdr>
    </w:div>
    <w:div w:id="1617103381">
      <w:bodyDiv w:val="1"/>
      <w:marLeft w:val="0"/>
      <w:marRight w:val="0"/>
      <w:marTop w:val="0"/>
      <w:marBottom w:val="0"/>
      <w:divBdr>
        <w:top w:val="none" w:sz="0" w:space="0" w:color="auto"/>
        <w:left w:val="none" w:sz="0" w:space="0" w:color="auto"/>
        <w:bottom w:val="none" w:sz="0" w:space="0" w:color="auto"/>
        <w:right w:val="none" w:sz="0" w:space="0" w:color="auto"/>
      </w:divBdr>
    </w:div>
    <w:div w:id="1731347920">
      <w:bodyDiv w:val="1"/>
      <w:marLeft w:val="0"/>
      <w:marRight w:val="0"/>
      <w:marTop w:val="0"/>
      <w:marBottom w:val="0"/>
      <w:divBdr>
        <w:top w:val="none" w:sz="0" w:space="0" w:color="auto"/>
        <w:left w:val="none" w:sz="0" w:space="0" w:color="auto"/>
        <w:bottom w:val="none" w:sz="0" w:space="0" w:color="auto"/>
        <w:right w:val="none" w:sz="0" w:space="0" w:color="auto"/>
      </w:divBdr>
    </w:div>
    <w:div w:id="1872304757">
      <w:bodyDiv w:val="1"/>
      <w:marLeft w:val="0"/>
      <w:marRight w:val="0"/>
      <w:marTop w:val="0"/>
      <w:marBottom w:val="0"/>
      <w:divBdr>
        <w:top w:val="none" w:sz="0" w:space="0" w:color="auto"/>
        <w:left w:val="none" w:sz="0" w:space="0" w:color="auto"/>
        <w:bottom w:val="none" w:sz="0" w:space="0" w:color="auto"/>
        <w:right w:val="none" w:sz="0" w:space="0" w:color="auto"/>
      </w:divBdr>
    </w:div>
    <w:div w:id="1884898906">
      <w:bodyDiv w:val="1"/>
      <w:marLeft w:val="0"/>
      <w:marRight w:val="0"/>
      <w:marTop w:val="0"/>
      <w:marBottom w:val="0"/>
      <w:divBdr>
        <w:top w:val="none" w:sz="0" w:space="0" w:color="auto"/>
        <w:left w:val="none" w:sz="0" w:space="0" w:color="auto"/>
        <w:bottom w:val="none" w:sz="0" w:space="0" w:color="auto"/>
        <w:right w:val="none" w:sz="0" w:space="0" w:color="auto"/>
      </w:divBdr>
      <w:divsChild>
        <w:div w:id="1082290316">
          <w:marLeft w:val="0"/>
          <w:marRight w:val="0"/>
          <w:marTop w:val="120"/>
          <w:marBottom w:val="120"/>
          <w:divBdr>
            <w:top w:val="none" w:sz="0" w:space="0" w:color="auto"/>
            <w:left w:val="none" w:sz="0" w:space="0" w:color="auto"/>
            <w:bottom w:val="none" w:sz="0" w:space="0" w:color="auto"/>
            <w:right w:val="none" w:sz="0" w:space="0" w:color="auto"/>
          </w:divBdr>
        </w:div>
        <w:div w:id="1165969864">
          <w:marLeft w:val="0"/>
          <w:marRight w:val="0"/>
          <w:marTop w:val="120"/>
          <w:marBottom w:val="120"/>
          <w:divBdr>
            <w:top w:val="none" w:sz="0" w:space="0" w:color="auto"/>
            <w:left w:val="none" w:sz="0" w:space="0" w:color="auto"/>
            <w:bottom w:val="none" w:sz="0" w:space="0" w:color="auto"/>
            <w:right w:val="none" w:sz="0" w:space="0" w:color="auto"/>
          </w:divBdr>
        </w:div>
        <w:div w:id="718163695">
          <w:marLeft w:val="0"/>
          <w:marRight w:val="0"/>
          <w:marTop w:val="120"/>
          <w:marBottom w:val="120"/>
          <w:divBdr>
            <w:top w:val="none" w:sz="0" w:space="0" w:color="auto"/>
            <w:left w:val="none" w:sz="0" w:space="0" w:color="auto"/>
            <w:bottom w:val="none" w:sz="0" w:space="0" w:color="auto"/>
            <w:right w:val="none" w:sz="0" w:space="0" w:color="auto"/>
          </w:divBdr>
        </w:div>
        <w:div w:id="1005204752">
          <w:marLeft w:val="0"/>
          <w:marRight w:val="0"/>
          <w:marTop w:val="120"/>
          <w:marBottom w:val="120"/>
          <w:divBdr>
            <w:top w:val="none" w:sz="0" w:space="0" w:color="auto"/>
            <w:left w:val="none" w:sz="0" w:space="0" w:color="auto"/>
            <w:bottom w:val="none" w:sz="0" w:space="0" w:color="auto"/>
            <w:right w:val="none" w:sz="0" w:space="0" w:color="auto"/>
          </w:divBdr>
        </w:div>
        <w:div w:id="903445461">
          <w:marLeft w:val="0"/>
          <w:marRight w:val="0"/>
          <w:marTop w:val="120"/>
          <w:marBottom w:val="120"/>
          <w:divBdr>
            <w:top w:val="none" w:sz="0" w:space="0" w:color="auto"/>
            <w:left w:val="none" w:sz="0" w:space="0" w:color="auto"/>
            <w:bottom w:val="none" w:sz="0" w:space="0" w:color="auto"/>
            <w:right w:val="none" w:sz="0" w:space="0" w:color="auto"/>
          </w:divBdr>
        </w:div>
        <w:div w:id="1338460179">
          <w:marLeft w:val="0"/>
          <w:marRight w:val="0"/>
          <w:marTop w:val="120"/>
          <w:marBottom w:val="120"/>
          <w:divBdr>
            <w:top w:val="none" w:sz="0" w:space="0" w:color="auto"/>
            <w:left w:val="none" w:sz="0" w:space="0" w:color="auto"/>
            <w:bottom w:val="none" w:sz="0" w:space="0" w:color="auto"/>
            <w:right w:val="none" w:sz="0" w:space="0" w:color="auto"/>
          </w:divBdr>
        </w:div>
        <w:div w:id="380134133">
          <w:marLeft w:val="0"/>
          <w:marRight w:val="0"/>
          <w:marTop w:val="120"/>
          <w:marBottom w:val="120"/>
          <w:divBdr>
            <w:top w:val="none" w:sz="0" w:space="0" w:color="auto"/>
            <w:left w:val="none" w:sz="0" w:space="0" w:color="auto"/>
            <w:bottom w:val="none" w:sz="0" w:space="0" w:color="auto"/>
            <w:right w:val="none" w:sz="0" w:space="0" w:color="auto"/>
          </w:divBdr>
        </w:div>
        <w:div w:id="2062746337">
          <w:marLeft w:val="0"/>
          <w:marRight w:val="0"/>
          <w:marTop w:val="120"/>
          <w:marBottom w:val="120"/>
          <w:divBdr>
            <w:top w:val="none" w:sz="0" w:space="0" w:color="auto"/>
            <w:left w:val="none" w:sz="0" w:space="0" w:color="auto"/>
            <w:bottom w:val="none" w:sz="0" w:space="0" w:color="auto"/>
            <w:right w:val="none" w:sz="0" w:space="0" w:color="auto"/>
          </w:divBdr>
        </w:div>
        <w:div w:id="91242776">
          <w:marLeft w:val="0"/>
          <w:marRight w:val="0"/>
          <w:marTop w:val="120"/>
          <w:marBottom w:val="120"/>
          <w:divBdr>
            <w:top w:val="none" w:sz="0" w:space="0" w:color="auto"/>
            <w:left w:val="none" w:sz="0" w:space="0" w:color="auto"/>
            <w:bottom w:val="none" w:sz="0" w:space="0" w:color="auto"/>
            <w:right w:val="none" w:sz="0" w:space="0" w:color="auto"/>
          </w:divBdr>
        </w:div>
        <w:div w:id="1599678493">
          <w:marLeft w:val="0"/>
          <w:marRight w:val="0"/>
          <w:marTop w:val="120"/>
          <w:marBottom w:val="120"/>
          <w:divBdr>
            <w:top w:val="none" w:sz="0" w:space="0" w:color="auto"/>
            <w:left w:val="none" w:sz="0" w:space="0" w:color="auto"/>
            <w:bottom w:val="none" w:sz="0" w:space="0" w:color="auto"/>
            <w:right w:val="none" w:sz="0" w:space="0" w:color="auto"/>
          </w:divBdr>
        </w:div>
        <w:div w:id="2000305883">
          <w:marLeft w:val="0"/>
          <w:marRight w:val="0"/>
          <w:marTop w:val="120"/>
          <w:marBottom w:val="120"/>
          <w:divBdr>
            <w:top w:val="none" w:sz="0" w:space="0" w:color="auto"/>
            <w:left w:val="none" w:sz="0" w:space="0" w:color="auto"/>
            <w:bottom w:val="none" w:sz="0" w:space="0" w:color="auto"/>
            <w:right w:val="none" w:sz="0" w:space="0" w:color="auto"/>
          </w:divBdr>
        </w:div>
      </w:divsChild>
    </w:div>
    <w:div w:id="2026858390">
      <w:bodyDiv w:val="1"/>
      <w:marLeft w:val="0"/>
      <w:marRight w:val="0"/>
      <w:marTop w:val="0"/>
      <w:marBottom w:val="0"/>
      <w:divBdr>
        <w:top w:val="none" w:sz="0" w:space="0" w:color="auto"/>
        <w:left w:val="none" w:sz="0" w:space="0" w:color="auto"/>
        <w:bottom w:val="none" w:sz="0" w:space="0" w:color="auto"/>
        <w:right w:val="none" w:sz="0" w:space="0" w:color="auto"/>
      </w:divBdr>
    </w:div>
    <w:div w:id="2076270027">
      <w:bodyDiv w:val="1"/>
      <w:marLeft w:val="0"/>
      <w:marRight w:val="0"/>
      <w:marTop w:val="0"/>
      <w:marBottom w:val="0"/>
      <w:divBdr>
        <w:top w:val="none" w:sz="0" w:space="0" w:color="auto"/>
        <w:left w:val="none" w:sz="0" w:space="0" w:color="auto"/>
        <w:bottom w:val="none" w:sz="0" w:space="0" w:color="auto"/>
        <w:right w:val="none" w:sz="0" w:space="0" w:color="auto"/>
      </w:divBdr>
      <w:divsChild>
        <w:div w:id="772212359">
          <w:marLeft w:val="0"/>
          <w:marRight w:val="0"/>
          <w:marTop w:val="0"/>
          <w:marBottom w:val="0"/>
          <w:divBdr>
            <w:top w:val="none" w:sz="0" w:space="0" w:color="auto"/>
            <w:left w:val="none" w:sz="0" w:space="0" w:color="auto"/>
            <w:bottom w:val="none" w:sz="0" w:space="0" w:color="auto"/>
            <w:right w:val="none" w:sz="0" w:space="0" w:color="auto"/>
          </w:divBdr>
          <w:divsChild>
            <w:div w:id="2061828207">
              <w:marLeft w:val="0"/>
              <w:marRight w:val="0"/>
              <w:marTop w:val="0"/>
              <w:marBottom w:val="0"/>
              <w:divBdr>
                <w:top w:val="none" w:sz="0" w:space="0" w:color="auto"/>
                <w:left w:val="none" w:sz="0" w:space="0" w:color="auto"/>
                <w:bottom w:val="none" w:sz="0" w:space="0" w:color="auto"/>
                <w:right w:val="none" w:sz="0" w:space="0" w:color="auto"/>
              </w:divBdr>
              <w:divsChild>
                <w:div w:id="790513092">
                  <w:marLeft w:val="0"/>
                  <w:marRight w:val="0"/>
                  <w:marTop w:val="0"/>
                  <w:marBottom w:val="0"/>
                  <w:divBdr>
                    <w:top w:val="none" w:sz="0" w:space="0" w:color="auto"/>
                    <w:left w:val="none" w:sz="0" w:space="0" w:color="auto"/>
                    <w:bottom w:val="none" w:sz="0" w:space="0" w:color="auto"/>
                    <w:right w:val="none" w:sz="0" w:space="0" w:color="auto"/>
                  </w:divBdr>
                  <w:divsChild>
                    <w:div w:id="1577858360">
                      <w:marLeft w:val="0"/>
                      <w:marRight w:val="0"/>
                      <w:marTop w:val="0"/>
                      <w:marBottom w:val="0"/>
                      <w:divBdr>
                        <w:top w:val="none" w:sz="0" w:space="0" w:color="auto"/>
                        <w:left w:val="none" w:sz="0" w:space="0" w:color="auto"/>
                        <w:bottom w:val="none" w:sz="0" w:space="0" w:color="auto"/>
                        <w:right w:val="none" w:sz="0" w:space="0" w:color="auto"/>
                      </w:divBdr>
                      <w:divsChild>
                        <w:div w:id="1447699474">
                          <w:marLeft w:val="0"/>
                          <w:marRight w:val="0"/>
                          <w:marTop w:val="0"/>
                          <w:marBottom w:val="0"/>
                          <w:divBdr>
                            <w:top w:val="none" w:sz="0" w:space="0" w:color="auto"/>
                            <w:left w:val="none" w:sz="0" w:space="0" w:color="auto"/>
                            <w:bottom w:val="none" w:sz="0" w:space="0" w:color="auto"/>
                            <w:right w:val="none" w:sz="0" w:space="0" w:color="auto"/>
                          </w:divBdr>
                          <w:divsChild>
                            <w:div w:id="2055806079">
                              <w:marLeft w:val="0"/>
                              <w:marRight w:val="0"/>
                              <w:marTop w:val="0"/>
                              <w:marBottom w:val="0"/>
                              <w:divBdr>
                                <w:top w:val="none" w:sz="0" w:space="0" w:color="auto"/>
                                <w:left w:val="none" w:sz="0" w:space="0" w:color="auto"/>
                                <w:bottom w:val="none" w:sz="0" w:space="0" w:color="auto"/>
                                <w:right w:val="none" w:sz="0" w:space="0" w:color="auto"/>
                              </w:divBdr>
                              <w:divsChild>
                                <w:div w:id="135684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0370797">
              <w:marLeft w:val="0"/>
              <w:marRight w:val="0"/>
              <w:marTop w:val="0"/>
              <w:marBottom w:val="0"/>
              <w:divBdr>
                <w:top w:val="none" w:sz="0" w:space="0" w:color="auto"/>
                <w:left w:val="none" w:sz="0" w:space="0" w:color="auto"/>
                <w:bottom w:val="none" w:sz="0" w:space="0" w:color="auto"/>
                <w:right w:val="none" w:sz="0" w:space="0" w:color="auto"/>
              </w:divBdr>
              <w:divsChild>
                <w:div w:id="205914795">
                  <w:marLeft w:val="0"/>
                  <w:marRight w:val="0"/>
                  <w:marTop w:val="0"/>
                  <w:marBottom w:val="0"/>
                  <w:divBdr>
                    <w:top w:val="none" w:sz="0" w:space="0" w:color="auto"/>
                    <w:left w:val="none" w:sz="0" w:space="0" w:color="auto"/>
                    <w:bottom w:val="none" w:sz="0" w:space="0" w:color="auto"/>
                    <w:right w:val="none" w:sz="0" w:space="0" w:color="auto"/>
                  </w:divBdr>
                  <w:divsChild>
                    <w:div w:id="1662467433">
                      <w:marLeft w:val="0"/>
                      <w:marRight w:val="0"/>
                      <w:marTop w:val="0"/>
                      <w:marBottom w:val="0"/>
                      <w:divBdr>
                        <w:top w:val="none" w:sz="0" w:space="0" w:color="auto"/>
                        <w:left w:val="none" w:sz="0" w:space="0" w:color="auto"/>
                        <w:bottom w:val="none" w:sz="0" w:space="0" w:color="auto"/>
                        <w:right w:val="none" w:sz="0" w:space="0" w:color="auto"/>
                      </w:divBdr>
                      <w:divsChild>
                        <w:div w:id="114099133">
                          <w:marLeft w:val="0"/>
                          <w:marRight w:val="0"/>
                          <w:marTop w:val="0"/>
                          <w:marBottom w:val="0"/>
                          <w:divBdr>
                            <w:top w:val="none" w:sz="0" w:space="0" w:color="auto"/>
                            <w:left w:val="none" w:sz="0" w:space="0" w:color="auto"/>
                            <w:bottom w:val="none" w:sz="0" w:space="0" w:color="auto"/>
                            <w:right w:val="none" w:sz="0" w:space="0" w:color="auto"/>
                          </w:divBdr>
                          <w:divsChild>
                            <w:div w:id="2102291991">
                              <w:marLeft w:val="0"/>
                              <w:marRight w:val="0"/>
                              <w:marTop w:val="0"/>
                              <w:marBottom w:val="0"/>
                              <w:divBdr>
                                <w:top w:val="none" w:sz="0" w:space="0" w:color="auto"/>
                                <w:left w:val="none" w:sz="0" w:space="0" w:color="auto"/>
                                <w:bottom w:val="none" w:sz="0" w:space="0" w:color="auto"/>
                                <w:right w:val="none" w:sz="0" w:space="0" w:color="auto"/>
                              </w:divBdr>
                              <w:divsChild>
                                <w:div w:id="1145242624">
                                  <w:marLeft w:val="0"/>
                                  <w:marRight w:val="0"/>
                                  <w:marTop w:val="0"/>
                                  <w:marBottom w:val="0"/>
                                  <w:divBdr>
                                    <w:top w:val="none" w:sz="0" w:space="0" w:color="auto"/>
                                    <w:left w:val="none" w:sz="0" w:space="0" w:color="auto"/>
                                    <w:bottom w:val="none" w:sz="0" w:space="0" w:color="auto"/>
                                    <w:right w:val="none" w:sz="0" w:space="0" w:color="auto"/>
                                  </w:divBdr>
                                  <w:divsChild>
                                    <w:div w:id="935214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7486814">
              <w:marLeft w:val="0"/>
              <w:marRight w:val="0"/>
              <w:marTop w:val="0"/>
              <w:marBottom w:val="0"/>
              <w:divBdr>
                <w:top w:val="none" w:sz="0" w:space="0" w:color="auto"/>
                <w:left w:val="none" w:sz="0" w:space="0" w:color="auto"/>
                <w:bottom w:val="none" w:sz="0" w:space="0" w:color="auto"/>
                <w:right w:val="none" w:sz="0" w:space="0" w:color="auto"/>
              </w:divBdr>
              <w:divsChild>
                <w:div w:id="613365375">
                  <w:marLeft w:val="0"/>
                  <w:marRight w:val="0"/>
                  <w:marTop w:val="0"/>
                  <w:marBottom w:val="0"/>
                  <w:divBdr>
                    <w:top w:val="none" w:sz="0" w:space="0" w:color="auto"/>
                    <w:left w:val="none" w:sz="0" w:space="0" w:color="auto"/>
                    <w:bottom w:val="none" w:sz="0" w:space="0" w:color="auto"/>
                    <w:right w:val="none" w:sz="0" w:space="0" w:color="auto"/>
                  </w:divBdr>
                  <w:divsChild>
                    <w:div w:id="1051854042">
                      <w:marLeft w:val="0"/>
                      <w:marRight w:val="0"/>
                      <w:marTop w:val="0"/>
                      <w:marBottom w:val="0"/>
                      <w:divBdr>
                        <w:top w:val="none" w:sz="0" w:space="0" w:color="auto"/>
                        <w:left w:val="none" w:sz="0" w:space="0" w:color="auto"/>
                        <w:bottom w:val="none" w:sz="0" w:space="0" w:color="auto"/>
                        <w:right w:val="none" w:sz="0" w:space="0" w:color="auto"/>
                      </w:divBdr>
                      <w:divsChild>
                        <w:div w:id="77143724">
                          <w:marLeft w:val="0"/>
                          <w:marRight w:val="0"/>
                          <w:marTop w:val="0"/>
                          <w:marBottom w:val="0"/>
                          <w:divBdr>
                            <w:top w:val="none" w:sz="0" w:space="0" w:color="auto"/>
                            <w:left w:val="none" w:sz="0" w:space="0" w:color="auto"/>
                            <w:bottom w:val="none" w:sz="0" w:space="0" w:color="auto"/>
                            <w:right w:val="none" w:sz="0" w:space="0" w:color="auto"/>
                          </w:divBdr>
                          <w:divsChild>
                            <w:div w:id="680009890">
                              <w:marLeft w:val="0"/>
                              <w:marRight w:val="0"/>
                              <w:marTop w:val="0"/>
                              <w:marBottom w:val="0"/>
                              <w:divBdr>
                                <w:top w:val="none" w:sz="0" w:space="0" w:color="auto"/>
                                <w:left w:val="none" w:sz="0" w:space="0" w:color="auto"/>
                                <w:bottom w:val="none" w:sz="0" w:space="0" w:color="auto"/>
                                <w:right w:val="none" w:sz="0" w:space="0" w:color="auto"/>
                              </w:divBdr>
                              <w:divsChild>
                                <w:div w:id="1049843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5955274">
      <w:bodyDiv w:val="1"/>
      <w:marLeft w:val="0"/>
      <w:marRight w:val="0"/>
      <w:marTop w:val="0"/>
      <w:marBottom w:val="0"/>
      <w:divBdr>
        <w:top w:val="none" w:sz="0" w:space="0" w:color="auto"/>
        <w:left w:val="none" w:sz="0" w:space="0" w:color="auto"/>
        <w:bottom w:val="none" w:sz="0" w:space="0" w:color="auto"/>
        <w:right w:val="none" w:sz="0" w:space="0" w:color="auto"/>
      </w:divBdr>
    </w:div>
    <w:div w:id="2141262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BFA74F2-ECD8-410F-A436-4425CF4EF1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6899</Words>
  <Characters>39326</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2026-03-02T15:23:00Z</dcterms:created>
  <dcterms:modified xsi:type="dcterms:W3CDTF">2026-03-25T23:43:00Z</dcterms:modified>
</cp:coreProperties>
</file>