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80A" w:rsidRDefault="004130FB" w:rsidP="004130FB">
      <w:pPr>
        <w:jc w:val="center"/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  <w:u w:val="single"/>
        </w:rPr>
        <w:t>Bibliography.</w:t>
      </w:r>
      <w:proofErr w:type="gramEnd"/>
    </w:p>
    <w:p w:rsidR="004130FB" w:rsidRPr="004130FB" w:rsidRDefault="004130FB" w:rsidP="004130FB">
      <w:pPr>
        <w:rPr>
          <w:sz w:val="24"/>
          <w:szCs w:val="24"/>
        </w:rPr>
      </w:pPr>
    </w:p>
    <w:p w:rsidR="004130FB" w:rsidRPr="004130FB" w:rsidRDefault="00755507" w:rsidP="004130FB">
      <w:pPr>
        <w:spacing w:line="360" w:lineRule="auto"/>
        <w:rPr>
          <w:rFonts w:cstheme="minorHAnsi"/>
          <w:sz w:val="24"/>
          <w:szCs w:val="24"/>
        </w:rPr>
      </w:pPr>
      <w:proofErr w:type="gramStart"/>
      <w:r w:rsidRPr="004130FB">
        <w:rPr>
          <w:rFonts w:cstheme="minorHAnsi"/>
          <w:sz w:val="24"/>
          <w:szCs w:val="24"/>
        </w:rPr>
        <w:t xml:space="preserve">Bernstein, J. S. (2007) </w:t>
      </w:r>
      <w:r w:rsidRPr="004130FB">
        <w:rPr>
          <w:rFonts w:cstheme="minorHAnsi"/>
          <w:i/>
          <w:sz w:val="24"/>
          <w:szCs w:val="24"/>
        </w:rPr>
        <w:t>Arts Marketing Insights.</w:t>
      </w:r>
      <w:proofErr w:type="gramEnd"/>
      <w:r w:rsidRPr="004130FB">
        <w:rPr>
          <w:rFonts w:cstheme="minorHAnsi"/>
          <w:i/>
          <w:sz w:val="24"/>
          <w:szCs w:val="24"/>
        </w:rPr>
        <w:t xml:space="preserve"> </w:t>
      </w:r>
      <w:r w:rsidRPr="004130FB">
        <w:rPr>
          <w:rFonts w:cstheme="minorHAnsi"/>
          <w:sz w:val="24"/>
          <w:szCs w:val="24"/>
        </w:rPr>
        <w:t xml:space="preserve">San </w:t>
      </w:r>
      <w:r w:rsidR="00664FEE" w:rsidRPr="004130FB">
        <w:rPr>
          <w:rFonts w:cstheme="minorHAnsi"/>
          <w:sz w:val="24"/>
          <w:szCs w:val="24"/>
        </w:rPr>
        <w:t>Francisco</w:t>
      </w:r>
      <w:r w:rsidRPr="004130FB">
        <w:rPr>
          <w:rFonts w:cstheme="minorHAnsi"/>
          <w:sz w:val="24"/>
          <w:szCs w:val="24"/>
        </w:rPr>
        <w:t>: Wiley.</w:t>
      </w:r>
    </w:p>
    <w:p w:rsidR="0063480A" w:rsidRPr="004130FB" w:rsidRDefault="0063480A" w:rsidP="004130FB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4130FB">
        <w:rPr>
          <w:rFonts w:cstheme="minorHAnsi"/>
          <w:sz w:val="24"/>
          <w:szCs w:val="24"/>
        </w:rPr>
        <w:t>Broadhurst</w:t>
      </w:r>
      <w:proofErr w:type="spellEnd"/>
      <w:r w:rsidRPr="004130FB">
        <w:rPr>
          <w:rFonts w:cstheme="minorHAnsi"/>
          <w:sz w:val="24"/>
          <w:szCs w:val="24"/>
        </w:rPr>
        <w:t xml:space="preserve">, S. (1999) </w:t>
      </w:r>
      <w:proofErr w:type="spellStart"/>
      <w:r w:rsidRPr="004130FB">
        <w:rPr>
          <w:rFonts w:cstheme="minorHAnsi"/>
          <w:i/>
          <w:sz w:val="24"/>
          <w:szCs w:val="24"/>
        </w:rPr>
        <w:t>Liminal</w:t>
      </w:r>
      <w:proofErr w:type="spellEnd"/>
      <w:r w:rsidRPr="004130FB">
        <w:rPr>
          <w:rFonts w:cstheme="minorHAnsi"/>
          <w:i/>
          <w:sz w:val="24"/>
          <w:szCs w:val="24"/>
        </w:rPr>
        <w:t xml:space="preserve"> Acts.</w:t>
      </w:r>
      <w:r w:rsidRPr="004130FB">
        <w:rPr>
          <w:rFonts w:cstheme="minorHAnsi"/>
          <w:sz w:val="24"/>
          <w:szCs w:val="24"/>
        </w:rPr>
        <w:t xml:space="preserve"> London: </w:t>
      </w:r>
      <w:proofErr w:type="spellStart"/>
      <w:r w:rsidRPr="004130FB">
        <w:rPr>
          <w:rFonts w:cstheme="minorHAnsi"/>
          <w:sz w:val="24"/>
          <w:szCs w:val="24"/>
        </w:rPr>
        <w:t>Cassell</w:t>
      </w:r>
      <w:proofErr w:type="spellEnd"/>
      <w:r w:rsidRPr="004130FB">
        <w:rPr>
          <w:rFonts w:cstheme="minorHAnsi"/>
          <w:sz w:val="24"/>
          <w:szCs w:val="24"/>
        </w:rPr>
        <w:t>.</w:t>
      </w:r>
    </w:p>
    <w:p w:rsidR="0063480A" w:rsidRPr="004130FB" w:rsidRDefault="0063480A" w:rsidP="00132E34">
      <w:pPr>
        <w:spacing w:line="276" w:lineRule="auto"/>
        <w:rPr>
          <w:rFonts w:cstheme="minorHAnsi"/>
          <w:sz w:val="24"/>
          <w:szCs w:val="24"/>
        </w:rPr>
      </w:pPr>
      <w:proofErr w:type="spellStart"/>
      <w:r w:rsidRPr="004130FB">
        <w:rPr>
          <w:rFonts w:cstheme="minorHAnsi"/>
          <w:sz w:val="24"/>
          <w:szCs w:val="24"/>
        </w:rPr>
        <w:t>Cartmell</w:t>
      </w:r>
      <w:proofErr w:type="spellEnd"/>
      <w:r w:rsidRPr="004130FB">
        <w:rPr>
          <w:rFonts w:cstheme="minorHAnsi"/>
          <w:sz w:val="24"/>
          <w:szCs w:val="24"/>
        </w:rPr>
        <w:t xml:space="preserve">, D. (2002) ‘The Shakespeare on screen industry’, in </w:t>
      </w:r>
      <w:proofErr w:type="spellStart"/>
      <w:r w:rsidRPr="004130FB">
        <w:rPr>
          <w:rFonts w:cstheme="minorHAnsi"/>
          <w:sz w:val="24"/>
          <w:szCs w:val="24"/>
        </w:rPr>
        <w:t>Cartmell</w:t>
      </w:r>
      <w:proofErr w:type="spellEnd"/>
      <w:r w:rsidRPr="004130FB">
        <w:rPr>
          <w:rFonts w:cstheme="minorHAnsi"/>
          <w:sz w:val="24"/>
          <w:szCs w:val="24"/>
        </w:rPr>
        <w:t xml:space="preserve">, D. and </w:t>
      </w:r>
      <w:proofErr w:type="spellStart"/>
      <w:r w:rsidRPr="004130FB">
        <w:rPr>
          <w:rFonts w:cstheme="minorHAnsi"/>
          <w:sz w:val="24"/>
          <w:szCs w:val="24"/>
        </w:rPr>
        <w:t>Whelehan</w:t>
      </w:r>
      <w:proofErr w:type="spellEnd"/>
      <w:r w:rsidRPr="004130FB">
        <w:rPr>
          <w:rFonts w:cstheme="minorHAnsi"/>
          <w:sz w:val="24"/>
          <w:szCs w:val="24"/>
        </w:rPr>
        <w:t xml:space="preserve">, I. (ed.) </w:t>
      </w:r>
      <w:r w:rsidRPr="004130FB">
        <w:rPr>
          <w:rFonts w:cstheme="minorHAnsi"/>
          <w:i/>
          <w:sz w:val="24"/>
          <w:szCs w:val="24"/>
        </w:rPr>
        <w:t>Adaptations from text to screen, screen to text.</w:t>
      </w:r>
      <w:r w:rsidRPr="004130FB">
        <w:rPr>
          <w:rFonts w:cstheme="minorHAnsi"/>
          <w:sz w:val="24"/>
          <w:szCs w:val="24"/>
        </w:rPr>
        <w:t xml:space="preserve"> London: </w:t>
      </w:r>
      <w:proofErr w:type="spellStart"/>
      <w:r w:rsidRPr="004130FB">
        <w:rPr>
          <w:rFonts w:cstheme="minorHAnsi"/>
          <w:sz w:val="24"/>
          <w:szCs w:val="24"/>
        </w:rPr>
        <w:t>Routledge</w:t>
      </w:r>
      <w:proofErr w:type="spellEnd"/>
      <w:r w:rsidRPr="004130FB">
        <w:rPr>
          <w:rFonts w:cstheme="minorHAnsi"/>
          <w:sz w:val="24"/>
          <w:szCs w:val="24"/>
        </w:rPr>
        <w:t xml:space="preserve">. </w:t>
      </w:r>
    </w:p>
    <w:p w:rsidR="0063480A" w:rsidRPr="004130FB" w:rsidRDefault="0063480A" w:rsidP="004130FB">
      <w:pPr>
        <w:spacing w:line="360" w:lineRule="auto"/>
        <w:rPr>
          <w:rFonts w:cstheme="minorHAnsi"/>
          <w:sz w:val="24"/>
          <w:szCs w:val="24"/>
        </w:rPr>
      </w:pPr>
      <w:proofErr w:type="gramStart"/>
      <w:r w:rsidRPr="004130FB">
        <w:rPr>
          <w:rFonts w:cstheme="minorHAnsi"/>
          <w:sz w:val="24"/>
          <w:szCs w:val="24"/>
        </w:rPr>
        <w:t xml:space="preserve">Carver, R. K. (2013) </w:t>
      </w:r>
      <w:r w:rsidRPr="004130FB">
        <w:rPr>
          <w:rFonts w:cstheme="minorHAnsi"/>
          <w:i/>
          <w:sz w:val="24"/>
          <w:szCs w:val="24"/>
        </w:rPr>
        <w:t>Stagecraft Fundamentals.</w:t>
      </w:r>
      <w:proofErr w:type="gramEnd"/>
      <w:r w:rsidRPr="004130FB">
        <w:rPr>
          <w:rFonts w:cstheme="minorHAnsi"/>
          <w:sz w:val="24"/>
          <w:szCs w:val="24"/>
        </w:rPr>
        <w:t xml:space="preserve"> 2</w:t>
      </w:r>
      <w:r w:rsidRPr="004130FB">
        <w:rPr>
          <w:rFonts w:cstheme="minorHAnsi"/>
          <w:sz w:val="24"/>
          <w:szCs w:val="24"/>
          <w:vertAlign w:val="superscript"/>
        </w:rPr>
        <w:t>nd</w:t>
      </w:r>
      <w:r w:rsidRPr="004130FB">
        <w:rPr>
          <w:rFonts w:cstheme="minorHAnsi"/>
          <w:sz w:val="24"/>
          <w:szCs w:val="24"/>
        </w:rPr>
        <w:t xml:space="preserve"> Ed. Abingdon: Focal Press.</w:t>
      </w:r>
    </w:p>
    <w:p w:rsidR="00755507" w:rsidRPr="004130FB" w:rsidRDefault="00664FEE" w:rsidP="004130FB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Hart, E. (2013</w:t>
      </w:r>
      <w:r w:rsidR="00755507" w:rsidRPr="004130FB">
        <w:rPr>
          <w:rFonts w:cstheme="minorHAnsi"/>
          <w:sz w:val="24"/>
          <w:szCs w:val="24"/>
        </w:rPr>
        <w:t xml:space="preserve">) </w:t>
      </w:r>
      <w:r w:rsidR="00755507" w:rsidRPr="00132E34">
        <w:rPr>
          <w:rFonts w:cstheme="minorHAnsi"/>
          <w:i/>
          <w:sz w:val="24"/>
          <w:szCs w:val="24"/>
        </w:rPr>
        <w:t xml:space="preserve">The prop building guidebook: for theatre, film and </w:t>
      </w:r>
      <w:r w:rsidR="00AC6017" w:rsidRPr="00132E34">
        <w:rPr>
          <w:rFonts w:cstheme="minorHAnsi"/>
          <w:i/>
          <w:sz w:val="24"/>
          <w:szCs w:val="24"/>
        </w:rPr>
        <w:t>TV</w:t>
      </w:r>
      <w:r w:rsidR="00755507" w:rsidRPr="00132E34">
        <w:rPr>
          <w:rFonts w:cstheme="minorHAnsi"/>
          <w:i/>
          <w:sz w:val="24"/>
          <w:szCs w:val="24"/>
        </w:rPr>
        <w:t>.</w:t>
      </w:r>
      <w:r w:rsidR="00755507" w:rsidRPr="004130FB">
        <w:rPr>
          <w:rFonts w:cstheme="minorHAnsi"/>
          <w:sz w:val="24"/>
          <w:szCs w:val="24"/>
        </w:rPr>
        <w:t xml:space="preserve"> London: Focal Press.</w:t>
      </w:r>
    </w:p>
    <w:p w:rsidR="0063480A" w:rsidRPr="004130FB" w:rsidRDefault="00AC6017" w:rsidP="004130FB">
      <w:pPr>
        <w:spacing w:line="36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Johnson, D.</w:t>
      </w:r>
      <w:r w:rsidR="0063480A" w:rsidRPr="004130FB">
        <w:rPr>
          <w:rFonts w:cstheme="minorHAnsi"/>
          <w:sz w:val="24"/>
          <w:szCs w:val="24"/>
        </w:rPr>
        <w:t xml:space="preserve"> (2012) </w:t>
      </w:r>
      <w:r w:rsidR="0063480A" w:rsidRPr="004130FB">
        <w:rPr>
          <w:rFonts w:cstheme="minorHAnsi"/>
          <w:i/>
          <w:sz w:val="24"/>
          <w:szCs w:val="24"/>
        </w:rPr>
        <w:t>Theatre and the visual.</w:t>
      </w:r>
      <w:proofErr w:type="gramEnd"/>
      <w:r w:rsidR="0063480A" w:rsidRPr="004130FB">
        <w:rPr>
          <w:rFonts w:cstheme="minorHAnsi"/>
          <w:sz w:val="24"/>
          <w:szCs w:val="24"/>
        </w:rPr>
        <w:t xml:space="preserve"> Basingstoke: Palgrave Macmillan.</w:t>
      </w:r>
    </w:p>
    <w:p w:rsidR="00755507" w:rsidRPr="004130FB" w:rsidRDefault="00755507" w:rsidP="00132E34">
      <w:pPr>
        <w:spacing w:line="276" w:lineRule="auto"/>
        <w:rPr>
          <w:rFonts w:cstheme="minorHAnsi"/>
          <w:sz w:val="24"/>
          <w:szCs w:val="24"/>
        </w:rPr>
      </w:pPr>
      <w:r w:rsidRPr="004130FB">
        <w:rPr>
          <w:rFonts w:cstheme="minorHAnsi"/>
          <w:sz w:val="24"/>
          <w:szCs w:val="24"/>
        </w:rPr>
        <w:t xml:space="preserve">Moran, N. (2007) </w:t>
      </w:r>
      <w:r w:rsidRPr="00132E34">
        <w:rPr>
          <w:rFonts w:cstheme="minorHAnsi"/>
          <w:i/>
          <w:sz w:val="24"/>
          <w:szCs w:val="24"/>
        </w:rPr>
        <w:t>Performance lighting design: how to light the stage, concerts and live events.</w:t>
      </w:r>
      <w:r w:rsidRPr="004130FB">
        <w:rPr>
          <w:rFonts w:cstheme="minorHAnsi"/>
          <w:sz w:val="24"/>
          <w:szCs w:val="24"/>
        </w:rPr>
        <w:t xml:space="preserve"> London: A &amp; C Black.</w:t>
      </w:r>
    </w:p>
    <w:p w:rsidR="0063480A" w:rsidRPr="004130FB" w:rsidRDefault="00132E34" w:rsidP="00132E34">
      <w:pPr>
        <w:spacing w:line="276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color w:val="323232"/>
          <w:sz w:val="24"/>
          <w:szCs w:val="24"/>
        </w:rPr>
        <w:t>Lanier, D. (2010) ‘</w:t>
      </w:r>
      <w:r w:rsidR="0063480A" w:rsidRPr="004130FB">
        <w:rPr>
          <w:rFonts w:cstheme="minorHAnsi"/>
          <w:color w:val="323232"/>
          <w:sz w:val="24"/>
          <w:szCs w:val="24"/>
        </w:rPr>
        <w:t>Recent Shakespeare and the mutations of cultural capital</w:t>
      </w:r>
      <w:r>
        <w:rPr>
          <w:rFonts w:cstheme="minorHAnsi"/>
          <w:color w:val="323232"/>
          <w:sz w:val="24"/>
          <w:szCs w:val="24"/>
        </w:rPr>
        <w:t>’</w:t>
      </w:r>
      <w:r w:rsidR="0063480A" w:rsidRPr="004130FB">
        <w:rPr>
          <w:rFonts w:cstheme="minorHAnsi"/>
          <w:color w:val="323232"/>
          <w:sz w:val="24"/>
          <w:szCs w:val="24"/>
        </w:rPr>
        <w:t xml:space="preserve">, </w:t>
      </w:r>
      <w:r w:rsidR="0063480A" w:rsidRPr="004130FB">
        <w:rPr>
          <w:rFonts w:cstheme="minorHAnsi"/>
          <w:i/>
          <w:color w:val="323232"/>
          <w:sz w:val="24"/>
          <w:szCs w:val="24"/>
        </w:rPr>
        <w:t xml:space="preserve">Shakespeare Studies, </w:t>
      </w:r>
      <w:r w:rsidR="0063480A" w:rsidRPr="004130FB">
        <w:rPr>
          <w:rFonts w:cstheme="minorHAnsi"/>
          <w:color w:val="323232"/>
          <w:sz w:val="24"/>
          <w:szCs w:val="24"/>
        </w:rPr>
        <w:t>vol. 38, p. 104+.</w:t>
      </w:r>
      <w:proofErr w:type="gramEnd"/>
      <w:r w:rsidR="0063480A" w:rsidRPr="004130FB">
        <w:rPr>
          <w:rFonts w:cstheme="minorHAnsi"/>
          <w:color w:val="323232"/>
          <w:sz w:val="24"/>
          <w:szCs w:val="24"/>
        </w:rPr>
        <w:t xml:space="preserve"> Available at: </w:t>
      </w:r>
      <w:hyperlink r:id="rId6" w:history="1">
        <w:r w:rsidR="0063480A" w:rsidRPr="004130FB">
          <w:rPr>
            <w:rStyle w:val="Hyperlink"/>
            <w:rFonts w:cstheme="minorHAnsi"/>
            <w:sz w:val="24"/>
            <w:szCs w:val="24"/>
          </w:rPr>
          <w:t>https://go.galegroup.com/ps/i.do?p=AONE&amp;sw=w&amp;u=googlescholar&amp;v=2.1&amp;it=r&amp;id=GALE%7CA238749502&amp;sid=classroomWidget&amp;asid=93b7ab45</w:t>
        </w:r>
      </w:hyperlink>
      <w:r w:rsidR="0063480A" w:rsidRPr="004130FB">
        <w:rPr>
          <w:rFonts w:cstheme="minorHAnsi"/>
          <w:color w:val="323232"/>
          <w:sz w:val="24"/>
          <w:szCs w:val="24"/>
        </w:rPr>
        <w:t xml:space="preserve"> (Accessed: 6</w:t>
      </w:r>
      <w:r w:rsidR="0063480A" w:rsidRPr="004130FB">
        <w:rPr>
          <w:rFonts w:cstheme="minorHAnsi"/>
          <w:color w:val="323232"/>
          <w:sz w:val="24"/>
          <w:szCs w:val="24"/>
          <w:vertAlign w:val="superscript"/>
        </w:rPr>
        <w:t>th</w:t>
      </w:r>
      <w:r w:rsidR="0063480A" w:rsidRPr="004130FB">
        <w:rPr>
          <w:rFonts w:cstheme="minorHAnsi"/>
          <w:color w:val="323232"/>
          <w:sz w:val="24"/>
          <w:szCs w:val="24"/>
        </w:rPr>
        <w:t xml:space="preserve"> December 2018).</w:t>
      </w:r>
    </w:p>
    <w:p w:rsidR="00755507" w:rsidRPr="004130FB" w:rsidRDefault="00664FEE" w:rsidP="004130FB">
      <w:pPr>
        <w:spacing w:line="36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Larmann</w:t>
      </w:r>
      <w:proofErr w:type="spellEnd"/>
      <w:r>
        <w:rPr>
          <w:rFonts w:cstheme="minorHAnsi"/>
          <w:sz w:val="24"/>
          <w:szCs w:val="24"/>
        </w:rPr>
        <w:t>, R. (2007)</w:t>
      </w:r>
      <w:r w:rsidR="00755507" w:rsidRPr="004130FB">
        <w:rPr>
          <w:rFonts w:cstheme="minorHAnsi"/>
          <w:sz w:val="24"/>
          <w:szCs w:val="24"/>
        </w:rPr>
        <w:t xml:space="preserve"> </w:t>
      </w:r>
      <w:r w:rsidR="00755507" w:rsidRPr="00E20586">
        <w:rPr>
          <w:rFonts w:cstheme="minorHAnsi"/>
          <w:i/>
          <w:sz w:val="24"/>
          <w:szCs w:val="24"/>
        </w:rPr>
        <w:t>Stage Design</w:t>
      </w:r>
      <w:r w:rsidR="00755507" w:rsidRPr="004130FB">
        <w:rPr>
          <w:rFonts w:cstheme="minorHAnsi"/>
          <w:sz w:val="24"/>
          <w:szCs w:val="24"/>
        </w:rPr>
        <w:t xml:space="preserve">. London: </w:t>
      </w:r>
      <w:proofErr w:type="spellStart"/>
      <w:r w:rsidR="00755507" w:rsidRPr="004130FB">
        <w:rPr>
          <w:rFonts w:cstheme="minorHAnsi"/>
          <w:sz w:val="24"/>
          <w:szCs w:val="24"/>
        </w:rPr>
        <w:t>Daab</w:t>
      </w:r>
      <w:proofErr w:type="spellEnd"/>
      <w:r w:rsidR="00755507" w:rsidRPr="004130FB">
        <w:rPr>
          <w:rFonts w:cstheme="minorHAnsi"/>
          <w:sz w:val="24"/>
          <w:szCs w:val="24"/>
        </w:rPr>
        <w:t>.</w:t>
      </w:r>
    </w:p>
    <w:p w:rsidR="0063480A" w:rsidRPr="004130FB" w:rsidRDefault="0063480A" w:rsidP="00132E34">
      <w:pPr>
        <w:spacing w:line="276" w:lineRule="auto"/>
        <w:rPr>
          <w:rFonts w:cstheme="minorHAnsi"/>
          <w:sz w:val="24"/>
          <w:szCs w:val="24"/>
        </w:rPr>
      </w:pPr>
      <w:r w:rsidRPr="004130FB">
        <w:rPr>
          <w:rFonts w:cstheme="minorHAnsi"/>
          <w:sz w:val="24"/>
          <w:szCs w:val="24"/>
        </w:rPr>
        <w:t xml:space="preserve">Lawson, M. (2015) </w:t>
      </w:r>
      <w:r w:rsidRPr="00E20586">
        <w:rPr>
          <w:rFonts w:cstheme="minorHAnsi"/>
          <w:i/>
          <w:sz w:val="24"/>
          <w:szCs w:val="24"/>
        </w:rPr>
        <w:t>‘Are these the 10 Best Shakespeare screen adoptions?</w:t>
      </w:r>
      <w:proofErr w:type="gramStart"/>
      <w:r w:rsidRPr="00E20586">
        <w:rPr>
          <w:rFonts w:cstheme="minorHAnsi"/>
          <w:i/>
          <w:sz w:val="24"/>
          <w:szCs w:val="24"/>
        </w:rPr>
        <w:t>’</w:t>
      </w:r>
      <w:r w:rsidR="00AC6017">
        <w:rPr>
          <w:rFonts w:cstheme="minorHAnsi"/>
          <w:i/>
          <w:sz w:val="24"/>
          <w:szCs w:val="24"/>
        </w:rPr>
        <w:t>,</w:t>
      </w:r>
      <w:proofErr w:type="gramEnd"/>
      <w:r w:rsidR="00AC6017">
        <w:rPr>
          <w:rFonts w:cstheme="minorHAnsi"/>
          <w:sz w:val="24"/>
          <w:szCs w:val="24"/>
        </w:rPr>
        <w:t xml:space="preserve"> </w:t>
      </w:r>
      <w:r w:rsidRPr="004130FB">
        <w:rPr>
          <w:rFonts w:cstheme="minorHAnsi"/>
          <w:i/>
          <w:sz w:val="24"/>
          <w:szCs w:val="24"/>
        </w:rPr>
        <w:t>The Guardian,</w:t>
      </w:r>
      <w:r w:rsidRPr="004130FB">
        <w:rPr>
          <w:rFonts w:cstheme="minorHAnsi"/>
          <w:sz w:val="24"/>
          <w:szCs w:val="24"/>
        </w:rPr>
        <w:t xml:space="preserve"> 9</w:t>
      </w:r>
      <w:r w:rsidRPr="004130FB">
        <w:rPr>
          <w:rFonts w:cstheme="minorHAnsi"/>
          <w:sz w:val="24"/>
          <w:szCs w:val="24"/>
          <w:vertAlign w:val="superscript"/>
        </w:rPr>
        <w:t>th</w:t>
      </w:r>
      <w:r w:rsidRPr="004130FB">
        <w:rPr>
          <w:rFonts w:cstheme="minorHAnsi"/>
          <w:sz w:val="24"/>
          <w:szCs w:val="24"/>
        </w:rPr>
        <w:t xml:space="preserve"> October. Available at: </w:t>
      </w:r>
      <w:hyperlink r:id="rId7" w:history="1">
        <w:r w:rsidRPr="004130FB">
          <w:rPr>
            <w:rStyle w:val="Hyperlink"/>
            <w:rFonts w:cstheme="minorHAnsi"/>
            <w:sz w:val="24"/>
            <w:szCs w:val="24"/>
          </w:rPr>
          <w:t>https://www.theguardian.com/stage/2015/oct/09/10-best-shakespeare-screen-adaptations</w:t>
        </w:r>
      </w:hyperlink>
      <w:r w:rsidRPr="004130FB">
        <w:rPr>
          <w:rFonts w:cstheme="minorHAnsi"/>
          <w:sz w:val="24"/>
          <w:szCs w:val="24"/>
        </w:rPr>
        <w:t xml:space="preserve"> (Accessed: 6th December 2018).</w:t>
      </w:r>
    </w:p>
    <w:p w:rsidR="00CC7BE5" w:rsidRPr="004130FB" w:rsidRDefault="00CC7BE5" w:rsidP="00132E34">
      <w:pPr>
        <w:spacing w:line="276" w:lineRule="auto"/>
        <w:rPr>
          <w:rFonts w:cstheme="minorHAnsi"/>
          <w:sz w:val="24"/>
          <w:szCs w:val="24"/>
        </w:rPr>
      </w:pPr>
      <w:proofErr w:type="spellStart"/>
      <w:proofErr w:type="gramStart"/>
      <w:r w:rsidRPr="004130FB">
        <w:rPr>
          <w:rFonts w:cstheme="minorHAnsi"/>
          <w:sz w:val="24"/>
          <w:szCs w:val="24"/>
        </w:rPr>
        <w:t>Luhrmann</w:t>
      </w:r>
      <w:proofErr w:type="spellEnd"/>
      <w:r w:rsidRPr="004130FB">
        <w:rPr>
          <w:rFonts w:cstheme="minorHAnsi"/>
          <w:sz w:val="24"/>
          <w:szCs w:val="24"/>
        </w:rPr>
        <w:t xml:space="preserve">, B. (1996) </w:t>
      </w:r>
      <w:r w:rsidRPr="004130FB">
        <w:rPr>
          <w:rFonts w:cstheme="minorHAnsi"/>
          <w:i/>
          <w:sz w:val="24"/>
          <w:szCs w:val="24"/>
        </w:rPr>
        <w:t>Romeo and Juliet 1996 Trailer.</w:t>
      </w:r>
      <w:proofErr w:type="gramEnd"/>
      <w:r w:rsidRPr="004130FB">
        <w:rPr>
          <w:rFonts w:cstheme="minorHAnsi"/>
          <w:sz w:val="24"/>
          <w:szCs w:val="24"/>
        </w:rPr>
        <w:t xml:space="preserve"> </w:t>
      </w:r>
      <w:proofErr w:type="gramStart"/>
      <w:r w:rsidRPr="004130FB">
        <w:rPr>
          <w:rFonts w:cstheme="minorHAnsi"/>
          <w:sz w:val="24"/>
          <w:szCs w:val="24"/>
        </w:rPr>
        <w:t>[Video]</w:t>
      </w:r>
      <w:r w:rsidR="002B5782" w:rsidRPr="004130FB">
        <w:rPr>
          <w:rFonts w:cstheme="minorHAnsi"/>
          <w:sz w:val="24"/>
          <w:szCs w:val="24"/>
        </w:rPr>
        <w:t>.</w:t>
      </w:r>
      <w:proofErr w:type="gramEnd"/>
      <w:r w:rsidR="002B5782" w:rsidRPr="004130FB">
        <w:rPr>
          <w:rFonts w:cstheme="minorHAnsi"/>
          <w:sz w:val="24"/>
          <w:szCs w:val="24"/>
        </w:rPr>
        <w:t xml:space="preserve"> </w:t>
      </w:r>
      <w:r w:rsidRPr="004130FB">
        <w:rPr>
          <w:rFonts w:cstheme="minorHAnsi"/>
          <w:sz w:val="24"/>
          <w:szCs w:val="24"/>
        </w:rPr>
        <w:t xml:space="preserve">Available at: </w:t>
      </w:r>
      <w:hyperlink r:id="rId8" w:history="1">
        <w:r w:rsidRPr="004130FB">
          <w:rPr>
            <w:rStyle w:val="Hyperlink"/>
            <w:rFonts w:cstheme="minorHAnsi"/>
            <w:sz w:val="24"/>
            <w:szCs w:val="24"/>
          </w:rPr>
          <w:t>https://www.youtube.com/watch?v=4VBsi0VxiLg&amp;t=9s</w:t>
        </w:r>
      </w:hyperlink>
      <w:r w:rsidRPr="004130FB">
        <w:rPr>
          <w:rFonts w:cstheme="minorHAnsi"/>
          <w:sz w:val="24"/>
          <w:szCs w:val="24"/>
        </w:rPr>
        <w:t xml:space="preserve"> (Accessed: 6</w:t>
      </w:r>
      <w:r w:rsidRPr="004130FB">
        <w:rPr>
          <w:rFonts w:cstheme="minorHAnsi"/>
          <w:sz w:val="24"/>
          <w:szCs w:val="24"/>
          <w:vertAlign w:val="superscript"/>
        </w:rPr>
        <w:t>th</w:t>
      </w:r>
      <w:r w:rsidRPr="004130FB">
        <w:rPr>
          <w:rFonts w:cstheme="minorHAnsi"/>
          <w:sz w:val="24"/>
          <w:szCs w:val="24"/>
        </w:rPr>
        <w:t xml:space="preserve"> December 2018).</w:t>
      </w:r>
    </w:p>
    <w:p w:rsidR="0063480A" w:rsidRPr="004130FB" w:rsidRDefault="0063480A" w:rsidP="004130FB">
      <w:pPr>
        <w:spacing w:line="360" w:lineRule="auto"/>
        <w:rPr>
          <w:rFonts w:cstheme="minorHAnsi"/>
          <w:sz w:val="24"/>
          <w:szCs w:val="24"/>
        </w:rPr>
      </w:pPr>
      <w:proofErr w:type="spellStart"/>
      <w:r w:rsidRPr="004130FB">
        <w:rPr>
          <w:rFonts w:cstheme="minorHAnsi"/>
          <w:sz w:val="24"/>
          <w:szCs w:val="24"/>
        </w:rPr>
        <w:t>Proudfoot</w:t>
      </w:r>
      <w:proofErr w:type="spellEnd"/>
      <w:r w:rsidRPr="004130FB">
        <w:rPr>
          <w:rFonts w:cstheme="minorHAnsi"/>
          <w:sz w:val="24"/>
          <w:szCs w:val="24"/>
        </w:rPr>
        <w:t xml:space="preserve">, R. (2001) </w:t>
      </w:r>
      <w:r w:rsidRPr="004130FB">
        <w:rPr>
          <w:rFonts w:cstheme="minorHAnsi"/>
          <w:i/>
          <w:sz w:val="24"/>
          <w:szCs w:val="24"/>
        </w:rPr>
        <w:t>Shakespeare: Text, Stage and Canon.</w:t>
      </w:r>
      <w:r w:rsidRPr="004130FB">
        <w:rPr>
          <w:rFonts w:cstheme="minorHAnsi"/>
          <w:sz w:val="24"/>
          <w:szCs w:val="24"/>
        </w:rPr>
        <w:t xml:space="preserve"> London: Arden Shakespeare.</w:t>
      </w:r>
    </w:p>
    <w:p w:rsidR="0063480A" w:rsidRPr="004130FB" w:rsidRDefault="0063480A" w:rsidP="004130FB">
      <w:pPr>
        <w:spacing w:line="360" w:lineRule="auto"/>
        <w:rPr>
          <w:rFonts w:cstheme="minorHAnsi"/>
          <w:sz w:val="24"/>
          <w:szCs w:val="24"/>
        </w:rPr>
      </w:pPr>
      <w:r w:rsidRPr="004130FB">
        <w:rPr>
          <w:rFonts w:cstheme="minorHAnsi"/>
          <w:sz w:val="24"/>
          <w:szCs w:val="24"/>
        </w:rPr>
        <w:t xml:space="preserve">Shakespeare, W. (2006) </w:t>
      </w:r>
      <w:r w:rsidR="009E30A2">
        <w:rPr>
          <w:rFonts w:cstheme="minorHAnsi"/>
          <w:i/>
          <w:sz w:val="24"/>
          <w:szCs w:val="24"/>
        </w:rPr>
        <w:t>Macbeth</w:t>
      </w:r>
      <w:r w:rsidRPr="004130FB">
        <w:rPr>
          <w:rFonts w:cstheme="minorHAnsi"/>
          <w:i/>
          <w:sz w:val="24"/>
          <w:szCs w:val="24"/>
        </w:rPr>
        <w:t xml:space="preserve">. </w:t>
      </w:r>
      <w:r w:rsidR="00664FEE">
        <w:rPr>
          <w:rFonts w:cstheme="minorHAnsi"/>
          <w:sz w:val="24"/>
          <w:szCs w:val="24"/>
        </w:rPr>
        <w:t>London:</w:t>
      </w:r>
      <w:r w:rsidR="00AC6017">
        <w:rPr>
          <w:rFonts w:cstheme="minorHAnsi"/>
          <w:sz w:val="24"/>
          <w:szCs w:val="24"/>
        </w:rPr>
        <w:t xml:space="preserve"> </w:t>
      </w:r>
      <w:r w:rsidRPr="004130FB">
        <w:rPr>
          <w:rFonts w:cstheme="minorHAnsi"/>
          <w:sz w:val="24"/>
          <w:szCs w:val="24"/>
        </w:rPr>
        <w:t>Arden Shakespeare.</w:t>
      </w:r>
    </w:p>
    <w:sectPr w:rsidR="0063480A" w:rsidRPr="004130FB" w:rsidSect="00540E2B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68A" w:rsidRDefault="0044068A" w:rsidP="004130FB">
      <w:pPr>
        <w:spacing w:after="0" w:line="240" w:lineRule="auto"/>
      </w:pPr>
      <w:r>
        <w:separator/>
      </w:r>
    </w:p>
  </w:endnote>
  <w:endnote w:type="continuationSeparator" w:id="0">
    <w:p w:rsidR="0044068A" w:rsidRDefault="0044068A" w:rsidP="00413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720378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4130FB" w:rsidRDefault="004130FB">
            <w:pPr>
              <w:pStyle w:val="Footer"/>
              <w:jc w:val="center"/>
            </w:pPr>
            <w:r>
              <w:t xml:space="preserve">Page </w:t>
            </w:r>
            <w:r w:rsidR="002F3E1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2F3E10">
              <w:rPr>
                <w:b/>
                <w:sz w:val="24"/>
                <w:szCs w:val="24"/>
              </w:rPr>
              <w:fldChar w:fldCharType="separate"/>
            </w:r>
            <w:r w:rsidR="009E30A2">
              <w:rPr>
                <w:b/>
                <w:noProof/>
              </w:rPr>
              <w:t>1</w:t>
            </w:r>
            <w:r w:rsidR="002F3E10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2F3E1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2F3E10">
              <w:rPr>
                <w:b/>
                <w:sz w:val="24"/>
                <w:szCs w:val="24"/>
              </w:rPr>
              <w:fldChar w:fldCharType="separate"/>
            </w:r>
            <w:r w:rsidR="009E30A2">
              <w:rPr>
                <w:b/>
                <w:noProof/>
              </w:rPr>
              <w:t>1</w:t>
            </w:r>
            <w:r w:rsidR="002F3E1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130FB" w:rsidRDefault="004130F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68A" w:rsidRDefault="0044068A" w:rsidP="004130FB">
      <w:pPr>
        <w:spacing w:after="0" w:line="240" w:lineRule="auto"/>
      </w:pPr>
      <w:r>
        <w:separator/>
      </w:r>
    </w:p>
  </w:footnote>
  <w:footnote w:type="continuationSeparator" w:id="0">
    <w:p w:rsidR="0044068A" w:rsidRDefault="0044068A" w:rsidP="00413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0FB" w:rsidRDefault="004130FB">
    <w:pPr>
      <w:pStyle w:val="Header"/>
    </w:pPr>
    <w:r>
      <w:t xml:space="preserve">Jennifer </w:t>
    </w:r>
    <w:proofErr w:type="spellStart"/>
    <w:r>
      <w:t>Alderton</w:t>
    </w:r>
    <w:proofErr w:type="spellEnd"/>
  </w:p>
  <w:p w:rsidR="004130FB" w:rsidRDefault="004130FB">
    <w:pPr>
      <w:pStyle w:val="Header"/>
    </w:pPr>
    <w:r>
      <w:t>1810611</w:t>
    </w:r>
  </w:p>
  <w:p w:rsidR="004130FB" w:rsidRDefault="004130F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3CDF"/>
    <w:rsid w:val="000E29B2"/>
    <w:rsid w:val="00132E34"/>
    <w:rsid w:val="001376FD"/>
    <w:rsid w:val="001D032F"/>
    <w:rsid w:val="00237ECB"/>
    <w:rsid w:val="002B5782"/>
    <w:rsid w:val="002D2DBF"/>
    <w:rsid w:val="002F3E10"/>
    <w:rsid w:val="004130FB"/>
    <w:rsid w:val="00427AE0"/>
    <w:rsid w:val="0044068A"/>
    <w:rsid w:val="00513119"/>
    <w:rsid w:val="00513CDF"/>
    <w:rsid w:val="00540E2B"/>
    <w:rsid w:val="0063480A"/>
    <w:rsid w:val="006505C9"/>
    <w:rsid w:val="00664FEE"/>
    <w:rsid w:val="006A0AE3"/>
    <w:rsid w:val="00730CCC"/>
    <w:rsid w:val="00755507"/>
    <w:rsid w:val="00946B54"/>
    <w:rsid w:val="00984263"/>
    <w:rsid w:val="009E30A2"/>
    <w:rsid w:val="00AC6017"/>
    <w:rsid w:val="00AF18EE"/>
    <w:rsid w:val="00B11725"/>
    <w:rsid w:val="00BB0CF4"/>
    <w:rsid w:val="00CC7BE5"/>
    <w:rsid w:val="00E20586"/>
    <w:rsid w:val="00FC323A"/>
    <w:rsid w:val="00FE1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E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0CF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C7BE5"/>
    <w:rPr>
      <w:color w:val="954F72" w:themeColor="followedHyperlink"/>
      <w:u w:val="single"/>
    </w:rPr>
  </w:style>
  <w:style w:type="character" w:customStyle="1" w:styleId="docurl">
    <w:name w:val="docurl"/>
    <w:basedOn w:val="DefaultParagraphFont"/>
    <w:rsid w:val="00984263"/>
  </w:style>
  <w:style w:type="paragraph" w:styleId="Header">
    <w:name w:val="header"/>
    <w:basedOn w:val="Normal"/>
    <w:link w:val="HeaderChar"/>
    <w:uiPriority w:val="99"/>
    <w:unhideWhenUsed/>
    <w:rsid w:val="004130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0FB"/>
  </w:style>
  <w:style w:type="paragraph" w:styleId="Footer">
    <w:name w:val="footer"/>
    <w:basedOn w:val="Normal"/>
    <w:link w:val="FooterChar"/>
    <w:uiPriority w:val="99"/>
    <w:unhideWhenUsed/>
    <w:rsid w:val="004130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0FB"/>
  </w:style>
  <w:style w:type="paragraph" w:styleId="BalloonText">
    <w:name w:val="Balloon Text"/>
    <w:basedOn w:val="Normal"/>
    <w:link w:val="BalloonTextChar"/>
    <w:uiPriority w:val="99"/>
    <w:semiHidden/>
    <w:unhideWhenUsed/>
    <w:rsid w:val="00413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0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4VBsi0VxiLg&amp;t=9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guardian.com/stage/2015/oct/09/10-best-shakespeare-screen-adaptation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.galegroup.com/ps/i.do?p=AONE&amp;sw=w&amp;u=googlescholar&amp;v=2.1&amp;it=r&amp;id=GALE%7CA238749502&amp;sid=classroomWidget&amp;asid=93b7ab45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Alderton (1810611)</dc:creator>
  <cp:lastModifiedBy>Laptop User</cp:lastModifiedBy>
  <cp:revision>8</cp:revision>
  <dcterms:created xsi:type="dcterms:W3CDTF">2018-12-06T17:20:00Z</dcterms:created>
  <dcterms:modified xsi:type="dcterms:W3CDTF">2018-12-06T19:29:00Z</dcterms:modified>
</cp:coreProperties>
</file>