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72360" w:rsidRPr="00D77ABE" w:rsidRDefault="00272360" w:rsidP="00272360">
      <w:pPr>
        <w:spacing w:line="360" w:lineRule="auto"/>
        <w:jc w:val="center"/>
        <w:rPr>
          <w:rFonts w:ascii="Arial" w:hAnsi="Arial" w:cs="Arial"/>
        </w:rPr>
      </w:pPr>
      <w:bookmarkStart w:id="0" w:name="_GoBack"/>
      <w:bookmarkEnd w:id="0"/>
      <w:r w:rsidRPr="00D77ABE">
        <w:rPr>
          <w:rFonts w:ascii="Arial" w:hAnsi="Arial" w:cs="Arial"/>
          <w:noProof/>
          <w:lang w:eastAsia="en-GB"/>
        </w:rPr>
        <w:drawing>
          <wp:inline distT="0" distB="0" distL="0" distR="0" wp14:anchorId="660F4F68" wp14:editId="74663B0C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2360" w:rsidRPr="00D77ABE" w:rsidRDefault="00272360" w:rsidP="00272360">
      <w:pPr>
        <w:spacing w:line="360" w:lineRule="auto"/>
        <w:jc w:val="center"/>
        <w:rPr>
          <w:rFonts w:ascii="Arial" w:eastAsia="Arial Nova" w:hAnsi="Arial" w:cs="Arial"/>
        </w:rPr>
      </w:pPr>
    </w:p>
    <w:p w:rsidR="00272360" w:rsidRPr="00D77ABE" w:rsidRDefault="00272360" w:rsidP="00272360">
      <w:pP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</w:pP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Student Name:</w:t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  <w:t>Alia Farooq</w:t>
      </w:r>
    </w:p>
    <w:p w:rsidR="00272360" w:rsidRPr="00D77ABE" w:rsidRDefault="00272360" w:rsidP="00272360">
      <w:pP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</w:pP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Student ID:</w:t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  <w:t>2322737</w:t>
      </w:r>
    </w:p>
    <w:p w:rsidR="00272360" w:rsidRPr="00D77ABE" w:rsidRDefault="00272360" w:rsidP="00272360">
      <w:pPr>
        <w:ind w:left="3600" w:hanging="3600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</w:pP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Module Name:</w:t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</w: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Empowering the Older Person</w:t>
      </w:r>
    </w:p>
    <w:p w:rsidR="00272360" w:rsidRPr="00D77ABE" w:rsidRDefault="00272360" w:rsidP="00272360">
      <w:pPr>
        <w:ind w:left="3600" w:hanging="3600"/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</w:pP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Assignment:</w:t>
      </w: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  <w:t>Component 2: Individual Reference List</w:t>
      </w:r>
    </w:p>
    <w:p w:rsidR="00272360" w:rsidRPr="00D77ABE" w:rsidRDefault="00272360" w:rsidP="00272360">
      <w:pPr>
        <w:spacing w:line="360" w:lineRule="auto"/>
        <w:rPr>
          <w:rFonts w:ascii="Arial" w:eastAsia="Arial Nova" w:hAnsi="Arial" w:cs="Arial"/>
          <w:sz w:val="72"/>
          <w:szCs w:val="72"/>
        </w:rPr>
      </w:pP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Submitted On:</w:t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ab/>
      </w: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10</w:t>
      </w:r>
      <w:r w:rsidRPr="00272360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  <w:vertAlign w:val="superscript"/>
        </w:rPr>
        <w:t>th</w:t>
      </w: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 xml:space="preserve"> </w:t>
      </w:r>
      <w:r w:rsidRPr="00D77ABE"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>July</w:t>
      </w:r>
      <w:r>
        <w:rPr>
          <w:rFonts w:ascii="Segoe UI" w:eastAsia="Times New Roman" w:hAnsi="Segoe UI" w:cs="Segoe UI"/>
          <w:b/>
          <w:bCs/>
          <w:color w:val="404040"/>
          <w:kern w:val="36"/>
          <w:sz w:val="48"/>
          <w:szCs w:val="48"/>
        </w:rPr>
        <w:t xml:space="preserve"> 2026</w:t>
      </w:r>
    </w:p>
    <w:p w:rsidR="00272360" w:rsidRDefault="00272360">
      <w:pP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br w:type="page"/>
      </w:r>
    </w:p>
    <w:p w:rsidR="00500B72" w:rsidRPr="00500B72" w:rsidRDefault="00500B72" w:rsidP="00737040">
      <w:pPr>
        <w:spacing w:before="100" w:beforeAutospacing="1" w:after="100" w:afterAutospacing="1" w:line="240" w:lineRule="auto"/>
        <w:jc w:val="both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lastRenderedPageBreak/>
        <w:t>Reference List</w:t>
      </w:r>
    </w:p>
    <w:p w:rsidR="00500B72" w:rsidRPr="00500B72" w:rsidRDefault="003F3BA9" w:rsidP="003F3B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Reeves, C., Islam, A., and Gentry, T. </w:t>
      </w:r>
      <w:r w:rsidR="00500B72"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(2023) </w:t>
      </w:r>
      <w:r w:rsidRPr="003F3B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State of Health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3F3B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and Care of Older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3F3B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People, 2023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3F3B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(abridged)</w:t>
      </w:r>
      <w:r w:rsidR="00500B72" w:rsidRPr="00500B72">
        <w:rPr>
          <w:rFonts w:ascii="Arial" w:eastAsia="Times New Roman" w:hAnsi="Arial" w:cs="Arial"/>
          <w:sz w:val="24"/>
          <w:szCs w:val="24"/>
          <w:lang w:eastAsia="en-GB"/>
        </w:rPr>
        <w:t>. London: Age UK.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https://www.ageuk.org.uk/siteassets/documents/reports-and-publications/reports-and-briefings/health--wellbeing/age-uk-briefing-state-of-health-and-care-july-2023-abridged-version.pdf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01 Jul 2026).</w:t>
      </w:r>
    </w:p>
    <w:p w:rsidR="00500B72" w:rsidRPr="00500B72" w:rsidRDefault="00176DEC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Berridge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C. (2017)</w:t>
      </w:r>
      <w:r w:rsidRPr="00176D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176DEC">
        <w:rPr>
          <w:rFonts w:ascii="Arial" w:eastAsia="Times New Roman" w:hAnsi="Arial" w:cs="Arial"/>
          <w:sz w:val="24"/>
          <w:szCs w:val="24"/>
          <w:lang w:eastAsia="en-GB"/>
        </w:rPr>
        <w:t>Active subjects of passive monitoring: responses to a passive monitoring system in low-income independent living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176D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76DEC">
        <w:rPr>
          <w:rFonts w:ascii="Arial" w:eastAsia="Times New Roman" w:hAnsi="Arial" w:cs="Arial"/>
          <w:i/>
          <w:sz w:val="24"/>
          <w:szCs w:val="24"/>
          <w:lang w:eastAsia="en-GB"/>
        </w:rPr>
        <w:t>Ageing and society</w:t>
      </w:r>
      <w:r w:rsidRPr="00176DEC">
        <w:rPr>
          <w:rFonts w:ascii="Arial" w:eastAsia="Times New Roman" w:hAnsi="Arial" w:cs="Arial"/>
          <w:sz w:val="24"/>
          <w:szCs w:val="24"/>
          <w:lang w:eastAsia="en-GB"/>
        </w:rPr>
        <w:t xml:space="preserve">, 37(3), 537–560. </w:t>
      </w:r>
      <w:hyperlink r:id="rId6" w:history="1">
        <w:r w:rsidR="00A67708"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https://doi.org/10.1017/S0144686X15001269</w:t>
        </w:r>
      </w:hyperlink>
      <w:r w:rsidR="00A6770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2244F8" w:rsidRPr="002244F8" w:rsidRDefault="002244F8" w:rsidP="002244F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>Czaja</w:t>
      </w:r>
      <w:proofErr w:type="spellEnd"/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S.J., Boot, W.R., </w:t>
      </w:r>
      <w:proofErr w:type="spellStart"/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>Charness</w:t>
      </w:r>
      <w:proofErr w:type="spellEnd"/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N.,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and Rogers, W.A. (2019)</w:t>
      </w:r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244F8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Designing for Older Adults: Principles and Creative Human Factors Approaches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(3</w:t>
      </w:r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edn</w:t>
      </w:r>
      <w:proofErr w:type="spellEnd"/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>). Boca Raton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</w:t>
      </w:r>
      <w:r w:rsidRPr="002244F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CRC Press. </w:t>
      </w:r>
    </w:p>
    <w:p w:rsidR="00500B72" w:rsidRPr="00500B72" w:rsidRDefault="00500B72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>Department</w:t>
      </w:r>
      <w:r w:rsidR="000B0DC7">
        <w:rPr>
          <w:rFonts w:ascii="Arial" w:eastAsia="Times New Roman" w:hAnsi="Arial" w:cs="Arial"/>
          <w:sz w:val="24"/>
          <w:szCs w:val="24"/>
          <w:lang w:eastAsia="en-GB"/>
        </w:rPr>
        <w:t xml:space="preserve"> of Health and Social Care (2022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People at the Heart of Care: Adult Social Care Reform White Paper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0B0DC7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7" w:history="1">
        <w:r w:rsidR="000B0DC7"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https://www.gov.uk/government/publications/people-at-the-heart-of-care-adult-social-care-reform-white-paper</w:t>
        </w:r>
      </w:hyperlink>
      <w:r w:rsidR="000B0D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5562F">
        <w:rPr>
          <w:rFonts w:ascii="Arial" w:eastAsia="Times New Roman" w:hAnsi="Arial" w:cs="Arial"/>
          <w:sz w:val="24"/>
          <w:szCs w:val="24"/>
          <w:lang w:eastAsia="en-GB"/>
        </w:rPr>
        <w:t>(Accessed: 01 Jul 2026).</w:t>
      </w:r>
    </w:p>
    <w:p w:rsidR="00665751" w:rsidRPr="00500B72" w:rsidRDefault="00665751" w:rsidP="00665751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European Commission (2021) </w:t>
      </w:r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Green Paper on Ageing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>. Brussels: European Commission.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https://commission.europa.eu/system/files/2021-06/green_paper_ageing_2021_en.pdf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30 Jun 2026).</w:t>
      </w:r>
    </w:p>
    <w:p w:rsidR="00416AB0" w:rsidRPr="00416AB0" w:rsidRDefault="00416AB0" w:rsidP="00416AB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6"/>
          <w:szCs w:val="24"/>
          <w:lang w:eastAsia="en-GB"/>
        </w:rPr>
      </w:pPr>
      <w:r w:rsidRPr="00416AB0">
        <w:rPr>
          <w:rFonts w:ascii="Arial" w:hAnsi="Arial" w:cs="Arial"/>
          <w:color w:val="212121"/>
          <w:sz w:val="24"/>
          <w:shd w:val="clear" w:color="auto" w:fill="FFFFFF"/>
        </w:rPr>
        <w:t>Fisk, M., Livingstone, A., and Pit, S. W. (2020) ‘Telehealth in the Context of COVID-19: Changing Perspectives in Australia, the United Kingdom, and the United States’, </w:t>
      </w:r>
      <w:r w:rsidRPr="00416AB0">
        <w:rPr>
          <w:rFonts w:ascii="Arial" w:hAnsi="Arial" w:cs="Arial"/>
          <w:i/>
          <w:iCs/>
          <w:color w:val="212121"/>
          <w:sz w:val="24"/>
          <w:shd w:val="clear" w:color="auto" w:fill="FFFFFF"/>
        </w:rPr>
        <w:t>Journal of medical Internet research</w:t>
      </w:r>
      <w:r w:rsidRPr="00416AB0">
        <w:rPr>
          <w:rFonts w:ascii="Arial" w:hAnsi="Arial" w:cs="Arial"/>
          <w:color w:val="212121"/>
          <w:sz w:val="24"/>
          <w:shd w:val="clear" w:color="auto" w:fill="FFFFFF"/>
        </w:rPr>
        <w:t>, </w:t>
      </w:r>
      <w:r w:rsidRPr="00416AB0">
        <w:rPr>
          <w:rFonts w:ascii="Arial" w:hAnsi="Arial" w:cs="Arial"/>
          <w:i/>
          <w:iCs/>
          <w:color w:val="212121"/>
          <w:sz w:val="24"/>
          <w:shd w:val="clear" w:color="auto" w:fill="FFFFFF"/>
        </w:rPr>
        <w:t>22</w:t>
      </w:r>
      <w:r w:rsidRPr="00416AB0">
        <w:rPr>
          <w:rFonts w:ascii="Arial" w:hAnsi="Arial" w:cs="Arial"/>
          <w:color w:val="212121"/>
          <w:sz w:val="24"/>
          <w:shd w:val="clear" w:color="auto" w:fill="FFFFFF"/>
        </w:rPr>
        <w:t xml:space="preserve">(6), e19264. </w:t>
      </w:r>
      <w:hyperlink r:id="rId9" w:history="1">
        <w:r w:rsidRPr="00416AB0">
          <w:rPr>
            <w:rStyle w:val="Hyperlink"/>
            <w:rFonts w:ascii="Arial" w:hAnsi="Arial" w:cs="Arial"/>
            <w:sz w:val="24"/>
            <w:shd w:val="clear" w:color="auto" w:fill="FFFFFF"/>
          </w:rPr>
          <w:t>https://doi.org/10.2196/19264</w:t>
        </w:r>
      </w:hyperlink>
      <w:r w:rsidRPr="00416AB0">
        <w:rPr>
          <w:rFonts w:ascii="Arial" w:hAnsi="Arial" w:cs="Arial"/>
          <w:color w:val="212121"/>
          <w:sz w:val="24"/>
          <w:shd w:val="clear" w:color="auto" w:fill="FFFFFF"/>
        </w:rPr>
        <w:t xml:space="preserve"> </w:t>
      </w:r>
    </w:p>
    <w:p w:rsidR="00500B72" w:rsidRPr="00500B72" w:rsidRDefault="00375E8B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375E8B">
        <w:rPr>
          <w:rFonts w:ascii="Arial" w:eastAsia="Times New Roman" w:hAnsi="Arial" w:cs="Arial"/>
          <w:sz w:val="24"/>
          <w:szCs w:val="24"/>
          <w:lang w:eastAsia="en-GB"/>
        </w:rPr>
        <w:t>Marengoni</w:t>
      </w:r>
      <w:proofErr w:type="spellEnd"/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, A., </w:t>
      </w:r>
      <w:proofErr w:type="spellStart"/>
      <w:r w:rsidRPr="00375E8B">
        <w:rPr>
          <w:rFonts w:ascii="Arial" w:eastAsia="Times New Roman" w:hAnsi="Arial" w:cs="Arial"/>
          <w:sz w:val="24"/>
          <w:szCs w:val="24"/>
          <w:lang w:eastAsia="en-GB"/>
        </w:rPr>
        <w:t>Angleman</w:t>
      </w:r>
      <w:proofErr w:type="spellEnd"/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, S., </w:t>
      </w:r>
      <w:proofErr w:type="spellStart"/>
      <w:r w:rsidRPr="00375E8B">
        <w:rPr>
          <w:rFonts w:ascii="Arial" w:eastAsia="Times New Roman" w:hAnsi="Arial" w:cs="Arial"/>
          <w:sz w:val="24"/>
          <w:szCs w:val="24"/>
          <w:lang w:eastAsia="en-GB"/>
        </w:rPr>
        <w:t>Melis</w:t>
      </w:r>
      <w:proofErr w:type="spellEnd"/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, R., </w:t>
      </w:r>
      <w:proofErr w:type="spellStart"/>
      <w:r w:rsidRPr="00375E8B">
        <w:rPr>
          <w:rFonts w:ascii="Arial" w:eastAsia="Times New Roman" w:hAnsi="Arial" w:cs="Arial"/>
          <w:sz w:val="24"/>
          <w:szCs w:val="24"/>
          <w:lang w:eastAsia="en-GB"/>
        </w:rPr>
        <w:t>Mangialasche</w:t>
      </w:r>
      <w:proofErr w:type="spellEnd"/>
      <w:r w:rsidRPr="00375E8B">
        <w:rPr>
          <w:rFonts w:ascii="Arial" w:eastAsia="Times New Roman" w:hAnsi="Arial" w:cs="Arial"/>
          <w:sz w:val="24"/>
          <w:szCs w:val="24"/>
          <w:lang w:eastAsia="en-GB"/>
        </w:rPr>
        <w:t>, F., Kar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p, A.,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Garmen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A.,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Meinow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B., and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Fratiglioni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L. (2011)</w:t>
      </w:r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Aging with </w:t>
      </w:r>
      <w:proofErr w:type="spellStart"/>
      <w:r w:rsidRPr="00375E8B">
        <w:rPr>
          <w:rFonts w:ascii="Arial" w:eastAsia="Times New Roman" w:hAnsi="Arial" w:cs="Arial"/>
          <w:sz w:val="24"/>
          <w:szCs w:val="24"/>
          <w:lang w:eastAsia="en-GB"/>
        </w:rPr>
        <w:t>multimorbidity</w:t>
      </w:r>
      <w:proofErr w:type="spellEnd"/>
      <w:r w:rsidRPr="00375E8B">
        <w:rPr>
          <w:rFonts w:ascii="Arial" w:eastAsia="Times New Roman" w:hAnsi="Arial" w:cs="Arial"/>
          <w:sz w:val="24"/>
          <w:szCs w:val="24"/>
          <w:lang w:eastAsia="en-GB"/>
        </w:rPr>
        <w:t>: a systematic review of the literature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375E8B">
        <w:rPr>
          <w:rFonts w:ascii="Arial" w:eastAsia="Times New Roman" w:hAnsi="Arial" w:cs="Arial"/>
          <w:i/>
          <w:sz w:val="24"/>
          <w:szCs w:val="24"/>
          <w:lang w:eastAsia="en-GB"/>
        </w:rPr>
        <w:t>Ageing research reviews</w:t>
      </w:r>
      <w:r w:rsidRPr="00375E8B">
        <w:rPr>
          <w:rFonts w:ascii="Arial" w:eastAsia="Times New Roman" w:hAnsi="Arial" w:cs="Arial"/>
          <w:sz w:val="24"/>
          <w:szCs w:val="24"/>
          <w:lang w:eastAsia="en-GB"/>
        </w:rPr>
        <w:t xml:space="preserve">, 10(4), 430–439. </w:t>
      </w:r>
      <w:hyperlink r:id="rId10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https://doi.org/10.1016/j.arr.2011.03.003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500B72" w:rsidRPr="00500B72" w:rsidRDefault="00500B72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National Institute for Health and Care Excellence (NICE) (2022) </w:t>
      </w:r>
      <w:proofErr w:type="spellStart"/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Multimorbidity</w:t>
      </w:r>
      <w:proofErr w:type="spellEnd"/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: Clinical Assessment and Management (NG56)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685155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1" w:history="1">
        <w:r w:rsidR="00685155"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https://www.nice.org.uk/guidance/ng56</w:t>
        </w:r>
      </w:hyperlink>
      <w:r w:rsidR="0068515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85155">
        <w:rPr>
          <w:rFonts w:ascii="Arial" w:eastAsia="Times New Roman" w:hAnsi="Arial" w:cs="Arial"/>
          <w:sz w:val="24"/>
          <w:szCs w:val="24"/>
          <w:lang w:eastAsia="en-GB"/>
        </w:rPr>
        <w:t>(Accessed: 0</w:t>
      </w:r>
      <w:r w:rsidR="00685155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="00685155">
        <w:rPr>
          <w:rFonts w:ascii="Arial" w:eastAsia="Times New Roman" w:hAnsi="Arial" w:cs="Arial"/>
          <w:sz w:val="24"/>
          <w:szCs w:val="24"/>
          <w:lang w:eastAsia="en-GB"/>
        </w:rPr>
        <w:t xml:space="preserve"> Jul 2026).</w:t>
      </w:r>
    </w:p>
    <w:p w:rsidR="00737040" w:rsidRPr="00500B72" w:rsidRDefault="00737040" w:rsidP="0073704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>NHS Digital (202</w:t>
      </w:r>
      <w:r>
        <w:rPr>
          <w:rFonts w:ascii="Arial" w:eastAsia="Times New Roman" w:hAnsi="Arial" w:cs="Arial"/>
          <w:sz w:val="24"/>
          <w:szCs w:val="24"/>
          <w:lang w:eastAsia="en-GB"/>
        </w:rPr>
        <w:t>6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Digital Maturity Assessment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2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https://www.england.nhs.uk/digitaltechnology/digitising-the-frontline/digital-maturity-assessment/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02 Jul 2026).</w:t>
      </w:r>
    </w:p>
    <w:p w:rsidR="00500B72" w:rsidRDefault="00500B72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NHS England (2019) </w:t>
      </w:r>
      <w:r w:rsidR="009B4912" w:rsidRPr="009B491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Creating a new 10 Year Health Plan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9B491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3" w:history="1">
        <w:r w:rsidR="009B4912"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https://webarchive.nationalarchives.gov.uk/ukgwa/20250511091243/https://www.longtermplan.nhs.uk/</w:t>
        </w:r>
      </w:hyperlink>
      <w:r w:rsidR="009B491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57F0B">
        <w:rPr>
          <w:rFonts w:ascii="Arial" w:eastAsia="Times New Roman" w:hAnsi="Arial" w:cs="Arial"/>
          <w:sz w:val="24"/>
          <w:szCs w:val="24"/>
          <w:lang w:eastAsia="en-GB"/>
        </w:rPr>
        <w:t>(Accessed: 02 Jul 2026).</w:t>
      </w:r>
    </w:p>
    <w:p w:rsidR="00540149" w:rsidRPr="00500B72" w:rsidRDefault="00540149" w:rsidP="0054014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Nuffield Trust (2022) </w:t>
      </w:r>
      <w:r w:rsidRPr="0054014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NHS workforce in numbers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>. London: Nuffield Trust.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4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https://www.nuffieldtrust.org.uk/resource/the-nhs-workforce-in-numbers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01 Jul 2026).</w:t>
      </w:r>
    </w:p>
    <w:p w:rsidR="00500B72" w:rsidRPr="00500B72" w:rsidRDefault="00500B72" w:rsidP="00500B7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>Office for</w:t>
      </w:r>
      <w:r w:rsidR="00D75D27">
        <w:rPr>
          <w:rFonts w:ascii="Arial" w:eastAsia="Times New Roman" w:hAnsi="Arial" w:cs="Arial"/>
          <w:sz w:val="24"/>
          <w:szCs w:val="24"/>
          <w:lang w:eastAsia="en-GB"/>
        </w:rPr>
        <w:t xml:space="preserve"> National Statistics (2022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="00D75D27" w:rsidRPr="00D75D2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Voices of our ageing population: Living longer lives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D75D27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5" w:history="1">
        <w:r w:rsidR="00D75D27"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https://www.ons.gov.uk/peoplepopulationandcommunity/birthsdeathsandmarriages/ageing/articles/voicesofourageingpopulation/livinglongerlives</w:t>
        </w:r>
      </w:hyperlink>
      <w:r w:rsidR="00D75D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75D27">
        <w:rPr>
          <w:rFonts w:ascii="Arial" w:eastAsia="Times New Roman" w:hAnsi="Arial" w:cs="Arial"/>
          <w:sz w:val="24"/>
          <w:szCs w:val="24"/>
          <w:lang w:eastAsia="en-GB"/>
        </w:rPr>
        <w:t>(Accessed: 0</w:t>
      </w:r>
      <w:r w:rsidR="00D75D27"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="00D75D27">
        <w:rPr>
          <w:rFonts w:ascii="Arial" w:eastAsia="Times New Roman" w:hAnsi="Arial" w:cs="Arial"/>
          <w:sz w:val="24"/>
          <w:szCs w:val="24"/>
          <w:lang w:eastAsia="en-GB"/>
        </w:rPr>
        <w:t xml:space="preserve"> Jul 2026).</w:t>
      </w:r>
    </w:p>
    <w:p w:rsidR="00426137" w:rsidRPr="00D60CDD" w:rsidRDefault="00426137" w:rsidP="0042613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Rasi-Heikkinen</w:t>
      </w:r>
      <w:proofErr w:type="spellEnd"/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, P., and</w:t>
      </w:r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 </w:t>
      </w:r>
      <w:proofErr w:type="spellStart"/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D</w:t>
      </w:r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oh</w:t>
      </w:r>
      <w:proofErr w:type="spellEnd"/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, M. (2023)</w:t>
      </w:r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‘</w:t>
      </w:r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Older adults and digital inclusion</w:t>
      </w:r>
      <w:r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’,</w:t>
      </w:r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 </w:t>
      </w:r>
      <w:r w:rsidRPr="00D60CDD">
        <w:rPr>
          <w:rFonts w:ascii="Arial" w:eastAsia="Times New Roman" w:hAnsi="Arial" w:cs="Arial"/>
          <w:bCs/>
          <w:i/>
          <w:kern w:val="36"/>
          <w:sz w:val="24"/>
          <w:szCs w:val="24"/>
          <w:lang w:eastAsia="en-GB"/>
        </w:rPr>
        <w:t>Educational Gerontology</w:t>
      </w:r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, 49(5), 345–347. </w:t>
      </w:r>
      <w:hyperlink r:id="rId16" w:history="1">
        <w:r w:rsidRPr="00D60CDD">
          <w:rPr>
            <w:rStyle w:val="Hyperlink"/>
            <w:rFonts w:ascii="Arial" w:eastAsia="Times New Roman" w:hAnsi="Arial" w:cs="Arial"/>
            <w:bCs/>
            <w:kern w:val="36"/>
            <w:sz w:val="24"/>
            <w:szCs w:val="24"/>
            <w:u w:val="none"/>
            <w:lang w:eastAsia="en-GB"/>
          </w:rPr>
          <w:t>https://doi.org/10.1080/03601277.2023.2205743</w:t>
        </w:r>
      </w:hyperlink>
      <w:r w:rsidRPr="00D60CDD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 </w:t>
      </w:r>
    </w:p>
    <w:p w:rsidR="00D30A30" w:rsidRPr="00500B72" w:rsidRDefault="00D30A30" w:rsidP="00D30A3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>Royal College of Nursing (202</w:t>
      </w:r>
      <w:r>
        <w:rPr>
          <w:rFonts w:ascii="Arial" w:eastAsia="Times New Roman" w:hAnsi="Arial" w:cs="Arial"/>
          <w:sz w:val="24"/>
          <w:szCs w:val="24"/>
          <w:lang w:eastAsia="en-GB"/>
        </w:rPr>
        <w:t>6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Nursing Workforce.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7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https://www.rcn.org.uk/Professional-Development/The-nursing-workforce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02 Jul 2026).</w:t>
      </w:r>
    </w:p>
    <w:p w:rsidR="000408B3" w:rsidRPr="00500B72" w:rsidRDefault="000408B3" w:rsidP="000408B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F1F33">
        <w:rPr>
          <w:rFonts w:ascii="Arial" w:eastAsia="Times New Roman" w:hAnsi="Arial" w:cs="Arial"/>
          <w:sz w:val="24"/>
          <w:szCs w:val="24"/>
          <w:lang w:eastAsia="en-GB"/>
        </w:rPr>
        <w:t xml:space="preserve">Salma, I., </w:t>
      </w:r>
      <w:proofErr w:type="spellStart"/>
      <w:r w:rsidRPr="005F1F33">
        <w:rPr>
          <w:rFonts w:ascii="Arial" w:eastAsia="Times New Roman" w:hAnsi="Arial" w:cs="Arial"/>
          <w:sz w:val="24"/>
          <w:szCs w:val="24"/>
          <w:lang w:eastAsia="en-GB"/>
        </w:rPr>
        <w:t>Testa</w:t>
      </w:r>
      <w:proofErr w:type="spellEnd"/>
      <w:r w:rsidRPr="005F1F33">
        <w:rPr>
          <w:rFonts w:ascii="Arial" w:eastAsia="Times New Roman" w:hAnsi="Arial" w:cs="Arial"/>
          <w:sz w:val="24"/>
          <w:szCs w:val="24"/>
          <w:lang w:eastAsia="en-GB"/>
        </w:rPr>
        <w:t xml:space="preserve">, D., </w:t>
      </w:r>
      <w:proofErr w:type="spellStart"/>
      <w:r w:rsidRPr="005F1F33">
        <w:rPr>
          <w:rFonts w:ascii="Arial" w:eastAsia="Times New Roman" w:hAnsi="Arial" w:cs="Arial"/>
          <w:sz w:val="24"/>
          <w:szCs w:val="24"/>
          <w:lang w:eastAsia="en-GB"/>
        </w:rPr>
        <w:t>Mpoy</w:t>
      </w:r>
      <w:proofErr w:type="spellEnd"/>
      <w:r w:rsidRPr="005F1F33">
        <w:rPr>
          <w:rFonts w:ascii="Arial" w:eastAsia="Times New Roman" w:hAnsi="Arial" w:cs="Arial"/>
          <w:sz w:val="24"/>
          <w:szCs w:val="24"/>
          <w:lang w:eastAsia="en-GB"/>
        </w:rPr>
        <w:t>, J. V., Perez-Torrents, J.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Rehault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J. M.,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Cabanes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E., and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Minvielle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E. (2025)</w:t>
      </w:r>
      <w:r w:rsidRPr="005F1F3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5F1F33">
        <w:rPr>
          <w:rFonts w:ascii="Arial" w:eastAsia="Times New Roman" w:hAnsi="Arial" w:cs="Arial"/>
          <w:sz w:val="24"/>
          <w:szCs w:val="24"/>
          <w:lang w:eastAsia="en-GB"/>
        </w:rPr>
        <w:t>Remote monitoring system for older adults at risk for complications: a scoping review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5F1F3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0408B3">
        <w:rPr>
          <w:rFonts w:ascii="Arial" w:eastAsia="Times New Roman" w:hAnsi="Arial" w:cs="Arial"/>
          <w:i/>
          <w:sz w:val="24"/>
          <w:szCs w:val="24"/>
          <w:lang w:eastAsia="en-GB"/>
        </w:rPr>
        <w:t>BMC geriatrics</w:t>
      </w:r>
      <w:r w:rsidRPr="005F1F33">
        <w:rPr>
          <w:rFonts w:ascii="Arial" w:eastAsia="Times New Roman" w:hAnsi="Arial" w:cs="Arial"/>
          <w:sz w:val="24"/>
          <w:szCs w:val="24"/>
          <w:lang w:eastAsia="en-GB"/>
        </w:rPr>
        <w:t xml:space="preserve">, 25(1), 766. </w:t>
      </w:r>
      <w:hyperlink r:id="rId18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https://doi.org/10.1186/s12877-025-06385-8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D30A30" w:rsidRPr="00500B72" w:rsidRDefault="00D30A30" w:rsidP="00D30A3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The King's Fund (2022) </w:t>
      </w:r>
      <w:r w:rsidRPr="001F594A">
        <w:rPr>
          <w:rFonts w:ascii="Arial" w:eastAsia="Times New Roman" w:hAnsi="Arial" w:cs="Arial"/>
          <w:i/>
          <w:sz w:val="24"/>
          <w:szCs w:val="24"/>
          <w:lang w:eastAsia="en-GB"/>
        </w:rPr>
        <w:t>The King’s Fund responds to the Digital Health and Care Plan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9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https://www.kingsfund.org.uk/insight-and-analysis/press-releases/digital-health-care-plan-2022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01 Jul 2026).</w:t>
      </w:r>
    </w:p>
    <w:p w:rsidR="00D30A30" w:rsidRPr="00500B72" w:rsidRDefault="00D30A30" w:rsidP="00D30A3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500B72">
        <w:rPr>
          <w:rFonts w:ascii="Arial" w:eastAsia="Times New Roman" w:hAnsi="Arial" w:cs="Arial"/>
          <w:sz w:val="24"/>
          <w:szCs w:val="24"/>
          <w:lang w:eastAsia="en-GB"/>
        </w:rPr>
        <w:t>Topol</w:t>
      </w:r>
      <w:proofErr w:type="spellEnd"/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, E. (2019) </w:t>
      </w:r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</w:t>
      </w:r>
      <w:proofErr w:type="spellStart"/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Topol</w:t>
      </w:r>
      <w:proofErr w:type="spellEnd"/>
      <w:r w:rsidRPr="00500B72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Review: Preparing the Healthcare Workforce to Deliver the Digital Future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0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https://topol.digitalacademy.nhs.uk/the-topol-review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30 Jun 2026).</w:t>
      </w:r>
    </w:p>
    <w:p w:rsidR="00D30A30" w:rsidRPr="00500B72" w:rsidRDefault="00D30A30" w:rsidP="00D30A3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00B72">
        <w:rPr>
          <w:rFonts w:ascii="Arial" w:eastAsia="Times New Roman" w:hAnsi="Arial" w:cs="Arial"/>
          <w:sz w:val="24"/>
          <w:szCs w:val="24"/>
          <w:lang w:eastAsia="en-GB"/>
        </w:rPr>
        <w:t>World Health Organization (202</w:t>
      </w:r>
      <w:r>
        <w:rPr>
          <w:rFonts w:ascii="Arial" w:eastAsia="Times New Roman" w:hAnsi="Arial" w:cs="Arial"/>
          <w:sz w:val="24"/>
          <w:szCs w:val="24"/>
          <w:lang w:eastAsia="en-GB"/>
        </w:rPr>
        <w:t>6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Pr="00E17AE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WHO's work on the UN Decade of Healthy Ageing (2021–2030)</w:t>
      </w:r>
      <w:r w:rsidRPr="00500B72">
        <w:rPr>
          <w:rFonts w:ascii="Arial" w:eastAsia="Times New Roman" w:hAnsi="Arial" w:cs="Arial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1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https://www.who.int/initiatives/decade-of-healthy-ageing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30 Jun 2026).</w:t>
      </w:r>
    </w:p>
    <w:p w:rsidR="00D30A30" w:rsidRPr="00500B72" w:rsidRDefault="00D30A30" w:rsidP="00D30A30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30A30">
        <w:rPr>
          <w:rFonts w:ascii="Arial" w:eastAsia="Times New Roman" w:hAnsi="Arial" w:cs="Arial"/>
          <w:sz w:val="24"/>
          <w:szCs w:val="24"/>
          <w:lang w:eastAsia="en-GB"/>
        </w:rPr>
        <w:t>Yang, H. J</w:t>
      </w:r>
      <w:r>
        <w:rPr>
          <w:rFonts w:ascii="Arial" w:eastAsia="Times New Roman" w:hAnsi="Arial" w:cs="Arial"/>
          <w:sz w:val="24"/>
          <w:szCs w:val="24"/>
          <w:lang w:eastAsia="en-GB"/>
        </w:rPr>
        <w:t>., Lee, J. H., and Lee, W. (2025)</w:t>
      </w:r>
      <w:r w:rsidRPr="00D30A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D30A30">
        <w:rPr>
          <w:rFonts w:ascii="Arial" w:eastAsia="Times New Roman" w:hAnsi="Arial" w:cs="Arial"/>
          <w:sz w:val="24"/>
          <w:szCs w:val="24"/>
          <w:lang w:eastAsia="en-GB"/>
        </w:rPr>
        <w:t>Factors Influencing Health Care Technology Acceptance in Older Adults Based on the Technology Acceptance Model and the Unified Theory of Acceptance and Use of Technology: Meta-Analysis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D30A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D30A30">
        <w:rPr>
          <w:rFonts w:ascii="Arial" w:eastAsia="Times New Roman" w:hAnsi="Arial" w:cs="Arial"/>
          <w:i/>
          <w:sz w:val="24"/>
          <w:szCs w:val="24"/>
          <w:lang w:eastAsia="en-GB"/>
        </w:rPr>
        <w:t>Journal of medical Internet research</w:t>
      </w:r>
      <w:r w:rsidRPr="00D30A30">
        <w:rPr>
          <w:rFonts w:ascii="Arial" w:eastAsia="Times New Roman" w:hAnsi="Arial" w:cs="Arial"/>
          <w:sz w:val="24"/>
          <w:szCs w:val="24"/>
          <w:lang w:eastAsia="en-GB"/>
        </w:rPr>
        <w:t xml:space="preserve">, 27, e65269. </w:t>
      </w:r>
      <w:hyperlink r:id="rId22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https://doi.org/10.2196/65269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B52EA5" w:rsidRPr="00500B72" w:rsidRDefault="00B52EA5" w:rsidP="00B52EA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Yousef, Y.,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Keast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J., and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Dambha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-Miller, H. (2026)</w:t>
      </w:r>
      <w:r w:rsidRPr="00B52EA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B52EA5">
        <w:rPr>
          <w:rFonts w:ascii="Arial" w:eastAsia="Times New Roman" w:hAnsi="Arial" w:cs="Arial"/>
          <w:sz w:val="24"/>
          <w:szCs w:val="24"/>
          <w:lang w:eastAsia="en-GB"/>
        </w:rPr>
        <w:t>Streamlining regulation to Unlock Digital Health Innovation in the NHS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B52EA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B52EA5">
        <w:rPr>
          <w:rFonts w:ascii="Arial" w:eastAsia="Times New Roman" w:hAnsi="Arial" w:cs="Arial"/>
          <w:i/>
          <w:sz w:val="24"/>
          <w:szCs w:val="24"/>
          <w:lang w:eastAsia="en-GB"/>
        </w:rPr>
        <w:t>Digital health</w:t>
      </w:r>
      <w:r w:rsidRPr="00B52EA5">
        <w:rPr>
          <w:rFonts w:ascii="Arial" w:eastAsia="Times New Roman" w:hAnsi="Arial" w:cs="Arial"/>
          <w:sz w:val="24"/>
          <w:szCs w:val="24"/>
          <w:lang w:eastAsia="en-GB"/>
        </w:rPr>
        <w:t xml:space="preserve">, 12, 20552076261433141. </w:t>
      </w:r>
      <w:hyperlink r:id="rId23" w:history="1">
        <w:r w:rsidRPr="00EB497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https://doi.org/10.1177/20552076261433141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546036" w:rsidRPr="00500B72" w:rsidRDefault="00546036" w:rsidP="00500B7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46036" w:rsidRPr="00500B7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26AC"/>
    <w:rsid w:val="000408B3"/>
    <w:rsid w:val="000B0DC7"/>
    <w:rsid w:val="00176DEC"/>
    <w:rsid w:val="001F594A"/>
    <w:rsid w:val="002244F8"/>
    <w:rsid w:val="002326AC"/>
    <w:rsid w:val="00272360"/>
    <w:rsid w:val="00326DCF"/>
    <w:rsid w:val="00375E8B"/>
    <w:rsid w:val="003E6F5C"/>
    <w:rsid w:val="003F3BA9"/>
    <w:rsid w:val="00416AB0"/>
    <w:rsid w:val="00426137"/>
    <w:rsid w:val="00483D33"/>
    <w:rsid w:val="00500B72"/>
    <w:rsid w:val="005113AD"/>
    <w:rsid w:val="00514B1C"/>
    <w:rsid w:val="00540149"/>
    <w:rsid w:val="00543BF7"/>
    <w:rsid w:val="00546036"/>
    <w:rsid w:val="005D14FA"/>
    <w:rsid w:val="005F1F33"/>
    <w:rsid w:val="00665751"/>
    <w:rsid w:val="00677428"/>
    <w:rsid w:val="00685155"/>
    <w:rsid w:val="00713AA3"/>
    <w:rsid w:val="00737040"/>
    <w:rsid w:val="0075562F"/>
    <w:rsid w:val="00840B1C"/>
    <w:rsid w:val="00840F5D"/>
    <w:rsid w:val="00877B30"/>
    <w:rsid w:val="008E1BC5"/>
    <w:rsid w:val="009312D5"/>
    <w:rsid w:val="009B4912"/>
    <w:rsid w:val="00A05FB8"/>
    <w:rsid w:val="00A67708"/>
    <w:rsid w:val="00AC74E6"/>
    <w:rsid w:val="00B064C9"/>
    <w:rsid w:val="00B52EA5"/>
    <w:rsid w:val="00BE5748"/>
    <w:rsid w:val="00C444CF"/>
    <w:rsid w:val="00D30A30"/>
    <w:rsid w:val="00D60CDD"/>
    <w:rsid w:val="00D75D27"/>
    <w:rsid w:val="00E17AEB"/>
    <w:rsid w:val="00F3143C"/>
    <w:rsid w:val="00F57F0B"/>
    <w:rsid w:val="00F70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9733B"/>
  <w15:chartTrackingRefBased/>
  <w15:docId w15:val="{E06D6835-5DA6-462D-B87F-F2B18025B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500B7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0B72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500B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00B72"/>
    <w:rPr>
      <w:i/>
      <w:iCs/>
    </w:rPr>
  </w:style>
  <w:style w:type="character" w:styleId="Hyperlink">
    <w:name w:val="Hyperlink"/>
    <w:basedOn w:val="DefaultParagraphFont"/>
    <w:uiPriority w:val="99"/>
    <w:unhideWhenUsed/>
    <w:rsid w:val="003F3BA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478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2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0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0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ission.europa.eu/system/files/2021-06/green_paper_ageing_2021_en.pdf" TargetMode="External"/><Relationship Id="rId13" Type="http://schemas.openxmlformats.org/officeDocument/2006/relationships/hyperlink" Target="https://webarchive.nationalarchives.gov.uk/ukgwa/20250511091243/https://www.longtermplan.nhs.uk/" TargetMode="External"/><Relationship Id="rId18" Type="http://schemas.openxmlformats.org/officeDocument/2006/relationships/hyperlink" Target="https://doi.org/10.1186/s12877-025-06385-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who.int/initiatives/decade-of-healthy-ageing" TargetMode="External"/><Relationship Id="rId7" Type="http://schemas.openxmlformats.org/officeDocument/2006/relationships/hyperlink" Target="https://www.gov.uk/government/publications/people-at-the-heart-of-care-adult-social-care-reform-white-paper" TargetMode="External"/><Relationship Id="rId12" Type="http://schemas.openxmlformats.org/officeDocument/2006/relationships/hyperlink" Target="https://www.england.nhs.uk/digitaltechnology/digitising-the-frontline/digital-maturity-assessment/" TargetMode="External"/><Relationship Id="rId17" Type="http://schemas.openxmlformats.org/officeDocument/2006/relationships/hyperlink" Target="https://www.rcn.org.uk/Professional-Development/The-nursing-workforce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1080/03601277.2023.2205743" TargetMode="External"/><Relationship Id="rId20" Type="http://schemas.openxmlformats.org/officeDocument/2006/relationships/hyperlink" Target="https://topol.digitalacademy.nhs.uk/the-topol-review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7/S0144686X15001269" TargetMode="External"/><Relationship Id="rId11" Type="http://schemas.openxmlformats.org/officeDocument/2006/relationships/hyperlink" Target="https://www.nice.org.uk/guidance/ng56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ageuk.org.uk/siteassets/documents/reports-and-publications/reports-and-briefings/health--wellbeing/age-uk-briefing-state-of-health-and-care-july-2023-abridged-version.pdf" TargetMode="External"/><Relationship Id="rId15" Type="http://schemas.openxmlformats.org/officeDocument/2006/relationships/hyperlink" Target="https://www.ons.gov.uk/peoplepopulationandcommunity/birthsdeathsandmarriages/ageing/articles/voicesofourageingpopulation/livinglongerlives" TargetMode="External"/><Relationship Id="rId23" Type="http://schemas.openxmlformats.org/officeDocument/2006/relationships/hyperlink" Target="https://doi.org/10.1177/20552076261433141" TargetMode="External"/><Relationship Id="rId10" Type="http://schemas.openxmlformats.org/officeDocument/2006/relationships/hyperlink" Target="https://doi.org/10.1016/j.arr.2011.03.003" TargetMode="External"/><Relationship Id="rId19" Type="http://schemas.openxmlformats.org/officeDocument/2006/relationships/hyperlink" Target="https://www.kingsfund.org.uk/insight-and-analysis/press-releases/digital-health-care-plan-2022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2196/19264" TargetMode="External"/><Relationship Id="rId14" Type="http://schemas.openxmlformats.org/officeDocument/2006/relationships/hyperlink" Target="https://www.nuffieldtrust.org.uk/resource/the-nhs-workforce-in-numbers" TargetMode="External"/><Relationship Id="rId22" Type="http://schemas.openxmlformats.org/officeDocument/2006/relationships/hyperlink" Target="https://doi.org/10.2196/652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4</Pages>
  <Words>944</Words>
  <Characters>5387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Farooq</dc:creator>
  <cp:keywords/>
  <dc:description/>
  <cp:lastModifiedBy>Dell</cp:lastModifiedBy>
  <cp:revision>44</cp:revision>
  <dcterms:created xsi:type="dcterms:W3CDTF">2026-07-02T20:00:00Z</dcterms:created>
  <dcterms:modified xsi:type="dcterms:W3CDTF">2026-07-02T23:10:00Z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9dd0807d-9726-4bc8-8c9d-9658aed4f942</vt:lpwstr>
  </property>
</Properties>
</file>