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4D342D" w:rsidP="00815B29">
      <w:pPr>
        <w:pStyle w:val="Title"/>
      </w:pPr>
      <w:r>
        <w:t>Database Management Systems</w:t>
      </w:r>
    </w:p>
    <w:p w:rsidR="00815B29" w:rsidRDefault="004D342D" w:rsidP="00815B29">
      <w:pPr>
        <w:pStyle w:val="Subtitle"/>
      </w:pPr>
      <w:r>
        <w:t>Lecture 2</w:t>
      </w:r>
      <w:r w:rsidR="00815B29">
        <w:t xml:space="preserve"> Lab Tutorial </w:t>
      </w:r>
      <w:r w:rsidR="00B6344D">
        <w:t>Exercise</w:t>
      </w:r>
    </w:p>
    <w:p w:rsidR="00815B29" w:rsidRDefault="009C26C1" w:rsidP="00815B29">
      <w:pPr>
        <w:pStyle w:val="Heading1"/>
      </w:pPr>
      <w:r>
        <w:t>Database Analysis and Design</w:t>
      </w:r>
      <w:r w:rsidR="00815B29">
        <w:t xml:space="preserve"> Refresher Exercise</w:t>
      </w:r>
    </w:p>
    <w:p w:rsidR="002B0601" w:rsidRDefault="00EE53B9" w:rsidP="002B0601">
      <w:pPr>
        <w:pStyle w:val="Heading2"/>
      </w:pPr>
      <w:r>
        <w:t>Objectives</w:t>
      </w:r>
    </w:p>
    <w:p w:rsidR="00107115" w:rsidRDefault="00107115" w:rsidP="005D078C">
      <w:r>
        <w:t>The aim of this lab exercise is to refresh your memory of</w:t>
      </w:r>
      <w:r w:rsidR="00922524">
        <w:t xml:space="preserve"> database analysis and design</w:t>
      </w:r>
      <w:r w:rsidR="00D50323">
        <w:t xml:space="preserve"> techniques. You will be looking at conceptual database modelling, that is, identifying entities, attributes and relationships to model an organisation’s information needs. The exercises are based on </w:t>
      </w:r>
      <w:r w:rsidR="00135D73">
        <w:t>using</w:t>
      </w:r>
      <w:r w:rsidR="00922524">
        <w:t xml:space="preserve"> the following </w:t>
      </w:r>
      <w:r w:rsidR="00D50323">
        <w:t>data</w:t>
      </w:r>
      <w:r w:rsidR="000D30BA">
        <w:t xml:space="preserve"> modelling </w:t>
      </w:r>
      <w:r w:rsidR="00D50323">
        <w:t>technique</w:t>
      </w:r>
      <w:r w:rsidR="00922524">
        <w:t>s</w:t>
      </w:r>
      <w:r>
        <w:t>:</w:t>
      </w:r>
    </w:p>
    <w:p w:rsidR="002B0601" w:rsidRDefault="001B19EB" w:rsidP="00107115">
      <w:pPr>
        <w:pStyle w:val="ListParagraph"/>
        <w:numPr>
          <w:ilvl w:val="0"/>
          <w:numId w:val="1"/>
        </w:numPr>
      </w:pPr>
      <w:r>
        <w:t>Entity-Relationship modelling</w:t>
      </w:r>
    </w:p>
    <w:p w:rsidR="00107115" w:rsidRDefault="00107115" w:rsidP="00107115">
      <w:pPr>
        <w:pStyle w:val="ListParagraph"/>
        <w:numPr>
          <w:ilvl w:val="0"/>
          <w:numId w:val="1"/>
        </w:numPr>
      </w:pPr>
      <w:r>
        <w:t>Normalisation</w:t>
      </w:r>
    </w:p>
    <w:p w:rsidR="00E935BB" w:rsidRDefault="00E935BB" w:rsidP="00E935BB">
      <w:r w:rsidRPr="000253DB">
        <w:rPr>
          <w:b/>
        </w:rPr>
        <w:t>Note</w:t>
      </w:r>
      <w:r>
        <w:t>: All solutions should be added to the class’s OneNote Notebook.</w:t>
      </w:r>
    </w:p>
    <w:p w:rsidR="002B0601" w:rsidRDefault="008907B1" w:rsidP="008907B1">
      <w:pPr>
        <w:pStyle w:val="Heading2"/>
      </w:pPr>
      <w:r>
        <w:t xml:space="preserve">Exercise 1: </w:t>
      </w:r>
      <w:r w:rsidR="00EA28FB">
        <w:t>Entity-Relationship Model</w:t>
      </w:r>
      <w:bookmarkStart w:id="0" w:name="_GoBack"/>
      <w:bookmarkEnd w:id="0"/>
    </w:p>
    <w:p w:rsidR="008907B1" w:rsidRDefault="008907B1" w:rsidP="008907B1">
      <w:pPr>
        <w:pStyle w:val="Heading3"/>
      </w:pPr>
      <w:r>
        <w:t>Adult Education Department Case Study</w:t>
      </w:r>
    </w:p>
    <w:p w:rsidR="008907B1" w:rsidRDefault="008907B1" w:rsidP="008907B1">
      <w:r>
        <w:t>An Adult Education Department runs various courses during the daytime and evenings, and at different times of the year. For example, ‘Spanish level 1’ is offered on Monday mornings, Monday evenings or Wednesday evenings, and runs over 25 weeks from October to March. On the other hand, ‘Introduction to Digging Up Your Ancestors’ only runs for 8 weeks, but is offered on Tuesday or Wednesday evenings from October to December, January to March, and April to June, with an optional field week in August.</w:t>
      </w:r>
    </w:p>
    <w:p w:rsidR="008907B1" w:rsidRDefault="008907B1" w:rsidP="008907B1">
      <w:r>
        <w:t>There is always a maximum number of places for each course offering, which is dependent on the individual tutor. For example, ‘Spanish level 1’ on Monday evenings may be limited to 20 places, but on Wednesday evenings the limit may be 25. Each course offering is only taken by one tutor, however, a tutor may take different courses, for example, ‘French level 1’ and ‘Spanish level 2’. To guarantee enrolment, prospective students must pay the fee before the start of the first class. There is a special reduction for those unemployed. All applicants are kept on a register for subsequent mailshots.</w:t>
      </w:r>
    </w:p>
    <w:p w:rsidR="008907B1" w:rsidRPr="008907B1" w:rsidRDefault="008907B1" w:rsidP="008907B1">
      <w:pPr>
        <w:pStyle w:val="Heading3"/>
      </w:pPr>
      <w:r>
        <w:t>Exercise</w:t>
      </w:r>
    </w:p>
    <w:p w:rsidR="008907B1" w:rsidRDefault="008907B1" w:rsidP="008907B1">
      <w:r>
        <w:t>Given the above information, produce a set of entities, attributes and relationships that reflect the described information requirements.</w:t>
      </w:r>
      <w:r w:rsidR="00D138BA">
        <w:t xml:space="preserve"> Identify the primary and foreign keys.</w:t>
      </w:r>
    </w:p>
    <w:p w:rsidR="002B0601" w:rsidRDefault="00D138BA" w:rsidP="008907B1">
      <w:r>
        <w:t xml:space="preserve">You can produce your diagram in Visio and paste it into the OneNote </w:t>
      </w:r>
      <w:r w:rsidR="00E97EFD">
        <w:t>Notebook</w:t>
      </w:r>
      <w:r>
        <w:t>.</w:t>
      </w:r>
    </w:p>
    <w:p w:rsidR="008907B1" w:rsidRDefault="008907B1" w:rsidP="008907B1"/>
    <w:p w:rsidR="008907B1" w:rsidRDefault="00CA1E3A" w:rsidP="00CA1E3A">
      <w:pPr>
        <w:pStyle w:val="Heading2"/>
      </w:pPr>
      <w:r>
        <w:t>Exercise 2: Normalisation</w:t>
      </w:r>
    </w:p>
    <w:p w:rsidR="00CA1E3A" w:rsidRDefault="00CA1E3A" w:rsidP="00CA1E3A">
      <w:r>
        <w:t xml:space="preserve">Describe and illustrate the process of normalising the attributes shown in the figure below from UNF to </w:t>
      </w:r>
      <w:r w:rsidR="00605565">
        <w:t xml:space="preserve">produce a set of well-defined </w:t>
      </w:r>
      <w:r>
        <w:t>3NF</w:t>
      </w:r>
      <w:r w:rsidR="00605565">
        <w:t xml:space="preserve"> tables</w:t>
      </w:r>
      <w:r>
        <w:t>. I have included the unnormalised table form.</w:t>
      </w:r>
    </w:p>
    <w:p w:rsidR="00605565" w:rsidRDefault="00605565" w:rsidP="00CA1E3A">
      <w:r>
        <w:lastRenderedPageBreak/>
        <w:t xml:space="preserve">You should identify the primary keys of the tables produced at each normal form and what was done at each normal form level to convert the table to the next level. </w:t>
      </w:r>
    </w:p>
    <w:p w:rsidR="005D078C" w:rsidRDefault="005D078C" w:rsidP="005D078C"/>
    <w:p w:rsidR="00ED205F" w:rsidRDefault="00ED205F" w:rsidP="00ED205F">
      <w:r>
        <w:rPr>
          <w:noProof/>
          <w:lang w:eastAsia="en-GB"/>
        </w:rPr>
        <w:drawing>
          <wp:inline distT="0" distB="0" distL="0" distR="0" wp14:anchorId="44036596" wp14:editId="515CFF1D">
            <wp:extent cx="5731510" cy="3604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604895"/>
                    </a:xfrm>
                    <a:prstGeom prst="rect">
                      <a:avLst/>
                    </a:prstGeom>
                  </pic:spPr>
                </pic:pic>
              </a:graphicData>
            </a:graphic>
          </wp:inline>
        </w:drawing>
      </w:r>
    </w:p>
    <w:p w:rsidR="00ED205F" w:rsidRDefault="00ED205F" w:rsidP="00ED205F"/>
    <w:tbl>
      <w:tblPr>
        <w:tblW w:w="10502" w:type="dxa"/>
        <w:tblInd w:w="-284" w:type="dxa"/>
        <w:tblLook w:val="04A0" w:firstRow="1" w:lastRow="0" w:firstColumn="1" w:lastColumn="0" w:noHBand="0" w:noVBand="1"/>
      </w:tblPr>
      <w:tblGrid>
        <w:gridCol w:w="644"/>
        <w:gridCol w:w="1304"/>
        <w:gridCol w:w="670"/>
        <w:gridCol w:w="927"/>
        <w:gridCol w:w="597"/>
        <w:gridCol w:w="643"/>
        <w:gridCol w:w="906"/>
        <w:gridCol w:w="867"/>
        <w:gridCol w:w="770"/>
        <w:gridCol w:w="936"/>
        <w:gridCol w:w="624"/>
        <w:gridCol w:w="850"/>
        <w:gridCol w:w="850"/>
      </w:tblGrid>
      <w:tr w:rsidR="00ED205F" w:rsidRPr="001673B8" w:rsidTr="000913CB">
        <w:trPr>
          <w:trHeight w:val="300"/>
        </w:trPr>
        <w:tc>
          <w:tcPr>
            <w:tcW w:w="6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patient</w:t>
            </w:r>
            <w:r>
              <w:rPr>
                <w:rFonts w:ascii="Calibri" w:eastAsia="Times New Roman" w:hAnsi="Calibri" w:cs="Times New Roman"/>
                <w:color w:val="000000"/>
                <w:sz w:val="14"/>
                <w:szCs w:val="20"/>
                <w:lang w:eastAsia="en-GB"/>
              </w:rPr>
              <w:br/>
            </w:r>
            <w:r w:rsidRPr="001673B8">
              <w:rPr>
                <w:rFonts w:ascii="Calibri" w:eastAsia="Times New Roman" w:hAnsi="Calibri" w:cs="Times New Roman"/>
                <w:color w:val="000000"/>
                <w:sz w:val="14"/>
                <w:szCs w:val="20"/>
                <w:lang w:eastAsia="en-GB"/>
              </w:rPr>
              <w:t>No</w:t>
            </w:r>
          </w:p>
        </w:tc>
        <w:tc>
          <w:tcPr>
            <w:tcW w:w="1304" w:type="dxa"/>
            <w:tcBorders>
              <w:top w:val="single" w:sz="4" w:space="0" w:color="auto"/>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patientName</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wardNo</w:t>
            </w:r>
          </w:p>
        </w:tc>
        <w:tc>
          <w:tcPr>
            <w:tcW w:w="927" w:type="dxa"/>
            <w:tcBorders>
              <w:top w:val="single" w:sz="4" w:space="0" w:color="auto"/>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wardName</w:t>
            </w:r>
          </w:p>
        </w:tc>
        <w:tc>
          <w:tcPr>
            <w:tcW w:w="597" w:type="dxa"/>
            <w:tcBorders>
              <w:top w:val="single" w:sz="4" w:space="0" w:color="auto"/>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bedNo</w:t>
            </w:r>
          </w:p>
        </w:tc>
        <w:tc>
          <w:tcPr>
            <w:tcW w:w="643" w:type="dxa"/>
            <w:tcBorders>
              <w:top w:val="single" w:sz="4" w:space="0" w:color="auto"/>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drugNo</w:t>
            </w:r>
          </w:p>
        </w:tc>
        <w:tc>
          <w:tcPr>
            <w:tcW w:w="906" w:type="dxa"/>
            <w:tcBorders>
              <w:top w:val="single" w:sz="4" w:space="0" w:color="auto"/>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drugName</w:t>
            </w:r>
          </w:p>
        </w:tc>
        <w:tc>
          <w:tcPr>
            <w:tcW w:w="867" w:type="dxa"/>
            <w:tcBorders>
              <w:top w:val="single" w:sz="4" w:space="0" w:color="auto"/>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drug</w:t>
            </w:r>
            <w:r>
              <w:rPr>
                <w:rFonts w:ascii="Calibri" w:eastAsia="Times New Roman" w:hAnsi="Calibri" w:cs="Times New Roman"/>
                <w:color w:val="000000"/>
                <w:sz w:val="14"/>
                <w:szCs w:val="20"/>
                <w:lang w:eastAsia="en-GB"/>
              </w:rPr>
              <w:br/>
            </w:r>
            <w:r w:rsidRPr="001673B8">
              <w:rPr>
                <w:rFonts w:ascii="Calibri" w:eastAsia="Times New Roman" w:hAnsi="Calibri" w:cs="Times New Roman"/>
                <w:color w:val="000000"/>
                <w:sz w:val="14"/>
                <w:szCs w:val="20"/>
                <w:lang w:eastAsia="en-GB"/>
              </w:rPr>
              <w:t>Description</w:t>
            </w:r>
          </w:p>
        </w:tc>
        <w:tc>
          <w:tcPr>
            <w:tcW w:w="770" w:type="dxa"/>
            <w:tcBorders>
              <w:top w:val="single" w:sz="4" w:space="0" w:color="auto"/>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dosage</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drug</w:t>
            </w:r>
            <w:r>
              <w:rPr>
                <w:rFonts w:ascii="Calibri" w:eastAsia="Times New Roman" w:hAnsi="Calibri" w:cs="Times New Roman"/>
                <w:color w:val="000000"/>
                <w:sz w:val="14"/>
                <w:szCs w:val="20"/>
                <w:lang w:eastAsia="en-GB"/>
              </w:rPr>
              <w:t>Method</w:t>
            </w:r>
            <w:r>
              <w:rPr>
                <w:rFonts w:ascii="Calibri" w:eastAsia="Times New Roman" w:hAnsi="Calibri" w:cs="Times New Roman"/>
                <w:color w:val="000000"/>
                <w:sz w:val="14"/>
                <w:szCs w:val="20"/>
                <w:lang w:eastAsia="en-GB"/>
              </w:rPr>
              <w:br/>
            </w:r>
            <w:r w:rsidRPr="001673B8">
              <w:rPr>
                <w:rFonts w:ascii="Calibri" w:eastAsia="Times New Roman" w:hAnsi="Calibri" w:cs="Times New Roman"/>
                <w:color w:val="000000"/>
                <w:sz w:val="14"/>
                <w:szCs w:val="20"/>
                <w:lang w:eastAsia="en-GB"/>
              </w:rPr>
              <w:t>Admin</w:t>
            </w:r>
          </w:p>
        </w:tc>
        <w:tc>
          <w:tcPr>
            <w:tcW w:w="624" w:type="dxa"/>
            <w:tcBorders>
              <w:top w:val="single" w:sz="4" w:space="0" w:color="auto"/>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units</w:t>
            </w:r>
            <w:r>
              <w:rPr>
                <w:rFonts w:ascii="Calibri" w:eastAsia="Times New Roman" w:hAnsi="Calibri" w:cs="Times New Roman"/>
                <w:color w:val="000000"/>
                <w:sz w:val="14"/>
                <w:szCs w:val="20"/>
                <w:lang w:eastAsia="en-GB"/>
              </w:rPr>
              <w:br/>
            </w:r>
            <w:r w:rsidRPr="001673B8">
              <w:rPr>
                <w:rFonts w:ascii="Calibri" w:eastAsia="Times New Roman" w:hAnsi="Calibri" w:cs="Times New Roman"/>
                <w:color w:val="000000"/>
                <w:sz w:val="14"/>
                <w:szCs w:val="20"/>
                <w:lang w:eastAsia="en-GB"/>
              </w:rPr>
              <w:t>PerDay</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startDate</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finishDate</w:t>
            </w:r>
          </w:p>
        </w:tc>
      </w:tr>
      <w:tr w:rsidR="00ED205F" w:rsidRPr="001673B8" w:rsidTr="000913CB">
        <w:trPr>
          <w:trHeight w:val="300"/>
        </w:trPr>
        <w:tc>
          <w:tcPr>
            <w:tcW w:w="644" w:type="dxa"/>
            <w:tcBorders>
              <w:top w:val="nil"/>
              <w:left w:val="single" w:sz="4" w:space="0" w:color="auto"/>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P10034</w:t>
            </w:r>
          </w:p>
        </w:tc>
        <w:tc>
          <w:tcPr>
            <w:tcW w:w="1304"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Robert MacDonald</w:t>
            </w:r>
          </w:p>
        </w:tc>
        <w:tc>
          <w:tcPr>
            <w:tcW w:w="67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11</w:t>
            </w:r>
          </w:p>
        </w:tc>
        <w:tc>
          <w:tcPr>
            <w:tcW w:w="92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Orthopaedic</w:t>
            </w:r>
          </w:p>
        </w:tc>
        <w:tc>
          <w:tcPr>
            <w:tcW w:w="59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84</w:t>
            </w:r>
          </w:p>
        </w:tc>
        <w:tc>
          <w:tcPr>
            <w:tcW w:w="643"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10223</w:t>
            </w:r>
          </w:p>
        </w:tc>
        <w:tc>
          <w:tcPr>
            <w:tcW w:w="906"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Morphine</w:t>
            </w:r>
          </w:p>
        </w:tc>
        <w:tc>
          <w:tcPr>
            <w:tcW w:w="86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PainKiller</w:t>
            </w:r>
          </w:p>
        </w:tc>
        <w:tc>
          <w:tcPr>
            <w:tcW w:w="77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10mg/ml</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Oral</w:t>
            </w:r>
          </w:p>
        </w:tc>
        <w:tc>
          <w:tcPr>
            <w:tcW w:w="624"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50</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24-Mar-15</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24-Apr-15</w:t>
            </w:r>
          </w:p>
        </w:tc>
      </w:tr>
      <w:tr w:rsidR="00ED205F" w:rsidRPr="001673B8" w:rsidTr="000913CB">
        <w:trPr>
          <w:trHeight w:val="300"/>
        </w:trPr>
        <w:tc>
          <w:tcPr>
            <w:tcW w:w="644" w:type="dxa"/>
            <w:tcBorders>
              <w:top w:val="nil"/>
              <w:left w:val="single" w:sz="4" w:space="0" w:color="auto"/>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1304"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67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92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59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643"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10334</w:t>
            </w:r>
          </w:p>
        </w:tc>
        <w:tc>
          <w:tcPr>
            <w:tcW w:w="906"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Tetracycline</w:t>
            </w:r>
          </w:p>
        </w:tc>
        <w:tc>
          <w:tcPr>
            <w:tcW w:w="86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Antibiotic</w:t>
            </w:r>
          </w:p>
        </w:tc>
        <w:tc>
          <w:tcPr>
            <w:tcW w:w="77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0.5mg/ml</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IV</w:t>
            </w:r>
          </w:p>
        </w:tc>
        <w:tc>
          <w:tcPr>
            <w:tcW w:w="624"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10</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24-Mar-15</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17-Apr-15</w:t>
            </w:r>
          </w:p>
        </w:tc>
      </w:tr>
      <w:tr w:rsidR="00ED205F" w:rsidRPr="001673B8" w:rsidTr="000913CB">
        <w:trPr>
          <w:trHeight w:val="300"/>
        </w:trPr>
        <w:tc>
          <w:tcPr>
            <w:tcW w:w="644" w:type="dxa"/>
            <w:tcBorders>
              <w:top w:val="nil"/>
              <w:left w:val="single" w:sz="4" w:space="0" w:color="auto"/>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1304"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67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92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59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643"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10223</w:t>
            </w:r>
          </w:p>
        </w:tc>
        <w:tc>
          <w:tcPr>
            <w:tcW w:w="906"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Morphine</w:t>
            </w:r>
          </w:p>
        </w:tc>
        <w:tc>
          <w:tcPr>
            <w:tcW w:w="86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PainKiller</w:t>
            </w:r>
          </w:p>
        </w:tc>
        <w:tc>
          <w:tcPr>
            <w:tcW w:w="77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10mg/ml</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Oral</w:t>
            </w:r>
          </w:p>
        </w:tc>
        <w:tc>
          <w:tcPr>
            <w:tcW w:w="624"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10</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25-Jan-16</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02-Feb-16</w:t>
            </w:r>
          </w:p>
        </w:tc>
      </w:tr>
      <w:tr w:rsidR="00ED205F" w:rsidRPr="001673B8" w:rsidTr="000913CB">
        <w:trPr>
          <w:trHeight w:val="300"/>
        </w:trPr>
        <w:tc>
          <w:tcPr>
            <w:tcW w:w="644" w:type="dxa"/>
            <w:tcBorders>
              <w:top w:val="nil"/>
              <w:left w:val="single" w:sz="4" w:space="0" w:color="auto"/>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P10055</w:t>
            </w:r>
          </w:p>
        </w:tc>
        <w:tc>
          <w:tcPr>
            <w:tcW w:w="1304"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Ellie Carlisle</w:t>
            </w:r>
          </w:p>
        </w:tc>
        <w:tc>
          <w:tcPr>
            <w:tcW w:w="67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5</w:t>
            </w:r>
          </w:p>
        </w:tc>
        <w:tc>
          <w:tcPr>
            <w:tcW w:w="92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Maternity</w:t>
            </w:r>
          </w:p>
        </w:tc>
        <w:tc>
          <w:tcPr>
            <w:tcW w:w="59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12</w:t>
            </w:r>
          </w:p>
        </w:tc>
        <w:tc>
          <w:tcPr>
            <w:tcW w:w="643"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10334</w:t>
            </w:r>
          </w:p>
        </w:tc>
        <w:tc>
          <w:tcPr>
            <w:tcW w:w="906"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Tetracycline</w:t>
            </w:r>
          </w:p>
        </w:tc>
        <w:tc>
          <w:tcPr>
            <w:tcW w:w="86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Antibiotic</w:t>
            </w:r>
          </w:p>
        </w:tc>
        <w:tc>
          <w:tcPr>
            <w:tcW w:w="77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0.5mg/ml</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IV</w:t>
            </w:r>
          </w:p>
        </w:tc>
        <w:tc>
          <w:tcPr>
            <w:tcW w:w="624"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10</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20-Dec-15</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24-Dec-15</w:t>
            </w:r>
          </w:p>
        </w:tc>
      </w:tr>
      <w:tr w:rsidR="00ED205F" w:rsidRPr="001673B8" w:rsidTr="000913CB">
        <w:trPr>
          <w:trHeight w:val="300"/>
        </w:trPr>
        <w:tc>
          <w:tcPr>
            <w:tcW w:w="644" w:type="dxa"/>
            <w:tcBorders>
              <w:top w:val="nil"/>
              <w:left w:val="single" w:sz="4" w:space="0" w:color="auto"/>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P10005</w:t>
            </w:r>
          </w:p>
        </w:tc>
        <w:tc>
          <w:tcPr>
            <w:tcW w:w="1304"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Jordan Cooper</w:t>
            </w:r>
          </w:p>
        </w:tc>
        <w:tc>
          <w:tcPr>
            <w:tcW w:w="67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11</w:t>
            </w:r>
          </w:p>
        </w:tc>
        <w:tc>
          <w:tcPr>
            <w:tcW w:w="92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Orthopaedic</w:t>
            </w:r>
          </w:p>
        </w:tc>
        <w:tc>
          <w:tcPr>
            <w:tcW w:w="59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77</w:t>
            </w:r>
          </w:p>
        </w:tc>
        <w:tc>
          <w:tcPr>
            <w:tcW w:w="643"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10223</w:t>
            </w:r>
          </w:p>
        </w:tc>
        <w:tc>
          <w:tcPr>
            <w:tcW w:w="906"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Morphine</w:t>
            </w:r>
          </w:p>
        </w:tc>
        <w:tc>
          <w:tcPr>
            <w:tcW w:w="867"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PainKiller</w:t>
            </w:r>
          </w:p>
        </w:tc>
        <w:tc>
          <w:tcPr>
            <w:tcW w:w="77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10mg/ml</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Oral</w:t>
            </w:r>
          </w:p>
        </w:tc>
        <w:tc>
          <w:tcPr>
            <w:tcW w:w="624"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30</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01-Feb-15</w:t>
            </w:r>
          </w:p>
        </w:tc>
        <w:tc>
          <w:tcPr>
            <w:tcW w:w="850" w:type="dxa"/>
            <w:tcBorders>
              <w:top w:val="nil"/>
              <w:left w:val="nil"/>
              <w:bottom w:val="nil"/>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07-Feb-15</w:t>
            </w:r>
          </w:p>
        </w:tc>
      </w:tr>
      <w:tr w:rsidR="00ED205F" w:rsidRPr="001673B8" w:rsidTr="000913CB">
        <w:trPr>
          <w:trHeight w:val="300"/>
        </w:trPr>
        <w:tc>
          <w:tcPr>
            <w:tcW w:w="644" w:type="dxa"/>
            <w:tcBorders>
              <w:top w:val="nil"/>
              <w:left w:val="single" w:sz="4" w:space="0" w:color="auto"/>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1304" w:type="dxa"/>
            <w:tcBorders>
              <w:top w:val="nil"/>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670" w:type="dxa"/>
            <w:tcBorders>
              <w:top w:val="nil"/>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927" w:type="dxa"/>
            <w:tcBorders>
              <w:top w:val="nil"/>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597" w:type="dxa"/>
            <w:tcBorders>
              <w:top w:val="nil"/>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10334</w:t>
            </w:r>
          </w:p>
        </w:tc>
        <w:tc>
          <w:tcPr>
            <w:tcW w:w="906" w:type="dxa"/>
            <w:tcBorders>
              <w:top w:val="nil"/>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Tetracycline</w:t>
            </w:r>
          </w:p>
        </w:tc>
        <w:tc>
          <w:tcPr>
            <w:tcW w:w="867" w:type="dxa"/>
            <w:tcBorders>
              <w:top w:val="nil"/>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Antibiotic</w:t>
            </w:r>
          </w:p>
        </w:tc>
        <w:tc>
          <w:tcPr>
            <w:tcW w:w="770" w:type="dxa"/>
            <w:tcBorders>
              <w:top w:val="nil"/>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0.5mg/ml</w:t>
            </w:r>
          </w:p>
        </w:tc>
        <w:tc>
          <w:tcPr>
            <w:tcW w:w="850" w:type="dxa"/>
            <w:tcBorders>
              <w:top w:val="nil"/>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Oral</w:t>
            </w:r>
          </w:p>
        </w:tc>
        <w:tc>
          <w:tcPr>
            <w:tcW w:w="624" w:type="dxa"/>
            <w:tcBorders>
              <w:top w:val="nil"/>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20</w:t>
            </w:r>
          </w:p>
        </w:tc>
        <w:tc>
          <w:tcPr>
            <w:tcW w:w="850" w:type="dxa"/>
            <w:tcBorders>
              <w:top w:val="nil"/>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01-Feb-15</w:t>
            </w:r>
          </w:p>
        </w:tc>
        <w:tc>
          <w:tcPr>
            <w:tcW w:w="850" w:type="dxa"/>
            <w:tcBorders>
              <w:top w:val="nil"/>
              <w:left w:val="nil"/>
              <w:bottom w:val="single" w:sz="4" w:space="0" w:color="auto"/>
              <w:right w:val="single" w:sz="4" w:space="0" w:color="auto"/>
            </w:tcBorders>
            <w:shd w:val="clear" w:color="auto" w:fill="auto"/>
            <w:noWrap/>
            <w:vAlign w:val="bottom"/>
            <w:hideMark/>
          </w:tcPr>
          <w:p w:rsidR="00ED205F" w:rsidRPr="001673B8" w:rsidRDefault="00ED205F" w:rsidP="000913CB">
            <w:pPr>
              <w:spacing w:after="0" w:line="240" w:lineRule="auto"/>
              <w:jc w:val="right"/>
              <w:rPr>
                <w:rFonts w:ascii="Calibri" w:eastAsia="Times New Roman" w:hAnsi="Calibri" w:cs="Times New Roman"/>
                <w:color w:val="000000"/>
                <w:sz w:val="14"/>
                <w:szCs w:val="20"/>
                <w:lang w:eastAsia="en-GB"/>
              </w:rPr>
            </w:pPr>
            <w:r w:rsidRPr="001673B8">
              <w:rPr>
                <w:rFonts w:ascii="Calibri" w:eastAsia="Times New Roman" w:hAnsi="Calibri" w:cs="Times New Roman"/>
                <w:color w:val="000000"/>
                <w:sz w:val="14"/>
                <w:szCs w:val="20"/>
                <w:lang w:eastAsia="en-GB"/>
              </w:rPr>
              <w:t>14-Feb-15</w:t>
            </w:r>
          </w:p>
        </w:tc>
      </w:tr>
    </w:tbl>
    <w:p w:rsidR="00ED205F" w:rsidRDefault="00ED205F" w:rsidP="00ED205F"/>
    <w:p w:rsidR="00ED205F" w:rsidRPr="005D078C" w:rsidRDefault="00ED205F" w:rsidP="005D078C"/>
    <w:sectPr w:rsidR="00ED205F" w:rsidRPr="005D078C" w:rsidSect="0078216A">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8216A" w:rsidTr="000913CB">
      <w:tc>
        <w:tcPr>
          <w:tcW w:w="4508" w:type="dxa"/>
        </w:tcPr>
        <w:p w:rsidR="0078216A" w:rsidRDefault="0078216A" w:rsidP="0078216A">
          <w:pPr>
            <w:pStyle w:val="Footer"/>
          </w:pPr>
          <w:r>
            <w:t>2016/2017</w:t>
          </w:r>
        </w:p>
      </w:tc>
      <w:tc>
        <w:tcPr>
          <w:tcW w:w="4508" w:type="dxa"/>
        </w:tcPr>
        <w:p w:rsidR="0078216A" w:rsidRDefault="0078216A" w:rsidP="0078216A">
          <w:pPr>
            <w:pStyle w:val="Footer"/>
            <w:jc w:val="right"/>
          </w:pPr>
          <w:r>
            <w:fldChar w:fldCharType="begin"/>
          </w:r>
          <w:r w:rsidRPr="0065175C">
            <w:instrText xml:space="preserve"> PAGE   \* MERGEFORMAT </w:instrText>
          </w:r>
          <w:r>
            <w:fldChar w:fldCharType="separate"/>
          </w:r>
          <w:r w:rsidR="00E935BB">
            <w:rPr>
              <w:noProof/>
            </w:rPr>
            <w:t>2</w:t>
          </w:r>
          <w:r>
            <w:rPr>
              <w:noProof/>
            </w:rPr>
            <w:fldChar w:fldCharType="end"/>
          </w:r>
        </w:p>
      </w:tc>
    </w:tr>
  </w:tbl>
  <w:p w:rsidR="0078216A" w:rsidRDefault="007821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EE53B9">
          <w:pPr>
            <w:pStyle w:val="Header"/>
          </w:pPr>
          <w:r>
            <w:t>Database Management Systems</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C3C50EC"/>
    <w:multiLevelType w:val="hybridMultilevel"/>
    <w:tmpl w:val="822EC2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253DB"/>
    <w:rsid w:val="0003611A"/>
    <w:rsid w:val="000D30BA"/>
    <w:rsid w:val="00107115"/>
    <w:rsid w:val="00135D73"/>
    <w:rsid w:val="00135E32"/>
    <w:rsid w:val="001B19EB"/>
    <w:rsid w:val="00287755"/>
    <w:rsid w:val="002B0601"/>
    <w:rsid w:val="004D342D"/>
    <w:rsid w:val="005274F0"/>
    <w:rsid w:val="00536772"/>
    <w:rsid w:val="005D078C"/>
    <w:rsid w:val="00605565"/>
    <w:rsid w:val="00684832"/>
    <w:rsid w:val="0078216A"/>
    <w:rsid w:val="00815B29"/>
    <w:rsid w:val="00850C2F"/>
    <w:rsid w:val="008907B1"/>
    <w:rsid w:val="00922524"/>
    <w:rsid w:val="009C26C1"/>
    <w:rsid w:val="00AB4367"/>
    <w:rsid w:val="00AB78A7"/>
    <w:rsid w:val="00B6344D"/>
    <w:rsid w:val="00BA36AF"/>
    <w:rsid w:val="00CA1E3A"/>
    <w:rsid w:val="00D138BA"/>
    <w:rsid w:val="00D50323"/>
    <w:rsid w:val="00E01ED4"/>
    <w:rsid w:val="00E077AF"/>
    <w:rsid w:val="00E935BB"/>
    <w:rsid w:val="00E97EFD"/>
    <w:rsid w:val="00EA28FB"/>
    <w:rsid w:val="00ED205F"/>
    <w:rsid w:val="00EE53B9"/>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0601"/>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1071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2</Pages>
  <Words>458</Words>
  <Characters>2613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28</cp:revision>
  <dcterms:created xsi:type="dcterms:W3CDTF">2016-10-04T11:56:00Z</dcterms:created>
  <dcterms:modified xsi:type="dcterms:W3CDTF">2016-10-18T18:41:00Z</dcterms:modified>
</cp:coreProperties>
</file>