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5E17E9" w14:textId="77777777" w:rsidR="00601505" w:rsidRPr="00601505" w:rsidRDefault="00601505" w:rsidP="00601505">
      <w:pPr>
        <w:spacing w:before="100" w:beforeAutospacing="1" w:after="100" w:afterAutospacing="1" w:line="240" w:lineRule="auto"/>
        <w:outlineLvl w:val="0"/>
        <w:rPr>
          <w:rFonts w:ascii="Arial" w:eastAsia="Times New Roman" w:hAnsi="Arial" w:cs="Arial"/>
          <w:b/>
          <w:bCs/>
          <w:color w:val="000000"/>
          <w:kern w:val="36"/>
          <w:sz w:val="22"/>
          <w:szCs w:val="22"/>
          <w:lang w:eastAsia="en-GB"/>
          <w14:ligatures w14:val="none"/>
        </w:rPr>
      </w:pPr>
      <w:r w:rsidRPr="00601505">
        <w:rPr>
          <w:rFonts w:ascii="Arial" w:eastAsia="Times New Roman" w:hAnsi="Arial" w:cs="Arial"/>
          <w:b/>
          <w:bCs/>
          <w:color w:val="000000"/>
          <w:kern w:val="36"/>
          <w:sz w:val="22"/>
          <w:szCs w:val="22"/>
          <w:lang w:eastAsia="en-GB"/>
          <w14:ligatures w14:val="none"/>
        </w:rPr>
        <w:t>Alcohol Use and Dementia in UK Healthcare: A Scoping Review</w:t>
      </w:r>
    </w:p>
    <w:p w14:paraId="757F19E0" w14:textId="77777777" w:rsidR="00B62417" w:rsidRDefault="00601505" w:rsidP="00B62417">
      <w:pPr>
        <w:pStyle w:val="Title"/>
        <w:rPr>
          <w:rFonts w:ascii="Arial" w:eastAsia="Times New Roman" w:hAnsi="Arial" w:cs="Arial"/>
          <w:color w:val="000000"/>
          <w:kern w:val="0"/>
          <w:sz w:val="22"/>
          <w:szCs w:val="22"/>
          <w:lang w:eastAsia="en-GB"/>
          <w14:ligatures w14:val="none"/>
        </w:rPr>
      </w:pPr>
      <w:r w:rsidRPr="00601505">
        <w:rPr>
          <w:rFonts w:ascii="Arial" w:eastAsia="Times New Roman" w:hAnsi="Arial" w:cs="Arial"/>
          <w:b/>
          <w:bCs/>
          <w:color w:val="000000"/>
          <w:kern w:val="0"/>
          <w:sz w:val="22"/>
          <w:szCs w:val="22"/>
          <w:lang w:eastAsia="en-GB"/>
          <w14:ligatures w14:val="none"/>
        </w:rPr>
        <w:t>Name:</w:t>
      </w:r>
      <w:r w:rsidRPr="00601505">
        <w:rPr>
          <w:rFonts w:ascii="Arial" w:eastAsia="Times New Roman" w:hAnsi="Arial" w:cs="Arial"/>
          <w:color w:val="000000"/>
          <w:kern w:val="0"/>
          <w:sz w:val="22"/>
          <w:szCs w:val="22"/>
          <w:lang w:eastAsia="en-GB"/>
          <w14:ligatures w14:val="none"/>
        </w:rPr>
        <w:t> Shareen Bi</w:t>
      </w:r>
      <w:r w:rsidRPr="00601505">
        <w:rPr>
          <w:rFonts w:ascii="Arial" w:eastAsia="Times New Roman" w:hAnsi="Arial" w:cs="Arial"/>
          <w:color w:val="000000"/>
          <w:kern w:val="0"/>
          <w:sz w:val="22"/>
          <w:szCs w:val="22"/>
          <w:lang w:eastAsia="en-GB"/>
          <w14:ligatures w14:val="none"/>
        </w:rPr>
        <w:br/>
      </w:r>
      <w:r w:rsidRPr="00601505">
        <w:rPr>
          <w:rFonts w:ascii="Arial" w:eastAsia="Times New Roman" w:hAnsi="Arial" w:cs="Arial"/>
          <w:b/>
          <w:bCs/>
          <w:color w:val="000000"/>
          <w:kern w:val="0"/>
          <w:sz w:val="22"/>
          <w:szCs w:val="22"/>
          <w:lang w:eastAsia="en-GB"/>
          <w14:ligatures w14:val="none"/>
        </w:rPr>
        <w:t>Student Number:</w:t>
      </w:r>
      <w:r w:rsidRPr="00601505">
        <w:rPr>
          <w:rFonts w:ascii="Arial" w:eastAsia="Times New Roman" w:hAnsi="Arial" w:cs="Arial"/>
          <w:color w:val="000000"/>
          <w:kern w:val="0"/>
          <w:sz w:val="22"/>
          <w:szCs w:val="22"/>
          <w:lang w:eastAsia="en-GB"/>
          <w14:ligatures w14:val="none"/>
        </w:rPr>
        <w:t> 2318894</w:t>
      </w:r>
      <w:r w:rsidRPr="00601505">
        <w:rPr>
          <w:rFonts w:ascii="Arial" w:eastAsia="Times New Roman" w:hAnsi="Arial" w:cs="Arial"/>
          <w:color w:val="000000"/>
          <w:kern w:val="0"/>
          <w:sz w:val="22"/>
          <w:szCs w:val="22"/>
          <w:lang w:eastAsia="en-GB"/>
          <w14:ligatures w14:val="none"/>
        </w:rPr>
        <w:br/>
      </w:r>
      <w:r w:rsidRPr="00601505">
        <w:rPr>
          <w:rFonts w:ascii="Arial" w:eastAsia="Times New Roman" w:hAnsi="Arial" w:cs="Arial"/>
          <w:b/>
          <w:bCs/>
          <w:color w:val="000000"/>
          <w:kern w:val="0"/>
          <w:sz w:val="22"/>
          <w:szCs w:val="22"/>
          <w:lang w:eastAsia="en-GB"/>
          <w14:ligatures w14:val="none"/>
        </w:rPr>
        <w:t>Module Code:</w:t>
      </w:r>
      <w:r w:rsidRPr="00601505">
        <w:rPr>
          <w:rFonts w:ascii="Arial" w:eastAsia="Times New Roman" w:hAnsi="Arial" w:cs="Arial"/>
          <w:color w:val="000000"/>
          <w:kern w:val="0"/>
          <w:sz w:val="22"/>
          <w:szCs w:val="22"/>
          <w:lang w:eastAsia="en-GB"/>
          <w14:ligatures w14:val="none"/>
        </w:rPr>
        <w:t> BMHP5019</w:t>
      </w:r>
      <w:r w:rsidRPr="00601505">
        <w:rPr>
          <w:rFonts w:ascii="Arial" w:eastAsia="Times New Roman" w:hAnsi="Arial" w:cs="Arial"/>
          <w:color w:val="000000"/>
          <w:kern w:val="0"/>
          <w:sz w:val="22"/>
          <w:szCs w:val="22"/>
          <w:lang w:eastAsia="en-GB"/>
          <w14:ligatures w14:val="none"/>
        </w:rPr>
        <w:br/>
      </w:r>
      <w:r w:rsidRPr="00601505">
        <w:rPr>
          <w:rFonts w:ascii="Arial" w:eastAsia="Times New Roman" w:hAnsi="Arial" w:cs="Arial"/>
          <w:b/>
          <w:bCs/>
          <w:color w:val="000000"/>
          <w:kern w:val="0"/>
          <w:sz w:val="22"/>
          <w:szCs w:val="22"/>
          <w:lang w:eastAsia="en-GB"/>
          <w14:ligatures w14:val="none"/>
        </w:rPr>
        <w:t>Assignment Title:</w:t>
      </w:r>
      <w:r w:rsidRPr="00601505">
        <w:rPr>
          <w:rFonts w:ascii="Arial" w:eastAsia="Times New Roman" w:hAnsi="Arial" w:cs="Arial"/>
          <w:color w:val="000000"/>
          <w:kern w:val="0"/>
          <w:sz w:val="22"/>
          <w:szCs w:val="22"/>
          <w:lang w:eastAsia="en-GB"/>
          <w14:ligatures w14:val="none"/>
        </w:rPr>
        <w:t> Research Report – The Relationship Between Alcohol Use and Dementia in the UK Healthcare Context</w:t>
      </w:r>
      <w:r w:rsidR="00C91A96">
        <w:rPr>
          <w:rFonts w:ascii="Arial" w:eastAsia="Times New Roman" w:hAnsi="Arial" w:cs="Arial"/>
          <w:color w:val="000000"/>
          <w:kern w:val="0"/>
          <w:sz w:val="22"/>
          <w:szCs w:val="22"/>
          <w:lang w:eastAsia="en-GB"/>
          <w14:ligatures w14:val="none"/>
        </w:rPr>
        <w:br/>
      </w:r>
    </w:p>
    <w:p w14:paraId="24BA3D58" w14:textId="77777777" w:rsidR="00B62417" w:rsidRDefault="00B62417" w:rsidP="00B62417">
      <w:pPr>
        <w:pStyle w:val="Title"/>
        <w:rPr>
          <w:rFonts w:ascii="Arial" w:eastAsia="Times New Roman" w:hAnsi="Arial" w:cs="Arial"/>
          <w:color w:val="000000"/>
          <w:kern w:val="0"/>
          <w:sz w:val="22"/>
          <w:szCs w:val="22"/>
          <w:lang w:eastAsia="en-GB"/>
          <w14:ligatures w14:val="none"/>
        </w:rPr>
      </w:pPr>
    </w:p>
    <w:p w14:paraId="5BE0D2DE" w14:textId="5B0688C8" w:rsidR="00B62417" w:rsidRDefault="00C91A96" w:rsidP="00B62417">
      <w:pPr>
        <w:pStyle w:val="Title"/>
        <w:rPr>
          <w:rFonts w:ascii="Arial" w:eastAsia="Times New Roman" w:hAnsi="Arial" w:cs="Arial"/>
          <w:sz w:val="44"/>
          <w:szCs w:val="44"/>
          <w:lang w:eastAsia="en-GB"/>
        </w:rPr>
      </w:pPr>
      <w:r>
        <w:rPr>
          <w:rFonts w:ascii="Arial" w:eastAsia="Times New Roman" w:hAnsi="Arial" w:cs="Arial"/>
          <w:color w:val="000000"/>
          <w:kern w:val="0"/>
          <w:sz w:val="22"/>
          <w:szCs w:val="22"/>
          <w:lang w:eastAsia="en-GB"/>
          <w14:ligatures w14:val="none"/>
        </w:rPr>
        <w:br/>
      </w:r>
      <w:r w:rsidR="00B62417">
        <w:rPr>
          <w:rFonts w:ascii="Arial" w:eastAsia="Times New Roman" w:hAnsi="Arial" w:cs="Arial"/>
          <w:sz w:val="44"/>
          <w:szCs w:val="44"/>
          <w:lang w:eastAsia="en-GB"/>
        </w:rPr>
        <w:t>Table of Contents</w:t>
      </w:r>
    </w:p>
    <w:p w14:paraId="0B3B508C" w14:textId="597796CB" w:rsidR="00B62417" w:rsidRPr="00B62417" w:rsidRDefault="00B62417" w:rsidP="00B62417">
      <w:pPr>
        <w:pStyle w:val="Title"/>
        <w:rPr>
          <w:rFonts w:ascii="Arial" w:eastAsia="Times New Roman" w:hAnsi="Arial" w:cs="Arial"/>
          <w:noProof/>
          <w:sz w:val="44"/>
          <w:szCs w:val="44"/>
          <w:lang w:eastAsia="en-GB"/>
        </w:rPr>
      </w:pPr>
      <w:r>
        <w:rPr>
          <w:rFonts w:ascii="Arial" w:eastAsia="Times New Roman" w:hAnsi="Arial" w:cs="Arial"/>
          <w:color w:val="000000"/>
          <w:kern w:val="0"/>
          <w:sz w:val="22"/>
          <w:szCs w:val="22"/>
          <w:lang w:eastAsia="en-GB"/>
          <w14:ligatures w14:val="none"/>
        </w:rPr>
        <w:fldChar w:fldCharType="begin"/>
      </w:r>
      <w:r>
        <w:rPr>
          <w:rFonts w:ascii="Arial" w:eastAsia="Times New Roman" w:hAnsi="Arial" w:cs="Arial"/>
          <w:color w:val="000000"/>
          <w:kern w:val="0"/>
          <w:sz w:val="22"/>
          <w:szCs w:val="22"/>
          <w:lang w:eastAsia="en-GB"/>
          <w14:ligatures w14:val="none"/>
        </w:rPr>
        <w:instrText xml:space="preserve"> TOC \h \z \t "Title,1,Subtitle,2" </w:instrText>
      </w:r>
      <w:r>
        <w:rPr>
          <w:rFonts w:ascii="Arial" w:eastAsia="Times New Roman" w:hAnsi="Arial" w:cs="Arial"/>
          <w:color w:val="000000"/>
          <w:kern w:val="0"/>
          <w:sz w:val="22"/>
          <w:szCs w:val="22"/>
          <w:lang w:eastAsia="en-GB"/>
          <w14:ligatures w14:val="none"/>
        </w:rPr>
        <w:fldChar w:fldCharType="separate"/>
      </w:r>
    </w:p>
    <w:p w14:paraId="7D8DB50A" w14:textId="0C6D6E71" w:rsidR="00B62417" w:rsidRDefault="00B62417">
      <w:pPr>
        <w:pStyle w:val="TOC1"/>
        <w:tabs>
          <w:tab w:val="right" w:leader="dot" w:pos="9016"/>
        </w:tabs>
        <w:rPr>
          <w:rFonts w:eastAsiaTheme="minorEastAsia"/>
          <w:b w:val="0"/>
          <w:bCs w:val="0"/>
          <w:caps w:val="0"/>
          <w:noProof/>
          <w:sz w:val="24"/>
          <w:szCs w:val="24"/>
          <w:lang w:eastAsia="en-GB"/>
        </w:rPr>
      </w:pPr>
      <w:hyperlink w:anchor="_Toc214117348" w:history="1">
        <w:r w:rsidRPr="00EC6312">
          <w:rPr>
            <w:rStyle w:val="Hyperlink"/>
            <w:rFonts w:ascii="Arial" w:eastAsia="Times New Roman" w:hAnsi="Arial" w:cs="Arial"/>
            <w:noProof/>
            <w:lang w:eastAsia="en-GB"/>
          </w:rPr>
          <w:t>Introduction</w:t>
        </w:r>
        <w:r>
          <w:rPr>
            <w:noProof/>
            <w:webHidden/>
          </w:rPr>
          <w:tab/>
        </w:r>
        <w:r>
          <w:rPr>
            <w:noProof/>
            <w:webHidden/>
          </w:rPr>
          <w:fldChar w:fldCharType="begin"/>
        </w:r>
        <w:r>
          <w:rPr>
            <w:noProof/>
            <w:webHidden/>
          </w:rPr>
          <w:instrText xml:space="preserve"> PAGEREF _Toc214117348 \h </w:instrText>
        </w:r>
        <w:r>
          <w:rPr>
            <w:noProof/>
            <w:webHidden/>
          </w:rPr>
        </w:r>
        <w:r>
          <w:rPr>
            <w:noProof/>
            <w:webHidden/>
          </w:rPr>
          <w:fldChar w:fldCharType="separate"/>
        </w:r>
        <w:r w:rsidR="00370EDA">
          <w:rPr>
            <w:noProof/>
            <w:webHidden/>
          </w:rPr>
          <w:t>2</w:t>
        </w:r>
        <w:r>
          <w:rPr>
            <w:noProof/>
            <w:webHidden/>
          </w:rPr>
          <w:fldChar w:fldCharType="end"/>
        </w:r>
      </w:hyperlink>
    </w:p>
    <w:p w14:paraId="40674AF3" w14:textId="7AEF6F3E" w:rsidR="00B62417" w:rsidRDefault="00B62417">
      <w:pPr>
        <w:pStyle w:val="TOC1"/>
        <w:tabs>
          <w:tab w:val="right" w:leader="dot" w:pos="9016"/>
        </w:tabs>
        <w:rPr>
          <w:rFonts w:eastAsiaTheme="minorEastAsia"/>
          <w:b w:val="0"/>
          <w:bCs w:val="0"/>
          <w:caps w:val="0"/>
          <w:noProof/>
          <w:sz w:val="24"/>
          <w:szCs w:val="24"/>
          <w:lang w:eastAsia="en-GB"/>
        </w:rPr>
      </w:pPr>
      <w:hyperlink w:anchor="_Toc214117349" w:history="1">
        <w:r w:rsidRPr="00EC6312">
          <w:rPr>
            <w:rStyle w:val="Hyperlink"/>
            <w:rFonts w:ascii="Arial" w:eastAsia="Times New Roman" w:hAnsi="Arial" w:cs="Arial"/>
            <w:noProof/>
            <w:lang w:eastAsia="en-GB"/>
          </w:rPr>
          <w:t>Background</w:t>
        </w:r>
        <w:r>
          <w:rPr>
            <w:noProof/>
            <w:webHidden/>
          </w:rPr>
          <w:tab/>
        </w:r>
        <w:r>
          <w:rPr>
            <w:noProof/>
            <w:webHidden/>
          </w:rPr>
          <w:fldChar w:fldCharType="begin"/>
        </w:r>
        <w:r>
          <w:rPr>
            <w:noProof/>
            <w:webHidden/>
          </w:rPr>
          <w:instrText xml:space="preserve"> PAGEREF _Toc214117349 \h </w:instrText>
        </w:r>
        <w:r>
          <w:rPr>
            <w:noProof/>
            <w:webHidden/>
          </w:rPr>
        </w:r>
        <w:r>
          <w:rPr>
            <w:noProof/>
            <w:webHidden/>
          </w:rPr>
          <w:fldChar w:fldCharType="separate"/>
        </w:r>
        <w:r w:rsidR="00370EDA">
          <w:rPr>
            <w:noProof/>
            <w:webHidden/>
          </w:rPr>
          <w:t>2</w:t>
        </w:r>
        <w:r>
          <w:rPr>
            <w:noProof/>
            <w:webHidden/>
          </w:rPr>
          <w:fldChar w:fldCharType="end"/>
        </w:r>
      </w:hyperlink>
    </w:p>
    <w:p w14:paraId="55B331F4" w14:textId="5E14AFF8" w:rsidR="00B62417" w:rsidRDefault="00B62417">
      <w:pPr>
        <w:pStyle w:val="TOC2"/>
        <w:tabs>
          <w:tab w:val="right" w:leader="dot" w:pos="9016"/>
        </w:tabs>
        <w:rPr>
          <w:rFonts w:eastAsiaTheme="minorEastAsia"/>
          <w:smallCaps w:val="0"/>
          <w:noProof/>
          <w:sz w:val="24"/>
          <w:szCs w:val="24"/>
          <w:lang w:eastAsia="en-GB"/>
        </w:rPr>
      </w:pPr>
      <w:hyperlink w:anchor="_Toc214117350" w:history="1">
        <w:r w:rsidRPr="00EC6312">
          <w:rPr>
            <w:rStyle w:val="Hyperlink"/>
            <w:rFonts w:ascii="Arial" w:eastAsia="Times New Roman" w:hAnsi="Arial" w:cs="Arial"/>
            <w:noProof/>
            <w:lang w:eastAsia="en-GB"/>
          </w:rPr>
          <w:t>Dementia and alcohol use in the UK</w:t>
        </w:r>
        <w:r>
          <w:rPr>
            <w:noProof/>
            <w:webHidden/>
          </w:rPr>
          <w:tab/>
        </w:r>
        <w:r>
          <w:rPr>
            <w:noProof/>
            <w:webHidden/>
          </w:rPr>
          <w:fldChar w:fldCharType="begin"/>
        </w:r>
        <w:r>
          <w:rPr>
            <w:noProof/>
            <w:webHidden/>
          </w:rPr>
          <w:instrText xml:space="preserve"> PAGEREF _Toc214117350 \h </w:instrText>
        </w:r>
        <w:r>
          <w:rPr>
            <w:noProof/>
            <w:webHidden/>
          </w:rPr>
        </w:r>
        <w:r>
          <w:rPr>
            <w:noProof/>
            <w:webHidden/>
          </w:rPr>
          <w:fldChar w:fldCharType="separate"/>
        </w:r>
        <w:r w:rsidR="00370EDA">
          <w:rPr>
            <w:noProof/>
            <w:webHidden/>
          </w:rPr>
          <w:t>2</w:t>
        </w:r>
        <w:r>
          <w:rPr>
            <w:noProof/>
            <w:webHidden/>
          </w:rPr>
          <w:fldChar w:fldCharType="end"/>
        </w:r>
      </w:hyperlink>
    </w:p>
    <w:p w14:paraId="56904A23" w14:textId="208E1A59" w:rsidR="00B62417" w:rsidRDefault="00B62417">
      <w:pPr>
        <w:pStyle w:val="TOC2"/>
        <w:tabs>
          <w:tab w:val="right" w:leader="dot" w:pos="9016"/>
        </w:tabs>
        <w:rPr>
          <w:rFonts w:eastAsiaTheme="minorEastAsia"/>
          <w:smallCaps w:val="0"/>
          <w:noProof/>
          <w:sz w:val="24"/>
          <w:szCs w:val="24"/>
          <w:lang w:eastAsia="en-GB"/>
        </w:rPr>
      </w:pPr>
      <w:hyperlink w:anchor="_Toc214117351" w:history="1">
        <w:r w:rsidRPr="00EC6312">
          <w:rPr>
            <w:rStyle w:val="Hyperlink"/>
            <w:rFonts w:ascii="Arial" w:eastAsia="Times New Roman" w:hAnsi="Arial" w:cs="Arial"/>
            <w:noProof/>
            <w:lang w:eastAsia="en-GB"/>
          </w:rPr>
          <w:t>Policy, guidance and service challenges</w:t>
        </w:r>
        <w:r>
          <w:rPr>
            <w:noProof/>
            <w:webHidden/>
          </w:rPr>
          <w:tab/>
        </w:r>
        <w:r>
          <w:rPr>
            <w:noProof/>
            <w:webHidden/>
          </w:rPr>
          <w:fldChar w:fldCharType="begin"/>
        </w:r>
        <w:r>
          <w:rPr>
            <w:noProof/>
            <w:webHidden/>
          </w:rPr>
          <w:instrText xml:space="preserve"> PAGEREF _Toc214117351 \h </w:instrText>
        </w:r>
        <w:r>
          <w:rPr>
            <w:noProof/>
            <w:webHidden/>
          </w:rPr>
        </w:r>
        <w:r>
          <w:rPr>
            <w:noProof/>
            <w:webHidden/>
          </w:rPr>
          <w:fldChar w:fldCharType="separate"/>
        </w:r>
        <w:r w:rsidR="00370EDA">
          <w:rPr>
            <w:noProof/>
            <w:webHidden/>
          </w:rPr>
          <w:t>3</w:t>
        </w:r>
        <w:r>
          <w:rPr>
            <w:noProof/>
            <w:webHidden/>
          </w:rPr>
          <w:fldChar w:fldCharType="end"/>
        </w:r>
      </w:hyperlink>
    </w:p>
    <w:p w14:paraId="7878FB26" w14:textId="31735216" w:rsidR="00B62417" w:rsidRDefault="00B62417">
      <w:pPr>
        <w:pStyle w:val="TOC1"/>
        <w:tabs>
          <w:tab w:val="right" w:leader="dot" w:pos="9016"/>
        </w:tabs>
        <w:rPr>
          <w:rFonts w:eastAsiaTheme="minorEastAsia"/>
          <w:b w:val="0"/>
          <w:bCs w:val="0"/>
          <w:caps w:val="0"/>
          <w:noProof/>
          <w:sz w:val="24"/>
          <w:szCs w:val="24"/>
          <w:lang w:eastAsia="en-GB"/>
        </w:rPr>
      </w:pPr>
      <w:hyperlink w:anchor="_Toc214117352" w:history="1">
        <w:r w:rsidRPr="00EC6312">
          <w:rPr>
            <w:rStyle w:val="Hyperlink"/>
            <w:rFonts w:ascii="Arial" w:eastAsia="Times New Roman" w:hAnsi="Arial" w:cs="Arial"/>
            <w:noProof/>
            <w:lang w:eastAsia="en-GB"/>
          </w:rPr>
          <w:t>Methods</w:t>
        </w:r>
        <w:r>
          <w:rPr>
            <w:noProof/>
            <w:webHidden/>
          </w:rPr>
          <w:tab/>
        </w:r>
        <w:r>
          <w:rPr>
            <w:noProof/>
            <w:webHidden/>
          </w:rPr>
          <w:fldChar w:fldCharType="begin"/>
        </w:r>
        <w:r>
          <w:rPr>
            <w:noProof/>
            <w:webHidden/>
          </w:rPr>
          <w:instrText xml:space="preserve"> PAGEREF _Toc214117352 \h </w:instrText>
        </w:r>
        <w:r>
          <w:rPr>
            <w:noProof/>
            <w:webHidden/>
          </w:rPr>
        </w:r>
        <w:r>
          <w:rPr>
            <w:noProof/>
            <w:webHidden/>
          </w:rPr>
          <w:fldChar w:fldCharType="separate"/>
        </w:r>
        <w:r w:rsidR="00370EDA">
          <w:rPr>
            <w:noProof/>
            <w:webHidden/>
          </w:rPr>
          <w:t>3</w:t>
        </w:r>
        <w:r>
          <w:rPr>
            <w:noProof/>
            <w:webHidden/>
          </w:rPr>
          <w:fldChar w:fldCharType="end"/>
        </w:r>
      </w:hyperlink>
    </w:p>
    <w:p w14:paraId="5447EA39" w14:textId="780B4DAA" w:rsidR="00B62417" w:rsidRDefault="00B62417">
      <w:pPr>
        <w:pStyle w:val="TOC2"/>
        <w:tabs>
          <w:tab w:val="right" w:leader="dot" w:pos="9016"/>
        </w:tabs>
        <w:rPr>
          <w:rFonts w:eastAsiaTheme="minorEastAsia"/>
          <w:smallCaps w:val="0"/>
          <w:noProof/>
          <w:sz w:val="24"/>
          <w:szCs w:val="24"/>
          <w:lang w:eastAsia="en-GB"/>
        </w:rPr>
      </w:pPr>
      <w:hyperlink w:anchor="_Toc214117353" w:history="1">
        <w:r w:rsidRPr="00EC6312">
          <w:rPr>
            <w:rStyle w:val="Hyperlink"/>
            <w:rFonts w:ascii="Arial" w:eastAsia="Times New Roman" w:hAnsi="Arial" w:cs="Arial"/>
            <w:noProof/>
            <w:lang w:eastAsia="en-GB"/>
          </w:rPr>
          <w:t>Study design</w:t>
        </w:r>
        <w:r>
          <w:rPr>
            <w:noProof/>
            <w:webHidden/>
          </w:rPr>
          <w:tab/>
        </w:r>
        <w:r>
          <w:rPr>
            <w:noProof/>
            <w:webHidden/>
          </w:rPr>
          <w:fldChar w:fldCharType="begin"/>
        </w:r>
        <w:r>
          <w:rPr>
            <w:noProof/>
            <w:webHidden/>
          </w:rPr>
          <w:instrText xml:space="preserve"> PAGEREF _Toc214117353 \h </w:instrText>
        </w:r>
        <w:r>
          <w:rPr>
            <w:noProof/>
            <w:webHidden/>
          </w:rPr>
        </w:r>
        <w:r>
          <w:rPr>
            <w:noProof/>
            <w:webHidden/>
          </w:rPr>
          <w:fldChar w:fldCharType="separate"/>
        </w:r>
        <w:r w:rsidR="00370EDA">
          <w:rPr>
            <w:noProof/>
            <w:webHidden/>
          </w:rPr>
          <w:t>3</w:t>
        </w:r>
        <w:r>
          <w:rPr>
            <w:noProof/>
            <w:webHidden/>
          </w:rPr>
          <w:fldChar w:fldCharType="end"/>
        </w:r>
      </w:hyperlink>
    </w:p>
    <w:p w14:paraId="65F16B7D" w14:textId="377B9454" w:rsidR="00B62417" w:rsidRDefault="00B62417">
      <w:pPr>
        <w:pStyle w:val="TOC2"/>
        <w:tabs>
          <w:tab w:val="right" w:leader="dot" w:pos="9016"/>
        </w:tabs>
        <w:rPr>
          <w:rFonts w:eastAsiaTheme="minorEastAsia"/>
          <w:smallCaps w:val="0"/>
          <w:noProof/>
          <w:sz w:val="24"/>
          <w:szCs w:val="24"/>
          <w:lang w:eastAsia="en-GB"/>
        </w:rPr>
      </w:pPr>
      <w:hyperlink w:anchor="_Toc214117354" w:history="1">
        <w:r w:rsidRPr="00EC6312">
          <w:rPr>
            <w:rStyle w:val="Hyperlink"/>
            <w:rFonts w:ascii="Arial" w:eastAsia="Times New Roman" w:hAnsi="Arial" w:cs="Arial"/>
            <w:noProof/>
            <w:lang w:eastAsia="en-GB"/>
          </w:rPr>
          <w:t>Search strategy</w:t>
        </w:r>
        <w:r>
          <w:rPr>
            <w:noProof/>
            <w:webHidden/>
          </w:rPr>
          <w:tab/>
        </w:r>
        <w:r>
          <w:rPr>
            <w:noProof/>
            <w:webHidden/>
          </w:rPr>
          <w:fldChar w:fldCharType="begin"/>
        </w:r>
        <w:r>
          <w:rPr>
            <w:noProof/>
            <w:webHidden/>
          </w:rPr>
          <w:instrText xml:space="preserve"> PAGEREF _Toc214117354 \h </w:instrText>
        </w:r>
        <w:r>
          <w:rPr>
            <w:noProof/>
            <w:webHidden/>
          </w:rPr>
        </w:r>
        <w:r>
          <w:rPr>
            <w:noProof/>
            <w:webHidden/>
          </w:rPr>
          <w:fldChar w:fldCharType="separate"/>
        </w:r>
        <w:r w:rsidR="00370EDA">
          <w:rPr>
            <w:noProof/>
            <w:webHidden/>
          </w:rPr>
          <w:t>4</w:t>
        </w:r>
        <w:r>
          <w:rPr>
            <w:noProof/>
            <w:webHidden/>
          </w:rPr>
          <w:fldChar w:fldCharType="end"/>
        </w:r>
      </w:hyperlink>
    </w:p>
    <w:p w14:paraId="79B591FE" w14:textId="70468F9E" w:rsidR="00B62417" w:rsidRDefault="00B62417">
      <w:pPr>
        <w:pStyle w:val="TOC2"/>
        <w:tabs>
          <w:tab w:val="right" w:leader="dot" w:pos="9016"/>
        </w:tabs>
        <w:rPr>
          <w:rFonts w:eastAsiaTheme="minorEastAsia"/>
          <w:smallCaps w:val="0"/>
          <w:noProof/>
          <w:sz w:val="24"/>
          <w:szCs w:val="24"/>
          <w:lang w:eastAsia="en-GB"/>
        </w:rPr>
      </w:pPr>
      <w:hyperlink w:anchor="_Toc214117355" w:history="1">
        <w:r w:rsidRPr="00EC6312">
          <w:rPr>
            <w:rStyle w:val="Hyperlink"/>
            <w:rFonts w:ascii="Arial" w:eastAsia="Times New Roman" w:hAnsi="Arial" w:cs="Arial"/>
            <w:noProof/>
            <w:lang w:eastAsia="en-GB"/>
          </w:rPr>
          <w:t>Inclusion and exclusion criteria</w:t>
        </w:r>
        <w:r>
          <w:rPr>
            <w:noProof/>
            <w:webHidden/>
          </w:rPr>
          <w:tab/>
        </w:r>
        <w:r>
          <w:rPr>
            <w:noProof/>
            <w:webHidden/>
          </w:rPr>
          <w:fldChar w:fldCharType="begin"/>
        </w:r>
        <w:r>
          <w:rPr>
            <w:noProof/>
            <w:webHidden/>
          </w:rPr>
          <w:instrText xml:space="preserve"> PAGEREF _Toc214117355 \h </w:instrText>
        </w:r>
        <w:r>
          <w:rPr>
            <w:noProof/>
            <w:webHidden/>
          </w:rPr>
        </w:r>
        <w:r>
          <w:rPr>
            <w:noProof/>
            <w:webHidden/>
          </w:rPr>
          <w:fldChar w:fldCharType="separate"/>
        </w:r>
        <w:r w:rsidR="00370EDA">
          <w:rPr>
            <w:noProof/>
            <w:webHidden/>
          </w:rPr>
          <w:t>4</w:t>
        </w:r>
        <w:r>
          <w:rPr>
            <w:noProof/>
            <w:webHidden/>
          </w:rPr>
          <w:fldChar w:fldCharType="end"/>
        </w:r>
      </w:hyperlink>
    </w:p>
    <w:p w14:paraId="45AEB994" w14:textId="5920E57D" w:rsidR="00B62417" w:rsidRDefault="00B62417">
      <w:pPr>
        <w:pStyle w:val="TOC2"/>
        <w:tabs>
          <w:tab w:val="right" w:leader="dot" w:pos="9016"/>
        </w:tabs>
        <w:rPr>
          <w:rFonts w:eastAsiaTheme="minorEastAsia"/>
          <w:smallCaps w:val="0"/>
          <w:noProof/>
          <w:sz w:val="24"/>
          <w:szCs w:val="24"/>
          <w:lang w:eastAsia="en-GB"/>
        </w:rPr>
      </w:pPr>
      <w:hyperlink w:anchor="_Toc214117356" w:history="1">
        <w:r w:rsidRPr="00EC6312">
          <w:rPr>
            <w:rStyle w:val="Hyperlink"/>
            <w:rFonts w:ascii="Arial" w:eastAsia="Times New Roman" w:hAnsi="Arial" w:cs="Arial"/>
            <w:noProof/>
            <w:lang w:eastAsia="en-GB"/>
          </w:rPr>
          <w:t>Study selection and data charting</w:t>
        </w:r>
        <w:r>
          <w:rPr>
            <w:noProof/>
            <w:webHidden/>
          </w:rPr>
          <w:tab/>
        </w:r>
        <w:r>
          <w:rPr>
            <w:noProof/>
            <w:webHidden/>
          </w:rPr>
          <w:fldChar w:fldCharType="begin"/>
        </w:r>
        <w:r>
          <w:rPr>
            <w:noProof/>
            <w:webHidden/>
          </w:rPr>
          <w:instrText xml:space="preserve"> PAGEREF _Toc214117356 \h </w:instrText>
        </w:r>
        <w:r>
          <w:rPr>
            <w:noProof/>
            <w:webHidden/>
          </w:rPr>
        </w:r>
        <w:r>
          <w:rPr>
            <w:noProof/>
            <w:webHidden/>
          </w:rPr>
          <w:fldChar w:fldCharType="separate"/>
        </w:r>
        <w:r w:rsidR="00370EDA">
          <w:rPr>
            <w:noProof/>
            <w:webHidden/>
          </w:rPr>
          <w:t>4</w:t>
        </w:r>
        <w:r>
          <w:rPr>
            <w:noProof/>
            <w:webHidden/>
          </w:rPr>
          <w:fldChar w:fldCharType="end"/>
        </w:r>
      </w:hyperlink>
    </w:p>
    <w:p w14:paraId="5B1249CA" w14:textId="43E2FED0" w:rsidR="00B62417" w:rsidRDefault="00B62417">
      <w:pPr>
        <w:pStyle w:val="TOC2"/>
        <w:tabs>
          <w:tab w:val="right" w:leader="dot" w:pos="9016"/>
        </w:tabs>
        <w:rPr>
          <w:rFonts w:eastAsiaTheme="minorEastAsia"/>
          <w:smallCaps w:val="0"/>
          <w:noProof/>
          <w:sz w:val="24"/>
          <w:szCs w:val="24"/>
          <w:lang w:eastAsia="en-GB"/>
        </w:rPr>
      </w:pPr>
      <w:hyperlink w:anchor="_Toc214117357" w:history="1">
        <w:r w:rsidRPr="00EC6312">
          <w:rPr>
            <w:rStyle w:val="Hyperlink"/>
            <w:rFonts w:ascii="Arial" w:eastAsia="Times New Roman" w:hAnsi="Arial" w:cs="Arial"/>
            <w:noProof/>
            <w:lang w:eastAsia="en-GB"/>
          </w:rPr>
          <w:t>Data analysis</w:t>
        </w:r>
        <w:r>
          <w:rPr>
            <w:noProof/>
            <w:webHidden/>
          </w:rPr>
          <w:tab/>
        </w:r>
        <w:r>
          <w:rPr>
            <w:noProof/>
            <w:webHidden/>
          </w:rPr>
          <w:fldChar w:fldCharType="begin"/>
        </w:r>
        <w:r>
          <w:rPr>
            <w:noProof/>
            <w:webHidden/>
          </w:rPr>
          <w:instrText xml:space="preserve"> PAGEREF _Toc214117357 \h </w:instrText>
        </w:r>
        <w:r>
          <w:rPr>
            <w:noProof/>
            <w:webHidden/>
          </w:rPr>
        </w:r>
        <w:r>
          <w:rPr>
            <w:noProof/>
            <w:webHidden/>
          </w:rPr>
          <w:fldChar w:fldCharType="separate"/>
        </w:r>
        <w:r w:rsidR="00370EDA">
          <w:rPr>
            <w:noProof/>
            <w:webHidden/>
          </w:rPr>
          <w:t>4</w:t>
        </w:r>
        <w:r>
          <w:rPr>
            <w:noProof/>
            <w:webHidden/>
          </w:rPr>
          <w:fldChar w:fldCharType="end"/>
        </w:r>
      </w:hyperlink>
    </w:p>
    <w:p w14:paraId="67A5C138" w14:textId="64F3FE7B" w:rsidR="00B62417" w:rsidRDefault="00B62417">
      <w:pPr>
        <w:pStyle w:val="TOC2"/>
        <w:tabs>
          <w:tab w:val="right" w:leader="dot" w:pos="9016"/>
        </w:tabs>
        <w:rPr>
          <w:rFonts w:eastAsiaTheme="minorEastAsia"/>
          <w:smallCaps w:val="0"/>
          <w:noProof/>
          <w:sz w:val="24"/>
          <w:szCs w:val="24"/>
          <w:lang w:eastAsia="en-GB"/>
        </w:rPr>
      </w:pPr>
      <w:hyperlink w:anchor="_Toc214117358" w:history="1">
        <w:r w:rsidRPr="00EC6312">
          <w:rPr>
            <w:rStyle w:val="Hyperlink"/>
            <w:rFonts w:ascii="Arial" w:eastAsia="Times New Roman" w:hAnsi="Arial" w:cs="Arial"/>
            <w:b/>
            <w:bCs/>
            <w:noProof/>
            <w:lang w:eastAsia="en-GB"/>
          </w:rPr>
          <w:t>Ethical considerations</w:t>
        </w:r>
        <w:r>
          <w:rPr>
            <w:noProof/>
            <w:webHidden/>
          </w:rPr>
          <w:tab/>
        </w:r>
        <w:r>
          <w:rPr>
            <w:noProof/>
            <w:webHidden/>
          </w:rPr>
          <w:fldChar w:fldCharType="begin"/>
        </w:r>
        <w:r>
          <w:rPr>
            <w:noProof/>
            <w:webHidden/>
          </w:rPr>
          <w:instrText xml:space="preserve"> PAGEREF _Toc214117358 \h </w:instrText>
        </w:r>
        <w:r>
          <w:rPr>
            <w:noProof/>
            <w:webHidden/>
          </w:rPr>
        </w:r>
        <w:r>
          <w:rPr>
            <w:noProof/>
            <w:webHidden/>
          </w:rPr>
          <w:fldChar w:fldCharType="separate"/>
        </w:r>
        <w:r w:rsidR="00370EDA">
          <w:rPr>
            <w:noProof/>
            <w:webHidden/>
          </w:rPr>
          <w:t>5</w:t>
        </w:r>
        <w:r>
          <w:rPr>
            <w:noProof/>
            <w:webHidden/>
          </w:rPr>
          <w:fldChar w:fldCharType="end"/>
        </w:r>
      </w:hyperlink>
    </w:p>
    <w:p w14:paraId="5CF25E54" w14:textId="039F6CD6" w:rsidR="00B62417" w:rsidRDefault="00B62417">
      <w:pPr>
        <w:pStyle w:val="TOC1"/>
        <w:tabs>
          <w:tab w:val="right" w:leader="dot" w:pos="9016"/>
        </w:tabs>
        <w:rPr>
          <w:rFonts w:eastAsiaTheme="minorEastAsia"/>
          <w:b w:val="0"/>
          <w:bCs w:val="0"/>
          <w:caps w:val="0"/>
          <w:noProof/>
          <w:sz w:val="24"/>
          <w:szCs w:val="24"/>
          <w:lang w:eastAsia="en-GB"/>
        </w:rPr>
      </w:pPr>
      <w:hyperlink w:anchor="_Toc214117359" w:history="1">
        <w:r w:rsidRPr="00EC6312">
          <w:rPr>
            <w:rStyle w:val="Hyperlink"/>
            <w:rFonts w:ascii="Arial" w:eastAsia="Times New Roman" w:hAnsi="Arial" w:cs="Arial"/>
            <w:noProof/>
            <w:lang w:eastAsia="en-GB"/>
          </w:rPr>
          <w:t>Results</w:t>
        </w:r>
        <w:r>
          <w:rPr>
            <w:noProof/>
            <w:webHidden/>
          </w:rPr>
          <w:tab/>
        </w:r>
        <w:r>
          <w:rPr>
            <w:noProof/>
            <w:webHidden/>
          </w:rPr>
          <w:fldChar w:fldCharType="begin"/>
        </w:r>
        <w:r>
          <w:rPr>
            <w:noProof/>
            <w:webHidden/>
          </w:rPr>
          <w:instrText xml:space="preserve"> PAGEREF _Toc214117359 \h </w:instrText>
        </w:r>
        <w:r>
          <w:rPr>
            <w:noProof/>
            <w:webHidden/>
          </w:rPr>
        </w:r>
        <w:r>
          <w:rPr>
            <w:noProof/>
            <w:webHidden/>
          </w:rPr>
          <w:fldChar w:fldCharType="separate"/>
        </w:r>
        <w:r w:rsidR="00370EDA">
          <w:rPr>
            <w:noProof/>
            <w:webHidden/>
          </w:rPr>
          <w:t>5</w:t>
        </w:r>
        <w:r>
          <w:rPr>
            <w:noProof/>
            <w:webHidden/>
          </w:rPr>
          <w:fldChar w:fldCharType="end"/>
        </w:r>
      </w:hyperlink>
    </w:p>
    <w:p w14:paraId="5919A650" w14:textId="3F0E4C8D" w:rsidR="00B62417" w:rsidRDefault="00B62417">
      <w:pPr>
        <w:pStyle w:val="TOC2"/>
        <w:tabs>
          <w:tab w:val="right" w:leader="dot" w:pos="9016"/>
        </w:tabs>
        <w:rPr>
          <w:rFonts w:eastAsiaTheme="minorEastAsia"/>
          <w:smallCaps w:val="0"/>
          <w:noProof/>
          <w:sz w:val="24"/>
          <w:szCs w:val="24"/>
          <w:lang w:eastAsia="en-GB"/>
        </w:rPr>
      </w:pPr>
      <w:hyperlink w:anchor="_Toc214117360" w:history="1">
        <w:r w:rsidRPr="00EC6312">
          <w:rPr>
            <w:rStyle w:val="Hyperlink"/>
            <w:rFonts w:ascii="Arial" w:eastAsia="Times New Roman" w:hAnsi="Arial" w:cs="Arial"/>
            <w:noProof/>
            <w:lang w:eastAsia="en-GB"/>
          </w:rPr>
          <w:t>Summary of Included Studies</w:t>
        </w:r>
        <w:r>
          <w:rPr>
            <w:noProof/>
            <w:webHidden/>
          </w:rPr>
          <w:tab/>
        </w:r>
        <w:r>
          <w:rPr>
            <w:noProof/>
            <w:webHidden/>
          </w:rPr>
          <w:fldChar w:fldCharType="begin"/>
        </w:r>
        <w:r>
          <w:rPr>
            <w:noProof/>
            <w:webHidden/>
          </w:rPr>
          <w:instrText xml:space="preserve"> PAGEREF _Toc214117360 \h </w:instrText>
        </w:r>
        <w:r>
          <w:rPr>
            <w:noProof/>
            <w:webHidden/>
          </w:rPr>
        </w:r>
        <w:r>
          <w:rPr>
            <w:noProof/>
            <w:webHidden/>
          </w:rPr>
          <w:fldChar w:fldCharType="separate"/>
        </w:r>
        <w:r w:rsidR="00370EDA">
          <w:rPr>
            <w:noProof/>
            <w:webHidden/>
          </w:rPr>
          <w:t>5</w:t>
        </w:r>
        <w:r>
          <w:rPr>
            <w:noProof/>
            <w:webHidden/>
          </w:rPr>
          <w:fldChar w:fldCharType="end"/>
        </w:r>
      </w:hyperlink>
    </w:p>
    <w:p w14:paraId="480E372F" w14:textId="43CBABD5" w:rsidR="00B62417" w:rsidRDefault="00B62417">
      <w:pPr>
        <w:pStyle w:val="TOC2"/>
        <w:tabs>
          <w:tab w:val="right" w:leader="dot" w:pos="9016"/>
        </w:tabs>
        <w:rPr>
          <w:rFonts w:eastAsiaTheme="minorEastAsia"/>
          <w:smallCaps w:val="0"/>
          <w:noProof/>
          <w:sz w:val="24"/>
          <w:szCs w:val="24"/>
          <w:lang w:eastAsia="en-GB"/>
        </w:rPr>
      </w:pPr>
      <w:hyperlink w:anchor="_Toc214117361" w:history="1">
        <w:r w:rsidRPr="00EC6312">
          <w:rPr>
            <w:rStyle w:val="Hyperlink"/>
            <w:rFonts w:ascii="Arial" w:eastAsia="Times New Roman" w:hAnsi="Arial" w:cs="Arial"/>
            <w:noProof/>
            <w:lang w:eastAsia="en-GB"/>
          </w:rPr>
          <w:t>4.1 Theme 1: Alcohol as a Risk Factor for Dementia</w:t>
        </w:r>
        <w:r>
          <w:rPr>
            <w:noProof/>
            <w:webHidden/>
          </w:rPr>
          <w:tab/>
        </w:r>
        <w:r>
          <w:rPr>
            <w:noProof/>
            <w:webHidden/>
          </w:rPr>
          <w:fldChar w:fldCharType="begin"/>
        </w:r>
        <w:r>
          <w:rPr>
            <w:noProof/>
            <w:webHidden/>
          </w:rPr>
          <w:instrText xml:space="preserve"> PAGEREF _Toc214117361 \h </w:instrText>
        </w:r>
        <w:r>
          <w:rPr>
            <w:noProof/>
            <w:webHidden/>
          </w:rPr>
        </w:r>
        <w:r>
          <w:rPr>
            <w:noProof/>
            <w:webHidden/>
          </w:rPr>
          <w:fldChar w:fldCharType="separate"/>
        </w:r>
        <w:r w:rsidR="00370EDA">
          <w:rPr>
            <w:noProof/>
            <w:webHidden/>
          </w:rPr>
          <w:t>6</w:t>
        </w:r>
        <w:r>
          <w:rPr>
            <w:noProof/>
            <w:webHidden/>
          </w:rPr>
          <w:fldChar w:fldCharType="end"/>
        </w:r>
      </w:hyperlink>
    </w:p>
    <w:p w14:paraId="6467E408" w14:textId="4CFE472C" w:rsidR="00B62417" w:rsidRDefault="00B62417">
      <w:pPr>
        <w:pStyle w:val="TOC2"/>
        <w:tabs>
          <w:tab w:val="right" w:leader="dot" w:pos="9016"/>
        </w:tabs>
        <w:rPr>
          <w:rFonts w:eastAsiaTheme="minorEastAsia"/>
          <w:smallCaps w:val="0"/>
          <w:noProof/>
          <w:sz w:val="24"/>
          <w:szCs w:val="24"/>
          <w:lang w:eastAsia="en-GB"/>
        </w:rPr>
      </w:pPr>
      <w:hyperlink w:anchor="_Toc214117362" w:history="1">
        <w:r w:rsidRPr="00EC6312">
          <w:rPr>
            <w:rStyle w:val="Hyperlink"/>
            <w:rFonts w:ascii="Arial" w:eastAsia="Times New Roman" w:hAnsi="Arial" w:cs="Arial"/>
            <w:noProof/>
            <w:lang w:eastAsia="en-GB"/>
          </w:rPr>
          <w:t>4.2 Theme 2: Diagnostic Challenges of Alcohol-Related Dementia</w:t>
        </w:r>
        <w:r>
          <w:rPr>
            <w:noProof/>
            <w:webHidden/>
          </w:rPr>
          <w:tab/>
        </w:r>
        <w:r>
          <w:rPr>
            <w:noProof/>
            <w:webHidden/>
          </w:rPr>
          <w:fldChar w:fldCharType="begin"/>
        </w:r>
        <w:r>
          <w:rPr>
            <w:noProof/>
            <w:webHidden/>
          </w:rPr>
          <w:instrText xml:space="preserve"> PAGEREF _Toc214117362 \h </w:instrText>
        </w:r>
        <w:r>
          <w:rPr>
            <w:noProof/>
            <w:webHidden/>
          </w:rPr>
        </w:r>
        <w:r>
          <w:rPr>
            <w:noProof/>
            <w:webHidden/>
          </w:rPr>
          <w:fldChar w:fldCharType="separate"/>
        </w:r>
        <w:r w:rsidR="00370EDA">
          <w:rPr>
            <w:noProof/>
            <w:webHidden/>
          </w:rPr>
          <w:t>7</w:t>
        </w:r>
        <w:r>
          <w:rPr>
            <w:noProof/>
            <w:webHidden/>
          </w:rPr>
          <w:fldChar w:fldCharType="end"/>
        </w:r>
      </w:hyperlink>
    </w:p>
    <w:p w14:paraId="00A3FE92" w14:textId="78EB5527" w:rsidR="00B62417" w:rsidRDefault="00B62417">
      <w:pPr>
        <w:pStyle w:val="TOC2"/>
        <w:tabs>
          <w:tab w:val="right" w:leader="dot" w:pos="9016"/>
        </w:tabs>
        <w:rPr>
          <w:rFonts w:eastAsiaTheme="minorEastAsia"/>
          <w:smallCaps w:val="0"/>
          <w:noProof/>
          <w:sz w:val="24"/>
          <w:szCs w:val="24"/>
          <w:lang w:eastAsia="en-GB"/>
        </w:rPr>
      </w:pPr>
      <w:hyperlink w:anchor="_Toc214117363" w:history="1">
        <w:r w:rsidRPr="00EC6312">
          <w:rPr>
            <w:rStyle w:val="Hyperlink"/>
            <w:rFonts w:ascii="Arial" w:eastAsia="Times New Roman" w:hAnsi="Arial" w:cs="Arial"/>
            <w:noProof/>
            <w:lang w:eastAsia="en-GB"/>
          </w:rPr>
          <w:t>4.3 Theme 3: Impacts on Care and Service Provision</w:t>
        </w:r>
        <w:r>
          <w:rPr>
            <w:noProof/>
            <w:webHidden/>
          </w:rPr>
          <w:tab/>
        </w:r>
        <w:r>
          <w:rPr>
            <w:noProof/>
            <w:webHidden/>
          </w:rPr>
          <w:fldChar w:fldCharType="begin"/>
        </w:r>
        <w:r>
          <w:rPr>
            <w:noProof/>
            <w:webHidden/>
          </w:rPr>
          <w:instrText xml:space="preserve"> PAGEREF _Toc214117363 \h </w:instrText>
        </w:r>
        <w:r>
          <w:rPr>
            <w:noProof/>
            <w:webHidden/>
          </w:rPr>
        </w:r>
        <w:r>
          <w:rPr>
            <w:noProof/>
            <w:webHidden/>
          </w:rPr>
          <w:fldChar w:fldCharType="separate"/>
        </w:r>
        <w:r w:rsidR="00370EDA">
          <w:rPr>
            <w:noProof/>
            <w:webHidden/>
          </w:rPr>
          <w:t>7</w:t>
        </w:r>
        <w:r>
          <w:rPr>
            <w:noProof/>
            <w:webHidden/>
          </w:rPr>
          <w:fldChar w:fldCharType="end"/>
        </w:r>
      </w:hyperlink>
    </w:p>
    <w:p w14:paraId="2E69DD97" w14:textId="54511CDD" w:rsidR="00B62417" w:rsidRDefault="00B62417">
      <w:pPr>
        <w:pStyle w:val="TOC1"/>
        <w:tabs>
          <w:tab w:val="right" w:leader="dot" w:pos="9016"/>
        </w:tabs>
        <w:rPr>
          <w:rFonts w:eastAsiaTheme="minorEastAsia"/>
          <w:b w:val="0"/>
          <w:bCs w:val="0"/>
          <w:caps w:val="0"/>
          <w:noProof/>
          <w:sz w:val="24"/>
          <w:szCs w:val="24"/>
          <w:lang w:eastAsia="en-GB"/>
        </w:rPr>
      </w:pPr>
      <w:hyperlink w:anchor="_Toc214117364" w:history="1">
        <w:r w:rsidRPr="00EC6312">
          <w:rPr>
            <w:rStyle w:val="Hyperlink"/>
            <w:rFonts w:ascii="Arial" w:eastAsia="Times New Roman" w:hAnsi="Arial" w:cs="Arial"/>
            <w:noProof/>
            <w:lang w:eastAsia="en-GB"/>
          </w:rPr>
          <w:t>Discussion</w:t>
        </w:r>
        <w:r>
          <w:rPr>
            <w:noProof/>
            <w:webHidden/>
          </w:rPr>
          <w:tab/>
        </w:r>
        <w:r>
          <w:rPr>
            <w:noProof/>
            <w:webHidden/>
          </w:rPr>
          <w:fldChar w:fldCharType="begin"/>
        </w:r>
        <w:r>
          <w:rPr>
            <w:noProof/>
            <w:webHidden/>
          </w:rPr>
          <w:instrText xml:space="preserve"> PAGEREF _Toc214117364 \h </w:instrText>
        </w:r>
        <w:r>
          <w:rPr>
            <w:noProof/>
            <w:webHidden/>
          </w:rPr>
        </w:r>
        <w:r>
          <w:rPr>
            <w:noProof/>
            <w:webHidden/>
          </w:rPr>
          <w:fldChar w:fldCharType="separate"/>
        </w:r>
        <w:r w:rsidR="00370EDA">
          <w:rPr>
            <w:noProof/>
            <w:webHidden/>
          </w:rPr>
          <w:t>8</w:t>
        </w:r>
        <w:r>
          <w:rPr>
            <w:noProof/>
            <w:webHidden/>
          </w:rPr>
          <w:fldChar w:fldCharType="end"/>
        </w:r>
      </w:hyperlink>
    </w:p>
    <w:p w14:paraId="2E66A653" w14:textId="49795412" w:rsidR="00B62417" w:rsidRDefault="00B62417">
      <w:pPr>
        <w:pStyle w:val="TOC1"/>
        <w:tabs>
          <w:tab w:val="right" w:leader="dot" w:pos="9016"/>
        </w:tabs>
        <w:rPr>
          <w:rFonts w:eastAsiaTheme="minorEastAsia"/>
          <w:b w:val="0"/>
          <w:bCs w:val="0"/>
          <w:caps w:val="0"/>
          <w:noProof/>
          <w:sz w:val="24"/>
          <w:szCs w:val="24"/>
          <w:lang w:eastAsia="en-GB"/>
        </w:rPr>
      </w:pPr>
      <w:hyperlink w:anchor="_Toc214117365" w:history="1">
        <w:r w:rsidRPr="00EC6312">
          <w:rPr>
            <w:rStyle w:val="Hyperlink"/>
            <w:rFonts w:ascii="Arial" w:eastAsia="Times New Roman" w:hAnsi="Arial" w:cs="Arial"/>
            <w:noProof/>
            <w:lang w:eastAsia="en-GB"/>
          </w:rPr>
          <w:t>Conclusion and Recommendations</w:t>
        </w:r>
        <w:r>
          <w:rPr>
            <w:noProof/>
            <w:webHidden/>
          </w:rPr>
          <w:tab/>
        </w:r>
        <w:r>
          <w:rPr>
            <w:noProof/>
            <w:webHidden/>
          </w:rPr>
          <w:fldChar w:fldCharType="begin"/>
        </w:r>
        <w:r>
          <w:rPr>
            <w:noProof/>
            <w:webHidden/>
          </w:rPr>
          <w:instrText xml:space="preserve"> PAGEREF _Toc214117365 \h </w:instrText>
        </w:r>
        <w:r>
          <w:rPr>
            <w:noProof/>
            <w:webHidden/>
          </w:rPr>
        </w:r>
        <w:r>
          <w:rPr>
            <w:noProof/>
            <w:webHidden/>
          </w:rPr>
          <w:fldChar w:fldCharType="separate"/>
        </w:r>
        <w:r w:rsidR="00370EDA">
          <w:rPr>
            <w:noProof/>
            <w:webHidden/>
          </w:rPr>
          <w:t>9</w:t>
        </w:r>
        <w:r>
          <w:rPr>
            <w:noProof/>
            <w:webHidden/>
          </w:rPr>
          <w:fldChar w:fldCharType="end"/>
        </w:r>
      </w:hyperlink>
    </w:p>
    <w:p w14:paraId="33079389" w14:textId="2C26BE0D" w:rsidR="00B62417" w:rsidRDefault="00B62417">
      <w:pPr>
        <w:pStyle w:val="TOC2"/>
        <w:tabs>
          <w:tab w:val="right" w:leader="dot" w:pos="9016"/>
        </w:tabs>
        <w:rPr>
          <w:rFonts w:eastAsiaTheme="minorEastAsia"/>
          <w:smallCaps w:val="0"/>
          <w:noProof/>
          <w:sz w:val="24"/>
          <w:szCs w:val="24"/>
          <w:lang w:eastAsia="en-GB"/>
        </w:rPr>
      </w:pPr>
      <w:hyperlink w:anchor="_Toc214117366" w:history="1">
        <w:r w:rsidRPr="00EC6312">
          <w:rPr>
            <w:rStyle w:val="Hyperlink"/>
            <w:rFonts w:ascii="Arial" w:eastAsia="Times New Roman" w:hAnsi="Arial" w:cs="Arial"/>
            <w:noProof/>
            <w:lang w:eastAsia="en-GB"/>
          </w:rPr>
          <w:t>Recommendations for clinical practice</w:t>
        </w:r>
        <w:r>
          <w:rPr>
            <w:noProof/>
            <w:webHidden/>
          </w:rPr>
          <w:tab/>
        </w:r>
        <w:r>
          <w:rPr>
            <w:noProof/>
            <w:webHidden/>
          </w:rPr>
          <w:fldChar w:fldCharType="begin"/>
        </w:r>
        <w:r>
          <w:rPr>
            <w:noProof/>
            <w:webHidden/>
          </w:rPr>
          <w:instrText xml:space="preserve"> PAGEREF _Toc214117366 \h </w:instrText>
        </w:r>
        <w:r>
          <w:rPr>
            <w:noProof/>
            <w:webHidden/>
          </w:rPr>
        </w:r>
        <w:r>
          <w:rPr>
            <w:noProof/>
            <w:webHidden/>
          </w:rPr>
          <w:fldChar w:fldCharType="separate"/>
        </w:r>
        <w:r w:rsidR="00370EDA">
          <w:rPr>
            <w:noProof/>
            <w:webHidden/>
          </w:rPr>
          <w:t>9</w:t>
        </w:r>
        <w:r>
          <w:rPr>
            <w:noProof/>
            <w:webHidden/>
          </w:rPr>
          <w:fldChar w:fldCharType="end"/>
        </w:r>
      </w:hyperlink>
    </w:p>
    <w:p w14:paraId="44B3B4A4" w14:textId="27D4F77D" w:rsidR="00B62417" w:rsidRDefault="00B62417">
      <w:pPr>
        <w:pStyle w:val="TOC2"/>
        <w:tabs>
          <w:tab w:val="right" w:leader="dot" w:pos="9016"/>
        </w:tabs>
        <w:rPr>
          <w:rFonts w:eastAsiaTheme="minorEastAsia"/>
          <w:smallCaps w:val="0"/>
          <w:noProof/>
          <w:sz w:val="24"/>
          <w:szCs w:val="24"/>
          <w:lang w:eastAsia="en-GB"/>
        </w:rPr>
      </w:pPr>
      <w:hyperlink w:anchor="_Toc214117367" w:history="1">
        <w:r w:rsidRPr="00EC6312">
          <w:rPr>
            <w:rStyle w:val="Hyperlink"/>
            <w:rFonts w:ascii="Arial" w:eastAsia="Times New Roman" w:hAnsi="Arial" w:cs="Arial"/>
            <w:noProof/>
            <w:lang w:eastAsia="en-GB"/>
          </w:rPr>
          <w:t>Recommendations for services and policy</w:t>
        </w:r>
        <w:r>
          <w:rPr>
            <w:noProof/>
            <w:webHidden/>
          </w:rPr>
          <w:tab/>
        </w:r>
        <w:r>
          <w:rPr>
            <w:noProof/>
            <w:webHidden/>
          </w:rPr>
          <w:fldChar w:fldCharType="begin"/>
        </w:r>
        <w:r>
          <w:rPr>
            <w:noProof/>
            <w:webHidden/>
          </w:rPr>
          <w:instrText xml:space="preserve"> PAGEREF _Toc214117367 \h </w:instrText>
        </w:r>
        <w:r>
          <w:rPr>
            <w:noProof/>
            <w:webHidden/>
          </w:rPr>
        </w:r>
        <w:r>
          <w:rPr>
            <w:noProof/>
            <w:webHidden/>
          </w:rPr>
          <w:fldChar w:fldCharType="separate"/>
        </w:r>
        <w:r w:rsidR="00370EDA">
          <w:rPr>
            <w:noProof/>
            <w:webHidden/>
          </w:rPr>
          <w:t>9</w:t>
        </w:r>
        <w:r>
          <w:rPr>
            <w:noProof/>
            <w:webHidden/>
          </w:rPr>
          <w:fldChar w:fldCharType="end"/>
        </w:r>
      </w:hyperlink>
    </w:p>
    <w:p w14:paraId="3D25CCCF" w14:textId="6AC0ACA6" w:rsidR="00B62417" w:rsidRDefault="00B62417">
      <w:pPr>
        <w:pStyle w:val="TOC1"/>
        <w:tabs>
          <w:tab w:val="right" w:leader="dot" w:pos="9016"/>
        </w:tabs>
        <w:rPr>
          <w:rFonts w:eastAsiaTheme="minorEastAsia"/>
          <w:b w:val="0"/>
          <w:bCs w:val="0"/>
          <w:caps w:val="0"/>
          <w:noProof/>
          <w:sz w:val="24"/>
          <w:szCs w:val="24"/>
          <w:lang w:eastAsia="en-GB"/>
        </w:rPr>
      </w:pPr>
      <w:hyperlink w:anchor="_Toc214117368" w:history="1">
        <w:r w:rsidRPr="00EC6312">
          <w:rPr>
            <w:rStyle w:val="Hyperlink"/>
            <w:rFonts w:ascii="Arial" w:eastAsia="Times New Roman" w:hAnsi="Arial" w:cs="Arial"/>
            <w:noProof/>
            <w:lang w:eastAsia="en-GB"/>
          </w:rPr>
          <w:t>Reference List (UWTSD Harvard Style)</w:t>
        </w:r>
        <w:r>
          <w:rPr>
            <w:noProof/>
            <w:webHidden/>
          </w:rPr>
          <w:tab/>
        </w:r>
        <w:r>
          <w:rPr>
            <w:noProof/>
            <w:webHidden/>
          </w:rPr>
          <w:fldChar w:fldCharType="begin"/>
        </w:r>
        <w:r>
          <w:rPr>
            <w:noProof/>
            <w:webHidden/>
          </w:rPr>
          <w:instrText xml:space="preserve"> PAGEREF _Toc214117368 \h </w:instrText>
        </w:r>
        <w:r>
          <w:rPr>
            <w:noProof/>
            <w:webHidden/>
          </w:rPr>
        </w:r>
        <w:r>
          <w:rPr>
            <w:noProof/>
            <w:webHidden/>
          </w:rPr>
          <w:fldChar w:fldCharType="separate"/>
        </w:r>
        <w:r w:rsidR="00370EDA">
          <w:rPr>
            <w:noProof/>
            <w:webHidden/>
          </w:rPr>
          <w:t>10</w:t>
        </w:r>
        <w:r>
          <w:rPr>
            <w:noProof/>
            <w:webHidden/>
          </w:rPr>
          <w:fldChar w:fldCharType="end"/>
        </w:r>
      </w:hyperlink>
    </w:p>
    <w:p w14:paraId="0AC82302" w14:textId="2E0E3DA8" w:rsidR="00601505" w:rsidRPr="00601505" w:rsidRDefault="00B62417" w:rsidP="00601505">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Pr>
          <w:rFonts w:ascii="Arial" w:eastAsia="Times New Roman" w:hAnsi="Arial" w:cs="Arial"/>
          <w:color w:val="000000"/>
          <w:kern w:val="0"/>
          <w:sz w:val="22"/>
          <w:szCs w:val="22"/>
          <w:lang w:eastAsia="en-GB"/>
          <w14:ligatures w14:val="none"/>
        </w:rPr>
        <w:fldChar w:fldCharType="end"/>
      </w:r>
    </w:p>
    <w:p w14:paraId="2770F570" w14:textId="77777777" w:rsidR="00B62417" w:rsidRDefault="00B62417" w:rsidP="00C91A96">
      <w:pPr>
        <w:pStyle w:val="Title"/>
        <w:rPr>
          <w:rFonts w:ascii="Arial" w:eastAsia="Times New Roman" w:hAnsi="Arial" w:cs="Arial"/>
          <w:sz w:val="44"/>
          <w:szCs w:val="44"/>
          <w:lang w:eastAsia="en-GB"/>
        </w:rPr>
      </w:pPr>
      <w:bookmarkStart w:id="0" w:name="_Toc214117348"/>
    </w:p>
    <w:p w14:paraId="7D272166" w14:textId="77777777" w:rsidR="00B62417" w:rsidRDefault="00B62417" w:rsidP="00C91A96">
      <w:pPr>
        <w:pStyle w:val="Title"/>
        <w:rPr>
          <w:rFonts w:ascii="Arial" w:eastAsia="Times New Roman" w:hAnsi="Arial" w:cs="Arial"/>
          <w:sz w:val="44"/>
          <w:szCs w:val="44"/>
          <w:lang w:eastAsia="en-GB"/>
        </w:rPr>
      </w:pPr>
    </w:p>
    <w:p w14:paraId="6E997484" w14:textId="77777777" w:rsidR="00B62417" w:rsidRDefault="00B62417" w:rsidP="00C91A96">
      <w:pPr>
        <w:pStyle w:val="Title"/>
        <w:rPr>
          <w:rFonts w:ascii="Arial" w:eastAsia="Times New Roman" w:hAnsi="Arial" w:cs="Arial"/>
          <w:sz w:val="44"/>
          <w:szCs w:val="44"/>
          <w:lang w:eastAsia="en-GB"/>
        </w:rPr>
      </w:pPr>
    </w:p>
    <w:p w14:paraId="7D75D29C" w14:textId="77777777" w:rsidR="00B62417" w:rsidRDefault="00B62417" w:rsidP="00C91A96">
      <w:pPr>
        <w:pStyle w:val="Title"/>
        <w:rPr>
          <w:rFonts w:ascii="Arial" w:eastAsia="Times New Roman" w:hAnsi="Arial" w:cs="Arial"/>
          <w:sz w:val="44"/>
          <w:szCs w:val="44"/>
          <w:lang w:eastAsia="en-GB"/>
        </w:rPr>
      </w:pPr>
    </w:p>
    <w:p w14:paraId="3FAA30F9" w14:textId="2BA7BE52" w:rsidR="00370EDA" w:rsidRPr="00370EDA" w:rsidRDefault="00601505" w:rsidP="00370EDA">
      <w:pPr>
        <w:pStyle w:val="Title"/>
        <w:rPr>
          <w:rFonts w:ascii="Arial" w:eastAsia="Times New Roman" w:hAnsi="Arial" w:cs="Arial"/>
          <w:sz w:val="44"/>
          <w:szCs w:val="44"/>
          <w:lang w:eastAsia="en-GB"/>
        </w:rPr>
      </w:pPr>
      <w:r w:rsidRPr="00C91A96">
        <w:rPr>
          <w:rFonts w:ascii="Arial" w:eastAsia="Times New Roman" w:hAnsi="Arial" w:cs="Arial"/>
          <w:sz w:val="44"/>
          <w:szCs w:val="44"/>
          <w:lang w:eastAsia="en-GB"/>
        </w:rPr>
        <w:lastRenderedPageBreak/>
        <w:t>Introduction</w:t>
      </w:r>
      <w:bookmarkEnd w:id="0"/>
    </w:p>
    <w:p w14:paraId="11427B40" w14:textId="77777777" w:rsidR="00192574" w:rsidRPr="00192574" w:rsidRDefault="00192574" w:rsidP="00192574">
      <w:pPr>
        <w:spacing w:before="100" w:beforeAutospacing="1" w:after="100" w:afterAutospacing="1" w:line="240" w:lineRule="auto"/>
        <w:outlineLvl w:val="1"/>
        <w:rPr>
          <w:rFonts w:ascii="Arial" w:eastAsia="Times New Roman" w:hAnsi="Arial" w:cs="Arial"/>
          <w:color w:val="000000"/>
          <w:kern w:val="0"/>
          <w:sz w:val="22"/>
          <w:szCs w:val="22"/>
          <w:lang w:eastAsia="en-GB"/>
          <w14:ligatures w14:val="none"/>
        </w:rPr>
      </w:pPr>
      <w:r w:rsidRPr="00192574">
        <w:rPr>
          <w:rFonts w:ascii="Arial" w:eastAsia="Times New Roman" w:hAnsi="Arial" w:cs="Arial"/>
          <w:color w:val="000000"/>
          <w:kern w:val="0"/>
          <w:sz w:val="22"/>
          <w:szCs w:val="22"/>
          <w:lang w:eastAsia="en-GB"/>
          <w14:ligatures w14:val="none"/>
        </w:rPr>
        <w:t>Dementia is a progressive syndrome involving decline in memory, thinking and behaviour that interferes with independent daily living. It includes conditions such as Alzheimer’s disease and vascular dementia and currently affects close to one million people in the UK, with numbers projected to rise further as the population ages (Alzheimer’s Society, 2023; Livingston </w:t>
      </w:r>
      <w:r w:rsidRPr="00192574">
        <w:rPr>
          <w:rFonts w:ascii="Arial" w:eastAsia="Times New Roman" w:hAnsi="Arial" w:cs="Arial"/>
          <w:i/>
          <w:iCs/>
          <w:color w:val="000000"/>
          <w:kern w:val="0"/>
          <w:sz w:val="22"/>
          <w:szCs w:val="22"/>
          <w:lang w:eastAsia="en-GB"/>
          <w14:ligatures w14:val="none"/>
        </w:rPr>
        <w:t>et al.</w:t>
      </w:r>
      <w:r w:rsidRPr="00192574">
        <w:rPr>
          <w:rFonts w:ascii="Arial" w:eastAsia="Times New Roman" w:hAnsi="Arial" w:cs="Arial"/>
          <w:color w:val="000000"/>
          <w:kern w:val="0"/>
          <w:sz w:val="22"/>
          <w:szCs w:val="22"/>
          <w:lang w:eastAsia="en-GB"/>
          <w14:ligatures w14:val="none"/>
        </w:rPr>
        <w:t>, 2020). This creates major demands on health and social care services.</w:t>
      </w:r>
    </w:p>
    <w:p w14:paraId="3E7F129A" w14:textId="77777777" w:rsidR="00192574" w:rsidRPr="00192574" w:rsidRDefault="00192574" w:rsidP="00192574">
      <w:pPr>
        <w:spacing w:before="100" w:beforeAutospacing="1" w:after="100" w:afterAutospacing="1" w:line="240" w:lineRule="auto"/>
        <w:outlineLvl w:val="1"/>
        <w:rPr>
          <w:rFonts w:ascii="Arial" w:eastAsia="Times New Roman" w:hAnsi="Arial" w:cs="Arial"/>
          <w:color w:val="000000"/>
          <w:kern w:val="0"/>
          <w:sz w:val="22"/>
          <w:szCs w:val="22"/>
          <w:lang w:eastAsia="en-GB"/>
          <w14:ligatures w14:val="none"/>
        </w:rPr>
      </w:pPr>
      <w:r w:rsidRPr="00192574">
        <w:rPr>
          <w:rFonts w:ascii="Arial" w:eastAsia="Times New Roman" w:hAnsi="Arial" w:cs="Arial"/>
          <w:color w:val="000000"/>
          <w:kern w:val="0"/>
          <w:sz w:val="22"/>
          <w:szCs w:val="22"/>
          <w:lang w:eastAsia="en-GB"/>
          <w14:ligatures w14:val="none"/>
        </w:rPr>
        <w:t>Alcohol-related cognitive impairment (ARCI) describes cognitive difficulties directly associated with long-term heavy alcohol use, including alcohol-related dementia and Wernicke–Korsakoff syndrome, often grouped under the term alcohol-related brain damage (ARBD) (Dementia UK, 2023). These conditions may present with memory problems, executive dysfunction and behavioural change and can overlap clinically with other forms of dementia.</w:t>
      </w:r>
    </w:p>
    <w:p w14:paraId="2BF97B4F" w14:textId="77777777" w:rsidR="00192574" w:rsidRPr="00192574" w:rsidRDefault="00192574" w:rsidP="00192574">
      <w:pPr>
        <w:spacing w:before="100" w:beforeAutospacing="1" w:after="100" w:afterAutospacing="1" w:line="240" w:lineRule="auto"/>
        <w:outlineLvl w:val="1"/>
        <w:rPr>
          <w:rFonts w:ascii="Arial" w:eastAsia="Times New Roman" w:hAnsi="Arial" w:cs="Arial"/>
          <w:color w:val="000000"/>
          <w:kern w:val="0"/>
          <w:sz w:val="22"/>
          <w:szCs w:val="22"/>
          <w:lang w:eastAsia="en-GB"/>
          <w14:ligatures w14:val="none"/>
        </w:rPr>
      </w:pPr>
      <w:r w:rsidRPr="00192574">
        <w:rPr>
          <w:rFonts w:ascii="Arial" w:eastAsia="Times New Roman" w:hAnsi="Arial" w:cs="Arial"/>
          <w:color w:val="000000"/>
          <w:kern w:val="0"/>
          <w:sz w:val="22"/>
          <w:szCs w:val="22"/>
          <w:lang w:eastAsia="en-GB"/>
          <w14:ligatures w14:val="none"/>
        </w:rPr>
        <w:t>High levels of alcohol consumption are consistently associated with an increased risk of developing dementia and with earlier onset of symptoms, particularly in people under 65 (Dementia UK, 2023). Recent UK cohort and Mendelian randomisation work suggests that there may be </w:t>
      </w:r>
      <w:r w:rsidRPr="00192574">
        <w:rPr>
          <w:rFonts w:ascii="Arial" w:eastAsia="Times New Roman" w:hAnsi="Arial" w:cs="Arial"/>
          <w:b/>
          <w:bCs/>
          <w:color w:val="000000"/>
          <w:kern w:val="0"/>
          <w:sz w:val="22"/>
          <w:szCs w:val="22"/>
          <w:lang w:eastAsia="en-GB"/>
          <w14:ligatures w14:val="none"/>
        </w:rPr>
        <w:t>no safe level of alcohol for brain health</w:t>
      </w:r>
      <w:r w:rsidRPr="00192574">
        <w:rPr>
          <w:rFonts w:ascii="Arial" w:eastAsia="Times New Roman" w:hAnsi="Arial" w:cs="Arial"/>
          <w:color w:val="000000"/>
          <w:kern w:val="0"/>
          <w:sz w:val="22"/>
          <w:szCs w:val="22"/>
          <w:lang w:eastAsia="en-GB"/>
          <w14:ligatures w14:val="none"/>
        </w:rPr>
        <w:t>, and that even low or moderate intake is associated with some increase in dementia risk, overturning earlier suggestions of a protective effect of moderate drinking (Sabia </w:t>
      </w:r>
      <w:r w:rsidRPr="00192574">
        <w:rPr>
          <w:rFonts w:ascii="Arial" w:eastAsia="Times New Roman" w:hAnsi="Arial" w:cs="Arial"/>
          <w:i/>
          <w:iCs/>
          <w:color w:val="000000"/>
          <w:kern w:val="0"/>
          <w:sz w:val="22"/>
          <w:szCs w:val="22"/>
          <w:lang w:eastAsia="en-GB"/>
          <w14:ligatures w14:val="none"/>
        </w:rPr>
        <w:t>et al.</w:t>
      </w:r>
      <w:r w:rsidRPr="00192574">
        <w:rPr>
          <w:rFonts w:ascii="Arial" w:eastAsia="Times New Roman" w:hAnsi="Arial" w:cs="Arial"/>
          <w:color w:val="000000"/>
          <w:kern w:val="0"/>
          <w:sz w:val="22"/>
          <w:szCs w:val="22"/>
          <w:lang w:eastAsia="en-GB"/>
          <w14:ligatures w14:val="none"/>
        </w:rPr>
        <w:t>, 2018; Topiwala </w:t>
      </w:r>
      <w:r w:rsidRPr="00192574">
        <w:rPr>
          <w:rFonts w:ascii="Arial" w:eastAsia="Times New Roman" w:hAnsi="Arial" w:cs="Arial"/>
          <w:i/>
          <w:iCs/>
          <w:color w:val="000000"/>
          <w:kern w:val="0"/>
          <w:sz w:val="22"/>
          <w:szCs w:val="22"/>
          <w:lang w:eastAsia="en-GB"/>
          <w14:ligatures w14:val="none"/>
        </w:rPr>
        <w:t>et al.</w:t>
      </w:r>
      <w:r w:rsidRPr="00192574">
        <w:rPr>
          <w:rFonts w:ascii="Arial" w:eastAsia="Times New Roman" w:hAnsi="Arial" w:cs="Arial"/>
          <w:color w:val="000000"/>
          <w:kern w:val="0"/>
          <w:sz w:val="22"/>
          <w:szCs w:val="22"/>
          <w:lang w:eastAsia="en-GB"/>
          <w14:ligatures w14:val="none"/>
        </w:rPr>
        <w:t>, 2025).</w:t>
      </w:r>
    </w:p>
    <w:p w14:paraId="1CFC459E" w14:textId="77777777" w:rsidR="00192574" w:rsidRPr="00192574" w:rsidRDefault="00192574" w:rsidP="00192574">
      <w:pPr>
        <w:spacing w:before="100" w:beforeAutospacing="1" w:after="100" w:afterAutospacing="1" w:line="240" w:lineRule="auto"/>
        <w:outlineLvl w:val="1"/>
        <w:rPr>
          <w:rFonts w:ascii="Arial" w:eastAsia="Times New Roman" w:hAnsi="Arial" w:cs="Arial"/>
          <w:color w:val="000000"/>
          <w:kern w:val="0"/>
          <w:sz w:val="22"/>
          <w:szCs w:val="22"/>
          <w:lang w:eastAsia="en-GB"/>
          <w14:ligatures w14:val="none"/>
        </w:rPr>
      </w:pPr>
      <w:r w:rsidRPr="00192574">
        <w:rPr>
          <w:rFonts w:ascii="Arial" w:eastAsia="Times New Roman" w:hAnsi="Arial" w:cs="Arial"/>
          <w:color w:val="000000"/>
          <w:kern w:val="0"/>
          <w:sz w:val="22"/>
          <w:szCs w:val="22"/>
          <w:lang w:eastAsia="en-GB"/>
          <w14:ligatures w14:val="none"/>
        </w:rPr>
        <w:t>In practice, alcohol use can both contribute to the development of dementia and complicate its diagnosis and management. Unrecognised heavy drinking may lead clinicians to miss alcohol-related dementia as a possible diagnosis, while continuing to drink after a dementia diagnosis can increase confusion, falls and interaction with medication (Alzheimer’s Society, 2023; Dementia UK, 2023). These issues highlight the importance of understanding how alcohol use and dementia interact within UK healthcare settings.</w:t>
      </w:r>
    </w:p>
    <w:p w14:paraId="15076F8E" w14:textId="77777777" w:rsidR="00192574" w:rsidRPr="00192574" w:rsidRDefault="00192574" w:rsidP="00192574">
      <w:pPr>
        <w:spacing w:before="100" w:beforeAutospacing="1" w:after="100" w:afterAutospacing="1" w:line="240" w:lineRule="auto"/>
        <w:outlineLvl w:val="1"/>
        <w:rPr>
          <w:rFonts w:ascii="Arial" w:eastAsia="Times New Roman" w:hAnsi="Arial" w:cs="Arial"/>
          <w:color w:val="000000"/>
          <w:kern w:val="0"/>
          <w:sz w:val="22"/>
          <w:szCs w:val="22"/>
          <w:lang w:eastAsia="en-GB"/>
          <w14:ligatures w14:val="none"/>
        </w:rPr>
      </w:pPr>
      <w:r w:rsidRPr="00192574">
        <w:rPr>
          <w:rFonts w:ascii="Arial" w:eastAsia="Times New Roman" w:hAnsi="Arial" w:cs="Arial"/>
          <w:b/>
          <w:bCs/>
          <w:color w:val="000000"/>
          <w:kern w:val="0"/>
          <w:sz w:val="22"/>
          <w:szCs w:val="22"/>
          <w:lang w:eastAsia="en-GB"/>
          <w14:ligatures w14:val="none"/>
        </w:rPr>
        <w:t>Review question and objectives</w:t>
      </w:r>
      <w:r w:rsidRPr="00192574">
        <w:rPr>
          <w:rFonts w:ascii="Arial" w:eastAsia="Times New Roman" w:hAnsi="Arial" w:cs="Arial"/>
          <w:color w:val="000000"/>
          <w:kern w:val="0"/>
          <w:sz w:val="22"/>
          <w:szCs w:val="22"/>
          <w:lang w:eastAsia="en-GB"/>
          <w14:ligatures w14:val="none"/>
        </w:rPr>
        <w:br/>
        <w:t>This scoping review asks: </w:t>
      </w:r>
      <w:r w:rsidRPr="00192574">
        <w:rPr>
          <w:rFonts w:ascii="Arial" w:eastAsia="Times New Roman" w:hAnsi="Arial" w:cs="Arial"/>
          <w:i/>
          <w:iCs/>
          <w:color w:val="000000"/>
          <w:kern w:val="0"/>
          <w:sz w:val="22"/>
          <w:szCs w:val="22"/>
          <w:lang w:eastAsia="en-GB"/>
          <w14:ligatures w14:val="none"/>
        </w:rPr>
        <w:t>What is currently known about the relationship between alcohol use and dementia in the UK healthcare context?</w:t>
      </w:r>
      <w:r w:rsidRPr="00192574">
        <w:rPr>
          <w:rFonts w:ascii="Arial" w:eastAsia="Times New Roman" w:hAnsi="Arial" w:cs="Arial"/>
          <w:color w:val="000000"/>
          <w:kern w:val="0"/>
          <w:sz w:val="22"/>
          <w:szCs w:val="22"/>
          <w:lang w:eastAsia="en-GB"/>
          <w14:ligatures w14:val="none"/>
        </w:rPr>
        <w:t> The objectives are to:</w:t>
      </w:r>
    </w:p>
    <w:p w14:paraId="594F540E" w14:textId="77777777" w:rsidR="00192574" w:rsidRPr="00192574" w:rsidRDefault="00192574" w:rsidP="00192574">
      <w:pPr>
        <w:numPr>
          <w:ilvl w:val="0"/>
          <w:numId w:val="7"/>
        </w:numPr>
        <w:spacing w:before="100" w:beforeAutospacing="1" w:after="100" w:afterAutospacing="1" w:line="240" w:lineRule="auto"/>
        <w:outlineLvl w:val="1"/>
        <w:rPr>
          <w:rFonts w:ascii="Arial" w:eastAsia="Times New Roman" w:hAnsi="Arial" w:cs="Arial"/>
          <w:color w:val="000000"/>
          <w:kern w:val="0"/>
          <w:sz w:val="22"/>
          <w:szCs w:val="22"/>
          <w:lang w:eastAsia="en-GB"/>
          <w14:ligatures w14:val="none"/>
        </w:rPr>
      </w:pPr>
      <w:r w:rsidRPr="00192574">
        <w:rPr>
          <w:rFonts w:ascii="Arial" w:eastAsia="Times New Roman" w:hAnsi="Arial" w:cs="Arial"/>
          <w:color w:val="000000"/>
          <w:kern w:val="0"/>
          <w:sz w:val="22"/>
          <w:szCs w:val="22"/>
          <w:lang w:eastAsia="en-GB"/>
          <w14:ligatures w14:val="none"/>
        </w:rPr>
        <w:t>Map and categorise key themes in the UK literature regarding alcohol as a risk factor, diagnostic challenges and impacts on care and service provision; and</w:t>
      </w:r>
    </w:p>
    <w:p w14:paraId="53588323" w14:textId="77777777" w:rsidR="00192574" w:rsidRDefault="00192574" w:rsidP="00192574">
      <w:pPr>
        <w:numPr>
          <w:ilvl w:val="0"/>
          <w:numId w:val="7"/>
        </w:numPr>
        <w:spacing w:before="100" w:beforeAutospacing="1" w:after="100" w:afterAutospacing="1" w:line="240" w:lineRule="auto"/>
        <w:outlineLvl w:val="1"/>
        <w:rPr>
          <w:rFonts w:ascii="Arial" w:eastAsia="Times New Roman" w:hAnsi="Arial" w:cs="Arial"/>
          <w:color w:val="000000"/>
          <w:kern w:val="0"/>
          <w:sz w:val="22"/>
          <w:szCs w:val="22"/>
          <w:lang w:eastAsia="en-GB"/>
          <w14:ligatures w14:val="none"/>
        </w:rPr>
      </w:pPr>
      <w:r w:rsidRPr="00192574">
        <w:rPr>
          <w:rFonts w:ascii="Arial" w:eastAsia="Times New Roman" w:hAnsi="Arial" w:cs="Arial"/>
          <w:color w:val="000000"/>
          <w:kern w:val="0"/>
          <w:sz w:val="22"/>
          <w:szCs w:val="22"/>
          <w:lang w:eastAsia="en-GB"/>
          <w14:ligatures w14:val="none"/>
        </w:rPr>
        <w:t>Identify gaps in knowledge and implications for future research, clinical practice and service development.</w:t>
      </w:r>
    </w:p>
    <w:p w14:paraId="0BF40670" w14:textId="77777777" w:rsidR="00370EDA" w:rsidRDefault="00370EDA" w:rsidP="00B62417">
      <w:pPr>
        <w:pStyle w:val="Title"/>
        <w:rPr>
          <w:rFonts w:ascii="Arial" w:eastAsia="Times New Roman" w:hAnsi="Arial" w:cs="Arial"/>
          <w:sz w:val="44"/>
          <w:szCs w:val="44"/>
          <w:lang w:eastAsia="en-GB"/>
        </w:rPr>
      </w:pPr>
      <w:bookmarkStart w:id="1" w:name="_Toc214117349"/>
    </w:p>
    <w:p w14:paraId="2AE2C8B1" w14:textId="0442A657" w:rsidR="00601505" w:rsidRPr="00B62417" w:rsidRDefault="00601505" w:rsidP="00B62417">
      <w:pPr>
        <w:pStyle w:val="Title"/>
        <w:rPr>
          <w:rFonts w:ascii="Arial" w:eastAsia="Times New Roman" w:hAnsi="Arial" w:cs="Arial"/>
          <w:sz w:val="44"/>
          <w:szCs w:val="44"/>
          <w:lang w:eastAsia="en-GB"/>
        </w:rPr>
      </w:pPr>
      <w:r w:rsidRPr="00B62417">
        <w:rPr>
          <w:rFonts w:ascii="Arial" w:eastAsia="Times New Roman" w:hAnsi="Arial" w:cs="Arial"/>
          <w:sz w:val="44"/>
          <w:szCs w:val="44"/>
          <w:lang w:eastAsia="en-GB"/>
        </w:rPr>
        <w:t>Background</w:t>
      </w:r>
      <w:bookmarkEnd w:id="1"/>
    </w:p>
    <w:p w14:paraId="01CFE7B9" w14:textId="77777777" w:rsidR="00C91A96" w:rsidRPr="00B62417" w:rsidRDefault="00C91A96" w:rsidP="00B62417">
      <w:pPr>
        <w:pStyle w:val="Subtitle"/>
        <w:rPr>
          <w:rFonts w:ascii="Arial" w:eastAsia="Times New Roman" w:hAnsi="Arial" w:cs="Arial"/>
          <w:sz w:val="22"/>
          <w:szCs w:val="22"/>
          <w:lang w:eastAsia="en-GB"/>
        </w:rPr>
      </w:pPr>
      <w:bookmarkStart w:id="2" w:name="_Toc214117350"/>
      <w:r w:rsidRPr="00B62417">
        <w:rPr>
          <w:rFonts w:ascii="Arial" w:eastAsia="Times New Roman" w:hAnsi="Arial" w:cs="Arial"/>
          <w:sz w:val="22"/>
          <w:szCs w:val="22"/>
          <w:lang w:eastAsia="en-GB"/>
        </w:rPr>
        <w:t>Dementia and alcohol use in the UK</w:t>
      </w:r>
      <w:bookmarkEnd w:id="2"/>
    </w:p>
    <w:p w14:paraId="1FF954D6" w14:textId="77777777" w:rsidR="00C91A96" w:rsidRPr="00C91A96" w:rsidRDefault="00C91A96" w:rsidP="00C91A96">
      <w:pPr>
        <w:spacing w:before="100" w:beforeAutospacing="1" w:after="100" w:afterAutospacing="1" w:line="240" w:lineRule="auto"/>
        <w:outlineLvl w:val="1"/>
        <w:rPr>
          <w:rFonts w:ascii="Arial" w:eastAsia="Times New Roman" w:hAnsi="Arial" w:cs="Arial"/>
          <w:color w:val="000000"/>
          <w:kern w:val="0"/>
          <w:sz w:val="22"/>
          <w:szCs w:val="22"/>
          <w:lang w:eastAsia="en-GB"/>
          <w14:ligatures w14:val="none"/>
        </w:rPr>
      </w:pPr>
      <w:r w:rsidRPr="00C91A96">
        <w:rPr>
          <w:rFonts w:ascii="Arial" w:eastAsia="Times New Roman" w:hAnsi="Arial" w:cs="Arial"/>
          <w:color w:val="000000"/>
          <w:kern w:val="0"/>
          <w:sz w:val="22"/>
          <w:szCs w:val="22"/>
          <w:lang w:eastAsia="en-GB"/>
          <w14:ligatures w14:val="none"/>
        </w:rPr>
        <w:t>Around 900,000 people in the UK are living with dementia and this figure is expected to exceed one million within the next few years (Alzheimer’s Society, 2023). Dementia is a leading cause of death and disability, particularly among older women, and has substantial social and economic impacts (Livingston et al., 2020).</w:t>
      </w:r>
    </w:p>
    <w:p w14:paraId="3B386B2A" w14:textId="77777777" w:rsidR="00C91A96" w:rsidRPr="00C91A96" w:rsidRDefault="00C91A96" w:rsidP="00C91A96">
      <w:pPr>
        <w:spacing w:before="100" w:beforeAutospacing="1" w:after="100" w:afterAutospacing="1" w:line="240" w:lineRule="auto"/>
        <w:outlineLvl w:val="1"/>
        <w:rPr>
          <w:rFonts w:ascii="Arial" w:eastAsia="Times New Roman" w:hAnsi="Arial" w:cs="Arial"/>
          <w:color w:val="000000"/>
          <w:kern w:val="0"/>
          <w:sz w:val="22"/>
          <w:szCs w:val="22"/>
          <w:lang w:eastAsia="en-GB"/>
          <w14:ligatures w14:val="none"/>
        </w:rPr>
      </w:pPr>
      <w:r w:rsidRPr="00C91A96">
        <w:rPr>
          <w:rFonts w:ascii="Arial" w:eastAsia="Times New Roman" w:hAnsi="Arial" w:cs="Arial"/>
          <w:color w:val="000000"/>
          <w:kern w:val="0"/>
          <w:sz w:val="22"/>
          <w:szCs w:val="22"/>
          <w:lang w:eastAsia="en-GB"/>
          <w14:ligatures w14:val="none"/>
        </w:rPr>
        <w:t xml:space="preserve">Harmful alcohol use is also common. The UK Chief Medical Officers advise that adults should not regularly drink more than 14 units per week to keep health risks low. Long-term drinking above this level is associated with increased risk of cognitive decline and dementia, </w:t>
      </w:r>
      <w:r w:rsidRPr="00C91A96">
        <w:rPr>
          <w:rFonts w:ascii="Arial" w:eastAsia="Times New Roman" w:hAnsi="Arial" w:cs="Arial"/>
          <w:color w:val="000000"/>
          <w:kern w:val="0"/>
          <w:sz w:val="22"/>
          <w:szCs w:val="22"/>
          <w:lang w:eastAsia="en-GB"/>
          <w14:ligatures w14:val="none"/>
        </w:rPr>
        <w:lastRenderedPageBreak/>
        <w:t>while very heavy consumption is linked to specific alcohol-related neurocognitive disorders (Alzheimer’s Society, 2023; Dementia UK, 2023).</w:t>
      </w:r>
    </w:p>
    <w:p w14:paraId="7E73F76E" w14:textId="77777777" w:rsidR="00C91A96" w:rsidRPr="00C91A96" w:rsidRDefault="00C91A96" w:rsidP="00C91A96">
      <w:pPr>
        <w:spacing w:before="100" w:beforeAutospacing="1" w:after="100" w:afterAutospacing="1" w:line="240" w:lineRule="auto"/>
        <w:outlineLvl w:val="1"/>
        <w:rPr>
          <w:rFonts w:ascii="Arial" w:eastAsia="Times New Roman" w:hAnsi="Arial" w:cs="Arial"/>
          <w:color w:val="000000"/>
          <w:kern w:val="0"/>
          <w:sz w:val="22"/>
          <w:szCs w:val="22"/>
          <w:lang w:eastAsia="en-GB"/>
          <w14:ligatures w14:val="none"/>
        </w:rPr>
      </w:pPr>
      <w:r w:rsidRPr="00C91A96">
        <w:rPr>
          <w:rFonts w:ascii="Arial" w:eastAsia="Times New Roman" w:hAnsi="Arial" w:cs="Arial"/>
          <w:color w:val="000000"/>
          <w:kern w:val="0"/>
          <w:sz w:val="22"/>
          <w:szCs w:val="22"/>
          <w:lang w:eastAsia="en-GB"/>
          <w14:ligatures w14:val="none"/>
        </w:rPr>
        <w:t>National strategies on dementia and on alcohol harm reduction, together with Public Health England’s “Health Matters” resources, increasingly emphasise lifestyle modification – including reducing excessive alcohol intake – as part of midlife approaches to prevent or delay dementia (Public Health England, 2021; Livingston et al., 2020).</w:t>
      </w:r>
    </w:p>
    <w:p w14:paraId="41E83A9C" w14:textId="77777777" w:rsidR="00C91A96" w:rsidRPr="00B62417" w:rsidRDefault="00C91A96" w:rsidP="00B62417">
      <w:pPr>
        <w:pStyle w:val="Subtitle"/>
        <w:rPr>
          <w:rFonts w:ascii="Arial" w:eastAsia="Times New Roman" w:hAnsi="Arial" w:cs="Arial"/>
          <w:sz w:val="22"/>
          <w:szCs w:val="22"/>
          <w:lang w:eastAsia="en-GB"/>
        </w:rPr>
      </w:pPr>
      <w:bookmarkStart w:id="3" w:name="_Toc214117351"/>
      <w:r w:rsidRPr="00B62417">
        <w:rPr>
          <w:rFonts w:ascii="Arial" w:eastAsia="Times New Roman" w:hAnsi="Arial" w:cs="Arial"/>
          <w:sz w:val="22"/>
          <w:szCs w:val="22"/>
          <w:lang w:eastAsia="en-GB"/>
        </w:rPr>
        <w:t>Policy, guidance and service challenges</w:t>
      </w:r>
      <w:bookmarkEnd w:id="3"/>
    </w:p>
    <w:p w14:paraId="051D520F" w14:textId="77777777" w:rsidR="00C91A96" w:rsidRPr="00C91A96" w:rsidRDefault="00C91A96" w:rsidP="00C91A96">
      <w:pPr>
        <w:spacing w:before="100" w:beforeAutospacing="1" w:after="100" w:afterAutospacing="1" w:line="240" w:lineRule="auto"/>
        <w:outlineLvl w:val="1"/>
        <w:rPr>
          <w:rFonts w:ascii="Arial" w:eastAsia="Times New Roman" w:hAnsi="Arial" w:cs="Arial"/>
          <w:color w:val="000000"/>
          <w:kern w:val="0"/>
          <w:sz w:val="22"/>
          <w:szCs w:val="22"/>
          <w:lang w:eastAsia="en-GB"/>
          <w14:ligatures w14:val="none"/>
        </w:rPr>
      </w:pPr>
      <w:r w:rsidRPr="00C91A96">
        <w:rPr>
          <w:rFonts w:ascii="Arial" w:eastAsia="Times New Roman" w:hAnsi="Arial" w:cs="Arial"/>
          <w:color w:val="000000"/>
          <w:kern w:val="0"/>
          <w:sz w:val="22"/>
          <w:szCs w:val="22"/>
          <w:lang w:eastAsia="en-GB"/>
          <w14:ligatures w14:val="none"/>
        </w:rPr>
        <w:t>There is no single UK statute dealing specifically with alcohol-related dementia, but several policies shape care. The Care Act 2014 places duties on local authorities to assess and meet the needs of adults with care and support needs, including those arising from dementia or alcohol-related brain damage. National alcohol strategies and the development of Alcohol Care Teams in acute hospitals aim to identify and treat harmful drinking earlier, which may reduce later alcohol-related cognitive problems.</w:t>
      </w:r>
    </w:p>
    <w:p w14:paraId="50E1C5B1" w14:textId="77777777" w:rsidR="00C91A96" w:rsidRPr="00C91A96" w:rsidRDefault="00C91A96" w:rsidP="00C91A96">
      <w:pPr>
        <w:spacing w:before="100" w:beforeAutospacing="1" w:after="100" w:afterAutospacing="1" w:line="240" w:lineRule="auto"/>
        <w:outlineLvl w:val="1"/>
        <w:rPr>
          <w:rFonts w:ascii="Arial" w:eastAsia="Times New Roman" w:hAnsi="Arial" w:cs="Arial"/>
          <w:color w:val="000000"/>
          <w:kern w:val="0"/>
          <w:sz w:val="22"/>
          <w:szCs w:val="22"/>
          <w:lang w:eastAsia="en-GB"/>
          <w14:ligatures w14:val="none"/>
        </w:rPr>
      </w:pPr>
      <w:r w:rsidRPr="00C91A96">
        <w:rPr>
          <w:rFonts w:ascii="Arial" w:eastAsia="Times New Roman" w:hAnsi="Arial" w:cs="Arial"/>
          <w:color w:val="000000"/>
          <w:kern w:val="0"/>
          <w:sz w:val="22"/>
          <w:szCs w:val="22"/>
          <w:lang w:eastAsia="en-GB"/>
          <w14:ligatures w14:val="none"/>
        </w:rPr>
        <w:t>Clinical guidance from the National Institute for Health and Care Excellence (NICE) also informs practice. The dementia guideline (NG97) recommends a comprehensive assessment of people with suspected dementia, including lifestyle factors such as alcohol use (NICE, 2018). NICE guidance on alcohol-use disorders (CG115) promotes routine screening for harmful drinking and timely treatment for dependence (NICE, 2011). However, there is little specific UK guidance on managing people who have both dementia and alcohol misuse, or on distinguishing alcohol-related cognitive impairment from other dementias, which may contribute to inconsistent practice.</w:t>
      </w:r>
    </w:p>
    <w:p w14:paraId="0069F2A4" w14:textId="77777777" w:rsidR="00C91A96" w:rsidRPr="00C91A96" w:rsidRDefault="00C91A96" w:rsidP="00C91A96">
      <w:pPr>
        <w:spacing w:before="100" w:beforeAutospacing="1" w:after="100" w:afterAutospacing="1" w:line="240" w:lineRule="auto"/>
        <w:outlineLvl w:val="1"/>
        <w:rPr>
          <w:rFonts w:ascii="Arial" w:eastAsia="Times New Roman" w:hAnsi="Arial" w:cs="Arial"/>
          <w:color w:val="000000"/>
          <w:kern w:val="0"/>
          <w:sz w:val="22"/>
          <w:szCs w:val="22"/>
          <w:lang w:eastAsia="en-GB"/>
          <w14:ligatures w14:val="none"/>
        </w:rPr>
      </w:pPr>
      <w:r w:rsidRPr="00C91A96">
        <w:rPr>
          <w:rFonts w:ascii="Arial" w:eastAsia="Times New Roman" w:hAnsi="Arial" w:cs="Arial"/>
          <w:color w:val="000000"/>
          <w:kern w:val="0"/>
          <w:sz w:val="22"/>
          <w:szCs w:val="22"/>
          <w:lang w:eastAsia="en-GB"/>
          <w14:ligatures w14:val="none"/>
        </w:rPr>
        <w:t>Service provision for ARBD is patchy. ARBD spans mental health, addiction and dementia care, and many patients do not fit neatly into existing service structures. People with ARBD are often under 65, which may exclude them from older adults’ dementia services, while generic addiction services may lack expertise in cognitive impairment. Specialist ARBD units or rehabilitation programmes exist in some areas, but many regions rely on general mental health or care-home provision.</w:t>
      </w:r>
    </w:p>
    <w:p w14:paraId="7B8E4129" w14:textId="77777777" w:rsidR="00C91A96" w:rsidRPr="00C91A96" w:rsidRDefault="00C91A96" w:rsidP="00C91A96">
      <w:pPr>
        <w:spacing w:before="100" w:beforeAutospacing="1" w:after="100" w:afterAutospacing="1" w:line="240" w:lineRule="auto"/>
        <w:outlineLvl w:val="1"/>
        <w:rPr>
          <w:rFonts w:ascii="Arial" w:eastAsia="Times New Roman" w:hAnsi="Arial" w:cs="Arial"/>
          <w:color w:val="000000"/>
          <w:kern w:val="0"/>
          <w:sz w:val="22"/>
          <w:szCs w:val="22"/>
          <w:lang w:eastAsia="en-GB"/>
          <w14:ligatures w14:val="none"/>
        </w:rPr>
      </w:pPr>
      <w:r w:rsidRPr="00C91A96">
        <w:rPr>
          <w:rFonts w:ascii="Arial" w:eastAsia="Times New Roman" w:hAnsi="Arial" w:cs="Arial"/>
          <w:color w:val="000000"/>
          <w:kern w:val="0"/>
          <w:sz w:val="22"/>
          <w:szCs w:val="22"/>
          <w:lang w:eastAsia="en-GB"/>
          <w14:ligatures w14:val="none"/>
        </w:rPr>
        <w:t xml:space="preserve">Underdiagnosis is a significant issue. Studies and professional accounts suggest that ARBD is frequently missed or labelled incorrectly, partly because clinicians may not routinely ask about alcohol history and patients may minimise their intake (Jones et al., 2023; </w:t>
      </w:r>
      <w:proofErr w:type="spellStart"/>
      <w:r w:rsidRPr="00C91A96">
        <w:rPr>
          <w:rFonts w:ascii="Arial" w:eastAsia="Times New Roman" w:hAnsi="Arial" w:cs="Arial"/>
          <w:color w:val="000000"/>
          <w:kern w:val="0"/>
          <w:sz w:val="22"/>
          <w:szCs w:val="22"/>
          <w:lang w:eastAsia="en-GB"/>
          <w14:ligatures w14:val="none"/>
        </w:rPr>
        <w:t>Heirene</w:t>
      </w:r>
      <w:proofErr w:type="spellEnd"/>
      <w:r w:rsidRPr="00C91A96">
        <w:rPr>
          <w:rFonts w:ascii="Arial" w:eastAsia="Times New Roman" w:hAnsi="Arial" w:cs="Arial"/>
          <w:color w:val="000000"/>
          <w:kern w:val="0"/>
          <w:sz w:val="22"/>
          <w:szCs w:val="22"/>
          <w:lang w:eastAsia="en-GB"/>
          <w14:ligatures w14:val="none"/>
        </w:rPr>
        <w:t xml:space="preserve"> et al., 2021). Some services delay dementia assessment until a sustained period of abstinence has been achieved, which can be difficult for people whose cognitive problems already affect judgement and motivation (Alzheimer’s Society, 2023). ARBD is not recognised as a distinct disorder in ICD-10 or DSM-5, and there is no agreed threshold of alcohol exposure or abstinence duration for diagnosis (Jones et al., 2023). These factors contribute to fragmented care pathways, with people cycling between emergency departments, acute medical wards, hostels and care homes without coordinated long-term support.</w:t>
      </w:r>
    </w:p>
    <w:p w14:paraId="29460008" w14:textId="77777777" w:rsidR="00601505" w:rsidRPr="00B62417" w:rsidRDefault="00601505" w:rsidP="00B62417">
      <w:pPr>
        <w:pStyle w:val="Title"/>
        <w:rPr>
          <w:rFonts w:ascii="Arial" w:eastAsia="Times New Roman" w:hAnsi="Arial" w:cs="Arial"/>
          <w:sz w:val="44"/>
          <w:szCs w:val="44"/>
          <w:lang w:eastAsia="en-GB"/>
        </w:rPr>
      </w:pPr>
      <w:bookmarkStart w:id="4" w:name="_Toc214117352"/>
      <w:r w:rsidRPr="00B62417">
        <w:rPr>
          <w:rFonts w:ascii="Arial" w:eastAsia="Times New Roman" w:hAnsi="Arial" w:cs="Arial"/>
          <w:sz w:val="44"/>
          <w:szCs w:val="44"/>
          <w:lang w:eastAsia="en-GB"/>
        </w:rPr>
        <w:t>Methods</w:t>
      </w:r>
      <w:bookmarkEnd w:id="4"/>
    </w:p>
    <w:p w14:paraId="4BE2CC8F" w14:textId="77777777" w:rsidR="00192574" w:rsidRPr="00B62417" w:rsidRDefault="00192574" w:rsidP="00B62417">
      <w:pPr>
        <w:pStyle w:val="Subtitle"/>
        <w:rPr>
          <w:rFonts w:ascii="Arial" w:eastAsia="Times New Roman" w:hAnsi="Arial" w:cs="Arial"/>
          <w:sz w:val="22"/>
          <w:szCs w:val="22"/>
          <w:lang w:eastAsia="en-GB"/>
        </w:rPr>
      </w:pPr>
      <w:bookmarkStart w:id="5" w:name="_Toc214117353"/>
      <w:r w:rsidRPr="00B62417">
        <w:rPr>
          <w:rFonts w:ascii="Arial" w:eastAsia="Times New Roman" w:hAnsi="Arial" w:cs="Arial"/>
          <w:sz w:val="22"/>
          <w:szCs w:val="22"/>
          <w:lang w:eastAsia="en-GB"/>
        </w:rPr>
        <w:t>Study design</w:t>
      </w:r>
      <w:bookmarkEnd w:id="5"/>
    </w:p>
    <w:p w14:paraId="56CE552D" w14:textId="77777777" w:rsidR="00192574" w:rsidRPr="00192574" w:rsidRDefault="00192574" w:rsidP="00192574">
      <w:pPr>
        <w:spacing w:before="100" w:beforeAutospacing="1" w:after="100" w:afterAutospacing="1" w:line="240" w:lineRule="auto"/>
        <w:outlineLvl w:val="1"/>
        <w:rPr>
          <w:rFonts w:ascii="Arial" w:eastAsia="Times New Roman" w:hAnsi="Arial" w:cs="Arial"/>
          <w:color w:val="000000"/>
          <w:kern w:val="0"/>
          <w:sz w:val="22"/>
          <w:szCs w:val="22"/>
          <w:lang w:eastAsia="en-GB"/>
          <w14:ligatures w14:val="none"/>
        </w:rPr>
      </w:pPr>
      <w:r w:rsidRPr="00192574">
        <w:rPr>
          <w:rFonts w:ascii="Arial" w:eastAsia="Times New Roman" w:hAnsi="Arial" w:cs="Arial"/>
          <w:color w:val="000000"/>
          <w:kern w:val="0"/>
          <w:sz w:val="22"/>
          <w:szCs w:val="22"/>
          <w:lang w:eastAsia="en-GB"/>
          <w14:ligatures w14:val="none"/>
        </w:rPr>
        <w:t xml:space="preserve">This assignment used a scoping review design guided by Arksey and O’Malley’s five-stage framework: identifying the review question, identifying relevant studies, selecting studies, charting the data and collating, summarising and reporting the results (Arksey and O’Malley, 2005). This approach was chosen because it enables mapping of a broad and heterogeneous body of evidence and identification of gaps in knowledge. Aveyard’s </w:t>
      </w:r>
      <w:r w:rsidRPr="00192574">
        <w:rPr>
          <w:rFonts w:ascii="Arial" w:eastAsia="Times New Roman" w:hAnsi="Arial" w:cs="Arial"/>
          <w:color w:val="000000"/>
          <w:kern w:val="0"/>
          <w:sz w:val="22"/>
          <w:szCs w:val="22"/>
          <w:lang w:eastAsia="en-GB"/>
          <w14:ligatures w14:val="none"/>
        </w:rPr>
        <w:lastRenderedPageBreak/>
        <w:t>approach to thematic analysis of literature was used to structure the synthesis (Aveyard, 2014).</w:t>
      </w:r>
    </w:p>
    <w:p w14:paraId="44A68746" w14:textId="77777777" w:rsidR="00192574" w:rsidRPr="00B62417" w:rsidRDefault="00192574" w:rsidP="00B62417">
      <w:pPr>
        <w:pStyle w:val="Subtitle"/>
        <w:rPr>
          <w:rFonts w:ascii="Arial" w:eastAsia="Times New Roman" w:hAnsi="Arial" w:cs="Arial"/>
          <w:sz w:val="22"/>
          <w:szCs w:val="22"/>
          <w:lang w:eastAsia="en-GB"/>
        </w:rPr>
      </w:pPr>
      <w:bookmarkStart w:id="6" w:name="_Toc214117354"/>
      <w:r w:rsidRPr="00B62417">
        <w:rPr>
          <w:rFonts w:ascii="Arial" w:eastAsia="Times New Roman" w:hAnsi="Arial" w:cs="Arial"/>
          <w:sz w:val="22"/>
          <w:szCs w:val="22"/>
          <w:lang w:eastAsia="en-GB"/>
        </w:rPr>
        <w:t>Search strategy</w:t>
      </w:r>
      <w:bookmarkEnd w:id="6"/>
    </w:p>
    <w:p w14:paraId="43A05FCC" w14:textId="77777777" w:rsidR="00192574" w:rsidRPr="00192574" w:rsidRDefault="00192574" w:rsidP="00192574">
      <w:pPr>
        <w:spacing w:before="100" w:beforeAutospacing="1" w:after="100" w:afterAutospacing="1" w:line="240" w:lineRule="auto"/>
        <w:outlineLvl w:val="1"/>
        <w:rPr>
          <w:rFonts w:ascii="Arial" w:eastAsia="Times New Roman" w:hAnsi="Arial" w:cs="Arial"/>
          <w:color w:val="000000"/>
          <w:kern w:val="0"/>
          <w:sz w:val="22"/>
          <w:szCs w:val="22"/>
          <w:lang w:eastAsia="en-GB"/>
          <w14:ligatures w14:val="none"/>
        </w:rPr>
      </w:pPr>
      <w:r w:rsidRPr="00192574">
        <w:rPr>
          <w:rFonts w:ascii="Arial" w:eastAsia="Times New Roman" w:hAnsi="Arial" w:cs="Arial"/>
          <w:color w:val="000000"/>
          <w:kern w:val="0"/>
          <w:sz w:val="22"/>
          <w:szCs w:val="22"/>
          <w:lang w:eastAsia="en-GB"/>
          <w14:ligatures w14:val="none"/>
        </w:rPr>
        <w:t>Electronic searches were conducted in PubMed (MEDLINE), CINAHL and PsycINFO for the period January 2015 to October 2025. These databases were selected to capture biomedical, nursing and psychological research relevant to dementia, alcohol use and healthcare service provision. Scopus and Google Scholar were searched to identify any additional studies and relevant grey literature, such as reports from UK charities or public health bodies used to inform the background.</w:t>
      </w:r>
    </w:p>
    <w:p w14:paraId="7A87E701" w14:textId="77777777" w:rsidR="00192574" w:rsidRPr="00192574" w:rsidRDefault="00192574" w:rsidP="00192574">
      <w:pPr>
        <w:spacing w:before="100" w:beforeAutospacing="1" w:after="100" w:afterAutospacing="1" w:line="240" w:lineRule="auto"/>
        <w:outlineLvl w:val="1"/>
        <w:rPr>
          <w:rFonts w:ascii="Arial" w:eastAsia="Times New Roman" w:hAnsi="Arial" w:cs="Arial"/>
          <w:color w:val="000000"/>
          <w:kern w:val="0"/>
          <w:sz w:val="22"/>
          <w:szCs w:val="22"/>
          <w:lang w:eastAsia="en-GB"/>
          <w14:ligatures w14:val="none"/>
        </w:rPr>
      </w:pPr>
      <w:r w:rsidRPr="00192574">
        <w:rPr>
          <w:rFonts w:ascii="Arial" w:eastAsia="Times New Roman" w:hAnsi="Arial" w:cs="Arial"/>
          <w:color w:val="000000"/>
          <w:kern w:val="0"/>
          <w:sz w:val="22"/>
          <w:szCs w:val="22"/>
          <w:lang w:eastAsia="en-GB"/>
          <w14:ligatures w14:val="none"/>
        </w:rPr>
        <w:t>Search terms combined concepts for dementia, alcohol use and the UK setting. Example terms included “dementia” OR “cognitive impairment” OR “Alzheimer’s” AND “alcohol” OR “alcohol misuse” OR “alcohol-related dementia” OR “alcohol-related brain damage” AND “United Kingdom” OR “England” OR “Scotland” OR “Wales” OR “Northern Ireland”. Searches were limited to English-language publications. Reference lists of key papers were hand-searched to identify further relevant studies.</w:t>
      </w:r>
    </w:p>
    <w:p w14:paraId="4AB5FFA8" w14:textId="77777777" w:rsidR="00192574" w:rsidRPr="00B62417" w:rsidRDefault="00192574" w:rsidP="00B62417">
      <w:pPr>
        <w:pStyle w:val="Subtitle"/>
        <w:rPr>
          <w:rFonts w:ascii="Arial" w:eastAsia="Times New Roman" w:hAnsi="Arial" w:cs="Arial"/>
          <w:sz w:val="22"/>
          <w:szCs w:val="22"/>
          <w:lang w:eastAsia="en-GB"/>
        </w:rPr>
      </w:pPr>
      <w:bookmarkStart w:id="7" w:name="_Toc214117355"/>
      <w:r w:rsidRPr="00B62417">
        <w:rPr>
          <w:rFonts w:ascii="Arial" w:eastAsia="Times New Roman" w:hAnsi="Arial" w:cs="Arial"/>
          <w:sz w:val="22"/>
          <w:szCs w:val="22"/>
          <w:lang w:eastAsia="en-GB"/>
        </w:rPr>
        <w:t>Inclusion and exclusion criteria</w:t>
      </w:r>
      <w:bookmarkEnd w:id="7"/>
    </w:p>
    <w:p w14:paraId="431DB842" w14:textId="77777777" w:rsidR="00192574" w:rsidRPr="00192574" w:rsidRDefault="00192574" w:rsidP="00192574">
      <w:pPr>
        <w:spacing w:before="100" w:beforeAutospacing="1" w:after="100" w:afterAutospacing="1" w:line="240" w:lineRule="auto"/>
        <w:outlineLvl w:val="1"/>
        <w:rPr>
          <w:rFonts w:ascii="Arial" w:eastAsia="Times New Roman" w:hAnsi="Arial" w:cs="Arial"/>
          <w:b/>
          <w:bCs/>
          <w:color w:val="000000"/>
          <w:kern w:val="0"/>
          <w:sz w:val="22"/>
          <w:szCs w:val="22"/>
          <w:lang w:eastAsia="en-GB"/>
          <w14:ligatures w14:val="none"/>
        </w:rPr>
      </w:pPr>
      <w:r w:rsidRPr="00192574">
        <w:rPr>
          <w:rFonts w:ascii="Arial" w:eastAsia="Times New Roman" w:hAnsi="Arial" w:cs="Arial"/>
          <w:b/>
          <w:bCs/>
          <w:color w:val="000000"/>
          <w:kern w:val="0"/>
          <w:sz w:val="22"/>
          <w:szCs w:val="22"/>
          <w:lang w:eastAsia="en-GB"/>
          <w14:ligatures w14:val="none"/>
        </w:rPr>
        <w:t>Studies were included if they:</w:t>
      </w:r>
    </w:p>
    <w:p w14:paraId="663288DA" w14:textId="77777777" w:rsidR="00192574" w:rsidRPr="00192574" w:rsidRDefault="00192574" w:rsidP="00192574">
      <w:pPr>
        <w:numPr>
          <w:ilvl w:val="0"/>
          <w:numId w:val="8"/>
        </w:numPr>
        <w:spacing w:before="100" w:beforeAutospacing="1" w:after="100" w:afterAutospacing="1" w:line="240" w:lineRule="auto"/>
        <w:outlineLvl w:val="1"/>
        <w:rPr>
          <w:rFonts w:ascii="Arial" w:eastAsia="Times New Roman" w:hAnsi="Arial" w:cs="Arial"/>
          <w:color w:val="000000"/>
          <w:kern w:val="0"/>
          <w:sz w:val="22"/>
          <w:szCs w:val="22"/>
          <w:lang w:eastAsia="en-GB"/>
          <w14:ligatures w14:val="none"/>
        </w:rPr>
      </w:pPr>
      <w:r w:rsidRPr="00192574">
        <w:rPr>
          <w:rFonts w:ascii="Arial" w:eastAsia="Times New Roman" w:hAnsi="Arial" w:cs="Arial"/>
          <w:color w:val="000000"/>
          <w:kern w:val="0"/>
          <w:sz w:val="22"/>
          <w:szCs w:val="22"/>
          <w:lang w:eastAsia="en-GB"/>
          <w14:ligatures w14:val="none"/>
        </w:rPr>
        <w:t xml:space="preserve">were peer-reviewed primary or secondary </w:t>
      </w:r>
      <w:proofErr w:type="gramStart"/>
      <w:r w:rsidRPr="00192574">
        <w:rPr>
          <w:rFonts w:ascii="Arial" w:eastAsia="Times New Roman" w:hAnsi="Arial" w:cs="Arial"/>
          <w:color w:val="000000"/>
          <w:kern w:val="0"/>
          <w:sz w:val="22"/>
          <w:szCs w:val="22"/>
          <w:lang w:eastAsia="en-GB"/>
          <w14:ligatures w14:val="none"/>
        </w:rPr>
        <w:t>research;</w:t>
      </w:r>
      <w:proofErr w:type="gramEnd"/>
    </w:p>
    <w:p w14:paraId="3BB8FAF9" w14:textId="77777777" w:rsidR="00192574" w:rsidRPr="00192574" w:rsidRDefault="00192574" w:rsidP="00192574">
      <w:pPr>
        <w:numPr>
          <w:ilvl w:val="0"/>
          <w:numId w:val="8"/>
        </w:numPr>
        <w:spacing w:before="100" w:beforeAutospacing="1" w:after="100" w:afterAutospacing="1" w:line="240" w:lineRule="auto"/>
        <w:outlineLvl w:val="1"/>
        <w:rPr>
          <w:rFonts w:ascii="Arial" w:eastAsia="Times New Roman" w:hAnsi="Arial" w:cs="Arial"/>
          <w:color w:val="000000"/>
          <w:kern w:val="0"/>
          <w:sz w:val="22"/>
          <w:szCs w:val="22"/>
          <w:lang w:eastAsia="en-GB"/>
          <w14:ligatures w14:val="none"/>
        </w:rPr>
      </w:pPr>
      <w:r w:rsidRPr="00192574">
        <w:rPr>
          <w:rFonts w:ascii="Arial" w:eastAsia="Times New Roman" w:hAnsi="Arial" w:cs="Arial"/>
          <w:color w:val="000000"/>
          <w:kern w:val="0"/>
          <w:sz w:val="22"/>
          <w:szCs w:val="22"/>
          <w:lang w:eastAsia="en-GB"/>
          <w14:ligatures w14:val="none"/>
        </w:rPr>
        <w:t xml:space="preserve">were conducted in UK populations or healthcare settings, or presented UK data </w:t>
      </w:r>
      <w:proofErr w:type="gramStart"/>
      <w:r w:rsidRPr="00192574">
        <w:rPr>
          <w:rFonts w:ascii="Arial" w:eastAsia="Times New Roman" w:hAnsi="Arial" w:cs="Arial"/>
          <w:color w:val="000000"/>
          <w:kern w:val="0"/>
          <w:sz w:val="22"/>
          <w:szCs w:val="22"/>
          <w:lang w:eastAsia="en-GB"/>
          <w14:ligatures w14:val="none"/>
        </w:rPr>
        <w:t>separately;</w:t>
      </w:r>
      <w:proofErr w:type="gramEnd"/>
    </w:p>
    <w:p w14:paraId="4280EBE3" w14:textId="77777777" w:rsidR="00192574" w:rsidRPr="00192574" w:rsidRDefault="00192574" w:rsidP="00192574">
      <w:pPr>
        <w:numPr>
          <w:ilvl w:val="0"/>
          <w:numId w:val="8"/>
        </w:numPr>
        <w:spacing w:before="100" w:beforeAutospacing="1" w:after="100" w:afterAutospacing="1" w:line="240" w:lineRule="auto"/>
        <w:outlineLvl w:val="1"/>
        <w:rPr>
          <w:rFonts w:ascii="Arial" w:eastAsia="Times New Roman" w:hAnsi="Arial" w:cs="Arial"/>
          <w:color w:val="000000"/>
          <w:kern w:val="0"/>
          <w:sz w:val="22"/>
          <w:szCs w:val="22"/>
          <w:lang w:eastAsia="en-GB"/>
          <w14:ligatures w14:val="none"/>
        </w:rPr>
      </w:pPr>
      <w:r w:rsidRPr="00192574">
        <w:rPr>
          <w:rFonts w:ascii="Arial" w:eastAsia="Times New Roman" w:hAnsi="Arial" w:cs="Arial"/>
          <w:color w:val="000000"/>
          <w:kern w:val="0"/>
          <w:sz w:val="22"/>
          <w:szCs w:val="22"/>
          <w:lang w:eastAsia="en-GB"/>
          <w14:ligatures w14:val="none"/>
        </w:rPr>
        <w:t>examined alcohol use (from moderate use to alcohol use disorder) in relation to dementia or cognitive impairment; and</w:t>
      </w:r>
    </w:p>
    <w:p w14:paraId="66E63D9A" w14:textId="77777777" w:rsidR="00192574" w:rsidRPr="00192574" w:rsidRDefault="00192574" w:rsidP="00192574">
      <w:pPr>
        <w:numPr>
          <w:ilvl w:val="0"/>
          <w:numId w:val="8"/>
        </w:numPr>
        <w:spacing w:before="100" w:beforeAutospacing="1" w:after="100" w:afterAutospacing="1" w:line="240" w:lineRule="auto"/>
        <w:outlineLvl w:val="1"/>
        <w:rPr>
          <w:rFonts w:ascii="Arial" w:eastAsia="Times New Roman" w:hAnsi="Arial" w:cs="Arial"/>
          <w:color w:val="000000"/>
          <w:kern w:val="0"/>
          <w:sz w:val="22"/>
          <w:szCs w:val="22"/>
          <w:lang w:eastAsia="en-GB"/>
          <w14:ligatures w14:val="none"/>
        </w:rPr>
      </w:pPr>
      <w:r w:rsidRPr="00192574">
        <w:rPr>
          <w:rFonts w:ascii="Arial" w:eastAsia="Times New Roman" w:hAnsi="Arial" w:cs="Arial"/>
          <w:color w:val="000000"/>
          <w:kern w:val="0"/>
          <w:sz w:val="22"/>
          <w:szCs w:val="22"/>
          <w:lang w:eastAsia="en-GB"/>
          <w14:ligatures w14:val="none"/>
        </w:rPr>
        <w:t>were published in English from 2015 onwards.</w:t>
      </w:r>
    </w:p>
    <w:p w14:paraId="29D62A7E" w14:textId="77777777" w:rsidR="00192574" w:rsidRPr="00192574" w:rsidRDefault="00192574" w:rsidP="00192574">
      <w:pPr>
        <w:spacing w:before="100" w:beforeAutospacing="1" w:after="100" w:afterAutospacing="1" w:line="240" w:lineRule="auto"/>
        <w:outlineLvl w:val="1"/>
        <w:rPr>
          <w:rFonts w:ascii="Arial" w:eastAsia="Times New Roman" w:hAnsi="Arial" w:cs="Arial"/>
          <w:color w:val="000000"/>
          <w:kern w:val="0"/>
          <w:sz w:val="22"/>
          <w:szCs w:val="22"/>
          <w:lang w:eastAsia="en-GB"/>
          <w14:ligatures w14:val="none"/>
        </w:rPr>
      </w:pPr>
      <w:r w:rsidRPr="00192574">
        <w:rPr>
          <w:rFonts w:ascii="Arial" w:eastAsia="Times New Roman" w:hAnsi="Arial" w:cs="Arial"/>
          <w:color w:val="000000"/>
          <w:kern w:val="0"/>
          <w:sz w:val="22"/>
          <w:szCs w:val="22"/>
          <w:lang w:eastAsia="en-GB"/>
          <w14:ligatures w14:val="none"/>
        </w:rPr>
        <w:t>Eligible content included epidemiological studies of alcohol and dementia risk, clinical studies of alcohol-related cognitive impairment and research on service responses to people with both alcohol problems and cognitive impairment. Policy documents and guidance were not included in the results but were used to contextualise the background.</w:t>
      </w:r>
    </w:p>
    <w:p w14:paraId="1828ECAE" w14:textId="77777777" w:rsidR="00192574" w:rsidRPr="00192574" w:rsidRDefault="00192574" w:rsidP="00192574">
      <w:pPr>
        <w:spacing w:before="100" w:beforeAutospacing="1" w:after="100" w:afterAutospacing="1" w:line="240" w:lineRule="auto"/>
        <w:outlineLvl w:val="1"/>
        <w:rPr>
          <w:rFonts w:ascii="Arial" w:eastAsia="Times New Roman" w:hAnsi="Arial" w:cs="Arial"/>
          <w:color w:val="000000"/>
          <w:kern w:val="0"/>
          <w:sz w:val="22"/>
          <w:szCs w:val="22"/>
          <w:lang w:eastAsia="en-GB"/>
          <w14:ligatures w14:val="none"/>
        </w:rPr>
      </w:pPr>
      <w:r w:rsidRPr="00192574">
        <w:rPr>
          <w:rFonts w:ascii="Arial" w:eastAsia="Times New Roman" w:hAnsi="Arial" w:cs="Arial"/>
          <w:color w:val="000000"/>
          <w:kern w:val="0"/>
          <w:sz w:val="22"/>
          <w:szCs w:val="22"/>
          <w:lang w:eastAsia="en-GB"/>
          <w14:ligatures w14:val="none"/>
        </w:rPr>
        <w:t>Exclusion criteria included non-UK studies without clear transferability to UK practice, papers not addressing both alcohol and dementia or cognitive impairment, editorials and opinion pieces, and articles published before 2015. Where duplicate reports existed, the most complete version was used.</w:t>
      </w:r>
    </w:p>
    <w:p w14:paraId="750C9EEF" w14:textId="77777777" w:rsidR="00192574" w:rsidRPr="00B62417" w:rsidRDefault="00192574" w:rsidP="00B62417">
      <w:pPr>
        <w:pStyle w:val="Subtitle"/>
        <w:rPr>
          <w:rFonts w:ascii="Arial" w:eastAsia="Times New Roman" w:hAnsi="Arial" w:cs="Arial"/>
          <w:sz w:val="22"/>
          <w:szCs w:val="22"/>
          <w:lang w:eastAsia="en-GB"/>
        </w:rPr>
      </w:pPr>
      <w:bookmarkStart w:id="8" w:name="_Toc214117356"/>
      <w:r w:rsidRPr="00B62417">
        <w:rPr>
          <w:rFonts w:ascii="Arial" w:eastAsia="Times New Roman" w:hAnsi="Arial" w:cs="Arial"/>
          <w:sz w:val="22"/>
          <w:szCs w:val="22"/>
          <w:lang w:eastAsia="en-GB"/>
        </w:rPr>
        <w:t>Study selection and data charting</w:t>
      </w:r>
      <w:bookmarkEnd w:id="8"/>
    </w:p>
    <w:p w14:paraId="003A1ADC" w14:textId="77777777" w:rsidR="00192574" w:rsidRPr="00192574" w:rsidRDefault="00192574" w:rsidP="00192574">
      <w:pPr>
        <w:spacing w:before="100" w:beforeAutospacing="1" w:after="100" w:afterAutospacing="1" w:line="240" w:lineRule="auto"/>
        <w:outlineLvl w:val="1"/>
        <w:rPr>
          <w:rFonts w:ascii="Arial" w:eastAsia="Times New Roman" w:hAnsi="Arial" w:cs="Arial"/>
          <w:color w:val="000000"/>
          <w:kern w:val="0"/>
          <w:sz w:val="22"/>
          <w:szCs w:val="22"/>
          <w:lang w:eastAsia="en-GB"/>
          <w14:ligatures w14:val="none"/>
        </w:rPr>
      </w:pPr>
      <w:r w:rsidRPr="00192574">
        <w:rPr>
          <w:rFonts w:ascii="Arial" w:eastAsia="Times New Roman" w:hAnsi="Arial" w:cs="Arial"/>
          <w:color w:val="000000"/>
          <w:kern w:val="0"/>
          <w:sz w:val="22"/>
          <w:szCs w:val="22"/>
          <w:lang w:eastAsia="en-GB"/>
          <w14:ligatures w14:val="none"/>
        </w:rPr>
        <w:t>Titles and abstracts retrieved from the searches were screened against the inclusion criteria. Potentially relevant full-text articles were then reviewed in detail, resulting in a final sample of 19 studies. For each study, key information was charted using a standardised form, including author, year, design, setting, sample, and findings relevant to alcohol use and dementia.</w:t>
      </w:r>
    </w:p>
    <w:p w14:paraId="502509EA" w14:textId="77777777" w:rsidR="00192574" w:rsidRPr="00B62417" w:rsidRDefault="00192574" w:rsidP="00B62417">
      <w:pPr>
        <w:pStyle w:val="Subtitle"/>
        <w:rPr>
          <w:rFonts w:ascii="Arial" w:eastAsia="Times New Roman" w:hAnsi="Arial" w:cs="Arial"/>
          <w:sz w:val="22"/>
          <w:szCs w:val="22"/>
          <w:lang w:eastAsia="en-GB"/>
        </w:rPr>
      </w:pPr>
      <w:bookmarkStart w:id="9" w:name="_Toc214117357"/>
      <w:r w:rsidRPr="00B62417">
        <w:rPr>
          <w:rFonts w:ascii="Arial" w:eastAsia="Times New Roman" w:hAnsi="Arial" w:cs="Arial"/>
          <w:sz w:val="22"/>
          <w:szCs w:val="22"/>
          <w:lang w:eastAsia="en-GB"/>
        </w:rPr>
        <w:t>Data analysis</w:t>
      </w:r>
      <w:bookmarkEnd w:id="9"/>
    </w:p>
    <w:p w14:paraId="37FA455B" w14:textId="77777777" w:rsidR="00192574" w:rsidRPr="00192574" w:rsidRDefault="00192574" w:rsidP="00192574">
      <w:pPr>
        <w:spacing w:before="100" w:beforeAutospacing="1" w:after="100" w:afterAutospacing="1" w:line="240" w:lineRule="auto"/>
        <w:outlineLvl w:val="1"/>
        <w:rPr>
          <w:rFonts w:ascii="Arial" w:eastAsia="Times New Roman" w:hAnsi="Arial" w:cs="Arial"/>
          <w:color w:val="000000"/>
          <w:kern w:val="0"/>
          <w:sz w:val="22"/>
          <w:szCs w:val="22"/>
          <w:lang w:eastAsia="en-GB"/>
          <w14:ligatures w14:val="none"/>
        </w:rPr>
      </w:pPr>
      <w:r w:rsidRPr="00192574">
        <w:rPr>
          <w:rFonts w:ascii="Arial" w:eastAsia="Times New Roman" w:hAnsi="Arial" w:cs="Arial"/>
          <w:color w:val="000000"/>
          <w:kern w:val="0"/>
          <w:sz w:val="22"/>
          <w:szCs w:val="22"/>
          <w:lang w:eastAsia="en-GB"/>
          <w14:ligatures w14:val="none"/>
        </w:rPr>
        <w:t>Charted data were examined using thematic analysis adapted from Aveyard (2014). Initially, a simple numerical description of the included studies was produced (for example, numbers by design and setting). Findings were then read repeatedly to identify recurring patterns and concepts. These were grouped into three overarching themes:</w:t>
      </w:r>
    </w:p>
    <w:p w14:paraId="174372C7" w14:textId="77777777" w:rsidR="00192574" w:rsidRPr="00192574" w:rsidRDefault="00192574" w:rsidP="00192574">
      <w:pPr>
        <w:numPr>
          <w:ilvl w:val="0"/>
          <w:numId w:val="9"/>
        </w:numPr>
        <w:spacing w:before="100" w:beforeAutospacing="1" w:after="100" w:afterAutospacing="1" w:line="240" w:lineRule="auto"/>
        <w:outlineLvl w:val="1"/>
        <w:rPr>
          <w:rFonts w:ascii="Arial" w:eastAsia="Times New Roman" w:hAnsi="Arial" w:cs="Arial"/>
          <w:color w:val="000000"/>
          <w:kern w:val="0"/>
          <w:sz w:val="22"/>
          <w:szCs w:val="22"/>
          <w:lang w:eastAsia="en-GB"/>
          <w14:ligatures w14:val="none"/>
        </w:rPr>
      </w:pPr>
      <w:r w:rsidRPr="00192574">
        <w:rPr>
          <w:rFonts w:ascii="Arial" w:eastAsia="Times New Roman" w:hAnsi="Arial" w:cs="Arial"/>
          <w:color w:val="000000"/>
          <w:kern w:val="0"/>
          <w:sz w:val="22"/>
          <w:szCs w:val="22"/>
          <w:lang w:eastAsia="en-GB"/>
          <w14:ligatures w14:val="none"/>
        </w:rPr>
        <w:lastRenderedPageBreak/>
        <w:t xml:space="preserve">Alcohol as a risk factor for </w:t>
      </w:r>
      <w:proofErr w:type="gramStart"/>
      <w:r w:rsidRPr="00192574">
        <w:rPr>
          <w:rFonts w:ascii="Arial" w:eastAsia="Times New Roman" w:hAnsi="Arial" w:cs="Arial"/>
          <w:color w:val="000000"/>
          <w:kern w:val="0"/>
          <w:sz w:val="22"/>
          <w:szCs w:val="22"/>
          <w:lang w:eastAsia="en-GB"/>
          <w14:ligatures w14:val="none"/>
        </w:rPr>
        <w:t>dementia;</w:t>
      </w:r>
      <w:proofErr w:type="gramEnd"/>
    </w:p>
    <w:p w14:paraId="1196F10C" w14:textId="77777777" w:rsidR="00192574" w:rsidRPr="00192574" w:rsidRDefault="00192574" w:rsidP="00192574">
      <w:pPr>
        <w:numPr>
          <w:ilvl w:val="0"/>
          <w:numId w:val="9"/>
        </w:numPr>
        <w:spacing w:before="100" w:beforeAutospacing="1" w:after="100" w:afterAutospacing="1" w:line="240" w:lineRule="auto"/>
        <w:outlineLvl w:val="1"/>
        <w:rPr>
          <w:rFonts w:ascii="Arial" w:eastAsia="Times New Roman" w:hAnsi="Arial" w:cs="Arial"/>
          <w:color w:val="000000"/>
          <w:kern w:val="0"/>
          <w:sz w:val="22"/>
          <w:szCs w:val="22"/>
          <w:lang w:eastAsia="en-GB"/>
          <w14:ligatures w14:val="none"/>
        </w:rPr>
      </w:pPr>
      <w:r w:rsidRPr="00192574">
        <w:rPr>
          <w:rFonts w:ascii="Arial" w:eastAsia="Times New Roman" w:hAnsi="Arial" w:cs="Arial"/>
          <w:color w:val="000000"/>
          <w:kern w:val="0"/>
          <w:sz w:val="22"/>
          <w:szCs w:val="22"/>
          <w:lang w:eastAsia="en-GB"/>
          <w14:ligatures w14:val="none"/>
        </w:rPr>
        <w:t>Diagnostic challenges of alcohol-related dementia; and</w:t>
      </w:r>
    </w:p>
    <w:p w14:paraId="66AA080A" w14:textId="77777777" w:rsidR="00192574" w:rsidRPr="00192574" w:rsidRDefault="00192574" w:rsidP="00192574">
      <w:pPr>
        <w:numPr>
          <w:ilvl w:val="0"/>
          <w:numId w:val="9"/>
        </w:numPr>
        <w:spacing w:before="100" w:beforeAutospacing="1" w:after="100" w:afterAutospacing="1" w:line="240" w:lineRule="auto"/>
        <w:outlineLvl w:val="1"/>
        <w:rPr>
          <w:rFonts w:ascii="Arial" w:eastAsia="Times New Roman" w:hAnsi="Arial" w:cs="Arial"/>
          <w:color w:val="000000"/>
          <w:kern w:val="0"/>
          <w:sz w:val="22"/>
          <w:szCs w:val="22"/>
          <w:lang w:eastAsia="en-GB"/>
          <w14:ligatures w14:val="none"/>
        </w:rPr>
      </w:pPr>
      <w:r w:rsidRPr="00192574">
        <w:rPr>
          <w:rFonts w:ascii="Arial" w:eastAsia="Times New Roman" w:hAnsi="Arial" w:cs="Arial"/>
          <w:color w:val="000000"/>
          <w:kern w:val="0"/>
          <w:sz w:val="22"/>
          <w:szCs w:val="22"/>
          <w:lang w:eastAsia="en-GB"/>
          <w14:ligatures w14:val="none"/>
        </w:rPr>
        <w:t>Impacts on care and service provision.</w:t>
      </w:r>
    </w:p>
    <w:p w14:paraId="240347B1" w14:textId="77777777" w:rsidR="00192574" w:rsidRDefault="00192574" w:rsidP="00192574">
      <w:pPr>
        <w:spacing w:before="100" w:beforeAutospacing="1" w:after="100" w:afterAutospacing="1" w:line="240" w:lineRule="auto"/>
        <w:outlineLvl w:val="1"/>
        <w:rPr>
          <w:rFonts w:ascii="Arial" w:eastAsia="Times New Roman" w:hAnsi="Arial" w:cs="Arial"/>
          <w:color w:val="000000"/>
          <w:kern w:val="0"/>
          <w:sz w:val="22"/>
          <w:szCs w:val="22"/>
          <w:lang w:eastAsia="en-GB"/>
          <w14:ligatures w14:val="none"/>
        </w:rPr>
      </w:pPr>
      <w:r w:rsidRPr="00192574">
        <w:rPr>
          <w:rFonts w:ascii="Arial" w:eastAsia="Times New Roman" w:hAnsi="Arial" w:cs="Arial"/>
          <w:color w:val="000000"/>
          <w:kern w:val="0"/>
          <w:sz w:val="22"/>
          <w:szCs w:val="22"/>
          <w:lang w:eastAsia="en-GB"/>
          <w14:ligatures w14:val="none"/>
        </w:rPr>
        <w:t>Each study could contribute to more than one theme. The themes were refined to ensure they reflected the data and addressed the review question. In line with scoping review methodology, formal critical appraisal of study quality was not undertaken, but limitations of the evidence base are considered in the discussion.</w:t>
      </w:r>
    </w:p>
    <w:p w14:paraId="58B903B0" w14:textId="77777777" w:rsidR="00192574" w:rsidRPr="00B62417" w:rsidRDefault="00192574" w:rsidP="00B62417">
      <w:pPr>
        <w:pStyle w:val="Subtitle"/>
        <w:rPr>
          <w:rFonts w:ascii="Arial" w:eastAsia="Times New Roman" w:hAnsi="Arial" w:cs="Arial"/>
          <w:sz w:val="22"/>
          <w:szCs w:val="22"/>
          <w:lang w:eastAsia="en-GB"/>
        </w:rPr>
      </w:pPr>
    </w:p>
    <w:p w14:paraId="2CE225E5" w14:textId="77777777" w:rsidR="00192574" w:rsidRPr="00B62417" w:rsidRDefault="00192574" w:rsidP="00B62417">
      <w:pPr>
        <w:pStyle w:val="Subtitle"/>
        <w:rPr>
          <w:rFonts w:ascii="Arial" w:eastAsia="Times New Roman" w:hAnsi="Arial" w:cs="Arial"/>
          <w:b/>
          <w:bCs/>
          <w:sz w:val="22"/>
          <w:szCs w:val="22"/>
          <w:lang w:eastAsia="en-GB"/>
        </w:rPr>
      </w:pPr>
      <w:bookmarkStart w:id="10" w:name="_Toc214117358"/>
      <w:r w:rsidRPr="00B62417">
        <w:rPr>
          <w:rFonts w:ascii="Arial" w:eastAsia="Times New Roman" w:hAnsi="Arial" w:cs="Arial"/>
          <w:b/>
          <w:bCs/>
          <w:sz w:val="22"/>
          <w:szCs w:val="22"/>
          <w:lang w:eastAsia="en-GB"/>
        </w:rPr>
        <w:t>Ethical considerations</w:t>
      </w:r>
      <w:bookmarkEnd w:id="10"/>
    </w:p>
    <w:p w14:paraId="5967B6D2" w14:textId="7F58946A" w:rsidR="00370EDA" w:rsidRPr="00192574" w:rsidRDefault="00192574" w:rsidP="00192574">
      <w:pPr>
        <w:spacing w:before="100" w:beforeAutospacing="1" w:after="100" w:afterAutospacing="1" w:line="240" w:lineRule="auto"/>
        <w:outlineLvl w:val="1"/>
        <w:rPr>
          <w:rFonts w:ascii="Arial" w:eastAsia="Times New Roman" w:hAnsi="Arial" w:cs="Arial"/>
          <w:color w:val="000000"/>
          <w:kern w:val="0"/>
          <w:sz w:val="22"/>
          <w:szCs w:val="22"/>
          <w:lang w:eastAsia="en-GB"/>
          <w14:ligatures w14:val="none"/>
        </w:rPr>
      </w:pPr>
      <w:r w:rsidRPr="00192574">
        <w:rPr>
          <w:rFonts w:ascii="Arial" w:eastAsia="Times New Roman" w:hAnsi="Arial" w:cs="Arial"/>
          <w:color w:val="000000"/>
          <w:kern w:val="0"/>
          <w:sz w:val="22"/>
          <w:szCs w:val="22"/>
          <w:lang w:eastAsia="en-GB"/>
          <w14:ligatures w14:val="none"/>
        </w:rPr>
        <w:t>The review used published literature and did not involve human participants or identifiable data, so formal ethical approval was not required. However, principles of research integrity were followed, including systematic searching, transparent reporting of methods and accurate referencing of sources to avoid plagiarism.</w:t>
      </w:r>
    </w:p>
    <w:p w14:paraId="0BBAB2F0" w14:textId="77777777" w:rsidR="00601505" w:rsidRPr="00B62417" w:rsidRDefault="00601505" w:rsidP="00B62417">
      <w:pPr>
        <w:pStyle w:val="Title"/>
        <w:rPr>
          <w:rFonts w:ascii="Arial" w:eastAsia="Times New Roman" w:hAnsi="Arial" w:cs="Arial"/>
          <w:sz w:val="44"/>
          <w:szCs w:val="44"/>
          <w:lang w:eastAsia="en-GB"/>
        </w:rPr>
      </w:pPr>
      <w:bookmarkStart w:id="11" w:name="_Toc214117359"/>
      <w:r w:rsidRPr="00B62417">
        <w:rPr>
          <w:rFonts w:ascii="Arial" w:eastAsia="Times New Roman" w:hAnsi="Arial" w:cs="Arial"/>
          <w:sz w:val="44"/>
          <w:szCs w:val="44"/>
          <w:lang w:eastAsia="en-GB"/>
        </w:rPr>
        <w:t>Results</w:t>
      </w:r>
      <w:bookmarkEnd w:id="11"/>
    </w:p>
    <w:p w14:paraId="146F4FDF" w14:textId="77777777" w:rsidR="00601505" w:rsidRPr="00B62417" w:rsidRDefault="00601505" w:rsidP="00B62417">
      <w:pPr>
        <w:pStyle w:val="Subtitle"/>
        <w:rPr>
          <w:rFonts w:ascii="Arial" w:eastAsia="Times New Roman" w:hAnsi="Arial" w:cs="Arial"/>
          <w:sz w:val="22"/>
          <w:szCs w:val="22"/>
          <w:lang w:eastAsia="en-GB"/>
        </w:rPr>
      </w:pPr>
      <w:bookmarkStart w:id="12" w:name="_Toc214117360"/>
      <w:r w:rsidRPr="00B62417">
        <w:rPr>
          <w:rFonts w:ascii="Arial" w:eastAsia="Times New Roman" w:hAnsi="Arial" w:cs="Arial"/>
          <w:sz w:val="22"/>
          <w:szCs w:val="22"/>
          <w:lang w:eastAsia="en-GB"/>
        </w:rPr>
        <w:t>Summary of Included Studies</w:t>
      </w:r>
      <w:bookmarkEnd w:id="12"/>
    </w:p>
    <w:p w14:paraId="7DFB0F58" w14:textId="1695E12E" w:rsidR="00601505" w:rsidRPr="00601505" w:rsidRDefault="00192574" w:rsidP="00601505">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192574">
        <w:rPr>
          <w:rFonts w:ascii="Arial" w:eastAsia="Times New Roman" w:hAnsi="Arial" w:cs="Arial"/>
          <w:color w:val="000000"/>
          <w:kern w:val="0"/>
          <w:sz w:val="22"/>
          <w:szCs w:val="22"/>
          <w:lang w:eastAsia="en-GB"/>
          <w14:ligatures w14:val="none"/>
        </w:rPr>
        <w:t>These five UK-based studies were selected as they illustrate key dimensions of the alcohol–dementia relationship: large cohort evidence on risk (Sabia </w:t>
      </w:r>
      <w:r w:rsidRPr="00192574">
        <w:rPr>
          <w:rFonts w:ascii="Arial" w:eastAsia="Times New Roman" w:hAnsi="Arial" w:cs="Arial"/>
          <w:i/>
          <w:iCs/>
          <w:color w:val="000000"/>
          <w:kern w:val="0"/>
          <w:sz w:val="22"/>
          <w:szCs w:val="22"/>
          <w:lang w:eastAsia="en-GB"/>
          <w14:ligatures w14:val="none"/>
        </w:rPr>
        <w:t>et al.</w:t>
      </w:r>
      <w:r w:rsidRPr="00192574">
        <w:rPr>
          <w:rFonts w:ascii="Arial" w:eastAsia="Times New Roman" w:hAnsi="Arial" w:cs="Arial"/>
          <w:color w:val="000000"/>
          <w:kern w:val="0"/>
          <w:sz w:val="22"/>
          <w:szCs w:val="22"/>
          <w:lang w:eastAsia="en-GB"/>
          <w14:ligatures w14:val="none"/>
        </w:rPr>
        <w:t>, 2018; Topiwala </w:t>
      </w:r>
      <w:r w:rsidRPr="00192574">
        <w:rPr>
          <w:rFonts w:ascii="Arial" w:eastAsia="Times New Roman" w:hAnsi="Arial" w:cs="Arial"/>
          <w:i/>
          <w:iCs/>
          <w:color w:val="000000"/>
          <w:kern w:val="0"/>
          <w:sz w:val="22"/>
          <w:szCs w:val="22"/>
          <w:lang w:eastAsia="en-GB"/>
          <w14:ligatures w14:val="none"/>
        </w:rPr>
        <w:t>et al.</w:t>
      </w:r>
      <w:r w:rsidRPr="00192574">
        <w:rPr>
          <w:rFonts w:ascii="Arial" w:eastAsia="Times New Roman" w:hAnsi="Arial" w:cs="Arial"/>
          <w:color w:val="000000"/>
          <w:kern w:val="0"/>
          <w:sz w:val="22"/>
          <w:szCs w:val="22"/>
          <w:lang w:eastAsia="en-GB"/>
          <w14:ligatures w14:val="none"/>
        </w:rPr>
        <w:t>, 2025), clinical prevalence of cognitive impairment in alcohol services (Davies </w:t>
      </w:r>
      <w:r w:rsidRPr="00192574">
        <w:rPr>
          <w:rFonts w:ascii="Arial" w:eastAsia="Times New Roman" w:hAnsi="Arial" w:cs="Arial"/>
          <w:i/>
          <w:iCs/>
          <w:color w:val="000000"/>
          <w:kern w:val="0"/>
          <w:sz w:val="22"/>
          <w:szCs w:val="22"/>
          <w:lang w:eastAsia="en-GB"/>
          <w14:ligatures w14:val="none"/>
        </w:rPr>
        <w:t>et al.</w:t>
      </w:r>
      <w:r w:rsidRPr="00192574">
        <w:rPr>
          <w:rFonts w:ascii="Arial" w:eastAsia="Times New Roman" w:hAnsi="Arial" w:cs="Arial"/>
          <w:color w:val="000000"/>
          <w:kern w:val="0"/>
          <w:sz w:val="22"/>
          <w:szCs w:val="22"/>
          <w:lang w:eastAsia="en-GB"/>
          <w14:ligatures w14:val="none"/>
        </w:rPr>
        <w:t>, 2022) and challenges in diagnosis and service development for alcohol-related brain damage (Jones </w:t>
      </w:r>
      <w:r w:rsidRPr="00192574">
        <w:rPr>
          <w:rFonts w:ascii="Arial" w:eastAsia="Times New Roman" w:hAnsi="Arial" w:cs="Arial"/>
          <w:i/>
          <w:iCs/>
          <w:color w:val="000000"/>
          <w:kern w:val="0"/>
          <w:sz w:val="22"/>
          <w:szCs w:val="22"/>
          <w:lang w:eastAsia="en-GB"/>
          <w14:ligatures w14:val="none"/>
        </w:rPr>
        <w:t>et al.</w:t>
      </w:r>
      <w:r w:rsidRPr="00192574">
        <w:rPr>
          <w:rFonts w:ascii="Arial" w:eastAsia="Times New Roman" w:hAnsi="Arial" w:cs="Arial"/>
          <w:color w:val="000000"/>
          <w:kern w:val="0"/>
          <w:sz w:val="22"/>
          <w:szCs w:val="22"/>
          <w:lang w:eastAsia="en-GB"/>
          <w14:ligatures w14:val="none"/>
        </w:rPr>
        <w:t>, 2023; Quelch </w:t>
      </w:r>
      <w:r w:rsidRPr="00192574">
        <w:rPr>
          <w:rFonts w:ascii="Arial" w:eastAsia="Times New Roman" w:hAnsi="Arial" w:cs="Arial"/>
          <w:i/>
          <w:iCs/>
          <w:color w:val="000000"/>
          <w:kern w:val="0"/>
          <w:sz w:val="22"/>
          <w:szCs w:val="22"/>
          <w:lang w:eastAsia="en-GB"/>
          <w14:ligatures w14:val="none"/>
        </w:rPr>
        <w:t>et al.</w:t>
      </w:r>
      <w:r w:rsidRPr="00192574">
        <w:rPr>
          <w:rFonts w:ascii="Arial" w:eastAsia="Times New Roman" w:hAnsi="Arial" w:cs="Arial"/>
          <w:color w:val="000000"/>
          <w:kern w:val="0"/>
          <w:sz w:val="22"/>
          <w:szCs w:val="22"/>
          <w:lang w:eastAsia="en-GB"/>
          <w14:ligatures w14:val="none"/>
        </w:rPr>
        <w:t>, 2025). Their findings underpin the three themes described below</w:t>
      </w:r>
      <w:r>
        <w:rPr>
          <w:rFonts w:ascii="Arial" w:eastAsia="Times New Roman" w:hAnsi="Arial" w:cs="Arial"/>
          <w:color w:val="000000"/>
          <w:kern w:val="0"/>
          <w:sz w:val="22"/>
          <w:szCs w:val="22"/>
          <w:lang w:eastAsia="en-GB"/>
          <w14:ligatures w14:val="none"/>
        </w:rPr>
        <w:t>:</w:t>
      </w:r>
      <w:r>
        <w:rPr>
          <w:rFonts w:ascii="Arial" w:eastAsia="Times New Roman" w:hAnsi="Arial" w:cs="Arial"/>
          <w:color w:val="000000"/>
          <w:kern w:val="0"/>
          <w:sz w:val="22"/>
          <w:szCs w:val="22"/>
          <w:lang w:eastAsia="en-GB"/>
          <w14:ligatures w14:val="none"/>
        </w:rPr>
        <w:br/>
      </w:r>
      <w:r w:rsidRPr="00B62417">
        <w:rPr>
          <w:rStyle w:val="SubtitleChar"/>
          <w:rFonts w:ascii="Arial" w:hAnsi="Arial" w:cs="Arial"/>
          <w:sz w:val="22"/>
          <w:szCs w:val="22"/>
        </w:rPr>
        <w:br/>
      </w:r>
      <w:r w:rsidR="00601505" w:rsidRPr="00601505">
        <w:rPr>
          <w:rStyle w:val="SubtitleChar"/>
          <w:rFonts w:ascii="Arial" w:hAnsi="Arial" w:cs="Arial"/>
          <w:sz w:val="22"/>
          <w:szCs w:val="22"/>
          <w:lang w:eastAsia="en-GB"/>
        </w:rPr>
        <w:t>Table 1. Summary of Five Included UK-Based Studies on Alcohol Use and Dementia</w:t>
      </w:r>
    </w:p>
    <w:tbl>
      <w:tblPr>
        <w:tblStyle w:val="GridTable1Light-Accent1"/>
        <w:tblW w:w="11340" w:type="dxa"/>
        <w:tblInd w:w="-1139" w:type="dxa"/>
        <w:tblLook w:val="04A0" w:firstRow="1" w:lastRow="0" w:firstColumn="1" w:lastColumn="0" w:noHBand="0" w:noVBand="1"/>
      </w:tblPr>
      <w:tblGrid>
        <w:gridCol w:w="2341"/>
        <w:gridCol w:w="2120"/>
        <w:gridCol w:w="1891"/>
        <w:gridCol w:w="4988"/>
      </w:tblGrid>
      <w:tr w:rsidR="00EF25EB" w14:paraId="2769722E" w14:textId="77777777" w:rsidTr="00EF25E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41" w:type="dxa"/>
            <w:hideMark/>
          </w:tcPr>
          <w:p w14:paraId="6A768B2E" w14:textId="77777777" w:rsidR="00EF25EB" w:rsidRDefault="00EF25EB">
            <w:pPr>
              <w:jc w:val="center"/>
              <w:rPr>
                <w:color w:val="000000"/>
              </w:rPr>
            </w:pPr>
            <w:r>
              <w:rPr>
                <w:b w:val="0"/>
                <w:bCs w:val="0"/>
                <w:color w:val="000000"/>
              </w:rPr>
              <w:t>Study (authors, year)</w:t>
            </w:r>
          </w:p>
        </w:tc>
        <w:tc>
          <w:tcPr>
            <w:tcW w:w="0" w:type="auto"/>
            <w:hideMark/>
          </w:tcPr>
          <w:p w14:paraId="60C64365" w14:textId="77777777" w:rsidR="00EF25EB" w:rsidRDefault="00EF25EB">
            <w:pPr>
              <w:jc w:val="center"/>
              <w:cnfStyle w:val="100000000000" w:firstRow="1" w:lastRow="0" w:firstColumn="0" w:lastColumn="0" w:oddVBand="0" w:evenVBand="0" w:oddHBand="0" w:evenHBand="0" w:firstRowFirstColumn="0" w:firstRowLastColumn="0" w:lastRowFirstColumn="0" w:lastRowLastColumn="0"/>
              <w:rPr>
                <w:b w:val="0"/>
                <w:bCs w:val="0"/>
                <w:color w:val="000000"/>
              </w:rPr>
            </w:pPr>
            <w:r>
              <w:rPr>
                <w:b w:val="0"/>
                <w:bCs w:val="0"/>
                <w:color w:val="000000"/>
              </w:rPr>
              <w:t>Design / setting</w:t>
            </w:r>
          </w:p>
        </w:tc>
        <w:tc>
          <w:tcPr>
            <w:tcW w:w="0" w:type="auto"/>
            <w:hideMark/>
          </w:tcPr>
          <w:p w14:paraId="31146032" w14:textId="77777777" w:rsidR="00EF25EB" w:rsidRDefault="00EF25EB">
            <w:pPr>
              <w:jc w:val="center"/>
              <w:cnfStyle w:val="100000000000" w:firstRow="1" w:lastRow="0" w:firstColumn="0" w:lastColumn="0" w:oddVBand="0" w:evenVBand="0" w:oddHBand="0" w:evenHBand="0" w:firstRowFirstColumn="0" w:firstRowLastColumn="0" w:lastRowFirstColumn="0" w:lastRowLastColumn="0"/>
              <w:rPr>
                <w:b w:val="0"/>
                <w:bCs w:val="0"/>
                <w:color w:val="000000"/>
              </w:rPr>
            </w:pPr>
            <w:r>
              <w:rPr>
                <w:b w:val="0"/>
                <w:bCs w:val="0"/>
                <w:color w:val="000000"/>
              </w:rPr>
              <w:t>Population</w:t>
            </w:r>
          </w:p>
        </w:tc>
        <w:tc>
          <w:tcPr>
            <w:tcW w:w="4988" w:type="dxa"/>
            <w:hideMark/>
          </w:tcPr>
          <w:p w14:paraId="75BB2438" w14:textId="77777777" w:rsidR="00EF25EB" w:rsidRDefault="00EF25EB">
            <w:pPr>
              <w:jc w:val="center"/>
              <w:cnfStyle w:val="100000000000" w:firstRow="1" w:lastRow="0" w:firstColumn="0" w:lastColumn="0" w:oddVBand="0" w:evenVBand="0" w:oddHBand="0" w:evenHBand="0" w:firstRowFirstColumn="0" w:firstRowLastColumn="0" w:lastRowFirstColumn="0" w:lastRowLastColumn="0"/>
              <w:rPr>
                <w:b w:val="0"/>
                <w:bCs w:val="0"/>
                <w:color w:val="000000"/>
              </w:rPr>
            </w:pPr>
            <w:r>
              <w:rPr>
                <w:b w:val="0"/>
                <w:bCs w:val="0"/>
                <w:color w:val="000000"/>
              </w:rPr>
              <w:t>Key findings</w:t>
            </w:r>
          </w:p>
        </w:tc>
      </w:tr>
      <w:tr w:rsidR="00EF25EB" w14:paraId="3FBB2791" w14:textId="77777777" w:rsidTr="00EF25EB">
        <w:tc>
          <w:tcPr>
            <w:cnfStyle w:val="001000000000" w:firstRow="0" w:lastRow="0" w:firstColumn="1" w:lastColumn="0" w:oddVBand="0" w:evenVBand="0" w:oddHBand="0" w:evenHBand="0" w:firstRowFirstColumn="0" w:firstRowLastColumn="0" w:lastRowFirstColumn="0" w:lastRowLastColumn="0"/>
            <w:tcW w:w="2341" w:type="dxa"/>
            <w:hideMark/>
          </w:tcPr>
          <w:p w14:paraId="134E0F87" w14:textId="77777777" w:rsidR="00EF25EB" w:rsidRDefault="00EF25EB">
            <w:pPr>
              <w:rPr>
                <w:b w:val="0"/>
                <w:bCs w:val="0"/>
                <w:color w:val="000000"/>
              </w:rPr>
            </w:pPr>
            <w:r>
              <w:rPr>
                <w:rStyle w:val="Strong"/>
                <w:color w:val="000000"/>
              </w:rPr>
              <w:t>Topiwala et al. (2025)</w:t>
            </w:r>
          </w:p>
        </w:tc>
        <w:tc>
          <w:tcPr>
            <w:tcW w:w="0" w:type="auto"/>
            <w:hideMark/>
          </w:tcPr>
          <w:p w14:paraId="34B66617" w14:textId="77777777" w:rsidR="00EF25EB" w:rsidRDefault="00EF25EB">
            <w:pPr>
              <w:cnfStyle w:val="000000000000" w:firstRow="0" w:lastRow="0" w:firstColumn="0" w:lastColumn="0" w:oddVBand="0" w:evenVBand="0" w:oddHBand="0" w:evenHBand="0" w:firstRowFirstColumn="0" w:firstRowLastColumn="0" w:lastRowFirstColumn="0" w:lastRowLastColumn="0"/>
              <w:rPr>
                <w:color w:val="000000"/>
              </w:rPr>
            </w:pPr>
            <w:r>
              <w:rPr>
                <w:color w:val="000000"/>
              </w:rPr>
              <w:t>Prospective cohort and Mendelian randomisation study using UK Biobank and a US Veterans cohort</w:t>
            </w:r>
          </w:p>
        </w:tc>
        <w:tc>
          <w:tcPr>
            <w:tcW w:w="0" w:type="auto"/>
            <w:hideMark/>
          </w:tcPr>
          <w:p w14:paraId="54775519" w14:textId="77777777" w:rsidR="00EF25EB" w:rsidRDefault="00EF25EB">
            <w:pPr>
              <w:cnfStyle w:val="000000000000" w:firstRow="0" w:lastRow="0" w:firstColumn="0" w:lastColumn="0" w:oddVBand="0" w:evenVBand="0" w:oddHBand="0" w:evenHBand="0" w:firstRowFirstColumn="0" w:firstRowLastColumn="0" w:lastRowFirstColumn="0" w:lastRowLastColumn="0"/>
              <w:rPr>
                <w:color w:val="000000"/>
              </w:rPr>
            </w:pPr>
            <w:r>
              <w:rPr>
                <w:color w:val="000000"/>
              </w:rPr>
              <w:t>&gt;500,000 adults (general population; mean baseline age ≈57 years)</w:t>
            </w:r>
          </w:p>
        </w:tc>
        <w:tc>
          <w:tcPr>
            <w:tcW w:w="4988" w:type="dxa"/>
            <w:hideMark/>
          </w:tcPr>
          <w:p w14:paraId="01088AA2" w14:textId="77777777" w:rsidR="00EF25EB" w:rsidRDefault="00EF25EB">
            <w:pPr>
              <w:cnfStyle w:val="000000000000" w:firstRow="0" w:lastRow="0" w:firstColumn="0" w:lastColumn="0" w:oddVBand="0" w:evenVBand="0" w:oddHBand="0" w:evenHBand="0" w:firstRowFirstColumn="0" w:firstRowLastColumn="0" w:lastRowFirstColumn="0" w:lastRowLastColumn="0"/>
              <w:rPr>
                <w:color w:val="000000"/>
              </w:rPr>
            </w:pPr>
            <w:r>
              <w:rPr>
                <w:color w:val="000000"/>
              </w:rPr>
              <w:t>Observational analyses suggested lower dementia risk in moderate drinkers than abstainers, but genetic (MR) analyses showed a</w:t>
            </w:r>
            <w:r>
              <w:rPr>
                <w:rStyle w:val="apple-converted-space"/>
                <w:color w:val="000000"/>
              </w:rPr>
              <w:t> </w:t>
            </w:r>
            <w:r>
              <w:rPr>
                <w:rStyle w:val="Strong"/>
                <w:color w:val="000000"/>
              </w:rPr>
              <w:t>linear increase</w:t>
            </w:r>
            <w:r>
              <w:rPr>
                <w:rStyle w:val="apple-converted-space"/>
                <w:color w:val="000000"/>
              </w:rPr>
              <w:t> </w:t>
            </w:r>
            <w:r>
              <w:rPr>
                <w:color w:val="000000"/>
              </w:rPr>
              <w:t>in dementia risk with any level of alcohol use and no evidence of a protective effect. A doubling in genetic risk for alcohol use disorder was associated with higher dementia risk. Concluded there is</w:t>
            </w:r>
            <w:r>
              <w:rPr>
                <w:rStyle w:val="apple-converted-space"/>
                <w:color w:val="000000"/>
              </w:rPr>
              <w:t> </w:t>
            </w:r>
            <w:r>
              <w:rPr>
                <w:rStyle w:val="Strong"/>
                <w:color w:val="000000"/>
              </w:rPr>
              <w:t>no safe level of alcohol</w:t>
            </w:r>
            <w:r>
              <w:rPr>
                <w:rStyle w:val="apple-converted-space"/>
                <w:color w:val="000000"/>
              </w:rPr>
              <w:t> </w:t>
            </w:r>
            <w:r>
              <w:rPr>
                <w:color w:val="000000"/>
              </w:rPr>
              <w:t>for brain health (Topiwala et al., 2025).</w:t>
            </w:r>
          </w:p>
        </w:tc>
      </w:tr>
      <w:tr w:rsidR="00EF25EB" w14:paraId="400201C3" w14:textId="77777777" w:rsidTr="00EF25EB">
        <w:tc>
          <w:tcPr>
            <w:cnfStyle w:val="001000000000" w:firstRow="0" w:lastRow="0" w:firstColumn="1" w:lastColumn="0" w:oddVBand="0" w:evenVBand="0" w:oddHBand="0" w:evenHBand="0" w:firstRowFirstColumn="0" w:firstRowLastColumn="0" w:lastRowFirstColumn="0" w:lastRowLastColumn="0"/>
            <w:tcW w:w="2341" w:type="dxa"/>
            <w:hideMark/>
          </w:tcPr>
          <w:p w14:paraId="09E9C0CB" w14:textId="77777777" w:rsidR="00EF25EB" w:rsidRDefault="00EF25EB">
            <w:pPr>
              <w:rPr>
                <w:color w:val="000000"/>
              </w:rPr>
            </w:pPr>
            <w:r>
              <w:rPr>
                <w:rStyle w:val="Strong"/>
                <w:color w:val="000000"/>
              </w:rPr>
              <w:t>Sabia et al. (2018)</w:t>
            </w:r>
          </w:p>
        </w:tc>
        <w:tc>
          <w:tcPr>
            <w:tcW w:w="0" w:type="auto"/>
            <w:hideMark/>
          </w:tcPr>
          <w:p w14:paraId="6795E5E3" w14:textId="77777777" w:rsidR="00EF25EB" w:rsidRDefault="00EF25EB">
            <w:pPr>
              <w:cnfStyle w:val="000000000000" w:firstRow="0" w:lastRow="0" w:firstColumn="0" w:lastColumn="0" w:oddVBand="0" w:evenVBand="0" w:oddHBand="0" w:evenHBand="0" w:firstRowFirstColumn="0" w:firstRowLastColumn="0" w:lastRowFirstColumn="0" w:lastRowLastColumn="0"/>
              <w:rPr>
                <w:color w:val="000000"/>
              </w:rPr>
            </w:pPr>
            <w:r>
              <w:rPr>
                <w:color w:val="000000"/>
              </w:rPr>
              <w:t>Longitudinal cohort (Whitehall II); British civil servants in London</w:t>
            </w:r>
          </w:p>
        </w:tc>
        <w:tc>
          <w:tcPr>
            <w:tcW w:w="0" w:type="auto"/>
            <w:hideMark/>
          </w:tcPr>
          <w:p w14:paraId="7CA133DE" w14:textId="77777777" w:rsidR="00EF25EB" w:rsidRDefault="00EF25EB">
            <w:pPr>
              <w:cnfStyle w:val="000000000000" w:firstRow="0" w:lastRow="0" w:firstColumn="0" w:lastColumn="0" w:oddVBand="0" w:evenVBand="0" w:oddHBand="0" w:evenHBand="0" w:firstRowFirstColumn="0" w:firstRowLastColumn="0" w:lastRowFirstColumn="0" w:lastRowLastColumn="0"/>
              <w:rPr>
                <w:color w:val="000000"/>
              </w:rPr>
            </w:pPr>
            <w:r>
              <w:rPr>
                <w:color w:val="000000"/>
              </w:rPr>
              <w:t>9,087 adults followed for ≈23 years from midlife to older age</w:t>
            </w:r>
          </w:p>
        </w:tc>
        <w:tc>
          <w:tcPr>
            <w:tcW w:w="4988" w:type="dxa"/>
            <w:hideMark/>
          </w:tcPr>
          <w:p w14:paraId="4F4FB5E5" w14:textId="77777777" w:rsidR="00EF25EB" w:rsidRDefault="00EF25EB">
            <w:pPr>
              <w:cnfStyle w:val="000000000000" w:firstRow="0" w:lastRow="0" w:firstColumn="0" w:lastColumn="0" w:oddVBand="0" w:evenVBand="0" w:oddHBand="0" w:evenHBand="0" w:firstRowFirstColumn="0" w:firstRowLastColumn="0" w:lastRowFirstColumn="0" w:lastRowLastColumn="0"/>
              <w:rPr>
                <w:color w:val="000000"/>
              </w:rPr>
            </w:pPr>
            <w:r>
              <w:rPr>
                <w:color w:val="000000"/>
              </w:rPr>
              <w:t xml:space="preserve">Both heavy drinking (&gt;14 units/week) and long-term abstinence in midlife were associated with higher dementia risk compared with moderate drinking. Authors suggested some “abstainers” were former heavy drinkers or had underlying illness, </w:t>
            </w:r>
            <w:r>
              <w:rPr>
                <w:color w:val="000000"/>
              </w:rPr>
              <w:lastRenderedPageBreak/>
              <w:t>producing an apparent</w:t>
            </w:r>
            <w:r>
              <w:rPr>
                <w:rStyle w:val="apple-converted-space"/>
                <w:color w:val="000000"/>
              </w:rPr>
              <w:t> </w:t>
            </w:r>
            <w:r>
              <w:rPr>
                <w:rStyle w:val="Strong"/>
                <w:color w:val="000000"/>
              </w:rPr>
              <w:t>U-shaped</w:t>
            </w:r>
            <w:r>
              <w:rPr>
                <w:rStyle w:val="apple-converted-space"/>
                <w:color w:val="000000"/>
              </w:rPr>
              <w:t> </w:t>
            </w:r>
            <w:r>
              <w:rPr>
                <w:color w:val="000000"/>
              </w:rPr>
              <w:t>association and highlighting confounding in observational alcohol–dementia research (Sabia et al., 2018).</w:t>
            </w:r>
          </w:p>
        </w:tc>
      </w:tr>
      <w:tr w:rsidR="00EF25EB" w14:paraId="01C12348" w14:textId="77777777" w:rsidTr="00EF25EB">
        <w:tc>
          <w:tcPr>
            <w:cnfStyle w:val="001000000000" w:firstRow="0" w:lastRow="0" w:firstColumn="1" w:lastColumn="0" w:oddVBand="0" w:evenVBand="0" w:oddHBand="0" w:evenHBand="0" w:firstRowFirstColumn="0" w:firstRowLastColumn="0" w:lastRowFirstColumn="0" w:lastRowLastColumn="0"/>
            <w:tcW w:w="2341" w:type="dxa"/>
            <w:hideMark/>
          </w:tcPr>
          <w:p w14:paraId="280A5B13" w14:textId="77777777" w:rsidR="00EF25EB" w:rsidRDefault="00EF25EB">
            <w:pPr>
              <w:rPr>
                <w:color w:val="000000"/>
              </w:rPr>
            </w:pPr>
            <w:r>
              <w:rPr>
                <w:rStyle w:val="Strong"/>
                <w:color w:val="000000"/>
              </w:rPr>
              <w:lastRenderedPageBreak/>
              <w:t>Davies et al. (2022)</w:t>
            </w:r>
          </w:p>
        </w:tc>
        <w:tc>
          <w:tcPr>
            <w:tcW w:w="0" w:type="auto"/>
            <w:hideMark/>
          </w:tcPr>
          <w:p w14:paraId="3054BB73" w14:textId="77777777" w:rsidR="00EF25EB" w:rsidRDefault="00EF25EB">
            <w:pPr>
              <w:cnfStyle w:val="000000000000" w:firstRow="0" w:lastRow="0" w:firstColumn="0" w:lastColumn="0" w:oddVBand="0" w:evenVBand="0" w:oddHBand="0" w:evenHBand="0" w:firstRowFirstColumn="0" w:firstRowLastColumn="0" w:lastRowFirstColumn="0" w:lastRowLastColumn="0"/>
              <w:rPr>
                <w:color w:val="000000"/>
              </w:rPr>
            </w:pPr>
            <w:r>
              <w:rPr>
                <w:color w:val="000000"/>
              </w:rPr>
              <w:t>Cross-sectional observational study in community alcohol treatment services (South Wales)</w:t>
            </w:r>
          </w:p>
        </w:tc>
        <w:tc>
          <w:tcPr>
            <w:tcW w:w="0" w:type="auto"/>
            <w:hideMark/>
          </w:tcPr>
          <w:p w14:paraId="3DA7F28F" w14:textId="77777777" w:rsidR="00EF25EB" w:rsidRDefault="00EF25EB">
            <w:pPr>
              <w:cnfStyle w:val="000000000000" w:firstRow="0" w:lastRow="0" w:firstColumn="0" w:lastColumn="0" w:oddVBand="0" w:evenVBand="0" w:oddHBand="0" w:evenHBand="0" w:firstRowFirstColumn="0" w:firstRowLastColumn="0" w:lastRowFirstColumn="0" w:lastRowLastColumn="0"/>
              <w:rPr>
                <w:color w:val="000000"/>
              </w:rPr>
            </w:pPr>
            <w:r>
              <w:rPr>
                <w:color w:val="000000"/>
              </w:rPr>
              <w:t>146 service users in treatment for alcohol use disorder (mean age ≈45 years)</w:t>
            </w:r>
          </w:p>
        </w:tc>
        <w:tc>
          <w:tcPr>
            <w:tcW w:w="4988" w:type="dxa"/>
            <w:hideMark/>
          </w:tcPr>
          <w:p w14:paraId="6F11323C" w14:textId="77777777" w:rsidR="00EF25EB" w:rsidRDefault="00EF25EB">
            <w:pPr>
              <w:cnfStyle w:val="000000000000" w:firstRow="0" w:lastRow="0" w:firstColumn="0" w:lastColumn="0" w:oddVBand="0" w:evenVBand="0" w:oddHBand="0" w:evenHBand="0" w:firstRowFirstColumn="0" w:firstRowLastColumn="0" w:lastRowFirstColumn="0" w:lastRowLastColumn="0"/>
              <w:rPr>
                <w:color w:val="000000"/>
              </w:rPr>
            </w:pPr>
            <w:r>
              <w:rPr>
                <w:color w:val="000000"/>
              </w:rPr>
              <w:t>Over half of alcohol service users (55.3%) showed measurable cognitive impairment on screening, ranging from mild executive dysfunction to severe memory problems. Many profiles were consistent with alcohol-related brain damage. Authors recommended</w:t>
            </w:r>
            <w:r>
              <w:rPr>
                <w:rStyle w:val="apple-converted-space"/>
                <w:color w:val="000000"/>
              </w:rPr>
              <w:t> </w:t>
            </w:r>
            <w:r>
              <w:rPr>
                <w:rStyle w:val="Strong"/>
                <w:color w:val="000000"/>
              </w:rPr>
              <w:t>routine cognitive screening</w:t>
            </w:r>
            <w:r>
              <w:rPr>
                <w:rStyle w:val="apple-converted-space"/>
                <w:color w:val="000000"/>
              </w:rPr>
              <w:t> </w:t>
            </w:r>
            <w:r>
              <w:rPr>
                <w:color w:val="000000"/>
              </w:rPr>
              <w:t>in addiction services, as a substantial proportion of clients may have undiagnosed ARCI (Davies et al., 2022).</w:t>
            </w:r>
          </w:p>
        </w:tc>
      </w:tr>
      <w:tr w:rsidR="00EF25EB" w14:paraId="73D48268" w14:textId="77777777" w:rsidTr="00EF25EB">
        <w:tc>
          <w:tcPr>
            <w:cnfStyle w:val="001000000000" w:firstRow="0" w:lastRow="0" w:firstColumn="1" w:lastColumn="0" w:oddVBand="0" w:evenVBand="0" w:oddHBand="0" w:evenHBand="0" w:firstRowFirstColumn="0" w:firstRowLastColumn="0" w:lastRowFirstColumn="0" w:lastRowLastColumn="0"/>
            <w:tcW w:w="2341" w:type="dxa"/>
            <w:hideMark/>
          </w:tcPr>
          <w:p w14:paraId="697341D1" w14:textId="77777777" w:rsidR="00EF25EB" w:rsidRDefault="00EF25EB">
            <w:pPr>
              <w:rPr>
                <w:color w:val="000000"/>
              </w:rPr>
            </w:pPr>
            <w:r>
              <w:rPr>
                <w:rStyle w:val="Strong"/>
                <w:color w:val="000000"/>
              </w:rPr>
              <w:t>Jones et al. (2023)</w:t>
            </w:r>
          </w:p>
        </w:tc>
        <w:tc>
          <w:tcPr>
            <w:tcW w:w="0" w:type="auto"/>
            <w:hideMark/>
          </w:tcPr>
          <w:p w14:paraId="05B0E5C5" w14:textId="77777777" w:rsidR="00EF25EB" w:rsidRDefault="00EF25EB">
            <w:pPr>
              <w:cnfStyle w:val="000000000000" w:firstRow="0" w:lastRow="0" w:firstColumn="0" w:lastColumn="0" w:oddVBand="0" w:evenVBand="0" w:oddHBand="0" w:evenHBand="0" w:firstRowFirstColumn="0" w:firstRowLastColumn="0" w:lastRowFirstColumn="0" w:lastRowLastColumn="0"/>
              <w:rPr>
                <w:color w:val="000000"/>
              </w:rPr>
            </w:pPr>
            <w:r>
              <w:rPr>
                <w:color w:val="000000"/>
              </w:rPr>
              <w:t>Systematic scoping review of diagnostic practices and tools for alcohol-related cognitive impairment (ARCI)</w:t>
            </w:r>
          </w:p>
        </w:tc>
        <w:tc>
          <w:tcPr>
            <w:tcW w:w="0" w:type="auto"/>
            <w:hideMark/>
          </w:tcPr>
          <w:p w14:paraId="6E6B5DD4" w14:textId="77777777" w:rsidR="00EF25EB" w:rsidRDefault="00EF25EB">
            <w:pPr>
              <w:cnfStyle w:val="000000000000" w:firstRow="0" w:lastRow="0" w:firstColumn="0" w:lastColumn="0" w:oddVBand="0" w:evenVBand="0" w:oddHBand="0" w:evenHBand="0" w:firstRowFirstColumn="0" w:firstRowLastColumn="0" w:lastRowFirstColumn="0" w:lastRowLastColumn="0"/>
              <w:rPr>
                <w:color w:val="000000"/>
              </w:rPr>
            </w:pPr>
            <w:r>
              <w:rPr>
                <w:color w:val="000000"/>
              </w:rPr>
              <w:t>19 international studies relevant to UK practice (criteria papers and tool validation studies)</w:t>
            </w:r>
          </w:p>
        </w:tc>
        <w:tc>
          <w:tcPr>
            <w:tcW w:w="4988" w:type="dxa"/>
            <w:hideMark/>
          </w:tcPr>
          <w:p w14:paraId="27FB6EC0" w14:textId="77777777" w:rsidR="00EF25EB" w:rsidRDefault="00EF25EB">
            <w:pPr>
              <w:cnfStyle w:val="000000000000" w:firstRow="0" w:lastRow="0" w:firstColumn="0" w:lastColumn="0" w:oddVBand="0" w:evenVBand="0" w:oddHBand="0" w:evenHBand="0" w:firstRowFirstColumn="0" w:firstRowLastColumn="0" w:lastRowFirstColumn="0" w:lastRowLastColumn="0"/>
              <w:rPr>
                <w:color w:val="000000"/>
              </w:rPr>
            </w:pPr>
            <w:r>
              <w:rPr>
                <w:color w:val="000000"/>
              </w:rPr>
              <w:t>Found</w:t>
            </w:r>
            <w:r>
              <w:rPr>
                <w:rStyle w:val="apple-converted-space"/>
                <w:color w:val="000000"/>
              </w:rPr>
              <w:t> </w:t>
            </w:r>
            <w:r>
              <w:rPr>
                <w:rStyle w:val="Strong"/>
                <w:color w:val="000000"/>
              </w:rPr>
              <w:t>no consensus</w:t>
            </w:r>
            <w:r>
              <w:rPr>
                <w:rStyle w:val="apple-converted-space"/>
                <w:color w:val="000000"/>
              </w:rPr>
              <w:t> </w:t>
            </w:r>
            <w:r>
              <w:rPr>
                <w:color w:val="000000"/>
              </w:rPr>
              <w:t>or standardised diagnostic criteria for ARCI and wide variation in definitions. Commonly used cognitive tools (e.g. MoCA, ACE-III) are not specifically validated for ARD. Identified barriers to timely diagnosis including lack of clinician training, stigma towards people with alcohol problems and fragmented care pathways. Recommended developing clear diagnostic criteria, validating tools and improving workforce training (Jones et al., 2023).</w:t>
            </w:r>
          </w:p>
        </w:tc>
      </w:tr>
      <w:tr w:rsidR="00EF25EB" w14:paraId="546484C0" w14:textId="77777777" w:rsidTr="00EF25EB">
        <w:tc>
          <w:tcPr>
            <w:cnfStyle w:val="001000000000" w:firstRow="0" w:lastRow="0" w:firstColumn="1" w:lastColumn="0" w:oddVBand="0" w:evenVBand="0" w:oddHBand="0" w:evenHBand="0" w:firstRowFirstColumn="0" w:firstRowLastColumn="0" w:lastRowFirstColumn="0" w:lastRowLastColumn="0"/>
            <w:tcW w:w="2341" w:type="dxa"/>
            <w:hideMark/>
          </w:tcPr>
          <w:p w14:paraId="3A9BB4A3" w14:textId="77777777" w:rsidR="00EF25EB" w:rsidRDefault="00EF25EB">
            <w:pPr>
              <w:rPr>
                <w:color w:val="000000"/>
              </w:rPr>
            </w:pPr>
            <w:r>
              <w:rPr>
                <w:rStyle w:val="Strong"/>
                <w:color w:val="000000"/>
              </w:rPr>
              <w:t>Quelch et al. (2025)</w:t>
            </w:r>
          </w:p>
        </w:tc>
        <w:tc>
          <w:tcPr>
            <w:tcW w:w="0" w:type="auto"/>
            <w:hideMark/>
          </w:tcPr>
          <w:p w14:paraId="026D976D" w14:textId="77777777" w:rsidR="00EF25EB" w:rsidRDefault="00EF25EB">
            <w:pPr>
              <w:cnfStyle w:val="000000000000" w:firstRow="0" w:lastRow="0" w:firstColumn="0" w:lastColumn="0" w:oddVBand="0" w:evenVBand="0" w:oddHBand="0" w:evenHBand="0" w:firstRowFirstColumn="0" w:firstRowLastColumn="0" w:lastRowFirstColumn="0" w:lastRowLastColumn="0"/>
              <w:rPr>
                <w:color w:val="000000"/>
              </w:rPr>
            </w:pPr>
            <w:r>
              <w:rPr>
                <w:color w:val="000000"/>
              </w:rPr>
              <w:t>National consensus conference and co-production workshop on ARBD service development (Wales, UK)</w:t>
            </w:r>
          </w:p>
        </w:tc>
        <w:tc>
          <w:tcPr>
            <w:tcW w:w="0" w:type="auto"/>
            <w:hideMark/>
          </w:tcPr>
          <w:p w14:paraId="4156EBA4" w14:textId="77777777" w:rsidR="00EF25EB" w:rsidRDefault="00EF25EB">
            <w:pPr>
              <w:cnfStyle w:val="000000000000" w:firstRow="0" w:lastRow="0" w:firstColumn="0" w:lastColumn="0" w:oddVBand="0" w:evenVBand="0" w:oddHBand="0" w:evenHBand="0" w:firstRowFirstColumn="0" w:firstRowLastColumn="0" w:lastRowFirstColumn="0" w:lastRowLastColumn="0"/>
              <w:rPr>
                <w:color w:val="000000"/>
              </w:rPr>
            </w:pPr>
            <w:r>
              <w:rPr>
                <w:color w:val="000000"/>
              </w:rPr>
              <w:t>≈40 stakeholders from NHS, social care, third sector and people with lived experience</w:t>
            </w:r>
          </w:p>
        </w:tc>
        <w:tc>
          <w:tcPr>
            <w:tcW w:w="4988" w:type="dxa"/>
            <w:hideMark/>
          </w:tcPr>
          <w:p w14:paraId="3E9AD184" w14:textId="77777777" w:rsidR="00EF25EB" w:rsidRDefault="00EF25EB">
            <w:pPr>
              <w:cnfStyle w:val="000000000000" w:firstRow="0" w:lastRow="0" w:firstColumn="0" w:lastColumn="0" w:oddVBand="0" w:evenVBand="0" w:oddHBand="0" w:evenHBand="0" w:firstRowFirstColumn="0" w:firstRowLastColumn="0" w:lastRowFirstColumn="0" w:lastRowLastColumn="0"/>
              <w:rPr>
                <w:color w:val="000000"/>
              </w:rPr>
            </w:pPr>
            <w:r>
              <w:rPr>
                <w:color w:val="000000"/>
              </w:rPr>
              <w:t>Identified five priority areas for improving ARBD services: (1) early</w:t>
            </w:r>
            <w:r>
              <w:rPr>
                <w:rStyle w:val="apple-converted-space"/>
                <w:color w:val="000000"/>
              </w:rPr>
              <w:t> </w:t>
            </w:r>
            <w:r>
              <w:rPr>
                <w:rStyle w:val="Strong"/>
                <w:color w:val="000000"/>
              </w:rPr>
              <w:t>identification and screening</w:t>
            </w:r>
            <w:r>
              <w:rPr>
                <w:color w:val="000000"/>
              </w:rPr>
              <w:t>; (2) clearer diagnostic processes and specialist input; (3) defined</w:t>
            </w:r>
            <w:r>
              <w:rPr>
                <w:rStyle w:val="apple-converted-space"/>
                <w:color w:val="000000"/>
              </w:rPr>
              <w:t> </w:t>
            </w:r>
            <w:r>
              <w:rPr>
                <w:rStyle w:val="Strong"/>
                <w:color w:val="000000"/>
              </w:rPr>
              <w:t>referral pathways</w:t>
            </w:r>
            <w:r>
              <w:rPr>
                <w:rStyle w:val="apple-converted-space"/>
                <w:color w:val="000000"/>
              </w:rPr>
              <w:t> </w:t>
            </w:r>
            <w:r>
              <w:rPr>
                <w:color w:val="000000"/>
              </w:rPr>
              <w:t>between services; (4) integrated</w:t>
            </w:r>
            <w:r>
              <w:rPr>
                <w:rStyle w:val="apple-converted-space"/>
                <w:color w:val="000000"/>
              </w:rPr>
              <w:t> </w:t>
            </w:r>
            <w:r>
              <w:rPr>
                <w:rStyle w:val="Strong"/>
                <w:color w:val="000000"/>
              </w:rPr>
              <w:t>treatment and long-term support</w:t>
            </w:r>
            <w:r>
              <w:rPr>
                <w:rStyle w:val="apple-converted-space"/>
                <w:color w:val="000000"/>
              </w:rPr>
              <w:t> </w:t>
            </w:r>
            <w:r>
              <w:rPr>
                <w:color w:val="000000"/>
              </w:rPr>
              <w:t>(detox, rehab, social care); and (5)</w:t>
            </w:r>
            <w:r>
              <w:rPr>
                <w:rStyle w:val="apple-converted-space"/>
                <w:color w:val="000000"/>
              </w:rPr>
              <w:t> </w:t>
            </w:r>
            <w:r>
              <w:rPr>
                <w:rStyle w:val="Strong"/>
                <w:color w:val="000000"/>
              </w:rPr>
              <w:t>training and awareness</w:t>
            </w:r>
            <w:r>
              <w:rPr>
                <w:rStyle w:val="apple-converted-space"/>
                <w:color w:val="000000"/>
              </w:rPr>
              <w:t> </w:t>
            </w:r>
            <w:r>
              <w:rPr>
                <w:color w:val="000000"/>
              </w:rPr>
              <w:t>for staff. Recommended developing regional expertise or centres of excellence and better data systems to monitor outcomes (Quelch et al., 2025).</w:t>
            </w:r>
          </w:p>
        </w:tc>
      </w:tr>
    </w:tbl>
    <w:p w14:paraId="2477808C" w14:textId="77777777" w:rsidR="00601505" w:rsidRPr="00601505" w:rsidRDefault="00601505" w:rsidP="00601505">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601505">
        <w:rPr>
          <w:rFonts w:ascii="Arial" w:eastAsia="Times New Roman" w:hAnsi="Arial" w:cs="Arial"/>
          <w:i/>
          <w:iCs/>
          <w:color w:val="000000"/>
          <w:kern w:val="0"/>
          <w:sz w:val="22"/>
          <w:szCs w:val="22"/>
          <w:lang w:eastAsia="en-GB"/>
          <w14:ligatures w14:val="none"/>
        </w:rPr>
        <w:t>Table 1: Five key studies and their main findings.</w:t>
      </w:r>
    </w:p>
    <w:p w14:paraId="178B3F92" w14:textId="77777777" w:rsidR="00601505" w:rsidRPr="00601505" w:rsidRDefault="00601505" w:rsidP="00601505">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601505">
        <w:rPr>
          <w:rFonts w:ascii="Arial" w:eastAsia="Times New Roman" w:hAnsi="Arial" w:cs="Arial"/>
          <w:color w:val="000000"/>
          <w:kern w:val="0"/>
          <w:sz w:val="22"/>
          <w:szCs w:val="22"/>
          <w:lang w:eastAsia="en-GB"/>
          <w14:ligatures w14:val="none"/>
        </w:rPr>
        <w:t>These studies illustrate a range of evidence: from large-scale epidemiological associations between alcohol and dementia risk, to clinical prevalence of cognitive impairment in alcohol-dependent populations, to the challenges identified in professional practice and system responses. Together, they inform the thematic analysis below. All five studies are based in the UK or have direct implications for UK healthcare (even if one included a US cohort, the lead authors and UK Biobank data ground it in UK context).</w:t>
      </w:r>
    </w:p>
    <w:p w14:paraId="54128D2B" w14:textId="77777777" w:rsidR="00601505" w:rsidRPr="00B62417" w:rsidRDefault="00601505" w:rsidP="00B62417">
      <w:pPr>
        <w:pStyle w:val="Subtitle"/>
        <w:rPr>
          <w:rFonts w:ascii="Arial" w:eastAsia="Times New Roman" w:hAnsi="Arial" w:cs="Arial"/>
          <w:sz w:val="22"/>
          <w:szCs w:val="22"/>
          <w:lang w:eastAsia="en-GB"/>
        </w:rPr>
      </w:pPr>
      <w:bookmarkStart w:id="13" w:name="_Toc214117361"/>
      <w:r w:rsidRPr="00B62417">
        <w:rPr>
          <w:rFonts w:ascii="Arial" w:eastAsia="Times New Roman" w:hAnsi="Arial" w:cs="Arial"/>
          <w:sz w:val="22"/>
          <w:szCs w:val="22"/>
          <w:lang w:eastAsia="en-GB"/>
        </w:rPr>
        <w:t>4.1 Theme 1: Alcohol as a Risk Factor for Dementia</w:t>
      </w:r>
      <w:bookmarkEnd w:id="13"/>
    </w:p>
    <w:p w14:paraId="6A5F8276" w14:textId="77777777" w:rsidR="00C91A96" w:rsidRPr="00C91A96" w:rsidRDefault="00C91A96" w:rsidP="00C91A96">
      <w:pPr>
        <w:spacing w:before="100" w:beforeAutospacing="1" w:after="100" w:afterAutospacing="1" w:line="240" w:lineRule="auto"/>
        <w:outlineLvl w:val="2"/>
        <w:rPr>
          <w:rFonts w:ascii="Arial" w:eastAsia="Times New Roman" w:hAnsi="Arial" w:cs="Arial"/>
          <w:color w:val="000000"/>
          <w:kern w:val="0"/>
          <w:sz w:val="22"/>
          <w:szCs w:val="22"/>
          <w:lang w:eastAsia="en-GB"/>
          <w14:ligatures w14:val="none"/>
        </w:rPr>
      </w:pPr>
      <w:r w:rsidRPr="00C91A96">
        <w:rPr>
          <w:rFonts w:ascii="Arial" w:eastAsia="Times New Roman" w:hAnsi="Arial" w:cs="Arial"/>
          <w:color w:val="000000"/>
          <w:kern w:val="0"/>
          <w:sz w:val="22"/>
          <w:szCs w:val="22"/>
          <w:lang w:eastAsia="en-GB"/>
          <w14:ligatures w14:val="none"/>
        </w:rPr>
        <w:lastRenderedPageBreak/>
        <w:t>As shown in Table 1, UK cohort and genetic studies indicate that alcohol use is a modifiable risk factor for dementia (Sabia et al., 2018; Topiwala et al., 2025). Drinking above 14 units per week over many years is associated with brain shrinkage in memory areas and a substantially higher risk of dementia, while very heavy use can cause thiamine deficiency and Wernicke–Korsakoff syndrome within the ARBD spectrum (Alzheimer’s Society, 2023; Dementia UK, 2023).</w:t>
      </w:r>
    </w:p>
    <w:p w14:paraId="6D1CCED8" w14:textId="77777777" w:rsidR="00C91A96" w:rsidRPr="00C91A96" w:rsidRDefault="00C91A96" w:rsidP="00C91A96">
      <w:pPr>
        <w:spacing w:before="100" w:beforeAutospacing="1" w:after="100" w:afterAutospacing="1" w:line="240" w:lineRule="auto"/>
        <w:outlineLvl w:val="2"/>
        <w:rPr>
          <w:rFonts w:ascii="Arial" w:eastAsia="Times New Roman" w:hAnsi="Arial" w:cs="Arial"/>
          <w:color w:val="000000"/>
          <w:kern w:val="0"/>
          <w:sz w:val="22"/>
          <w:szCs w:val="22"/>
          <w:lang w:eastAsia="en-GB"/>
          <w14:ligatures w14:val="none"/>
        </w:rPr>
      </w:pPr>
      <w:r w:rsidRPr="00C91A96">
        <w:rPr>
          <w:rFonts w:ascii="Arial" w:eastAsia="Times New Roman" w:hAnsi="Arial" w:cs="Arial"/>
          <w:color w:val="000000"/>
          <w:kern w:val="0"/>
          <w:sz w:val="22"/>
          <w:szCs w:val="22"/>
          <w:lang w:eastAsia="en-GB"/>
          <w14:ligatures w14:val="none"/>
        </w:rPr>
        <w:t>The Whitehall II study found that both heavy drinking (&gt;14 units/week) and long-term abstinence were associated with higher dementia risk than moderate drinking, producing an apparent U-shaped curve that may be partly explained by poor health or former heavy use among abstainers (Sabia et al., 2018). Topiwala et al. (2025) addressed these limitations using UK Biobank data and Mendelian randomisation and found a dose–response relationship: dementia risk rose steadily with increasing alcohol intake, and genetic predisposition to higher alcohol use was associated with greater dementia risk, with no protective effect of moderate drinking.</w:t>
      </w:r>
    </w:p>
    <w:p w14:paraId="0538167B" w14:textId="77777777" w:rsidR="00C91A96" w:rsidRPr="00C91A96" w:rsidRDefault="00C91A96" w:rsidP="00C91A96">
      <w:pPr>
        <w:spacing w:before="100" w:beforeAutospacing="1" w:after="100" w:afterAutospacing="1" w:line="240" w:lineRule="auto"/>
        <w:outlineLvl w:val="2"/>
        <w:rPr>
          <w:rFonts w:ascii="Arial" w:eastAsia="Times New Roman" w:hAnsi="Arial" w:cs="Arial"/>
          <w:color w:val="000000"/>
          <w:kern w:val="0"/>
          <w:sz w:val="22"/>
          <w:szCs w:val="22"/>
          <w:lang w:eastAsia="en-GB"/>
          <w14:ligatures w14:val="none"/>
        </w:rPr>
      </w:pPr>
      <w:r w:rsidRPr="00C91A96">
        <w:rPr>
          <w:rFonts w:ascii="Arial" w:eastAsia="Times New Roman" w:hAnsi="Arial" w:cs="Arial"/>
          <w:color w:val="000000"/>
          <w:kern w:val="0"/>
          <w:sz w:val="22"/>
          <w:szCs w:val="22"/>
          <w:lang w:eastAsia="en-GB"/>
          <w14:ligatures w14:val="none"/>
        </w:rPr>
        <w:t>Alcohol also increases dementia risk indirectly by worsening vascular risk factors such as hypertension, atrial fibrillation, stroke, diabetes and obesity (Dementia UK, 2023; Livingston et al., 2020). Overall, the evidence suggests that heavy and sustained alcohol use clearly increases dementia risk and that even lower levels of drinking may carry some risk to brain health, supporting UK public health messages to keep alcohol intake low (Alzheimer’s Society, 2023; Topiwala et al., 2025).</w:t>
      </w:r>
    </w:p>
    <w:p w14:paraId="1507EE04" w14:textId="77777777" w:rsidR="00601505" w:rsidRPr="00B62417" w:rsidRDefault="00601505" w:rsidP="00B62417">
      <w:pPr>
        <w:pStyle w:val="Subtitle"/>
        <w:rPr>
          <w:rFonts w:ascii="Arial" w:eastAsia="Times New Roman" w:hAnsi="Arial" w:cs="Arial"/>
          <w:sz w:val="22"/>
          <w:szCs w:val="22"/>
          <w:lang w:eastAsia="en-GB"/>
        </w:rPr>
      </w:pPr>
      <w:bookmarkStart w:id="14" w:name="_Toc214117362"/>
      <w:r w:rsidRPr="00B62417">
        <w:rPr>
          <w:rFonts w:ascii="Arial" w:eastAsia="Times New Roman" w:hAnsi="Arial" w:cs="Arial"/>
          <w:sz w:val="22"/>
          <w:szCs w:val="22"/>
          <w:lang w:eastAsia="en-GB"/>
        </w:rPr>
        <w:t>4.2 Theme 2: Diagnostic Challenges of Alcohol-Related Dementia</w:t>
      </w:r>
      <w:bookmarkEnd w:id="14"/>
    </w:p>
    <w:p w14:paraId="05A88DFA" w14:textId="77777777" w:rsidR="00C91A96" w:rsidRPr="00C91A96" w:rsidRDefault="00C91A96" w:rsidP="00C91A96">
      <w:pPr>
        <w:spacing w:before="100" w:beforeAutospacing="1" w:after="100" w:afterAutospacing="1" w:line="240" w:lineRule="auto"/>
        <w:outlineLvl w:val="2"/>
        <w:rPr>
          <w:rFonts w:ascii="Arial" w:eastAsia="Times New Roman" w:hAnsi="Arial" w:cs="Arial"/>
          <w:color w:val="000000"/>
          <w:kern w:val="0"/>
          <w:sz w:val="22"/>
          <w:szCs w:val="22"/>
          <w:lang w:eastAsia="en-GB"/>
          <w14:ligatures w14:val="none"/>
        </w:rPr>
      </w:pPr>
      <w:r w:rsidRPr="00C91A96">
        <w:rPr>
          <w:rFonts w:ascii="Arial" w:eastAsia="Times New Roman" w:hAnsi="Arial" w:cs="Arial"/>
          <w:color w:val="000000"/>
          <w:kern w:val="0"/>
          <w:sz w:val="22"/>
          <w:szCs w:val="22"/>
          <w:lang w:eastAsia="en-GB"/>
          <w14:ligatures w14:val="none"/>
        </w:rPr>
        <w:t>The second theme concerns the difficulty of recognising and diagnosing alcohol-related cognitive impairment in UK practice. Jones et al. (2023) found wide variation in how studies and clinicians define alcohol-related dementia or alcohol-related cognitive impairment (ARCI), with no agreed thresholds for alcohol exposure or abstinence and no standard diagnostic criteria. This makes it hard to estimate prevalence and creates uncertainty about when to attribute cognitive impairment to alcohol rather than another dementia type.</w:t>
      </w:r>
    </w:p>
    <w:p w14:paraId="2E5B574F" w14:textId="77777777" w:rsidR="00C91A96" w:rsidRPr="00C91A96" w:rsidRDefault="00C91A96" w:rsidP="00C91A96">
      <w:pPr>
        <w:spacing w:before="100" w:beforeAutospacing="1" w:after="100" w:afterAutospacing="1" w:line="240" w:lineRule="auto"/>
        <w:outlineLvl w:val="2"/>
        <w:rPr>
          <w:rFonts w:ascii="Arial" w:eastAsia="Times New Roman" w:hAnsi="Arial" w:cs="Arial"/>
          <w:color w:val="000000"/>
          <w:kern w:val="0"/>
          <w:sz w:val="22"/>
          <w:szCs w:val="22"/>
          <w:lang w:eastAsia="en-GB"/>
          <w14:ligatures w14:val="none"/>
        </w:rPr>
      </w:pPr>
      <w:r w:rsidRPr="00C91A96">
        <w:rPr>
          <w:rFonts w:ascii="Arial" w:eastAsia="Times New Roman" w:hAnsi="Arial" w:cs="Arial"/>
          <w:color w:val="000000"/>
          <w:kern w:val="0"/>
          <w:sz w:val="22"/>
          <w:szCs w:val="22"/>
          <w:lang w:eastAsia="en-GB"/>
          <w14:ligatures w14:val="none"/>
        </w:rPr>
        <w:t>Clinically, ARCI can mimic other dementias, with memory and executive problems and behavioural change, but may stabilise or partially improve with sustained abstinence and thiamine treatment (Alzheimer’s Society, 2023; Dementia UK, 2023). In practice, some services delay dementia assessment until several weeks of sobriety have been achieved, yet many people with ARBD struggle to stop drinking because their cognitive problems affect insight and motivation (Alzheimer’s Society, 2023). This can result in a “catch-22” where those most in need of assessment never meet the sobriety requirement, contributing to underdiagnosis.</w:t>
      </w:r>
    </w:p>
    <w:p w14:paraId="013140FA" w14:textId="77777777" w:rsidR="00C91A96" w:rsidRPr="00C91A96" w:rsidRDefault="00C91A96" w:rsidP="00C91A96">
      <w:pPr>
        <w:spacing w:before="100" w:beforeAutospacing="1" w:after="100" w:afterAutospacing="1" w:line="240" w:lineRule="auto"/>
        <w:outlineLvl w:val="2"/>
        <w:rPr>
          <w:rFonts w:ascii="Arial" w:eastAsia="Times New Roman" w:hAnsi="Arial" w:cs="Arial"/>
          <w:color w:val="000000"/>
          <w:kern w:val="0"/>
          <w:sz w:val="22"/>
          <w:szCs w:val="22"/>
          <w:lang w:eastAsia="en-GB"/>
          <w14:ligatures w14:val="none"/>
        </w:rPr>
      </w:pPr>
      <w:r w:rsidRPr="00C91A96">
        <w:rPr>
          <w:rFonts w:ascii="Arial" w:eastAsia="Times New Roman" w:hAnsi="Arial" w:cs="Arial"/>
          <w:color w:val="000000"/>
          <w:kern w:val="0"/>
          <w:sz w:val="22"/>
          <w:szCs w:val="22"/>
          <w:lang w:eastAsia="en-GB"/>
          <w14:ligatures w14:val="none"/>
        </w:rPr>
        <w:t>Professionals describe limited training and stigma around alcohol problems; cognitive difficulties can be dismissed as “just the drink”, or alcohol history is not explored when older adults present with memory concerns (</w:t>
      </w:r>
      <w:proofErr w:type="spellStart"/>
      <w:r w:rsidRPr="00C91A96">
        <w:rPr>
          <w:rFonts w:ascii="Arial" w:eastAsia="Times New Roman" w:hAnsi="Arial" w:cs="Arial"/>
          <w:color w:val="000000"/>
          <w:kern w:val="0"/>
          <w:sz w:val="22"/>
          <w:szCs w:val="22"/>
          <w:lang w:eastAsia="en-GB"/>
          <w14:ligatures w14:val="none"/>
        </w:rPr>
        <w:t>Heirene</w:t>
      </w:r>
      <w:proofErr w:type="spellEnd"/>
      <w:r w:rsidRPr="00C91A96">
        <w:rPr>
          <w:rFonts w:ascii="Arial" w:eastAsia="Times New Roman" w:hAnsi="Arial" w:cs="Arial"/>
          <w:color w:val="000000"/>
          <w:kern w:val="0"/>
          <w:sz w:val="22"/>
          <w:szCs w:val="22"/>
          <w:lang w:eastAsia="en-GB"/>
          <w14:ligatures w14:val="none"/>
        </w:rPr>
        <w:t xml:space="preserve"> et al., 2021). Standard screening tools such as the MMSE and MoCA are widely used but have not been validated specifically for ARCI and may miss frontal or executive deficits typical of ARBD (Jones et al., 2023). Davies et al. (2022) showed that routine cognitive screening in community alcohol services is feasible and revealed a high rate of previously unrecognised impairment, suggesting that embedding simple cognitive checks in addiction services and alcohol history-taking in memory clinics could improve case finding.</w:t>
      </w:r>
    </w:p>
    <w:p w14:paraId="17241A52" w14:textId="77777777" w:rsidR="00601505" w:rsidRPr="00B62417" w:rsidRDefault="00601505" w:rsidP="00B62417">
      <w:pPr>
        <w:pStyle w:val="Subtitle"/>
        <w:rPr>
          <w:rFonts w:ascii="Arial" w:eastAsia="Times New Roman" w:hAnsi="Arial" w:cs="Arial"/>
          <w:sz w:val="22"/>
          <w:szCs w:val="22"/>
          <w:lang w:eastAsia="en-GB"/>
        </w:rPr>
      </w:pPr>
      <w:bookmarkStart w:id="15" w:name="_Toc214117363"/>
      <w:r w:rsidRPr="00B62417">
        <w:rPr>
          <w:rFonts w:ascii="Arial" w:eastAsia="Times New Roman" w:hAnsi="Arial" w:cs="Arial"/>
          <w:sz w:val="22"/>
          <w:szCs w:val="22"/>
          <w:lang w:eastAsia="en-GB"/>
        </w:rPr>
        <w:t>4.3 Theme 3: Impacts on Care and Service Provision</w:t>
      </w:r>
      <w:bookmarkEnd w:id="15"/>
    </w:p>
    <w:p w14:paraId="5FCC583A" w14:textId="77777777" w:rsidR="00C91A96" w:rsidRPr="00C91A96" w:rsidRDefault="00C91A96" w:rsidP="00C91A96">
      <w:pPr>
        <w:spacing w:before="100" w:beforeAutospacing="1" w:after="100" w:afterAutospacing="1" w:line="240" w:lineRule="auto"/>
        <w:outlineLvl w:val="1"/>
        <w:rPr>
          <w:rFonts w:ascii="Arial" w:eastAsia="Times New Roman" w:hAnsi="Arial" w:cs="Arial"/>
          <w:color w:val="000000"/>
          <w:kern w:val="0"/>
          <w:sz w:val="22"/>
          <w:szCs w:val="22"/>
          <w:lang w:eastAsia="en-GB"/>
          <w14:ligatures w14:val="none"/>
        </w:rPr>
      </w:pPr>
      <w:r w:rsidRPr="00C91A96">
        <w:rPr>
          <w:rFonts w:ascii="Arial" w:eastAsia="Times New Roman" w:hAnsi="Arial" w:cs="Arial"/>
          <w:color w:val="000000"/>
          <w:kern w:val="0"/>
          <w:sz w:val="22"/>
          <w:szCs w:val="22"/>
          <w:lang w:eastAsia="en-GB"/>
          <w14:ligatures w14:val="none"/>
        </w:rPr>
        <w:lastRenderedPageBreak/>
        <w:t>The third theme focuses on how alcohol use affects the care of people with dementia and those with alcohol-related cognitive impairment, and how UK services respond. For people with any form of dementia, ongoing alcohol use can worsen confusion, disorientation and falls, interact with medication and undermine engagement with therapy, increasing strain on carers and staff (Dementia UK, 2023; Alzheimer’s Society, 2023).</w:t>
      </w:r>
    </w:p>
    <w:p w14:paraId="3D619F28" w14:textId="77777777" w:rsidR="00C91A96" w:rsidRPr="00C91A96" w:rsidRDefault="00C91A96" w:rsidP="00C91A96">
      <w:pPr>
        <w:spacing w:before="100" w:beforeAutospacing="1" w:after="100" w:afterAutospacing="1" w:line="240" w:lineRule="auto"/>
        <w:outlineLvl w:val="1"/>
        <w:rPr>
          <w:rFonts w:ascii="Arial" w:eastAsia="Times New Roman" w:hAnsi="Arial" w:cs="Arial"/>
          <w:color w:val="000000"/>
          <w:kern w:val="0"/>
          <w:sz w:val="22"/>
          <w:szCs w:val="22"/>
          <w:lang w:eastAsia="en-GB"/>
          <w14:ligatures w14:val="none"/>
        </w:rPr>
      </w:pPr>
      <w:r w:rsidRPr="00C91A96">
        <w:rPr>
          <w:rFonts w:ascii="Arial" w:eastAsia="Times New Roman" w:hAnsi="Arial" w:cs="Arial"/>
          <w:color w:val="000000"/>
          <w:kern w:val="0"/>
          <w:sz w:val="22"/>
          <w:szCs w:val="22"/>
          <w:lang w:eastAsia="en-GB"/>
          <w14:ligatures w14:val="none"/>
        </w:rPr>
        <w:t>For those with ARBD, needs are often complex, with co-existing physical illness, mental health problems and social issues such as unstable housing (</w:t>
      </w:r>
      <w:proofErr w:type="spellStart"/>
      <w:r w:rsidRPr="00C91A96">
        <w:rPr>
          <w:rFonts w:ascii="Arial" w:eastAsia="Times New Roman" w:hAnsi="Arial" w:cs="Arial"/>
          <w:color w:val="000000"/>
          <w:kern w:val="0"/>
          <w:sz w:val="22"/>
          <w:szCs w:val="22"/>
          <w:lang w:eastAsia="en-GB"/>
          <w14:ligatures w14:val="none"/>
        </w:rPr>
        <w:t>Heirene</w:t>
      </w:r>
      <w:proofErr w:type="spellEnd"/>
      <w:r w:rsidRPr="00C91A96">
        <w:rPr>
          <w:rFonts w:ascii="Arial" w:eastAsia="Times New Roman" w:hAnsi="Arial" w:cs="Arial"/>
          <w:color w:val="000000"/>
          <w:kern w:val="0"/>
          <w:sz w:val="22"/>
          <w:szCs w:val="22"/>
          <w:lang w:eastAsia="en-GB"/>
          <w14:ligatures w14:val="none"/>
        </w:rPr>
        <w:t xml:space="preserve"> et al., 2021). Unlike most neurodegenerative dementias, however, ARBD can stabilise or improve if abstinence, nutritional support and rehabilitation are achieved; approximately a quarter of people may recover fully and about half show partial improvement (Dementia UK, 2023). Realising this potential depends on early identification and access to appropriate services.</w:t>
      </w:r>
    </w:p>
    <w:p w14:paraId="6523A58F" w14:textId="77777777" w:rsidR="00C91A96" w:rsidRPr="00C91A96" w:rsidRDefault="00C91A96" w:rsidP="00C91A96">
      <w:pPr>
        <w:spacing w:before="100" w:beforeAutospacing="1" w:after="100" w:afterAutospacing="1" w:line="240" w:lineRule="auto"/>
        <w:outlineLvl w:val="1"/>
        <w:rPr>
          <w:rFonts w:ascii="Arial" w:eastAsia="Times New Roman" w:hAnsi="Arial" w:cs="Arial"/>
          <w:color w:val="000000"/>
          <w:kern w:val="0"/>
          <w:sz w:val="22"/>
          <w:szCs w:val="22"/>
          <w:lang w:eastAsia="en-GB"/>
          <w14:ligatures w14:val="none"/>
        </w:rPr>
      </w:pPr>
      <w:r w:rsidRPr="00C91A96">
        <w:rPr>
          <w:rFonts w:ascii="Arial" w:eastAsia="Times New Roman" w:hAnsi="Arial" w:cs="Arial"/>
          <w:color w:val="000000"/>
          <w:kern w:val="0"/>
          <w:sz w:val="22"/>
          <w:szCs w:val="22"/>
          <w:lang w:eastAsia="en-GB"/>
          <w14:ligatures w14:val="none"/>
        </w:rPr>
        <w:t>Service provision is uneven. ARBD sits between addiction, mental health, neurology and social care, and responsibility is often unclear. In many areas there are no dedicated ARBD pathways, and people move between alcohol services, acute hospitals, hostels and generic dementia care without coordinated long-term support (</w:t>
      </w:r>
      <w:proofErr w:type="spellStart"/>
      <w:r w:rsidRPr="00C91A96">
        <w:rPr>
          <w:rFonts w:ascii="Arial" w:eastAsia="Times New Roman" w:hAnsi="Arial" w:cs="Arial"/>
          <w:color w:val="000000"/>
          <w:kern w:val="0"/>
          <w:sz w:val="22"/>
          <w:szCs w:val="22"/>
          <w:lang w:eastAsia="en-GB"/>
          <w14:ligatures w14:val="none"/>
        </w:rPr>
        <w:t>Heirene</w:t>
      </w:r>
      <w:proofErr w:type="spellEnd"/>
      <w:r w:rsidRPr="00C91A96">
        <w:rPr>
          <w:rFonts w:ascii="Arial" w:eastAsia="Times New Roman" w:hAnsi="Arial" w:cs="Arial"/>
          <w:color w:val="000000"/>
          <w:kern w:val="0"/>
          <w:sz w:val="22"/>
          <w:szCs w:val="22"/>
          <w:lang w:eastAsia="en-GB"/>
          <w14:ligatures w14:val="none"/>
        </w:rPr>
        <w:t xml:space="preserve"> et al., 2021). The Welsh national consensus event identified five priorities for service development: routine screening and early identification, clearer diagnostic processes, defined referral pathways, integrated treatment and long-term support, and workforce training (Quelch et al., 2025). Recommendations included developing integrated pathways linking Alcohol Care Teams, community addiction services, mental health and memory services, and considering regional specialist teams or centres of excellence.</w:t>
      </w:r>
    </w:p>
    <w:p w14:paraId="45C3C593" w14:textId="77777777" w:rsidR="00B62417" w:rsidRDefault="00B62417" w:rsidP="00B62417">
      <w:pPr>
        <w:pStyle w:val="Title"/>
        <w:rPr>
          <w:rFonts w:ascii="Arial" w:eastAsia="Times New Roman" w:hAnsi="Arial" w:cs="Arial"/>
          <w:sz w:val="44"/>
          <w:szCs w:val="44"/>
          <w:lang w:eastAsia="en-GB"/>
        </w:rPr>
      </w:pPr>
    </w:p>
    <w:p w14:paraId="58FBC153" w14:textId="4CE69A8C" w:rsidR="00601505" w:rsidRPr="00B62417" w:rsidRDefault="00601505" w:rsidP="00B62417">
      <w:pPr>
        <w:pStyle w:val="Title"/>
        <w:rPr>
          <w:rFonts w:ascii="Arial" w:eastAsia="Times New Roman" w:hAnsi="Arial" w:cs="Arial"/>
          <w:sz w:val="44"/>
          <w:szCs w:val="44"/>
          <w:lang w:eastAsia="en-GB"/>
        </w:rPr>
      </w:pPr>
      <w:bookmarkStart w:id="16" w:name="_Toc214117364"/>
      <w:r w:rsidRPr="00B62417">
        <w:rPr>
          <w:rFonts w:ascii="Arial" w:eastAsia="Times New Roman" w:hAnsi="Arial" w:cs="Arial"/>
          <w:sz w:val="44"/>
          <w:szCs w:val="44"/>
          <w:lang w:eastAsia="en-GB"/>
        </w:rPr>
        <w:t>Discussion</w:t>
      </w:r>
      <w:bookmarkEnd w:id="16"/>
    </w:p>
    <w:p w14:paraId="2BA6A3F3" w14:textId="77777777" w:rsidR="00F651E6" w:rsidRPr="00F651E6" w:rsidRDefault="00F651E6" w:rsidP="00F651E6">
      <w:pPr>
        <w:spacing w:before="100" w:beforeAutospacing="1" w:after="100" w:afterAutospacing="1" w:line="240" w:lineRule="auto"/>
        <w:outlineLvl w:val="1"/>
        <w:rPr>
          <w:rFonts w:ascii="Arial" w:eastAsia="Times New Roman" w:hAnsi="Arial" w:cs="Arial"/>
          <w:color w:val="000000"/>
          <w:kern w:val="0"/>
          <w:sz w:val="22"/>
          <w:szCs w:val="22"/>
          <w:lang w:eastAsia="en-GB"/>
          <w14:ligatures w14:val="none"/>
        </w:rPr>
      </w:pPr>
      <w:r w:rsidRPr="00F651E6">
        <w:rPr>
          <w:rFonts w:ascii="Arial" w:eastAsia="Times New Roman" w:hAnsi="Arial" w:cs="Arial"/>
          <w:color w:val="000000"/>
          <w:kern w:val="0"/>
          <w:sz w:val="22"/>
          <w:szCs w:val="22"/>
          <w:lang w:eastAsia="en-GB"/>
          <w14:ligatures w14:val="none"/>
        </w:rPr>
        <w:t>This scoping review mapped UK evidence on the relationship between alcohol use and dementia. Across epidemiological, clinical and service-level studies, heavy alcohol consumption emerged as a clear, modifiable risk factor for dementia, while alcohol-related cognitive impairment was found to be common yet frequently under-recognised in practice (Dementia UK, 2023; Davies </w:t>
      </w:r>
      <w:r w:rsidRPr="00F651E6">
        <w:rPr>
          <w:rFonts w:ascii="Arial" w:eastAsia="Times New Roman" w:hAnsi="Arial" w:cs="Arial"/>
          <w:i/>
          <w:iCs/>
          <w:color w:val="000000"/>
          <w:kern w:val="0"/>
          <w:sz w:val="22"/>
          <w:szCs w:val="22"/>
          <w:lang w:eastAsia="en-GB"/>
          <w14:ligatures w14:val="none"/>
        </w:rPr>
        <w:t>et al.</w:t>
      </w:r>
      <w:r w:rsidRPr="00F651E6">
        <w:rPr>
          <w:rFonts w:ascii="Arial" w:eastAsia="Times New Roman" w:hAnsi="Arial" w:cs="Arial"/>
          <w:color w:val="000000"/>
          <w:kern w:val="0"/>
          <w:sz w:val="22"/>
          <w:szCs w:val="22"/>
          <w:lang w:eastAsia="en-GB"/>
          <w14:ligatures w14:val="none"/>
        </w:rPr>
        <w:t>, 2022).</w:t>
      </w:r>
    </w:p>
    <w:p w14:paraId="0060E05B" w14:textId="77777777" w:rsidR="00C91A96" w:rsidRPr="00C91A96" w:rsidRDefault="00C91A96" w:rsidP="00C91A96">
      <w:pPr>
        <w:spacing w:before="100" w:beforeAutospacing="1" w:after="100" w:afterAutospacing="1" w:line="240" w:lineRule="auto"/>
        <w:outlineLvl w:val="1"/>
        <w:rPr>
          <w:rFonts w:ascii="Arial" w:eastAsia="Times New Roman" w:hAnsi="Arial" w:cs="Arial"/>
          <w:color w:val="000000"/>
          <w:kern w:val="0"/>
          <w:sz w:val="22"/>
          <w:szCs w:val="22"/>
          <w:lang w:eastAsia="en-GB"/>
          <w14:ligatures w14:val="none"/>
        </w:rPr>
      </w:pPr>
      <w:r w:rsidRPr="00C91A96">
        <w:rPr>
          <w:rFonts w:ascii="Arial" w:eastAsia="Times New Roman" w:hAnsi="Arial" w:cs="Arial"/>
          <w:color w:val="000000"/>
          <w:kern w:val="0"/>
          <w:sz w:val="22"/>
          <w:szCs w:val="22"/>
          <w:lang w:eastAsia="en-GB"/>
          <w14:ligatures w14:val="none"/>
        </w:rPr>
        <w:t>Large cohort and genetic studies suggest that drinking above current UK low-risk guidelines, and possibly any level of alcohol use, increases dementia risk, challenging earlier observational findings of a J-shaped association in which moderate drinkers appeared to fare best (Sabia et al., 2018; Topiwala et al., 2025). International and UK evidence therefore supports public health messages encouraging people to minimise alcohol intake across the life-course (Livingston et al., 2020).</w:t>
      </w:r>
    </w:p>
    <w:p w14:paraId="1F8BC539" w14:textId="77777777" w:rsidR="00C91A96" w:rsidRPr="00C91A96" w:rsidRDefault="00C91A96" w:rsidP="00C91A96">
      <w:pPr>
        <w:spacing w:before="100" w:beforeAutospacing="1" w:after="100" w:afterAutospacing="1" w:line="240" w:lineRule="auto"/>
        <w:outlineLvl w:val="1"/>
        <w:rPr>
          <w:rFonts w:ascii="Arial" w:eastAsia="Times New Roman" w:hAnsi="Arial" w:cs="Arial"/>
          <w:color w:val="000000"/>
          <w:kern w:val="0"/>
          <w:sz w:val="22"/>
          <w:szCs w:val="22"/>
          <w:lang w:eastAsia="en-GB"/>
          <w14:ligatures w14:val="none"/>
        </w:rPr>
      </w:pPr>
      <w:r w:rsidRPr="00C91A96">
        <w:rPr>
          <w:rFonts w:ascii="Arial" w:eastAsia="Times New Roman" w:hAnsi="Arial" w:cs="Arial"/>
          <w:color w:val="000000"/>
          <w:kern w:val="0"/>
          <w:sz w:val="22"/>
          <w:szCs w:val="22"/>
          <w:lang w:eastAsia="en-GB"/>
          <w14:ligatures w14:val="none"/>
        </w:rPr>
        <w:t>At the clinical level, alcohol-related dementias represent an important proportion of young-onset cases in the UK, yet diagnosis is hindered by the absence of agreed criteria, overlap of symptoms with other dementias and practical difficulties in achieving abstinence before assessment (Jones et al., 2023; Alzheimer’s Society, 2023). Studies from alcohol services show high rates of cognitive impairment among people with alcohol dependence, many of whom have not received a formal diagnosis (Davies et al., 2022). Professionals report uncertainty in recognising ARBD, limited access to neuropsychology and fragmented pathways between addiction, mental health and dementia services (</w:t>
      </w:r>
      <w:proofErr w:type="spellStart"/>
      <w:r w:rsidRPr="00C91A96">
        <w:rPr>
          <w:rFonts w:ascii="Arial" w:eastAsia="Times New Roman" w:hAnsi="Arial" w:cs="Arial"/>
          <w:color w:val="000000"/>
          <w:kern w:val="0"/>
          <w:sz w:val="22"/>
          <w:szCs w:val="22"/>
          <w:lang w:eastAsia="en-GB"/>
          <w14:ligatures w14:val="none"/>
        </w:rPr>
        <w:t>Heirene</w:t>
      </w:r>
      <w:proofErr w:type="spellEnd"/>
      <w:r w:rsidRPr="00C91A96">
        <w:rPr>
          <w:rFonts w:ascii="Arial" w:eastAsia="Times New Roman" w:hAnsi="Arial" w:cs="Arial"/>
          <w:color w:val="000000"/>
          <w:kern w:val="0"/>
          <w:sz w:val="22"/>
          <w:szCs w:val="22"/>
          <w:lang w:eastAsia="en-GB"/>
          <w14:ligatures w14:val="none"/>
        </w:rPr>
        <w:t xml:space="preserve"> et al., 2021; Quelch et al., 2025). Specialist ARBD services are available in only a few areas, and there is limited integration between Alcohol Care Teams, memory services and social care.</w:t>
      </w:r>
    </w:p>
    <w:p w14:paraId="5019DE18" w14:textId="40CCC6B1" w:rsidR="00C91A96" w:rsidRPr="00C91A96" w:rsidRDefault="00C91A96" w:rsidP="00C91A96">
      <w:pPr>
        <w:spacing w:before="100" w:beforeAutospacing="1" w:after="100" w:afterAutospacing="1" w:line="240" w:lineRule="auto"/>
        <w:outlineLvl w:val="1"/>
        <w:rPr>
          <w:rFonts w:ascii="Arial" w:eastAsia="Times New Roman" w:hAnsi="Arial" w:cs="Arial"/>
          <w:color w:val="000000"/>
          <w:kern w:val="0"/>
          <w:sz w:val="22"/>
          <w:szCs w:val="22"/>
          <w:lang w:eastAsia="en-GB"/>
          <w14:ligatures w14:val="none"/>
        </w:rPr>
      </w:pPr>
      <w:r w:rsidRPr="00C91A96">
        <w:rPr>
          <w:rFonts w:ascii="Arial" w:eastAsia="Times New Roman" w:hAnsi="Arial" w:cs="Arial"/>
          <w:color w:val="000000"/>
          <w:kern w:val="0"/>
          <w:sz w:val="22"/>
          <w:szCs w:val="22"/>
          <w:lang w:eastAsia="en-GB"/>
          <w14:ligatures w14:val="none"/>
        </w:rPr>
        <w:lastRenderedPageBreak/>
        <w:t>The evidence base has limitations. Many epidemiological studies rely on self-reported alcohol consumption, making under-reporting and recall bias likely. Definitions of ARBD and ARCI vary between studies, hampering comparison, and most clinical research involves relatively small samples in specialist settings, which may not reflect the broader population. As a scoping review, this study did not undertake formal quality appraisal and therefore cannot estimate the size of effects precisely; instead, it provides an overview of trends and gaps. The focus on UK studies published since 2015 may have excluded older or international work, although this timeframe was chosen to ensure relevance to current policy and practice.</w:t>
      </w:r>
    </w:p>
    <w:p w14:paraId="0B6A2466" w14:textId="77777777" w:rsidR="00C91A96" w:rsidRPr="00C91A96" w:rsidRDefault="00C91A96" w:rsidP="00C91A96">
      <w:pPr>
        <w:spacing w:before="100" w:beforeAutospacing="1" w:after="100" w:afterAutospacing="1" w:line="240" w:lineRule="auto"/>
        <w:outlineLvl w:val="1"/>
        <w:rPr>
          <w:rFonts w:ascii="Arial" w:eastAsia="Times New Roman" w:hAnsi="Arial" w:cs="Arial"/>
          <w:color w:val="000000"/>
          <w:kern w:val="0"/>
          <w:sz w:val="22"/>
          <w:szCs w:val="22"/>
          <w:lang w:eastAsia="en-GB"/>
          <w14:ligatures w14:val="none"/>
        </w:rPr>
      </w:pPr>
      <w:r w:rsidRPr="00C91A96">
        <w:rPr>
          <w:rFonts w:ascii="Arial" w:eastAsia="Times New Roman" w:hAnsi="Arial" w:cs="Arial"/>
          <w:color w:val="000000"/>
          <w:kern w:val="0"/>
          <w:sz w:val="22"/>
          <w:szCs w:val="22"/>
          <w:lang w:eastAsia="en-GB"/>
          <w14:ligatures w14:val="none"/>
        </w:rPr>
        <w:t>Despite these limitations, the broad consistency of findings across different designs strengthens the conclusion that alcohol misuse is an important, modifiable contributor to dementia risk and to complex care needs in the UK. The review suggests that integrating dementia-prevention messages into alcohol harm-reduction work and developing clearer pathways for alcohol-related cognitive impairment are feasible and necessary steps to improve outcomes.</w:t>
      </w:r>
    </w:p>
    <w:p w14:paraId="38F0327B" w14:textId="77777777" w:rsidR="00601505" w:rsidRPr="00B62417" w:rsidRDefault="00601505" w:rsidP="00B62417">
      <w:pPr>
        <w:pStyle w:val="Title"/>
        <w:rPr>
          <w:rFonts w:ascii="Arial" w:eastAsia="Times New Roman" w:hAnsi="Arial" w:cs="Arial"/>
          <w:sz w:val="44"/>
          <w:szCs w:val="44"/>
          <w:lang w:eastAsia="en-GB"/>
        </w:rPr>
      </w:pPr>
      <w:bookmarkStart w:id="17" w:name="_Toc214117365"/>
      <w:r w:rsidRPr="00B62417">
        <w:rPr>
          <w:rFonts w:ascii="Arial" w:eastAsia="Times New Roman" w:hAnsi="Arial" w:cs="Arial"/>
          <w:sz w:val="44"/>
          <w:szCs w:val="44"/>
          <w:lang w:eastAsia="en-GB"/>
        </w:rPr>
        <w:t>Conclusion and Recommendations</w:t>
      </w:r>
      <w:bookmarkEnd w:id="17"/>
    </w:p>
    <w:p w14:paraId="69D1F50D" w14:textId="77777777" w:rsidR="00F651E6" w:rsidRPr="00F651E6" w:rsidRDefault="00F651E6" w:rsidP="00F651E6">
      <w:pPr>
        <w:spacing w:before="100" w:beforeAutospacing="1" w:after="100" w:afterAutospacing="1" w:line="240" w:lineRule="auto"/>
        <w:outlineLvl w:val="1"/>
        <w:rPr>
          <w:rFonts w:ascii="Arial" w:eastAsia="Times New Roman" w:hAnsi="Arial" w:cs="Arial"/>
          <w:color w:val="000000"/>
          <w:kern w:val="0"/>
          <w:sz w:val="22"/>
          <w:szCs w:val="22"/>
          <w:lang w:eastAsia="en-GB"/>
          <w14:ligatures w14:val="none"/>
        </w:rPr>
      </w:pPr>
      <w:r w:rsidRPr="00F651E6">
        <w:rPr>
          <w:rFonts w:ascii="Arial" w:eastAsia="Times New Roman" w:hAnsi="Arial" w:cs="Arial"/>
          <w:color w:val="000000"/>
          <w:kern w:val="0"/>
          <w:sz w:val="22"/>
          <w:szCs w:val="22"/>
          <w:lang w:eastAsia="en-GB"/>
          <w14:ligatures w14:val="none"/>
        </w:rPr>
        <w:t>This scoping review has highlighted that alcohol misuse is a significant, preventable risk factor for dementia in the UK and that alcohol-related cognitive impairment is under-recognised and inconsistently managed across services. Heavy drinking is clearly associated with increased dementia risk and earlier onset, while emerging evidence suggests that even moderate alcohol intake may carry some risk (Topiwala </w:t>
      </w:r>
      <w:r w:rsidRPr="00F651E6">
        <w:rPr>
          <w:rFonts w:ascii="Arial" w:eastAsia="Times New Roman" w:hAnsi="Arial" w:cs="Arial"/>
          <w:i/>
          <w:iCs/>
          <w:color w:val="000000"/>
          <w:kern w:val="0"/>
          <w:sz w:val="22"/>
          <w:szCs w:val="22"/>
          <w:lang w:eastAsia="en-GB"/>
          <w14:ligatures w14:val="none"/>
        </w:rPr>
        <w:t>et al.</w:t>
      </w:r>
      <w:r w:rsidRPr="00F651E6">
        <w:rPr>
          <w:rFonts w:ascii="Arial" w:eastAsia="Times New Roman" w:hAnsi="Arial" w:cs="Arial"/>
          <w:color w:val="000000"/>
          <w:kern w:val="0"/>
          <w:sz w:val="22"/>
          <w:szCs w:val="22"/>
          <w:lang w:eastAsia="en-GB"/>
          <w14:ligatures w14:val="none"/>
        </w:rPr>
        <w:t>, 2025). At the same time, alcohol-related dementias account for a notable proportion of young-onset cases and, unlike most neurodegenerative dementias, may stabilise or partially improve with abstinence and appropriate treatment (Dementia UK, 2023).</w:t>
      </w:r>
    </w:p>
    <w:p w14:paraId="36B2F25A" w14:textId="77777777" w:rsidR="00F651E6" w:rsidRPr="00F651E6" w:rsidRDefault="00F651E6" w:rsidP="00F651E6">
      <w:pPr>
        <w:spacing w:before="100" w:beforeAutospacing="1" w:after="100" w:afterAutospacing="1" w:line="240" w:lineRule="auto"/>
        <w:outlineLvl w:val="1"/>
        <w:rPr>
          <w:rFonts w:ascii="Arial" w:eastAsia="Times New Roman" w:hAnsi="Arial" w:cs="Arial"/>
          <w:color w:val="000000"/>
          <w:kern w:val="0"/>
          <w:sz w:val="22"/>
          <w:szCs w:val="22"/>
          <w:lang w:eastAsia="en-GB"/>
          <w14:ligatures w14:val="none"/>
        </w:rPr>
      </w:pPr>
      <w:r w:rsidRPr="00F651E6">
        <w:rPr>
          <w:rFonts w:ascii="Arial" w:eastAsia="Times New Roman" w:hAnsi="Arial" w:cs="Arial"/>
          <w:color w:val="000000"/>
          <w:kern w:val="0"/>
          <w:sz w:val="22"/>
          <w:szCs w:val="22"/>
          <w:lang w:eastAsia="en-GB"/>
          <w14:ligatures w14:val="none"/>
        </w:rPr>
        <w:t>Clinicians report difficulties distinguishing alcohol-related dementia from other forms of dementia, limited guidance on diagnostic criteria and fragmented care pathways between addiction, mental health and dementia services (Jones </w:t>
      </w:r>
      <w:r w:rsidRPr="00F651E6">
        <w:rPr>
          <w:rFonts w:ascii="Arial" w:eastAsia="Times New Roman" w:hAnsi="Arial" w:cs="Arial"/>
          <w:i/>
          <w:iCs/>
          <w:color w:val="000000"/>
          <w:kern w:val="0"/>
          <w:sz w:val="22"/>
          <w:szCs w:val="22"/>
          <w:lang w:eastAsia="en-GB"/>
          <w14:ligatures w14:val="none"/>
        </w:rPr>
        <w:t>et al.</w:t>
      </w:r>
      <w:r w:rsidRPr="00F651E6">
        <w:rPr>
          <w:rFonts w:ascii="Arial" w:eastAsia="Times New Roman" w:hAnsi="Arial" w:cs="Arial"/>
          <w:color w:val="000000"/>
          <w:kern w:val="0"/>
          <w:sz w:val="22"/>
          <w:szCs w:val="22"/>
          <w:lang w:eastAsia="en-GB"/>
          <w14:ligatures w14:val="none"/>
        </w:rPr>
        <w:t xml:space="preserve">, 2023; </w:t>
      </w:r>
      <w:proofErr w:type="spellStart"/>
      <w:r w:rsidRPr="00F651E6">
        <w:rPr>
          <w:rFonts w:ascii="Arial" w:eastAsia="Times New Roman" w:hAnsi="Arial" w:cs="Arial"/>
          <w:color w:val="000000"/>
          <w:kern w:val="0"/>
          <w:sz w:val="22"/>
          <w:szCs w:val="22"/>
          <w:lang w:eastAsia="en-GB"/>
          <w14:ligatures w14:val="none"/>
        </w:rPr>
        <w:t>Heirene</w:t>
      </w:r>
      <w:proofErr w:type="spellEnd"/>
      <w:r w:rsidRPr="00F651E6">
        <w:rPr>
          <w:rFonts w:ascii="Arial" w:eastAsia="Times New Roman" w:hAnsi="Arial" w:cs="Arial"/>
          <w:color w:val="000000"/>
          <w:kern w:val="0"/>
          <w:sz w:val="22"/>
          <w:szCs w:val="22"/>
          <w:lang w:eastAsia="en-GB"/>
          <w14:ligatures w14:val="none"/>
        </w:rPr>
        <w:t> </w:t>
      </w:r>
      <w:r w:rsidRPr="00F651E6">
        <w:rPr>
          <w:rFonts w:ascii="Arial" w:eastAsia="Times New Roman" w:hAnsi="Arial" w:cs="Arial"/>
          <w:i/>
          <w:iCs/>
          <w:color w:val="000000"/>
          <w:kern w:val="0"/>
          <w:sz w:val="22"/>
          <w:szCs w:val="22"/>
          <w:lang w:eastAsia="en-GB"/>
          <w14:ligatures w14:val="none"/>
        </w:rPr>
        <w:t>et al.</w:t>
      </w:r>
      <w:r w:rsidRPr="00F651E6">
        <w:rPr>
          <w:rFonts w:ascii="Arial" w:eastAsia="Times New Roman" w:hAnsi="Arial" w:cs="Arial"/>
          <w:color w:val="000000"/>
          <w:kern w:val="0"/>
          <w:sz w:val="22"/>
          <w:szCs w:val="22"/>
          <w:lang w:eastAsia="en-GB"/>
          <w14:ligatures w14:val="none"/>
        </w:rPr>
        <w:t>, 2021). Nevertheless, recent consensus work provides a clear direction of travel, emphasising earlier identification, better referral routes and improved training (Quelch </w:t>
      </w:r>
      <w:r w:rsidRPr="00F651E6">
        <w:rPr>
          <w:rFonts w:ascii="Arial" w:eastAsia="Times New Roman" w:hAnsi="Arial" w:cs="Arial"/>
          <w:i/>
          <w:iCs/>
          <w:color w:val="000000"/>
          <w:kern w:val="0"/>
          <w:sz w:val="22"/>
          <w:szCs w:val="22"/>
          <w:lang w:eastAsia="en-GB"/>
          <w14:ligatures w14:val="none"/>
        </w:rPr>
        <w:t>et al.</w:t>
      </w:r>
      <w:r w:rsidRPr="00F651E6">
        <w:rPr>
          <w:rFonts w:ascii="Arial" w:eastAsia="Times New Roman" w:hAnsi="Arial" w:cs="Arial"/>
          <w:color w:val="000000"/>
          <w:kern w:val="0"/>
          <w:sz w:val="22"/>
          <w:szCs w:val="22"/>
          <w:lang w:eastAsia="en-GB"/>
          <w14:ligatures w14:val="none"/>
        </w:rPr>
        <w:t>, 2025).</w:t>
      </w:r>
    </w:p>
    <w:p w14:paraId="0A083F7D" w14:textId="77777777" w:rsidR="00F651E6" w:rsidRPr="00B62417" w:rsidRDefault="00F651E6" w:rsidP="00B62417">
      <w:pPr>
        <w:pStyle w:val="Subtitle"/>
        <w:rPr>
          <w:rFonts w:ascii="Arial" w:eastAsia="Times New Roman" w:hAnsi="Arial" w:cs="Arial"/>
          <w:sz w:val="22"/>
          <w:szCs w:val="22"/>
          <w:lang w:eastAsia="en-GB"/>
        </w:rPr>
      </w:pPr>
      <w:bookmarkStart w:id="18" w:name="_Toc214117366"/>
      <w:r w:rsidRPr="00B62417">
        <w:rPr>
          <w:rFonts w:ascii="Arial" w:eastAsia="Times New Roman" w:hAnsi="Arial" w:cs="Arial"/>
          <w:sz w:val="22"/>
          <w:szCs w:val="22"/>
          <w:lang w:eastAsia="en-GB"/>
        </w:rPr>
        <w:t>Recommendations for clinical practice</w:t>
      </w:r>
      <w:bookmarkEnd w:id="18"/>
    </w:p>
    <w:p w14:paraId="79785B40" w14:textId="77777777" w:rsidR="00F651E6" w:rsidRPr="00F651E6" w:rsidRDefault="00F651E6" w:rsidP="00F651E6">
      <w:pPr>
        <w:numPr>
          <w:ilvl w:val="0"/>
          <w:numId w:val="10"/>
        </w:numPr>
        <w:spacing w:before="100" w:beforeAutospacing="1" w:after="100" w:afterAutospacing="1" w:line="240" w:lineRule="auto"/>
        <w:outlineLvl w:val="1"/>
        <w:rPr>
          <w:rFonts w:ascii="Arial" w:eastAsia="Times New Roman" w:hAnsi="Arial" w:cs="Arial"/>
          <w:color w:val="000000"/>
          <w:kern w:val="0"/>
          <w:sz w:val="22"/>
          <w:szCs w:val="22"/>
          <w:lang w:eastAsia="en-GB"/>
          <w14:ligatures w14:val="none"/>
        </w:rPr>
      </w:pPr>
      <w:r w:rsidRPr="00F651E6">
        <w:rPr>
          <w:rFonts w:ascii="Arial" w:eastAsia="Times New Roman" w:hAnsi="Arial" w:cs="Arial"/>
          <w:color w:val="000000"/>
          <w:kern w:val="0"/>
          <w:sz w:val="22"/>
          <w:szCs w:val="22"/>
          <w:lang w:eastAsia="en-GB"/>
          <w14:ligatures w14:val="none"/>
        </w:rPr>
        <w:t>Routinely record alcohol history during cognitive assessments in primary care, memory clinics and neurology services, and screen for cognitive impairment in alcohol treatment settings using brief tools (NICE, 2011; NICE, 2018).</w:t>
      </w:r>
    </w:p>
    <w:p w14:paraId="195192F9" w14:textId="77777777" w:rsidR="00F651E6" w:rsidRPr="00F651E6" w:rsidRDefault="00F651E6" w:rsidP="00F651E6">
      <w:pPr>
        <w:numPr>
          <w:ilvl w:val="0"/>
          <w:numId w:val="10"/>
        </w:numPr>
        <w:spacing w:before="100" w:beforeAutospacing="1" w:after="100" w:afterAutospacing="1" w:line="240" w:lineRule="auto"/>
        <w:outlineLvl w:val="1"/>
        <w:rPr>
          <w:rFonts w:ascii="Arial" w:eastAsia="Times New Roman" w:hAnsi="Arial" w:cs="Arial"/>
          <w:color w:val="000000"/>
          <w:kern w:val="0"/>
          <w:sz w:val="22"/>
          <w:szCs w:val="22"/>
          <w:lang w:eastAsia="en-GB"/>
          <w14:ligatures w14:val="none"/>
        </w:rPr>
      </w:pPr>
      <w:r w:rsidRPr="00F651E6">
        <w:rPr>
          <w:rFonts w:ascii="Arial" w:eastAsia="Times New Roman" w:hAnsi="Arial" w:cs="Arial"/>
          <w:color w:val="000000"/>
          <w:kern w:val="0"/>
          <w:sz w:val="22"/>
          <w:szCs w:val="22"/>
          <w:lang w:eastAsia="en-GB"/>
          <w14:ligatures w14:val="none"/>
        </w:rPr>
        <w:t>Suspect alcohol-related cognitive impairment in people with a history of long-term heavy drinking and refer for specialist assessment without insisting on unrealistic periods of abstinence, while supporting efforts to reduce or stop alcohol use.</w:t>
      </w:r>
    </w:p>
    <w:p w14:paraId="69802383" w14:textId="77777777" w:rsidR="00F651E6" w:rsidRPr="00F651E6" w:rsidRDefault="00F651E6" w:rsidP="00F651E6">
      <w:pPr>
        <w:numPr>
          <w:ilvl w:val="0"/>
          <w:numId w:val="10"/>
        </w:numPr>
        <w:spacing w:before="100" w:beforeAutospacing="1" w:after="100" w:afterAutospacing="1" w:line="240" w:lineRule="auto"/>
        <w:outlineLvl w:val="1"/>
        <w:rPr>
          <w:rFonts w:ascii="Arial" w:eastAsia="Times New Roman" w:hAnsi="Arial" w:cs="Arial"/>
          <w:color w:val="000000"/>
          <w:kern w:val="0"/>
          <w:sz w:val="22"/>
          <w:szCs w:val="22"/>
          <w:lang w:eastAsia="en-GB"/>
          <w14:ligatures w14:val="none"/>
        </w:rPr>
      </w:pPr>
      <w:r w:rsidRPr="00F651E6">
        <w:rPr>
          <w:rFonts w:ascii="Arial" w:eastAsia="Times New Roman" w:hAnsi="Arial" w:cs="Arial"/>
          <w:color w:val="000000"/>
          <w:kern w:val="0"/>
          <w:sz w:val="22"/>
          <w:szCs w:val="22"/>
          <w:lang w:eastAsia="en-GB"/>
          <w14:ligatures w14:val="none"/>
        </w:rPr>
        <w:t>Offer early interventions such as thiamine replacement, alcohol-dependence treatment and tailored occupational or cognitive rehabilitation to maximise the potential for stabilisation or recovery.</w:t>
      </w:r>
    </w:p>
    <w:p w14:paraId="73DF363F" w14:textId="77777777" w:rsidR="00F651E6" w:rsidRPr="00F651E6" w:rsidRDefault="00F651E6" w:rsidP="00F651E6">
      <w:pPr>
        <w:numPr>
          <w:ilvl w:val="0"/>
          <w:numId w:val="10"/>
        </w:numPr>
        <w:spacing w:before="100" w:beforeAutospacing="1" w:after="100" w:afterAutospacing="1" w:line="240" w:lineRule="auto"/>
        <w:outlineLvl w:val="1"/>
        <w:rPr>
          <w:rFonts w:ascii="Arial" w:eastAsia="Times New Roman" w:hAnsi="Arial" w:cs="Arial"/>
          <w:color w:val="000000"/>
          <w:kern w:val="0"/>
          <w:sz w:val="22"/>
          <w:szCs w:val="22"/>
          <w:lang w:eastAsia="en-GB"/>
          <w14:ligatures w14:val="none"/>
        </w:rPr>
      </w:pPr>
      <w:r w:rsidRPr="00F651E6">
        <w:rPr>
          <w:rFonts w:ascii="Arial" w:eastAsia="Times New Roman" w:hAnsi="Arial" w:cs="Arial"/>
          <w:color w:val="000000"/>
          <w:kern w:val="0"/>
          <w:sz w:val="22"/>
          <w:szCs w:val="22"/>
          <w:lang w:eastAsia="en-GB"/>
          <w14:ligatures w14:val="none"/>
        </w:rPr>
        <w:t>Provide information and support to families about the impact of alcohol on dementia symptoms and involve them in care planning and risk management.</w:t>
      </w:r>
    </w:p>
    <w:p w14:paraId="55311109" w14:textId="77777777" w:rsidR="00F651E6" w:rsidRPr="00B62417" w:rsidRDefault="00F651E6" w:rsidP="00B62417">
      <w:pPr>
        <w:pStyle w:val="Subtitle"/>
        <w:rPr>
          <w:rFonts w:ascii="Arial" w:eastAsia="Times New Roman" w:hAnsi="Arial" w:cs="Arial"/>
          <w:sz w:val="22"/>
          <w:szCs w:val="22"/>
          <w:lang w:eastAsia="en-GB"/>
        </w:rPr>
      </w:pPr>
      <w:bookmarkStart w:id="19" w:name="_Toc214117367"/>
      <w:r w:rsidRPr="00B62417">
        <w:rPr>
          <w:rFonts w:ascii="Arial" w:eastAsia="Times New Roman" w:hAnsi="Arial" w:cs="Arial"/>
          <w:sz w:val="22"/>
          <w:szCs w:val="22"/>
          <w:lang w:eastAsia="en-GB"/>
        </w:rPr>
        <w:t>Recommendations for services and policy</w:t>
      </w:r>
      <w:bookmarkEnd w:id="19"/>
    </w:p>
    <w:p w14:paraId="566773BD" w14:textId="77777777" w:rsidR="00F651E6" w:rsidRPr="00F651E6" w:rsidRDefault="00F651E6" w:rsidP="00F651E6">
      <w:pPr>
        <w:numPr>
          <w:ilvl w:val="0"/>
          <w:numId w:val="11"/>
        </w:numPr>
        <w:spacing w:before="100" w:beforeAutospacing="1" w:after="100" w:afterAutospacing="1" w:line="240" w:lineRule="auto"/>
        <w:outlineLvl w:val="1"/>
        <w:rPr>
          <w:rFonts w:ascii="Arial" w:eastAsia="Times New Roman" w:hAnsi="Arial" w:cs="Arial"/>
          <w:color w:val="000000"/>
          <w:kern w:val="0"/>
          <w:sz w:val="22"/>
          <w:szCs w:val="22"/>
          <w:lang w:eastAsia="en-GB"/>
          <w14:ligatures w14:val="none"/>
        </w:rPr>
      </w:pPr>
      <w:r w:rsidRPr="00F651E6">
        <w:rPr>
          <w:rFonts w:ascii="Arial" w:eastAsia="Times New Roman" w:hAnsi="Arial" w:cs="Arial"/>
          <w:color w:val="000000"/>
          <w:kern w:val="0"/>
          <w:sz w:val="22"/>
          <w:szCs w:val="22"/>
          <w:lang w:eastAsia="en-GB"/>
          <w14:ligatures w14:val="none"/>
        </w:rPr>
        <w:t>Develop integrated care pathways for alcohol-related brain damage that link Alcohol Care Teams, addiction services, mental health and memory services, with clarity around referral and long-term responsibility.</w:t>
      </w:r>
    </w:p>
    <w:p w14:paraId="59D001F6" w14:textId="77777777" w:rsidR="00F651E6" w:rsidRPr="00F651E6" w:rsidRDefault="00F651E6" w:rsidP="00F651E6">
      <w:pPr>
        <w:numPr>
          <w:ilvl w:val="0"/>
          <w:numId w:val="11"/>
        </w:numPr>
        <w:spacing w:before="100" w:beforeAutospacing="1" w:after="100" w:afterAutospacing="1" w:line="240" w:lineRule="auto"/>
        <w:outlineLvl w:val="1"/>
        <w:rPr>
          <w:rFonts w:ascii="Arial" w:eastAsia="Times New Roman" w:hAnsi="Arial" w:cs="Arial"/>
          <w:color w:val="000000"/>
          <w:kern w:val="0"/>
          <w:sz w:val="22"/>
          <w:szCs w:val="22"/>
          <w:lang w:eastAsia="en-GB"/>
          <w14:ligatures w14:val="none"/>
        </w:rPr>
      </w:pPr>
      <w:r w:rsidRPr="00F651E6">
        <w:rPr>
          <w:rFonts w:ascii="Arial" w:eastAsia="Times New Roman" w:hAnsi="Arial" w:cs="Arial"/>
          <w:color w:val="000000"/>
          <w:kern w:val="0"/>
          <w:sz w:val="22"/>
          <w:szCs w:val="22"/>
          <w:lang w:eastAsia="en-GB"/>
          <w14:ligatures w14:val="none"/>
        </w:rPr>
        <w:lastRenderedPageBreak/>
        <w:t>Include ARBD and alcohol-related dementia in workforce development programmes for GPs, hospital clinicians, nurses and allied health professionals.</w:t>
      </w:r>
    </w:p>
    <w:p w14:paraId="1BE80E37" w14:textId="77777777" w:rsidR="00F651E6" w:rsidRPr="00F651E6" w:rsidRDefault="00F651E6" w:rsidP="00F651E6">
      <w:pPr>
        <w:numPr>
          <w:ilvl w:val="0"/>
          <w:numId w:val="11"/>
        </w:numPr>
        <w:spacing w:before="100" w:beforeAutospacing="1" w:after="100" w:afterAutospacing="1" w:line="240" w:lineRule="auto"/>
        <w:outlineLvl w:val="1"/>
        <w:rPr>
          <w:rFonts w:ascii="Arial" w:eastAsia="Times New Roman" w:hAnsi="Arial" w:cs="Arial"/>
          <w:color w:val="000000"/>
          <w:kern w:val="0"/>
          <w:sz w:val="22"/>
          <w:szCs w:val="22"/>
          <w:lang w:eastAsia="en-GB"/>
          <w14:ligatures w14:val="none"/>
        </w:rPr>
      </w:pPr>
      <w:r w:rsidRPr="00F651E6">
        <w:rPr>
          <w:rFonts w:ascii="Arial" w:eastAsia="Times New Roman" w:hAnsi="Arial" w:cs="Arial"/>
          <w:color w:val="000000"/>
          <w:kern w:val="0"/>
          <w:sz w:val="22"/>
          <w:szCs w:val="22"/>
          <w:lang w:eastAsia="en-GB"/>
          <w14:ligatures w14:val="none"/>
        </w:rPr>
        <w:t>Embed dementia-risk messaging, including the impact of alcohol, within national and local alcohol harm-reduction campaigns (Public Health England, 2021; Livingston </w:t>
      </w:r>
      <w:r w:rsidRPr="00F651E6">
        <w:rPr>
          <w:rFonts w:ascii="Arial" w:eastAsia="Times New Roman" w:hAnsi="Arial" w:cs="Arial"/>
          <w:i/>
          <w:iCs/>
          <w:color w:val="000000"/>
          <w:kern w:val="0"/>
          <w:sz w:val="22"/>
          <w:szCs w:val="22"/>
          <w:lang w:eastAsia="en-GB"/>
          <w14:ligatures w14:val="none"/>
        </w:rPr>
        <w:t>et al.</w:t>
      </w:r>
      <w:r w:rsidRPr="00F651E6">
        <w:rPr>
          <w:rFonts w:ascii="Arial" w:eastAsia="Times New Roman" w:hAnsi="Arial" w:cs="Arial"/>
          <w:color w:val="000000"/>
          <w:kern w:val="0"/>
          <w:sz w:val="22"/>
          <w:szCs w:val="22"/>
          <w:lang w:eastAsia="en-GB"/>
          <w14:ligatures w14:val="none"/>
        </w:rPr>
        <w:t>, 2020).</w:t>
      </w:r>
    </w:p>
    <w:p w14:paraId="30761146" w14:textId="77777777" w:rsidR="00F651E6" w:rsidRPr="00F651E6" w:rsidRDefault="00F651E6" w:rsidP="00F651E6">
      <w:pPr>
        <w:numPr>
          <w:ilvl w:val="0"/>
          <w:numId w:val="11"/>
        </w:numPr>
        <w:spacing w:before="100" w:beforeAutospacing="1" w:after="100" w:afterAutospacing="1" w:line="240" w:lineRule="auto"/>
        <w:outlineLvl w:val="1"/>
        <w:rPr>
          <w:rFonts w:ascii="Arial" w:eastAsia="Times New Roman" w:hAnsi="Arial" w:cs="Arial"/>
          <w:color w:val="000000"/>
          <w:kern w:val="0"/>
          <w:sz w:val="22"/>
          <w:szCs w:val="22"/>
          <w:lang w:eastAsia="en-GB"/>
          <w14:ligatures w14:val="none"/>
        </w:rPr>
      </w:pPr>
      <w:r w:rsidRPr="00F651E6">
        <w:rPr>
          <w:rFonts w:ascii="Arial" w:eastAsia="Times New Roman" w:hAnsi="Arial" w:cs="Arial"/>
          <w:color w:val="000000"/>
          <w:kern w:val="0"/>
          <w:sz w:val="22"/>
          <w:szCs w:val="22"/>
          <w:lang w:eastAsia="en-GB"/>
          <w14:ligatures w14:val="none"/>
        </w:rPr>
        <w:t xml:space="preserve">Support further research on the prevalence, outcomes and most effective models of care for alcohol-related cognitive impairment in UK settings, including the perspectives of people with lived experience and their </w:t>
      </w:r>
      <w:proofErr w:type="spellStart"/>
      <w:r w:rsidRPr="00F651E6">
        <w:rPr>
          <w:rFonts w:ascii="Arial" w:eastAsia="Times New Roman" w:hAnsi="Arial" w:cs="Arial"/>
          <w:color w:val="000000"/>
          <w:kern w:val="0"/>
          <w:sz w:val="22"/>
          <w:szCs w:val="22"/>
          <w:lang w:eastAsia="en-GB"/>
          <w14:ligatures w14:val="none"/>
        </w:rPr>
        <w:t>carers</w:t>
      </w:r>
      <w:proofErr w:type="spellEnd"/>
      <w:r w:rsidRPr="00F651E6">
        <w:rPr>
          <w:rFonts w:ascii="Arial" w:eastAsia="Times New Roman" w:hAnsi="Arial" w:cs="Arial"/>
          <w:color w:val="000000"/>
          <w:kern w:val="0"/>
          <w:sz w:val="22"/>
          <w:szCs w:val="22"/>
          <w:lang w:eastAsia="en-GB"/>
          <w14:ligatures w14:val="none"/>
        </w:rPr>
        <w:t>.</w:t>
      </w:r>
    </w:p>
    <w:p w14:paraId="3C81743C" w14:textId="77777777" w:rsidR="00F651E6" w:rsidRPr="00F651E6" w:rsidRDefault="00F651E6" w:rsidP="00F651E6">
      <w:pPr>
        <w:spacing w:before="100" w:beforeAutospacing="1" w:after="100" w:afterAutospacing="1" w:line="240" w:lineRule="auto"/>
        <w:outlineLvl w:val="1"/>
        <w:rPr>
          <w:rFonts w:ascii="Arial" w:eastAsia="Times New Roman" w:hAnsi="Arial" w:cs="Arial"/>
          <w:color w:val="000000"/>
          <w:kern w:val="0"/>
          <w:sz w:val="22"/>
          <w:szCs w:val="22"/>
          <w:lang w:eastAsia="en-GB"/>
          <w14:ligatures w14:val="none"/>
        </w:rPr>
      </w:pPr>
      <w:r w:rsidRPr="00F651E6">
        <w:rPr>
          <w:rFonts w:ascii="Arial" w:eastAsia="Times New Roman" w:hAnsi="Arial" w:cs="Arial"/>
          <w:color w:val="000000"/>
          <w:kern w:val="0"/>
          <w:sz w:val="22"/>
          <w:szCs w:val="22"/>
          <w:lang w:eastAsia="en-GB"/>
          <w14:ligatures w14:val="none"/>
        </w:rPr>
        <w:t>Addressing alcohol use more systematically within dementia prevention and care has the potential to improve quality of life for individuals and families and to reduce pressure on already stretched health and social care services in the UK.</w:t>
      </w:r>
    </w:p>
    <w:p w14:paraId="65ED6A9B" w14:textId="77777777" w:rsidR="00601505" w:rsidRPr="00B62417" w:rsidRDefault="00601505" w:rsidP="00B62417">
      <w:pPr>
        <w:pStyle w:val="Title"/>
        <w:rPr>
          <w:rFonts w:ascii="Arial" w:eastAsia="Times New Roman" w:hAnsi="Arial" w:cs="Arial"/>
          <w:sz w:val="44"/>
          <w:szCs w:val="44"/>
          <w:lang w:eastAsia="en-GB"/>
        </w:rPr>
      </w:pPr>
      <w:bookmarkStart w:id="20" w:name="_Toc214117368"/>
      <w:r w:rsidRPr="00B62417">
        <w:rPr>
          <w:rFonts w:ascii="Arial" w:eastAsia="Times New Roman" w:hAnsi="Arial" w:cs="Arial"/>
          <w:sz w:val="44"/>
          <w:szCs w:val="44"/>
          <w:lang w:eastAsia="en-GB"/>
        </w:rPr>
        <w:t>Reference List (UWTSD Harvard Style)</w:t>
      </w:r>
      <w:bookmarkEnd w:id="20"/>
    </w:p>
    <w:p w14:paraId="601FA37C" w14:textId="77777777" w:rsidR="00601505" w:rsidRPr="00601505" w:rsidRDefault="00601505" w:rsidP="00601505">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601505">
        <w:rPr>
          <w:rFonts w:ascii="Arial" w:eastAsia="Times New Roman" w:hAnsi="Arial" w:cs="Arial"/>
          <w:color w:val="000000"/>
          <w:kern w:val="0"/>
          <w:sz w:val="22"/>
          <w:szCs w:val="22"/>
          <w:lang w:eastAsia="en-GB"/>
          <w14:ligatures w14:val="none"/>
        </w:rPr>
        <w:t>Aveyard, H. (2014) </w:t>
      </w:r>
      <w:r w:rsidRPr="00601505">
        <w:rPr>
          <w:rFonts w:ascii="Arial" w:eastAsia="Times New Roman" w:hAnsi="Arial" w:cs="Arial"/>
          <w:i/>
          <w:iCs/>
          <w:color w:val="000000"/>
          <w:kern w:val="0"/>
          <w:sz w:val="22"/>
          <w:szCs w:val="22"/>
          <w:lang w:eastAsia="en-GB"/>
          <w14:ligatures w14:val="none"/>
        </w:rPr>
        <w:t>Doing a Literature Review in Health and Social Care: A Practical Guide</w:t>
      </w:r>
      <w:r w:rsidRPr="00601505">
        <w:rPr>
          <w:rFonts w:ascii="Arial" w:eastAsia="Times New Roman" w:hAnsi="Arial" w:cs="Arial"/>
          <w:color w:val="000000"/>
          <w:kern w:val="0"/>
          <w:sz w:val="22"/>
          <w:szCs w:val="22"/>
          <w:lang w:eastAsia="en-GB"/>
          <w14:ligatures w14:val="none"/>
        </w:rPr>
        <w:t xml:space="preserve">. 3rd </w:t>
      </w:r>
      <w:proofErr w:type="spellStart"/>
      <w:r w:rsidRPr="00601505">
        <w:rPr>
          <w:rFonts w:ascii="Arial" w:eastAsia="Times New Roman" w:hAnsi="Arial" w:cs="Arial"/>
          <w:color w:val="000000"/>
          <w:kern w:val="0"/>
          <w:sz w:val="22"/>
          <w:szCs w:val="22"/>
          <w:lang w:eastAsia="en-GB"/>
          <w14:ligatures w14:val="none"/>
        </w:rPr>
        <w:t>edn</w:t>
      </w:r>
      <w:proofErr w:type="spellEnd"/>
      <w:r w:rsidRPr="00601505">
        <w:rPr>
          <w:rFonts w:ascii="Arial" w:eastAsia="Times New Roman" w:hAnsi="Arial" w:cs="Arial"/>
          <w:color w:val="000000"/>
          <w:kern w:val="0"/>
          <w:sz w:val="22"/>
          <w:szCs w:val="22"/>
          <w:lang w:eastAsia="en-GB"/>
          <w14:ligatures w14:val="none"/>
        </w:rPr>
        <w:t>. Maidenhead: Open University Press.</w:t>
      </w:r>
    </w:p>
    <w:p w14:paraId="38CFAA75" w14:textId="77777777" w:rsidR="00601505" w:rsidRPr="00601505" w:rsidRDefault="00601505" w:rsidP="00601505">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601505">
        <w:rPr>
          <w:rFonts w:ascii="Arial" w:eastAsia="Times New Roman" w:hAnsi="Arial" w:cs="Arial"/>
          <w:color w:val="000000"/>
          <w:kern w:val="0"/>
          <w:sz w:val="22"/>
          <w:szCs w:val="22"/>
          <w:lang w:eastAsia="en-GB"/>
          <w14:ligatures w14:val="none"/>
        </w:rPr>
        <w:t>Arksey, H. and O’Malley, L. (2005) “Scoping studies: towards a methodological framework.” </w:t>
      </w:r>
      <w:r w:rsidRPr="00601505">
        <w:rPr>
          <w:rFonts w:ascii="Arial" w:eastAsia="Times New Roman" w:hAnsi="Arial" w:cs="Arial"/>
          <w:i/>
          <w:iCs/>
          <w:color w:val="000000"/>
          <w:kern w:val="0"/>
          <w:sz w:val="22"/>
          <w:szCs w:val="22"/>
          <w:lang w:eastAsia="en-GB"/>
          <w14:ligatures w14:val="none"/>
        </w:rPr>
        <w:t>International Journal of Social Research Methodology</w:t>
      </w:r>
      <w:r w:rsidRPr="00601505">
        <w:rPr>
          <w:rFonts w:ascii="Arial" w:eastAsia="Times New Roman" w:hAnsi="Arial" w:cs="Arial"/>
          <w:color w:val="000000"/>
          <w:kern w:val="0"/>
          <w:sz w:val="22"/>
          <w:szCs w:val="22"/>
          <w:lang w:eastAsia="en-GB"/>
          <w14:ligatures w14:val="none"/>
        </w:rPr>
        <w:t>, 8(1), pp. 19–32.</w:t>
      </w:r>
    </w:p>
    <w:p w14:paraId="11CB1F40" w14:textId="77777777" w:rsidR="00601505" w:rsidRPr="00601505" w:rsidRDefault="00601505" w:rsidP="00601505">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601505">
        <w:rPr>
          <w:rFonts w:ascii="Arial" w:eastAsia="Times New Roman" w:hAnsi="Arial" w:cs="Arial"/>
          <w:color w:val="000000"/>
          <w:kern w:val="0"/>
          <w:sz w:val="22"/>
          <w:szCs w:val="22"/>
          <w:lang w:eastAsia="en-GB"/>
          <w14:ligatures w14:val="none"/>
        </w:rPr>
        <w:t>Alzheimer’s Society (2023) </w:t>
      </w:r>
      <w:r w:rsidRPr="00601505">
        <w:rPr>
          <w:rFonts w:ascii="Arial" w:eastAsia="Times New Roman" w:hAnsi="Arial" w:cs="Arial"/>
          <w:i/>
          <w:iCs/>
          <w:color w:val="000000"/>
          <w:kern w:val="0"/>
          <w:sz w:val="22"/>
          <w:szCs w:val="22"/>
          <w:lang w:eastAsia="en-GB"/>
          <w14:ligatures w14:val="none"/>
        </w:rPr>
        <w:t>Alcohol and the risk of dementia</w:t>
      </w:r>
      <w:r w:rsidRPr="00601505">
        <w:rPr>
          <w:rFonts w:ascii="Arial" w:eastAsia="Times New Roman" w:hAnsi="Arial" w:cs="Arial"/>
          <w:color w:val="000000"/>
          <w:kern w:val="0"/>
          <w:sz w:val="22"/>
          <w:szCs w:val="22"/>
          <w:lang w:eastAsia="en-GB"/>
          <w14:ligatures w14:val="none"/>
        </w:rPr>
        <w:t>. Available at: https://www.alzheimers.org.uk/about-dementia/managing-the-risk-of-dementia/reduce-your-risk-of-dementia/alcohol (Accessed 4 October 2025).</w:t>
      </w:r>
    </w:p>
    <w:p w14:paraId="387A9E6F" w14:textId="77777777" w:rsidR="00601505" w:rsidRPr="00601505" w:rsidRDefault="00601505" w:rsidP="00601505">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601505">
        <w:rPr>
          <w:rFonts w:ascii="Arial" w:eastAsia="Times New Roman" w:hAnsi="Arial" w:cs="Arial"/>
          <w:color w:val="000000"/>
          <w:kern w:val="0"/>
          <w:sz w:val="22"/>
          <w:szCs w:val="22"/>
          <w:lang w:eastAsia="en-GB"/>
          <w14:ligatures w14:val="none"/>
        </w:rPr>
        <w:t>Dementia UK (2023) </w:t>
      </w:r>
      <w:r w:rsidRPr="00601505">
        <w:rPr>
          <w:rFonts w:ascii="Arial" w:eastAsia="Times New Roman" w:hAnsi="Arial" w:cs="Arial"/>
          <w:i/>
          <w:iCs/>
          <w:color w:val="000000"/>
          <w:kern w:val="0"/>
          <w:sz w:val="22"/>
          <w:szCs w:val="22"/>
          <w:lang w:eastAsia="en-GB"/>
          <w14:ligatures w14:val="none"/>
        </w:rPr>
        <w:t>Alcohol and dementia</w:t>
      </w:r>
      <w:r w:rsidRPr="00601505">
        <w:rPr>
          <w:rFonts w:ascii="Arial" w:eastAsia="Times New Roman" w:hAnsi="Arial" w:cs="Arial"/>
          <w:color w:val="000000"/>
          <w:kern w:val="0"/>
          <w:sz w:val="22"/>
          <w:szCs w:val="22"/>
          <w:lang w:eastAsia="en-GB"/>
          <w14:ligatures w14:val="none"/>
        </w:rPr>
        <w:t>. Available at: https://www.dementiauk.org/information-and-support/living-with-dementia/alcohol-and-dementia/ (Accessed 4 October 2025).</w:t>
      </w:r>
    </w:p>
    <w:p w14:paraId="531CED67" w14:textId="77777777" w:rsidR="00601505" w:rsidRPr="00601505" w:rsidRDefault="00601505" w:rsidP="00601505">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601505">
        <w:rPr>
          <w:rFonts w:ascii="Arial" w:eastAsia="Times New Roman" w:hAnsi="Arial" w:cs="Arial"/>
          <w:color w:val="000000"/>
          <w:kern w:val="0"/>
          <w:sz w:val="22"/>
          <w:szCs w:val="22"/>
          <w:lang w:eastAsia="en-GB"/>
          <w14:ligatures w14:val="none"/>
        </w:rPr>
        <w:t xml:space="preserve">Livingston, G., Huntley, J., </w:t>
      </w:r>
      <w:proofErr w:type="spellStart"/>
      <w:r w:rsidRPr="00601505">
        <w:rPr>
          <w:rFonts w:ascii="Arial" w:eastAsia="Times New Roman" w:hAnsi="Arial" w:cs="Arial"/>
          <w:color w:val="000000"/>
          <w:kern w:val="0"/>
          <w:sz w:val="22"/>
          <w:szCs w:val="22"/>
          <w:lang w:eastAsia="en-GB"/>
          <w14:ligatures w14:val="none"/>
        </w:rPr>
        <w:t>Sommerlad</w:t>
      </w:r>
      <w:proofErr w:type="spellEnd"/>
      <w:r w:rsidRPr="00601505">
        <w:rPr>
          <w:rFonts w:ascii="Arial" w:eastAsia="Times New Roman" w:hAnsi="Arial" w:cs="Arial"/>
          <w:color w:val="000000"/>
          <w:kern w:val="0"/>
          <w:sz w:val="22"/>
          <w:szCs w:val="22"/>
          <w:lang w:eastAsia="en-GB"/>
          <w14:ligatures w14:val="none"/>
        </w:rPr>
        <w:t>, A. </w:t>
      </w:r>
      <w:r w:rsidRPr="00601505">
        <w:rPr>
          <w:rFonts w:ascii="Arial" w:eastAsia="Times New Roman" w:hAnsi="Arial" w:cs="Arial"/>
          <w:i/>
          <w:iCs/>
          <w:color w:val="000000"/>
          <w:kern w:val="0"/>
          <w:sz w:val="22"/>
          <w:szCs w:val="22"/>
          <w:lang w:eastAsia="en-GB"/>
          <w14:ligatures w14:val="none"/>
        </w:rPr>
        <w:t>et al.</w:t>
      </w:r>
      <w:r w:rsidRPr="00601505">
        <w:rPr>
          <w:rFonts w:ascii="Arial" w:eastAsia="Times New Roman" w:hAnsi="Arial" w:cs="Arial"/>
          <w:color w:val="000000"/>
          <w:kern w:val="0"/>
          <w:sz w:val="22"/>
          <w:szCs w:val="22"/>
          <w:lang w:eastAsia="en-GB"/>
          <w14:ligatures w14:val="none"/>
        </w:rPr>
        <w:t> (2020) “Dementia prevention, intervention, and care: 2020 report of the Lancet Commission.” </w:t>
      </w:r>
      <w:r w:rsidRPr="00601505">
        <w:rPr>
          <w:rFonts w:ascii="Arial" w:eastAsia="Times New Roman" w:hAnsi="Arial" w:cs="Arial"/>
          <w:i/>
          <w:iCs/>
          <w:color w:val="000000"/>
          <w:kern w:val="0"/>
          <w:sz w:val="22"/>
          <w:szCs w:val="22"/>
          <w:lang w:eastAsia="en-GB"/>
          <w14:ligatures w14:val="none"/>
        </w:rPr>
        <w:t>The Lancet</w:t>
      </w:r>
      <w:r w:rsidRPr="00601505">
        <w:rPr>
          <w:rFonts w:ascii="Arial" w:eastAsia="Times New Roman" w:hAnsi="Arial" w:cs="Arial"/>
          <w:color w:val="000000"/>
          <w:kern w:val="0"/>
          <w:sz w:val="22"/>
          <w:szCs w:val="22"/>
          <w:lang w:eastAsia="en-GB"/>
          <w14:ligatures w14:val="none"/>
        </w:rPr>
        <w:t>, 396(10248), pp. 413–446.</w:t>
      </w:r>
    </w:p>
    <w:p w14:paraId="17CC6389" w14:textId="77777777" w:rsidR="00601505" w:rsidRPr="00601505" w:rsidRDefault="00601505" w:rsidP="00601505">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601505">
        <w:rPr>
          <w:rFonts w:ascii="Arial" w:eastAsia="Times New Roman" w:hAnsi="Arial" w:cs="Arial"/>
          <w:color w:val="000000"/>
          <w:kern w:val="0"/>
          <w:sz w:val="22"/>
          <w:szCs w:val="22"/>
          <w:lang w:eastAsia="en-GB"/>
          <w14:ligatures w14:val="none"/>
        </w:rPr>
        <w:t xml:space="preserve">Topiwala, A., Gao, S., </w:t>
      </w:r>
      <w:proofErr w:type="spellStart"/>
      <w:r w:rsidRPr="00601505">
        <w:rPr>
          <w:rFonts w:ascii="Arial" w:eastAsia="Times New Roman" w:hAnsi="Arial" w:cs="Arial"/>
          <w:color w:val="000000"/>
          <w:kern w:val="0"/>
          <w:sz w:val="22"/>
          <w:szCs w:val="22"/>
          <w:lang w:eastAsia="en-GB"/>
          <w14:ligatures w14:val="none"/>
        </w:rPr>
        <w:t>Algarni</w:t>
      </w:r>
      <w:proofErr w:type="spellEnd"/>
      <w:r w:rsidRPr="00601505">
        <w:rPr>
          <w:rFonts w:ascii="Arial" w:eastAsia="Times New Roman" w:hAnsi="Arial" w:cs="Arial"/>
          <w:color w:val="000000"/>
          <w:kern w:val="0"/>
          <w:sz w:val="22"/>
          <w:szCs w:val="22"/>
          <w:lang w:eastAsia="en-GB"/>
          <w14:ligatures w14:val="none"/>
        </w:rPr>
        <w:t>, M. </w:t>
      </w:r>
      <w:r w:rsidRPr="00601505">
        <w:rPr>
          <w:rFonts w:ascii="Arial" w:eastAsia="Times New Roman" w:hAnsi="Arial" w:cs="Arial"/>
          <w:i/>
          <w:iCs/>
          <w:color w:val="000000"/>
          <w:kern w:val="0"/>
          <w:sz w:val="22"/>
          <w:szCs w:val="22"/>
          <w:lang w:eastAsia="en-GB"/>
          <w14:ligatures w14:val="none"/>
        </w:rPr>
        <w:t>et al.</w:t>
      </w:r>
      <w:r w:rsidRPr="00601505">
        <w:rPr>
          <w:rFonts w:ascii="Arial" w:eastAsia="Times New Roman" w:hAnsi="Arial" w:cs="Arial"/>
          <w:color w:val="000000"/>
          <w:kern w:val="0"/>
          <w:sz w:val="22"/>
          <w:szCs w:val="22"/>
          <w:lang w:eastAsia="en-GB"/>
          <w14:ligatures w14:val="none"/>
        </w:rPr>
        <w:t> (2025) “Alcohol use and risk of dementia in diverse populations: evidence from cohort, case–control and Mendelian randomisation approaches.” </w:t>
      </w:r>
      <w:r w:rsidRPr="00601505">
        <w:rPr>
          <w:rFonts w:ascii="Arial" w:eastAsia="Times New Roman" w:hAnsi="Arial" w:cs="Arial"/>
          <w:i/>
          <w:iCs/>
          <w:color w:val="000000"/>
          <w:kern w:val="0"/>
          <w:sz w:val="22"/>
          <w:szCs w:val="22"/>
          <w:lang w:eastAsia="en-GB"/>
          <w14:ligatures w14:val="none"/>
        </w:rPr>
        <w:t>BMJ Evidence-Based Medicine</w:t>
      </w:r>
      <w:r w:rsidRPr="00601505">
        <w:rPr>
          <w:rFonts w:ascii="Arial" w:eastAsia="Times New Roman" w:hAnsi="Arial" w:cs="Arial"/>
          <w:color w:val="000000"/>
          <w:kern w:val="0"/>
          <w:sz w:val="22"/>
          <w:szCs w:val="22"/>
          <w:lang w:eastAsia="en-GB"/>
          <w14:ligatures w14:val="none"/>
        </w:rPr>
        <w:t>, [Online ahead of print]. Available at: PubMed ID 37794147.</w:t>
      </w:r>
    </w:p>
    <w:p w14:paraId="17132D74" w14:textId="77777777" w:rsidR="00601505" w:rsidRPr="00601505" w:rsidRDefault="00601505" w:rsidP="00601505">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601505">
        <w:rPr>
          <w:rFonts w:ascii="Arial" w:eastAsia="Times New Roman" w:hAnsi="Arial" w:cs="Arial"/>
          <w:color w:val="000000"/>
          <w:kern w:val="0"/>
          <w:sz w:val="22"/>
          <w:szCs w:val="22"/>
          <w:lang w:eastAsia="en-GB"/>
          <w14:ligatures w14:val="none"/>
        </w:rPr>
        <w:t xml:space="preserve">Sabia, S., </w:t>
      </w:r>
      <w:proofErr w:type="spellStart"/>
      <w:r w:rsidRPr="00601505">
        <w:rPr>
          <w:rFonts w:ascii="Arial" w:eastAsia="Times New Roman" w:hAnsi="Arial" w:cs="Arial"/>
          <w:color w:val="000000"/>
          <w:kern w:val="0"/>
          <w:sz w:val="22"/>
          <w:szCs w:val="22"/>
          <w:lang w:eastAsia="en-GB"/>
          <w14:ligatures w14:val="none"/>
        </w:rPr>
        <w:t>Fayosse</w:t>
      </w:r>
      <w:proofErr w:type="spellEnd"/>
      <w:r w:rsidRPr="00601505">
        <w:rPr>
          <w:rFonts w:ascii="Arial" w:eastAsia="Times New Roman" w:hAnsi="Arial" w:cs="Arial"/>
          <w:color w:val="000000"/>
          <w:kern w:val="0"/>
          <w:sz w:val="22"/>
          <w:szCs w:val="22"/>
          <w:lang w:eastAsia="en-GB"/>
          <w14:ligatures w14:val="none"/>
        </w:rPr>
        <w:t xml:space="preserve">, A., </w:t>
      </w:r>
      <w:proofErr w:type="spellStart"/>
      <w:r w:rsidRPr="00601505">
        <w:rPr>
          <w:rFonts w:ascii="Arial" w:eastAsia="Times New Roman" w:hAnsi="Arial" w:cs="Arial"/>
          <w:color w:val="000000"/>
          <w:kern w:val="0"/>
          <w:sz w:val="22"/>
          <w:szCs w:val="22"/>
          <w:lang w:eastAsia="en-GB"/>
          <w14:ligatures w14:val="none"/>
        </w:rPr>
        <w:t>Dumurgier</w:t>
      </w:r>
      <w:proofErr w:type="spellEnd"/>
      <w:r w:rsidRPr="00601505">
        <w:rPr>
          <w:rFonts w:ascii="Arial" w:eastAsia="Times New Roman" w:hAnsi="Arial" w:cs="Arial"/>
          <w:color w:val="000000"/>
          <w:kern w:val="0"/>
          <w:sz w:val="22"/>
          <w:szCs w:val="22"/>
          <w:lang w:eastAsia="en-GB"/>
          <w14:ligatures w14:val="none"/>
        </w:rPr>
        <w:t>, J. </w:t>
      </w:r>
      <w:r w:rsidRPr="00601505">
        <w:rPr>
          <w:rFonts w:ascii="Arial" w:eastAsia="Times New Roman" w:hAnsi="Arial" w:cs="Arial"/>
          <w:i/>
          <w:iCs/>
          <w:color w:val="000000"/>
          <w:kern w:val="0"/>
          <w:sz w:val="22"/>
          <w:szCs w:val="22"/>
          <w:lang w:eastAsia="en-GB"/>
          <w14:ligatures w14:val="none"/>
        </w:rPr>
        <w:t>et al.</w:t>
      </w:r>
      <w:r w:rsidRPr="00601505">
        <w:rPr>
          <w:rFonts w:ascii="Arial" w:eastAsia="Times New Roman" w:hAnsi="Arial" w:cs="Arial"/>
          <w:color w:val="000000"/>
          <w:kern w:val="0"/>
          <w:sz w:val="22"/>
          <w:szCs w:val="22"/>
          <w:lang w:eastAsia="en-GB"/>
          <w14:ligatures w14:val="none"/>
        </w:rPr>
        <w:t xml:space="preserve"> (2018) “Alcohol consumption and risk of dementia: </w:t>
      </w:r>
      <w:proofErr w:type="gramStart"/>
      <w:r w:rsidRPr="00601505">
        <w:rPr>
          <w:rFonts w:ascii="Arial" w:eastAsia="Times New Roman" w:hAnsi="Arial" w:cs="Arial"/>
          <w:color w:val="000000"/>
          <w:kern w:val="0"/>
          <w:sz w:val="22"/>
          <w:szCs w:val="22"/>
          <w:lang w:eastAsia="en-GB"/>
          <w14:ligatures w14:val="none"/>
        </w:rPr>
        <w:t>23 year</w:t>
      </w:r>
      <w:proofErr w:type="gramEnd"/>
      <w:r w:rsidRPr="00601505">
        <w:rPr>
          <w:rFonts w:ascii="Arial" w:eastAsia="Times New Roman" w:hAnsi="Arial" w:cs="Arial"/>
          <w:color w:val="000000"/>
          <w:kern w:val="0"/>
          <w:sz w:val="22"/>
          <w:szCs w:val="22"/>
          <w:lang w:eastAsia="en-GB"/>
          <w14:ligatures w14:val="none"/>
        </w:rPr>
        <w:t xml:space="preserve"> follow-up of Whitehall II cohort study.” </w:t>
      </w:r>
      <w:r w:rsidRPr="00601505">
        <w:rPr>
          <w:rFonts w:ascii="Arial" w:eastAsia="Times New Roman" w:hAnsi="Arial" w:cs="Arial"/>
          <w:i/>
          <w:iCs/>
          <w:color w:val="000000"/>
          <w:kern w:val="0"/>
          <w:sz w:val="22"/>
          <w:szCs w:val="22"/>
          <w:lang w:eastAsia="en-GB"/>
          <w14:ligatures w14:val="none"/>
        </w:rPr>
        <w:t>BMJ</w:t>
      </w:r>
      <w:r w:rsidRPr="00601505">
        <w:rPr>
          <w:rFonts w:ascii="Arial" w:eastAsia="Times New Roman" w:hAnsi="Arial" w:cs="Arial"/>
          <w:color w:val="000000"/>
          <w:kern w:val="0"/>
          <w:sz w:val="22"/>
          <w:szCs w:val="22"/>
          <w:lang w:eastAsia="en-GB"/>
          <w14:ligatures w14:val="none"/>
        </w:rPr>
        <w:t>, 362, k2927.</w:t>
      </w:r>
    </w:p>
    <w:p w14:paraId="55C374D6" w14:textId="77777777" w:rsidR="00601505" w:rsidRPr="00601505" w:rsidRDefault="00601505" w:rsidP="00601505">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601505">
        <w:rPr>
          <w:rFonts w:ascii="Arial" w:eastAsia="Times New Roman" w:hAnsi="Arial" w:cs="Arial"/>
          <w:color w:val="000000"/>
          <w:kern w:val="0"/>
          <w:sz w:val="22"/>
          <w:szCs w:val="22"/>
          <w:lang w:eastAsia="en-GB"/>
          <w14:ligatures w14:val="none"/>
        </w:rPr>
        <w:t>Davies, N. </w:t>
      </w:r>
      <w:r w:rsidRPr="00601505">
        <w:rPr>
          <w:rFonts w:ascii="Arial" w:eastAsia="Times New Roman" w:hAnsi="Arial" w:cs="Arial"/>
          <w:i/>
          <w:iCs/>
          <w:color w:val="000000"/>
          <w:kern w:val="0"/>
          <w:sz w:val="22"/>
          <w:szCs w:val="22"/>
          <w:lang w:eastAsia="en-GB"/>
          <w14:ligatures w14:val="none"/>
        </w:rPr>
        <w:t>et al.</w:t>
      </w:r>
      <w:r w:rsidRPr="00601505">
        <w:rPr>
          <w:rFonts w:ascii="Arial" w:eastAsia="Times New Roman" w:hAnsi="Arial" w:cs="Arial"/>
          <w:color w:val="000000"/>
          <w:kern w:val="0"/>
          <w:sz w:val="22"/>
          <w:szCs w:val="22"/>
          <w:lang w:eastAsia="en-GB"/>
          <w14:ligatures w14:val="none"/>
        </w:rPr>
        <w:t> (2022) “Cognitive impairment among alcohol treatment service users in South Wales: an exploratory examination of typologies of behaviour, impairment, and service attendance.” </w:t>
      </w:r>
      <w:r w:rsidRPr="00601505">
        <w:rPr>
          <w:rFonts w:ascii="Arial" w:eastAsia="Times New Roman" w:hAnsi="Arial" w:cs="Arial"/>
          <w:i/>
          <w:iCs/>
          <w:color w:val="000000"/>
          <w:kern w:val="0"/>
          <w:sz w:val="22"/>
          <w:szCs w:val="22"/>
          <w:lang w:eastAsia="en-GB"/>
          <w14:ligatures w14:val="none"/>
        </w:rPr>
        <w:t>PLOS ONE</w:t>
      </w:r>
      <w:r w:rsidRPr="00601505">
        <w:rPr>
          <w:rFonts w:ascii="Arial" w:eastAsia="Times New Roman" w:hAnsi="Arial" w:cs="Arial"/>
          <w:color w:val="000000"/>
          <w:kern w:val="0"/>
          <w:sz w:val="22"/>
          <w:szCs w:val="22"/>
          <w:lang w:eastAsia="en-GB"/>
          <w14:ligatures w14:val="none"/>
        </w:rPr>
        <w:t>, 17(10): e0275919.</w:t>
      </w:r>
    </w:p>
    <w:p w14:paraId="46660A56" w14:textId="77777777" w:rsidR="00601505" w:rsidRPr="00601505" w:rsidRDefault="00601505" w:rsidP="00601505">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601505">
        <w:rPr>
          <w:rFonts w:ascii="Arial" w:eastAsia="Times New Roman" w:hAnsi="Arial" w:cs="Arial"/>
          <w:color w:val="000000"/>
          <w:kern w:val="0"/>
          <w:sz w:val="22"/>
          <w:szCs w:val="22"/>
          <w:lang w:eastAsia="en-GB"/>
          <w14:ligatures w14:val="none"/>
        </w:rPr>
        <w:t>Jones, L., Owens, L., Thompson, A., Gilmore, I. and Richardson, P. (2023) “Informing the development of diagnostic criteria for differential diagnosis of alcohol-related cognitive impairment among heavy drinkers: A systematic scoping review.” </w:t>
      </w:r>
      <w:r w:rsidRPr="00601505">
        <w:rPr>
          <w:rFonts w:ascii="Arial" w:eastAsia="Times New Roman" w:hAnsi="Arial" w:cs="Arial"/>
          <w:i/>
          <w:iCs/>
          <w:color w:val="000000"/>
          <w:kern w:val="0"/>
          <w:sz w:val="22"/>
          <w:szCs w:val="22"/>
          <w:lang w:eastAsia="en-GB"/>
          <w14:ligatures w14:val="none"/>
        </w:rPr>
        <w:t>PLOS ONE</w:t>
      </w:r>
      <w:r w:rsidRPr="00601505">
        <w:rPr>
          <w:rFonts w:ascii="Arial" w:eastAsia="Times New Roman" w:hAnsi="Arial" w:cs="Arial"/>
          <w:color w:val="000000"/>
          <w:kern w:val="0"/>
          <w:sz w:val="22"/>
          <w:szCs w:val="22"/>
          <w:lang w:eastAsia="en-GB"/>
          <w14:ligatures w14:val="none"/>
        </w:rPr>
        <w:t>, 18(2): e0280749.</w:t>
      </w:r>
    </w:p>
    <w:p w14:paraId="53A761DA" w14:textId="77777777" w:rsidR="00601505" w:rsidRPr="00601505" w:rsidRDefault="00601505" w:rsidP="00601505">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601505">
        <w:rPr>
          <w:rFonts w:ascii="Arial" w:eastAsia="Times New Roman" w:hAnsi="Arial" w:cs="Arial"/>
          <w:color w:val="000000"/>
          <w:kern w:val="0"/>
          <w:sz w:val="22"/>
          <w:szCs w:val="22"/>
          <w:lang w:eastAsia="en-GB"/>
          <w14:ligatures w14:val="none"/>
        </w:rPr>
        <w:t>Quelch, D., Davies, N., John, B. </w:t>
      </w:r>
      <w:r w:rsidRPr="00601505">
        <w:rPr>
          <w:rFonts w:ascii="Arial" w:eastAsia="Times New Roman" w:hAnsi="Arial" w:cs="Arial"/>
          <w:i/>
          <w:iCs/>
          <w:color w:val="000000"/>
          <w:kern w:val="0"/>
          <w:sz w:val="22"/>
          <w:szCs w:val="22"/>
          <w:lang w:eastAsia="en-GB"/>
          <w14:ligatures w14:val="none"/>
        </w:rPr>
        <w:t>et al.</w:t>
      </w:r>
      <w:r w:rsidRPr="00601505">
        <w:rPr>
          <w:rFonts w:ascii="Arial" w:eastAsia="Times New Roman" w:hAnsi="Arial" w:cs="Arial"/>
          <w:color w:val="000000"/>
          <w:kern w:val="0"/>
          <w:sz w:val="22"/>
          <w:szCs w:val="22"/>
          <w:lang w:eastAsia="en-GB"/>
          <w14:ligatures w14:val="none"/>
        </w:rPr>
        <w:t> (2025) “Outcomes from a national consensus event targeting service development strategies for alcohol related brain damage.” </w:t>
      </w:r>
      <w:r w:rsidRPr="00601505">
        <w:rPr>
          <w:rFonts w:ascii="Arial" w:eastAsia="Times New Roman" w:hAnsi="Arial" w:cs="Arial"/>
          <w:i/>
          <w:iCs/>
          <w:color w:val="000000"/>
          <w:kern w:val="0"/>
          <w:sz w:val="22"/>
          <w:szCs w:val="22"/>
          <w:lang w:eastAsia="en-GB"/>
          <w14:ligatures w14:val="none"/>
        </w:rPr>
        <w:t>Alcoholism Treatment Quarterly</w:t>
      </w:r>
      <w:r w:rsidRPr="00601505">
        <w:rPr>
          <w:rFonts w:ascii="Arial" w:eastAsia="Times New Roman" w:hAnsi="Arial" w:cs="Arial"/>
          <w:color w:val="000000"/>
          <w:kern w:val="0"/>
          <w:sz w:val="22"/>
          <w:szCs w:val="22"/>
          <w:lang w:eastAsia="en-GB"/>
          <w14:ligatures w14:val="none"/>
        </w:rPr>
        <w:t>, (Early Online). DOI: 10.1080/07347324.2025.2579313.</w:t>
      </w:r>
    </w:p>
    <w:p w14:paraId="5761D584" w14:textId="77777777" w:rsidR="00601505" w:rsidRPr="00601505" w:rsidRDefault="00601505" w:rsidP="00601505">
      <w:pPr>
        <w:spacing w:before="100" w:beforeAutospacing="1" w:after="100" w:afterAutospacing="1" w:line="240" w:lineRule="auto"/>
        <w:rPr>
          <w:rFonts w:ascii="Arial" w:eastAsia="Times New Roman" w:hAnsi="Arial" w:cs="Arial"/>
          <w:color w:val="000000"/>
          <w:kern w:val="0"/>
          <w:sz w:val="22"/>
          <w:szCs w:val="22"/>
          <w:lang w:eastAsia="en-GB"/>
          <w14:ligatures w14:val="none"/>
        </w:rPr>
      </w:pPr>
      <w:proofErr w:type="spellStart"/>
      <w:r w:rsidRPr="00601505">
        <w:rPr>
          <w:rFonts w:ascii="Arial" w:eastAsia="Times New Roman" w:hAnsi="Arial" w:cs="Arial"/>
          <w:color w:val="000000"/>
          <w:kern w:val="0"/>
          <w:sz w:val="22"/>
          <w:szCs w:val="22"/>
          <w:lang w:eastAsia="en-GB"/>
          <w14:ligatures w14:val="none"/>
        </w:rPr>
        <w:lastRenderedPageBreak/>
        <w:t>Heirene</w:t>
      </w:r>
      <w:proofErr w:type="spellEnd"/>
      <w:r w:rsidRPr="00601505">
        <w:rPr>
          <w:rFonts w:ascii="Arial" w:eastAsia="Times New Roman" w:hAnsi="Arial" w:cs="Arial"/>
          <w:color w:val="000000"/>
          <w:kern w:val="0"/>
          <w:sz w:val="22"/>
          <w:szCs w:val="22"/>
          <w:lang w:eastAsia="en-GB"/>
          <w14:ligatures w14:val="none"/>
        </w:rPr>
        <w:t>, R., John, B., O’Hanrahan, M. </w:t>
      </w:r>
      <w:r w:rsidRPr="00601505">
        <w:rPr>
          <w:rFonts w:ascii="Arial" w:eastAsia="Times New Roman" w:hAnsi="Arial" w:cs="Arial"/>
          <w:i/>
          <w:iCs/>
          <w:color w:val="000000"/>
          <w:kern w:val="0"/>
          <w:sz w:val="22"/>
          <w:szCs w:val="22"/>
          <w:lang w:eastAsia="en-GB"/>
          <w14:ligatures w14:val="none"/>
        </w:rPr>
        <w:t>et al.</w:t>
      </w:r>
      <w:r w:rsidRPr="00601505">
        <w:rPr>
          <w:rFonts w:ascii="Arial" w:eastAsia="Times New Roman" w:hAnsi="Arial" w:cs="Arial"/>
          <w:color w:val="000000"/>
          <w:kern w:val="0"/>
          <w:sz w:val="22"/>
          <w:szCs w:val="22"/>
          <w:lang w:eastAsia="en-GB"/>
          <w14:ligatures w14:val="none"/>
        </w:rPr>
        <w:t> (2021) “Professional perspectives on supporting those with Alcohol-Related Neurocognitive Disorders: challenges and effective treatment.” </w:t>
      </w:r>
      <w:r w:rsidRPr="00601505">
        <w:rPr>
          <w:rFonts w:ascii="Arial" w:eastAsia="Times New Roman" w:hAnsi="Arial" w:cs="Arial"/>
          <w:i/>
          <w:iCs/>
          <w:color w:val="000000"/>
          <w:kern w:val="0"/>
          <w:sz w:val="22"/>
          <w:szCs w:val="22"/>
          <w:lang w:eastAsia="en-GB"/>
          <w14:ligatures w14:val="none"/>
        </w:rPr>
        <w:t>Alcoholism Treatment Quarterly</w:t>
      </w:r>
      <w:r w:rsidRPr="00601505">
        <w:rPr>
          <w:rFonts w:ascii="Arial" w:eastAsia="Times New Roman" w:hAnsi="Arial" w:cs="Arial"/>
          <w:color w:val="000000"/>
          <w:kern w:val="0"/>
          <w:sz w:val="22"/>
          <w:szCs w:val="22"/>
          <w:lang w:eastAsia="en-GB"/>
          <w14:ligatures w14:val="none"/>
        </w:rPr>
        <w:t>, 39(4), pp. 367–384.</w:t>
      </w:r>
    </w:p>
    <w:p w14:paraId="5F490351" w14:textId="77777777" w:rsidR="00601505" w:rsidRPr="00601505" w:rsidRDefault="00601505" w:rsidP="00601505">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601505">
        <w:rPr>
          <w:rFonts w:ascii="Arial" w:eastAsia="Times New Roman" w:hAnsi="Arial" w:cs="Arial"/>
          <w:color w:val="000000"/>
          <w:kern w:val="0"/>
          <w:sz w:val="22"/>
          <w:szCs w:val="22"/>
          <w:lang w:eastAsia="en-GB"/>
          <w14:ligatures w14:val="none"/>
        </w:rPr>
        <w:t>Public Health England (2021) </w:t>
      </w:r>
      <w:r w:rsidRPr="00601505">
        <w:rPr>
          <w:rFonts w:ascii="Arial" w:eastAsia="Times New Roman" w:hAnsi="Arial" w:cs="Arial"/>
          <w:i/>
          <w:iCs/>
          <w:color w:val="000000"/>
          <w:kern w:val="0"/>
          <w:sz w:val="22"/>
          <w:szCs w:val="22"/>
          <w:lang w:eastAsia="en-GB"/>
          <w14:ligatures w14:val="none"/>
        </w:rPr>
        <w:t>Health matters: midlife approaches to reduce dementia risk</w:t>
      </w:r>
      <w:r w:rsidRPr="00601505">
        <w:rPr>
          <w:rFonts w:ascii="Arial" w:eastAsia="Times New Roman" w:hAnsi="Arial" w:cs="Arial"/>
          <w:color w:val="000000"/>
          <w:kern w:val="0"/>
          <w:sz w:val="22"/>
          <w:szCs w:val="22"/>
          <w:lang w:eastAsia="en-GB"/>
          <w14:ligatures w14:val="none"/>
        </w:rPr>
        <w:t>. London: PHE. (Contains UK statistics and risk factor information).</w:t>
      </w:r>
    </w:p>
    <w:p w14:paraId="0F111684" w14:textId="77777777" w:rsidR="00601505" w:rsidRPr="00601505" w:rsidRDefault="00601505" w:rsidP="00601505">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601505">
        <w:rPr>
          <w:rFonts w:ascii="Arial" w:eastAsia="Times New Roman" w:hAnsi="Arial" w:cs="Arial"/>
          <w:color w:val="000000"/>
          <w:kern w:val="0"/>
          <w:sz w:val="22"/>
          <w:szCs w:val="22"/>
          <w:lang w:eastAsia="en-GB"/>
          <w14:ligatures w14:val="none"/>
        </w:rPr>
        <w:t>Alzheimer’s Research UK (2019) </w:t>
      </w:r>
      <w:r w:rsidRPr="00601505">
        <w:rPr>
          <w:rFonts w:ascii="Arial" w:eastAsia="Times New Roman" w:hAnsi="Arial" w:cs="Arial"/>
          <w:i/>
          <w:iCs/>
          <w:color w:val="000000"/>
          <w:kern w:val="0"/>
          <w:sz w:val="22"/>
          <w:szCs w:val="22"/>
          <w:lang w:eastAsia="en-GB"/>
          <w14:ligatures w14:val="none"/>
        </w:rPr>
        <w:t>Alcohol intake linked to dementia risk</w:t>
      </w:r>
      <w:r w:rsidRPr="00601505">
        <w:rPr>
          <w:rFonts w:ascii="Arial" w:eastAsia="Times New Roman" w:hAnsi="Arial" w:cs="Arial"/>
          <w:color w:val="000000"/>
          <w:kern w:val="0"/>
          <w:sz w:val="22"/>
          <w:szCs w:val="22"/>
          <w:lang w:eastAsia="en-GB"/>
          <w14:ligatures w14:val="none"/>
        </w:rPr>
        <w:t> (News, 27 September 2019). Available at: https://www.alzheimersresearchuk.org/news/alcohol-later-life-dementia-risk/ (Accessed 5 October 2025).</w:t>
      </w:r>
    </w:p>
    <w:p w14:paraId="1D99827F" w14:textId="77777777" w:rsidR="00601505" w:rsidRPr="00601505" w:rsidRDefault="00601505" w:rsidP="00601505">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601505">
        <w:rPr>
          <w:rFonts w:ascii="Arial" w:eastAsia="Times New Roman" w:hAnsi="Arial" w:cs="Arial"/>
          <w:color w:val="000000"/>
          <w:kern w:val="0"/>
          <w:sz w:val="22"/>
          <w:szCs w:val="22"/>
          <w:lang w:eastAsia="en-GB"/>
          <w14:ligatures w14:val="none"/>
        </w:rPr>
        <w:t>NICE (2018) </w:t>
      </w:r>
      <w:r w:rsidRPr="00601505">
        <w:rPr>
          <w:rFonts w:ascii="Arial" w:eastAsia="Times New Roman" w:hAnsi="Arial" w:cs="Arial"/>
          <w:i/>
          <w:iCs/>
          <w:color w:val="000000"/>
          <w:kern w:val="0"/>
          <w:sz w:val="22"/>
          <w:szCs w:val="22"/>
          <w:lang w:eastAsia="en-GB"/>
          <w14:ligatures w14:val="none"/>
        </w:rPr>
        <w:t>Dementia: assessment, management and support for people living with dementia and their carers</w:t>
      </w:r>
      <w:r w:rsidRPr="00601505">
        <w:rPr>
          <w:rFonts w:ascii="Arial" w:eastAsia="Times New Roman" w:hAnsi="Arial" w:cs="Arial"/>
          <w:color w:val="000000"/>
          <w:kern w:val="0"/>
          <w:sz w:val="22"/>
          <w:szCs w:val="22"/>
          <w:lang w:eastAsia="en-GB"/>
          <w14:ligatures w14:val="none"/>
        </w:rPr>
        <w:t> (NICE Guideline NG97). London: National Institute for Health and Care Excellence.</w:t>
      </w:r>
    </w:p>
    <w:p w14:paraId="253012FC" w14:textId="77777777" w:rsidR="00601505" w:rsidRPr="00601505" w:rsidRDefault="00601505" w:rsidP="00601505">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601505">
        <w:rPr>
          <w:rFonts w:ascii="Arial" w:eastAsia="Times New Roman" w:hAnsi="Arial" w:cs="Arial"/>
          <w:color w:val="000000"/>
          <w:kern w:val="0"/>
          <w:sz w:val="22"/>
          <w:szCs w:val="22"/>
          <w:lang w:eastAsia="en-GB"/>
          <w14:ligatures w14:val="none"/>
        </w:rPr>
        <w:t>NICE (2011) </w:t>
      </w:r>
      <w:r w:rsidRPr="00601505">
        <w:rPr>
          <w:rFonts w:ascii="Arial" w:eastAsia="Times New Roman" w:hAnsi="Arial" w:cs="Arial"/>
          <w:i/>
          <w:iCs/>
          <w:color w:val="000000"/>
          <w:kern w:val="0"/>
          <w:sz w:val="22"/>
          <w:szCs w:val="22"/>
          <w:lang w:eastAsia="en-GB"/>
          <w14:ligatures w14:val="none"/>
        </w:rPr>
        <w:t xml:space="preserve">Alcohol-use disorders: diagnosis, assessment and management of harmful drinking and alcohol </w:t>
      </w:r>
      <w:proofErr w:type="gramStart"/>
      <w:r w:rsidRPr="00601505">
        <w:rPr>
          <w:rFonts w:ascii="Arial" w:eastAsia="Times New Roman" w:hAnsi="Arial" w:cs="Arial"/>
          <w:i/>
          <w:iCs/>
          <w:color w:val="000000"/>
          <w:kern w:val="0"/>
          <w:sz w:val="22"/>
          <w:szCs w:val="22"/>
          <w:lang w:eastAsia="en-GB"/>
          <w14:ligatures w14:val="none"/>
        </w:rPr>
        <w:t>dependence</w:t>
      </w:r>
      <w:r w:rsidRPr="00601505">
        <w:rPr>
          <w:rFonts w:ascii="Arial" w:eastAsia="Times New Roman" w:hAnsi="Arial" w:cs="Arial"/>
          <w:color w:val="000000"/>
          <w:kern w:val="0"/>
          <w:sz w:val="22"/>
          <w:szCs w:val="22"/>
          <w:lang w:eastAsia="en-GB"/>
          <w14:ligatures w14:val="none"/>
        </w:rPr>
        <w:t>(</w:t>
      </w:r>
      <w:proofErr w:type="gramEnd"/>
      <w:r w:rsidRPr="00601505">
        <w:rPr>
          <w:rFonts w:ascii="Arial" w:eastAsia="Times New Roman" w:hAnsi="Arial" w:cs="Arial"/>
          <w:color w:val="000000"/>
          <w:kern w:val="0"/>
          <w:sz w:val="22"/>
          <w:szCs w:val="22"/>
          <w:lang w:eastAsia="en-GB"/>
          <w14:ligatures w14:val="none"/>
        </w:rPr>
        <w:t>Clinical Guideline CG115). London: National Institute for Health and Care Excellence.</w:t>
      </w:r>
    </w:p>
    <w:p w14:paraId="5292A906" w14:textId="77777777" w:rsidR="00601505" w:rsidRPr="00192574" w:rsidRDefault="00601505">
      <w:pPr>
        <w:rPr>
          <w:rFonts w:ascii="Arial" w:hAnsi="Arial" w:cs="Arial"/>
          <w:sz w:val="22"/>
          <w:szCs w:val="22"/>
        </w:rPr>
      </w:pPr>
    </w:p>
    <w:sectPr w:rsidR="00601505" w:rsidRPr="001925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77E1A"/>
    <w:multiLevelType w:val="multilevel"/>
    <w:tmpl w:val="E138C8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3674F61"/>
    <w:multiLevelType w:val="multilevel"/>
    <w:tmpl w:val="E8E8AE4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F8D67AA"/>
    <w:multiLevelType w:val="multilevel"/>
    <w:tmpl w:val="68CCF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F3F1623"/>
    <w:multiLevelType w:val="multilevel"/>
    <w:tmpl w:val="D58027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0FB28F4"/>
    <w:multiLevelType w:val="multilevel"/>
    <w:tmpl w:val="B5A4D6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2A32AA1"/>
    <w:multiLevelType w:val="multilevel"/>
    <w:tmpl w:val="18AE1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A891FED"/>
    <w:multiLevelType w:val="multilevel"/>
    <w:tmpl w:val="F4342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ABD0A8A"/>
    <w:multiLevelType w:val="multilevel"/>
    <w:tmpl w:val="1C427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1DE04B3"/>
    <w:multiLevelType w:val="multilevel"/>
    <w:tmpl w:val="110C5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5E44ABA"/>
    <w:multiLevelType w:val="multilevel"/>
    <w:tmpl w:val="19E6F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67F3F53"/>
    <w:multiLevelType w:val="multilevel"/>
    <w:tmpl w:val="47E6C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2044027">
    <w:abstractNumId w:val="1"/>
  </w:num>
  <w:num w:numId="2" w16cid:durableId="112797386">
    <w:abstractNumId w:val="9"/>
  </w:num>
  <w:num w:numId="3" w16cid:durableId="1352099737">
    <w:abstractNumId w:val="4"/>
  </w:num>
  <w:num w:numId="4" w16cid:durableId="1372269982">
    <w:abstractNumId w:val="10"/>
  </w:num>
  <w:num w:numId="5" w16cid:durableId="926498351">
    <w:abstractNumId w:val="6"/>
  </w:num>
  <w:num w:numId="6" w16cid:durableId="160435384">
    <w:abstractNumId w:val="5"/>
  </w:num>
  <w:num w:numId="7" w16cid:durableId="1505167286">
    <w:abstractNumId w:val="3"/>
  </w:num>
  <w:num w:numId="8" w16cid:durableId="1537424597">
    <w:abstractNumId w:val="7"/>
  </w:num>
  <w:num w:numId="9" w16cid:durableId="1636136311">
    <w:abstractNumId w:val="0"/>
  </w:num>
  <w:num w:numId="10" w16cid:durableId="67457541">
    <w:abstractNumId w:val="2"/>
  </w:num>
  <w:num w:numId="11" w16cid:durableId="150551540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1505"/>
    <w:rsid w:val="000E7BD8"/>
    <w:rsid w:val="00192574"/>
    <w:rsid w:val="00370EDA"/>
    <w:rsid w:val="00601505"/>
    <w:rsid w:val="008E4F1C"/>
    <w:rsid w:val="00B012FC"/>
    <w:rsid w:val="00B62417"/>
    <w:rsid w:val="00C50F9C"/>
    <w:rsid w:val="00C91A96"/>
    <w:rsid w:val="00EF25EB"/>
    <w:rsid w:val="00F651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B8FB8F"/>
  <w15:chartTrackingRefBased/>
  <w15:docId w15:val="{EBF3394E-0746-C24C-8533-28614B051A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0150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0150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0150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60150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0150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0150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0150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0150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0150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150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0150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0150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60150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0150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0150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150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150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1505"/>
    <w:rPr>
      <w:rFonts w:eastAsiaTheme="majorEastAsia" w:cstheme="majorBidi"/>
      <w:color w:val="272727" w:themeColor="text1" w:themeTint="D8"/>
    </w:rPr>
  </w:style>
  <w:style w:type="paragraph" w:styleId="Title">
    <w:name w:val="Title"/>
    <w:basedOn w:val="Normal"/>
    <w:next w:val="Normal"/>
    <w:link w:val="TitleChar"/>
    <w:uiPriority w:val="10"/>
    <w:qFormat/>
    <w:rsid w:val="0060150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150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150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0150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1505"/>
    <w:pPr>
      <w:spacing w:before="160"/>
      <w:jc w:val="center"/>
    </w:pPr>
    <w:rPr>
      <w:i/>
      <w:iCs/>
      <w:color w:val="404040" w:themeColor="text1" w:themeTint="BF"/>
    </w:rPr>
  </w:style>
  <w:style w:type="character" w:customStyle="1" w:styleId="QuoteChar">
    <w:name w:val="Quote Char"/>
    <w:basedOn w:val="DefaultParagraphFont"/>
    <w:link w:val="Quote"/>
    <w:uiPriority w:val="29"/>
    <w:rsid w:val="00601505"/>
    <w:rPr>
      <w:i/>
      <w:iCs/>
      <w:color w:val="404040" w:themeColor="text1" w:themeTint="BF"/>
    </w:rPr>
  </w:style>
  <w:style w:type="paragraph" w:styleId="ListParagraph">
    <w:name w:val="List Paragraph"/>
    <w:basedOn w:val="Normal"/>
    <w:uiPriority w:val="34"/>
    <w:qFormat/>
    <w:rsid w:val="00601505"/>
    <w:pPr>
      <w:ind w:left="720"/>
      <w:contextualSpacing/>
    </w:pPr>
  </w:style>
  <w:style w:type="character" w:styleId="IntenseEmphasis">
    <w:name w:val="Intense Emphasis"/>
    <w:basedOn w:val="DefaultParagraphFont"/>
    <w:uiPriority w:val="21"/>
    <w:qFormat/>
    <w:rsid w:val="00601505"/>
    <w:rPr>
      <w:i/>
      <w:iCs/>
      <w:color w:val="0F4761" w:themeColor="accent1" w:themeShade="BF"/>
    </w:rPr>
  </w:style>
  <w:style w:type="paragraph" w:styleId="IntenseQuote">
    <w:name w:val="Intense Quote"/>
    <w:basedOn w:val="Normal"/>
    <w:next w:val="Normal"/>
    <w:link w:val="IntenseQuoteChar"/>
    <w:uiPriority w:val="30"/>
    <w:qFormat/>
    <w:rsid w:val="0060150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01505"/>
    <w:rPr>
      <w:i/>
      <w:iCs/>
      <w:color w:val="0F4761" w:themeColor="accent1" w:themeShade="BF"/>
    </w:rPr>
  </w:style>
  <w:style w:type="character" w:styleId="IntenseReference">
    <w:name w:val="Intense Reference"/>
    <w:basedOn w:val="DefaultParagraphFont"/>
    <w:uiPriority w:val="32"/>
    <w:qFormat/>
    <w:rsid w:val="00601505"/>
    <w:rPr>
      <w:b/>
      <w:bCs/>
      <w:smallCaps/>
      <w:color w:val="0F4761" w:themeColor="accent1" w:themeShade="BF"/>
      <w:spacing w:val="5"/>
    </w:rPr>
  </w:style>
  <w:style w:type="paragraph" w:customStyle="1" w:styleId="msonormal0">
    <w:name w:val="msonormal"/>
    <w:basedOn w:val="Normal"/>
    <w:rsid w:val="0060150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NormalWeb">
    <w:name w:val="Normal (Web)"/>
    <w:basedOn w:val="Normal"/>
    <w:uiPriority w:val="99"/>
    <w:semiHidden/>
    <w:unhideWhenUsed/>
    <w:rsid w:val="0060150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601505"/>
    <w:rPr>
      <w:b/>
      <w:bCs/>
    </w:rPr>
  </w:style>
  <w:style w:type="character" w:customStyle="1" w:styleId="apple-converted-space">
    <w:name w:val="apple-converted-space"/>
    <w:basedOn w:val="DefaultParagraphFont"/>
    <w:rsid w:val="00601505"/>
  </w:style>
  <w:style w:type="character" w:customStyle="1" w:styleId="ms-1">
    <w:name w:val="ms-1"/>
    <w:basedOn w:val="DefaultParagraphFont"/>
    <w:rsid w:val="00601505"/>
  </w:style>
  <w:style w:type="character" w:styleId="Hyperlink">
    <w:name w:val="Hyperlink"/>
    <w:basedOn w:val="DefaultParagraphFont"/>
    <w:uiPriority w:val="99"/>
    <w:unhideWhenUsed/>
    <w:rsid w:val="00601505"/>
    <w:rPr>
      <w:color w:val="0000FF"/>
      <w:u w:val="single"/>
    </w:rPr>
  </w:style>
  <w:style w:type="character" w:styleId="FollowedHyperlink">
    <w:name w:val="FollowedHyperlink"/>
    <w:basedOn w:val="DefaultParagraphFont"/>
    <w:uiPriority w:val="99"/>
    <w:semiHidden/>
    <w:unhideWhenUsed/>
    <w:rsid w:val="00601505"/>
    <w:rPr>
      <w:color w:val="800080"/>
      <w:u w:val="single"/>
    </w:rPr>
  </w:style>
  <w:style w:type="character" w:customStyle="1" w:styleId="relative">
    <w:name w:val="relative"/>
    <w:basedOn w:val="DefaultParagraphFont"/>
    <w:rsid w:val="00601505"/>
  </w:style>
  <w:style w:type="character" w:customStyle="1" w:styleId="flex">
    <w:name w:val="flex"/>
    <w:basedOn w:val="DefaultParagraphFont"/>
    <w:rsid w:val="00601505"/>
  </w:style>
  <w:style w:type="character" w:customStyle="1" w:styleId="max-w-15ch">
    <w:name w:val="max-w-[15ch]"/>
    <w:basedOn w:val="DefaultParagraphFont"/>
    <w:rsid w:val="00601505"/>
  </w:style>
  <w:style w:type="character" w:styleId="Emphasis">
    <w:name w:val="Emphasis"/>
    <w:basedOn w:val="DefaultParagraphFont"/>
    <w:uiPriority w:val="20"/>
    <w:qFormat/>
    <w:rsid w:val="00601505"/>
    <w:rPr>
      <w:i/>
      <w:iCs/>
    </w:rPr>
  </w:style>
  <w:style w:type="table" w:styleId="GridTable1Light-Accent4">
    <w:name w:val="Grid Table 1 Light Accent 4"/>
    <w:basedOn w:val="TableNormal"/>
    <w:uiPriority w:val="46"/>
    <w:rsid w:val="00F651E6"/>
    <w:pPr>
      <w:spacing w:after="0" w:line="240" w:lineRule="auto"/>
    </w:pPr>
    <w:tblPr>
      <w:tblStyleRowBandSize w:val="1"/>
      <w:tblStyleColBandSize w:val="1"/>
      <w:tblBorders>
        <w:top w:val="single" w:sz="4" w:space="0" w:color="95DCF7" w:themeColor="accent4" w:themeTint="66"/>
        <w:left w:val="single" w:sz="4" w:space="0" w:color="95DCF7" w:themeColor="accent4" w:themeTint="66"/>
        <w:bottom w:val="single" w:sz="4" w:space="0" w:color="95DCF7" w:themeColor="accent4" w:themeTint="66"/>
        <w:right w:val="single" w:sz="4" w:space="0" w:color="95DCF7" w:themeColor="accent4" w:themeTint="66"/>
        <w:insideH w:val="single" w:sz="4" w:space="0" w:color="95DCF7" w:themeColor="accent4" w:themeTint="66"/>
        <w:insideV w:val="single" w:sz="4" w:space="0" w:color="95DCF7" w:themeColor="accent4" w:themeTint="66"/>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2" w:space="0" w:color="60CAF3" w:themeColor="accent4" w:themeTint="99"/>
        </w:tcBorders>
      </w:tcPr>
    </w:tblStylePr>
    <w:tblStylePr w:type="firstCol">
      <w:rPr>
        <w:b/>
        <w:bCs/>
      </w:rPr>
    </w:tblStylePr>
    <w:tblStylePr w:type="lastCol">
      <w:rPr>
        <w:b/>
        <w:bCs/>
      </w:rPr>
    </w:tblStylePr>
  </w:style>
  <w:style w:type="table" w:styleId="PlainTable3">
    <w:name w:val="Plain Table 3"/>
    <w:basedOn w:val="TableNormal"/>
    <w:uiPriority w:val="43"/>
    <w:rsid w:val="00F651E6"/>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1Light-Accent1">
    <w:name w:val="Grid Table 1 Light Accent 1"/>
    <w:basedOn w:val="TableNormal"/>
    <w:uiPriority w:val="46"/>
    <w:rsid w:val="00F651E6"/>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paragraph" w:styleId="TOCHeading">
    <w:name w:val="TOC Heading"/>
    <w:basedOn w:val="Heading1"/>
    <w:next w:val="Normal"/>
    <w:uiPriority w:val="39"/>
    <w:unhideWhenUsed/>
    <w:qFormat/>
    <w:rsid w:val="00C91A96"/>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C91A96"/>
    <w:pPr>
      <w:spacing w:before="120" w:after="120"/>
    </w:pPr>
    <w:rPr>
      <w:b/>
      <w:bCs/>
      <w:caps/>
      <w:sz w:val="20"/>
      <w:szCs w:val="20"/>
    </w:rPr>
  </w:style>
  <w:style w:type="paragraph" w:styleId="TOC2">
    <w:name w:val="toc 2"/>
    <w:basedOn w:val="Normal"/>
    <w:next w:val="Normal"/>
    <w:autoRedefine/>
    <w:uiPriority w:val="39"/>
    <w:unhideWhenUsed/>
    <w:rsid w:val="00C91A96"/>
    <w:pPr>
      <w:spacing w:after="0"/>
      <w:ind w:left="240"/>
    </w:pPr>
    <w:rPr>
      <w:smallCaps/>
      <w:sz w:val="20"/>
      <w:szCs w:val="20"/>
    </w:rPr>
  </w:style>
  <w:style w:type="paragraph" w:styleId="TOC3">
    <w:name w:val="toc 3"/>
    <w:basedOn w:val="Normal"/>
    <w:next w:val="Normal"/>
    <w:autoRedefine/>
    <w:uiPriority w:val="39"/>
    <w:unhideWhenUsed/>
    <w:rsid w:val="00C91A96"/>
    <w:pPr>
      <w:spacing w:after="0"/>
      <w:ind w:left="480"/>
    </w:pPr>
    <w:rPr>
      <w:i/>
      <w:iCs/>
      <w:sz w:val="20"/>
      <w:szCs w:val="20"/>
    </w:rPr>
  </w:style>
  <w:style w:type="paragraph" w:styleId="TOC4">
    <w:name w:val="toc 4"/>
    <w:basedOn w:val="Normal"/>
    <w:next w:val="Normal"/>
    <w:autoRedefine/>
    <w:uiPriority w:val="39"/>
    <w:unhideWhenUsed/>
    <w:rsid w:val="00C91A96"/>
    <w:pPr>
      <w:spacing w:after="0"/>
      <w:ind w:left="720"/>
    </w:pPr>
    <w:rPr>
      <w:sz w:val="18"/>
      <w:szCs w:val="18"/>
    </w:rPr>
  </w:style>
  <w:style w:type="paragraph" w:styleId="TOC5">
    <w:name w:val="toc 5"/>
    <w:basedOn w:val="Normal"/>
    <w:next w:val="Normal"/>
    <w:autoRedefine/>
    <w:uiPriority w:val="39"/>
    <w:unhideWhenUsed/>
    <w:rsid w:val="00C91A96"/>
    <w:pPr>
      <w:spacing w:after="0"/>
      <w:ind w:left="960"/>
    </w:pPr>
    <w:rPr>
      <w:sz w:val="18"/>
      <w:szCs w:val="18"/>
    </w:rPr>
  </w:style>
  <w:style w:type="paragraph" w:styleId="TOC6">
    <w:name w:val="toc 6"/>
    <w:basedOn w:val="Normal"/>
    <w:next w:val="Normal"/>
    <w:autoRedefine/>
    <w:uiPriority w:val="39"/>
    <w:unhideWhenUsed/>
    <w:rsid w:val="00C91A96"/>
    <w:pPr>
      <w:spacing w:after="0"/>
      <w:ind w:left="1200"/>
    </w:pPr>
    <w:rPr>
      <w:sz w:val="18"/>
      <w:szCs w:val="18"/>
    </w:rPr>
  </w:style>
  <w:style w:type="paragraph" w:styleId="TOC7">
    <w:name w:val="toc 7"/>
    <w:basedOn w:val="Normal"/>
    <w:next w:val="Normal"/>
    <w:autoRedefine/>
    <w:uiPriority w:val="39"/>
    <w:unhideWhenUsed/>
    <w:rsid w:val="00C91A96"/>
    <w:pPr>
      <w:spacing w:after="0"/>
      <w:ind w:left="1440"/>
    </w:pPr>
    <w:rPr>
      <w:sz w:val="18"/>
      <w:szCs w:val="18"/>
    </w:rPr>
  </w:style>
  <w:style w:type="paragraph" w:styleId="TOC8">
    <w:name w:val="toc 8"/>
    <w:basedOn w:val="Normal"/>
    <w:next w:val="Normal"/>
    <w:autoRedefine/>
    <w:uiPriority w:val="39"/>
    <w:unhideWhenUsed/>
    <w:rsid w:val="00C91A96"/>
    <w:pPr>
      <w:spacing w:after="0"/>
      <w:ind w:left="1680"/>
    </w:pPr>
    <w:rPr>
      <w:sz w:val="18"/>
      <w:szCs w:val="18"/>
    </w:rPr>
  </w:style>
  <w:style w:type="paragraph" w:styleId="TOC9">
    <w:name w:val="toc 9"/>
    <w:basedOn w:val="Normal"/>
    <w:next w:val="Normal"/>
    <w:autoRedefine/>
    <w:uiPriority w:val="39"/>
    <w:unhideWhenUsed/>
    <w:rsid w:val="00C91A96"/>
    <w:pPr>
      <w:spacing w:after="0"/>
      <w:ind w:left="1920"/>
    </w:pPr>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1D3667-1743-014E-A7BC-26A7E9CC79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4709</Words>
  <Characters>26467</Characters>
  <Application>Microsoft Office Word</Application>
  <DocSecurity>0</DocSecurity>
  <Lines>1556</Lines>
  <Paragraphs>257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Marufu, Wisdom</dc:creator>
  <cp:keywords/>
  <dc:description/>
  <cp:lastModifiedBy>Marufu, Wisdom</cp:lastModifiedBy>
  <cp:revision>2</cp:revision>
  <dcterms:created xsi:type="dcterms:W3CDTF">2025-11-16T22:17:00Z</dcterms:created>
  <dcterms:modified xsi:type="dcterms:W3CDTF">2025-11-16T22:17:00Z</dcterms:modified>
</cp:coreProperties>
</file>