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294B00D" w:rsidR="003745B8" w:rsidRDefault="00F46FB8">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A72D0A">
        <w:rPr>
          <w:noProof/>
        </w:rPr>
        <w:drawing>
          <wp:inline distT="0" distB="0" distL="0" distR="0" wp14:anchorId="1682E880" wp14:editId="371E3597">
            <wp:extent cx="3256280" cy="1081809"/>
            <wp:effectExtent l="0" t="0" r="0" b="0"/>
            <wp:docPr id="9" name="Picture 9"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00000002" w14:textId="77777777" w:rsidR="003745B8" w:rsidRDefault="003745B8">
      <w:pPr>
        <w:spacing w:line="480" w:lineRule="auto"/>
        <w:rPr>
          <w:rFonts w:ascii="Times New Roman" w:eastAsia="Times New Roman" w:hAnsi="Times New Roman" w:cs="Times New Roman"/>
          <w:sz w:val="24"/>
          <w:szCs w:val="24"/>
        </w:rPr>
      </w:pPr>
    </w:p>
    <w:p w14:paraId="26A83621" w14:textId="77777777" w:rsidR="00F46FB8" w:rsidRDefault="00F46FB8" w:rsidP="00F46FB8">
      <w:pPr>
        <w:spacing w:line="480" w:lineRule="auto"/>
        <w:rPr>
          <w:rFonts w:ascii="Times New Roman" w:eastAsia="Times New Roman" w:hAnsi="Times New Roman" w:cs="Times New Roman"/>
          <w:b/>
          <w:sz w:val="32"/>
          <w:szCs w:val="32"/>
        </w:rPr>
      </w:pP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b/>
          <w:sz w:val="32"/>
          <w:szCs w:val="32"/>
        </w:rPr>
        <w:t>Community Engagement</w:t>
      </w:r>
    </w:p>
    <w:p w14:paraId="00000005" w14:textId="0006EC0B" w:rsidR="003745B8" w:rsidRDefault="00F46FB8" w:rsidP="00F46FB8">
      <w:pPr>
        <w:spacing w:line="48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000000">
        <w:rPr>
          <w:rFonts w:ascii="Times New Roman" w:eastAsia="Times New Roman" w:hAnsi="Times New Roman" w:cs="Times New Roman"/>
          <w:b/>
          <w:sz w:val="32"/>
          <w:szCs w:val="32"/>
        </w:rPr>
        <w:t>Assessment 2</w:t>
      </w:r>
    </w:p>
    <w:p w14:paraId="34CB4F1D" w14:textId="1DFFB3FE" w:rsidR="00F46FB8" w:rsidRDefault="00F46FB8" w:rsidP="00F46FB8">
      <w:pPr>
        <w:spacing w:line="480" w:lineRule="auto"/>
        <w:rPr>
          <w:rFonts w:ascii="Times New Roman" w:eastAsia="Times New Roman" w:hAnsi="Times New Roman" w:cs="Times New Roman"/>
          <w:sz w:val="36"/>
          <w:szCs w:val="36"/>
        </w:rPr>
      </w:pPr>
      <w:r>
        <w:rPr>
          <w:rFonts w:ascii="Times New Roman" w:eastAsia="Times New Roman" w:hAnsi="Times New Roman" w:cs="Times New Roman"/>
          <w:sz w:val="24"/>
          <w:szCs w:val="24"/>
        </w:rPr>
        <w:t xml:space="preserve">                                </w:t>
      </w:r>
      <w:r w:rsidRPr="00C967CD">
        <w:rPr>
          <w:rFonts w:ascii="Times New Roman" w:eastAsia="Times New Roman" w:hAnsi="Times New Roman" w:cs="Times New Roman"/>
          <w:sz w:val="36"/>
          <w:szCs w:val="36"/>
        </w:rPr>
        <w:t xml:space="preserve">Student </w:t>
      </w:r>
      <w:proofErr w:type="spellStart"/>
      <w:proofErr w:type="gramStart"/>
      <w:r w:rsidRPr="00C967CD">
        <w:rPr>
          <w:rFonts w:ascii="Times New Roman" w:eastAsia="Times New Roman" w:hAnsi="Times New Roman" w:cs="Times New Roman"/>
          <w:sz w:val="36"/>
          <w:szCs w:val="36"/>
        </w:rPr>
        <w:t>Name:Vasilena</w:t>
      </w:r>
      <w:proofErr w:type="spellEnd"/>
      <w:proofErr w:type="gramEnd"/>
      <w:r w:rsidRPr="00C967CD">
        <w:rPr>
          <w:rFonts w:ascii="Times New Roman" w:eastAsia="Times New Roman" w:hAnsi="Times New Roman" w:cs="Times New Roman"/>
          <w:sz w:val="36"/>
          <w:szCs w:val="36"/>
        </w:rPr>
        <w:t xml:space="preserve"> </w:t>
      </w:r>
      <w:proofErr w:type="spellStart"/>
      <w:r w:rsidRPr="00C967CD">
        <w:rPr>
          <w:rFonts w:ascii="Times New Roman" w:eastAsia="Times New Roman" w:hAnsi="Times New Roman" w:cs="Times New Roman"/>
          <w:sz w:val="36"/>
          <w:szCs w:val="36"/>
        </w:rPr>
        <w:t>Mersinkova</w:t>
      </w:r>
      <w:proofErr w:type="spellEnd"/>
      <w:r w:rsidRPr="00C967CD">
        <w:rPr>
          <w:rFonts w:ascii="Times New Roman" w:eastAsia="Times New Roman" w:hAnsi="Times New Roman" w:cs="Times New Roman"/>
          <w:sz w:val="36"/>
          <w:szCs w:val="36"/>
        </w:rPr>
        <w:t xml:space="preserve"> </w:t>
      </w:r>
    </w:p>
    <w:p w14:paraId="78872A67" w14:textId="73389B60" w:rsidR="00F46FB8" w:rsidRPr="00C967CD" w:rsidRDefault="00F46FB8" w:rsidP="00F46FB8">
      <w:pPr>
        <w:spacing w:line="48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                                 </w:t>
      </w:r>
      <w:r w:rsidRPr="00C967CD">
        <w:rPr>
          <w:rFonts w:ascii="Times New Roman" w:eastAsia="Times New Roman" w:hAnsi="Times New Roman" w:cs="Times New Roman"/>
          <w:sz w:val="36"/>
          <w:szCs w:val="36"/>
        </w:rPr>
        <w:t>Student ID: 2014054</w:t>
      </w:r>
    </w:p>
    <w:p w14:paraId="7472A27B" w14:textId="77777777" w:rsidR="00F46FB8" w:rsidRPr="00C967CD" w:rsidRDefault="00F46FB8" w:rsidP="00F46FB8">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University of W</w:t>
      </w:r>
      <w:r>
        <w:rPr>
          <w:rFonts w:ascii="Times New Roman" w:eastAsia="Times New Roman" w:hAnsi="Times New Roman" w:cs="Times New Roman"/>
          <w:sz w:val="36"/>
          <w:szCs w:val="36"/>
        </w:rPr>
        <w:t>ale</w:t>
      </w:r>
      <w:r w:rsidRPr="00C967CD">
        <w:rPr>
          <w:rFonts w:ascii="Times New Roman" w:eastAsia="Times New Roman" w:hAnsi="Times New Roman" w:cs="Times New Roman"/>
          <w:sz w:val="36"/>
          <w:szCs w:val="36"/>
        </w:rPr>
        <w:t xml:space="preserve">s Trinity Saint David </w:t>
      </w:r>
    </w:p>
    <w:p w14:paraId="6CD04CA1" w14:textId="77777777" w:rsidR="00F46FB8" w:rsidRDefault="00F46FB8" w:rsidP="00F46FB8">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Course:</w:t>
      </w:r>
      <w:r>
        <w:rPr>
          <w:rFonts w:ascii="Times New Roman" w:eastAsia="Times New Roman" w:hAnsi="Times New Roman" w:cs="Times New Roman"/>
          <w:sz w:val="36"/>
          <w:szCs w:val="36"/>
        </w:rPr>
        <w:t xml:space="preserve"> Marketing Fundamentals</w:t>
      </w:r>
    </w:p>
    <w:p w14:paraId="792B0BC0" w14:textId="483DCC41" w:rsidR="00F46FB8" w:rsidRPr="00C967CD" w:rsidRDefault="00F46FB8" w:rsidP="00F46FB8">
      <w:pPr>
        <w:spacing w:line="480" w:lineRule="auto"/>
        <w:jc w:val="center"/>
        <w:rPr>
          <w:rFonts w:ascii="Times New Roman" w:eastAsia="Times New Roman" w:hAnsi="Times New Roman" w:cs="Times New Roman"/>
          <w:sz w:val="36"/>
          <w:szCs w:val="36"/>
        </w:rPr>
      </w:pPr>
      <w:r>
        <w:rPr>
          <w:rFonts w:ascii="Times New Roman" w:eastAsia="Times New Roman" w:hAnsi="Times New Roman" w:cs="Times New Roman"/>
          <w:sz w:val="36"/>
          <w:szCs w:val="36"/>
        </w:rPr>
        <w:t>Module code:</w:t>
      </w:r>
      <w:r w:rsidRPr="00F46FB8">
        <w:rPr>
          <w:rFonts w:ascii="Times New Roman" w:eastAsia="Times New Roman" w:hAnsi="Times New Roman" w:cs="Times New Roman"/>
          <w:sz w:val="36"/>
          <w:szCs w:val="36"/>
        </w:rPr>
        <w:t xml:space="preserve"> </w:t>
      </w:r>
      <w:r>
        <w:rPr>
          <w:rFonts w:ascii="Times New Roman" w:eastAsia="Times New Roman" w:hAnsi="Times New Roman" w:cs="Times New Roman"/>
          <w:sz w:val="36"/>
          <w:szCs w:val="36"/>
        </w:rPr>
        <w:t>LCBB4002</w:t>
      </w:r>
    </w:p>
    <w:p w14:paraId="0E18B7C0" w14:textId="036EAF0A" w:rsidR="00F46FB8" w:rsidRPr="00C967CD" w:rsidRDefault="00F46FB8" w:rsidP="00F46FB8">
      <w:pPr>
        <w:spacing w:line="480" w:lineRule="auto"/>
        <w:jc w:val="center"/>
        <w:rPr>
          <w:rFonts w:ascii="Times New Roman" w:eastAsia="Times New Roman" w:hAnsi="Times New Roman" w:cs="Times New Roman"/>
          <w:sz w:val="36"/>
          <w:szCs w:val="36"/>
        </w:rPr>
      </w:pPr>
    </w:p>
    <w:p w14:paraId="0FD25B42" w14:textId="77777777" w:rsidR="00F46FB8" w:rsidRDefault="00F46FB8" w:rsidP="00F46FB8">
      <w:pPr>
        <w:spacing w:line="480" w:lineRule="auto"/>
        <w:jc w:val="center"/>
        <w:rPr>
          <w:rFonts w:ascii="Times New Roman" w:eastAsia="Times New Roman" w:hAnsi="Times New Roman" w:cs="Times New Roman"/>
          <w:sz w:val="36"/>
          <w:szCs w:val="36"/>
        </w:rPr>
      </w:pPr>
      <w:r w:rsidRPr="00C967CD">
        <w:rPr>
          <w:rFonts w:ascii="Times New Roman" w:eastAsia="Times New Roman" w:hAnsi="Times New Roman" w:cs="Times New Roman"/>
          <w:sz w:val="36"/>
          <w:szCs w:val="36"/>
        </w:rPr>
        <w:t xml:space="preserve">Lecture Name: </w:t>
      </w:r>
      <w:proofErr w:type="spellStart"/>
      <w:r>
        <w:rPr>
          <w:rFonts w:ascii="Times New Roman" w:eastAsia="Times New Roman" w:hAnsi="Times New Roman" w:cs="Times New Roman"/>
          <w:sz w:val="36"/>
          <w:szCs w:val="36"/>
        </w:rPr>
        <w:t>Akinseye</w:t>
      </w:r>
      <w:proofErr w:type="spellEnd"/>
      <w:r>
        <w:rPr>
          <w:rFonts w:ascii="Times New Roman" w:eastAsia="Times New Roman" w:hAnsi="Times New Roman" w:cs="Times New Roman"/>
          <w:sz w:val="36"/>
          <w:szCs w:val="36"/>
        </w:rPr>
        <w:t xml:space="preserve"> Aluko</w:t>
      </w:r>
    </w:p>
    <w:p w14:paraId="79C20CA4" w14:textId="77777777" w:rsidR="00F46FB8" w:rsidRDefault="00F46FB8" w:rsidP="00F46FB8">
      <w:pPr>
        <w:spacing w:line="480" w:lineRule="auto"/>
        <w:rPr>
          <w:rFonts w:ascii="Times New Roman" w:eastAsia="Times New Roman" w:hAnsi="Times New Roman" w:cs="Times New Roman"/>
          <w:sz w:val="36"/>
          <w:szCs w:val="36"/>
        </w:rPr>
      </w:pPr>
    </w:p>
    <w:p w14:paraId="6AE65C20" w14:textId="1B4F7381" w:rsidR="00F46FB8" w:rsidRPr="00F46FB8" w:rsidRDefault="00F46FB8" w:rsidP="00F46FB8">
      <w:pPr>
        <w:spacing w:line="48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                                  </w:t>
      </w:r>
      <w:r w:rsidRPr="00F46FB8">
        <w:rPr>
          <w:rFonts w:ascii="Times New Roman" w:eastAsia="Times New Roman" w:hAnsi="Times New Roman" w:cs="Times New Roman"/>
          <w:sz w:val="36"/>
          <w:szCs w:val="36"/>
        </w:rPr>
        <w:t xml:space="preserve"> </w:t>
      </w:r>
      <w:proofErr w:type="spellStart"/>
      <w:r w:rsidRPr="00F46FB8">
        <w:rPr>
          <w:rFonts w:ascii="Times New Roman" w:eastAsia="Times New Roman" w:hAnsi="Times New Roman" w:cs="Times New Roman"/>
          <w:sz w:val="36"/>
          <w:szCs w:val="36"/>
        </w:rPr>
        <w:t>Date</w:t>
      </w:r>
      <w:proofErr w:type="spellEnd"/>
      <w:r w:rsidRPr="00F46FB8">
        <w:rPr>
          <w:rFonts w:ascii="Times New Roman" w:eastAsia="Times New Roman" w:hAnsi="Times New Roman" w:cs="Times New Roman"/>
          <w:sz w:val="36"/>
          <w:szCs w:val="36"/>
        </w:rPr>
        <w:t xml:space="preserve">: </w:t>
      </w:r>
      <w:r>
        <w:rPr>
          <w:rFonts w:ascii="Times New Roman" w:eastAsia="Times New Roman" w:hAnsi="Times New Roman" w:cs="Times New Roman"/>
          <w:sz w:val="36"/>
          <w:szCs w:val="36"/>
        </w:rPr>
        <w:t>09.01.2023</w:t>
      </w:r>
    </w:p>
    <w:p w14:paraId="0000000D" w14:textId="77777777" w:rsidR="003745B8" w:rsidRDefault="003745B8">
      <w:pPr>
        <w:spacing w:line="480" w:lineRule="auto"/>
        <w:jc w:val="center"/>
        <w:rPr>
          <w:rFonts w:ascii="Times New Roman" w:eastAsia="Times New Roman" w:hAnsi="Times New Roman" w:cs="Times New Roman"/>
          <w:sz w:val="24"/>
          <w:szCs w:val="24"/>
        </w:rPr>
      </w:pPr>
    </w:p>
    <w:p w14:paraId="00000015" w14:textId="77777777" w:rsidR="003745B8" w:rsidRDefault="00000000">
      <w:pPr>
        <w:keepNext/>
        <w:keepLines/>
        <w:pBdr>
          <w:top w:val="nil"/>
          <w:left w:val="nil"/>
          <w:bottom w:val="nil"/>
          <w:right w:val="nil"/>
          <w:between w:val="nil"/>
        </w:pBdr>
        <w:spacing w:before="240" w:after="0" w:line="480" w:lineRule="auto"/>
        <w:rPr>
          <w:rFonts w:ascii="Times New Roman" w:eastAsia="Times New Roman" w:hAnsi="Times New Roman" w:cs="Times New Roman"/>
          <w:b/>
          <w:color w:val="2E75B5"/>
          <w:sz w:val="32"/>
          <w:szCs w:val="32"/>
        </w:rPr>
      </w:pPr>
      <w:r>
        <w:rPr>
          <w:rFonts w:ascii="Times New Roman" w:eastAsia="Times New Roman" w:hAnsi="Times New Roman" w:cs="Times New Roman"/>
          <w:b/>
          <w:color w:val="2E75B5"/>
          <w:sz w:val="32"/>
          <w:szCs w:val="32"/>
        </w:rPr>
        <w:lastRenderedPageBreak/>
        <w:t>Table of Contents</w:t>
      </w:r>
    </w:p>
    <w:sdt>
      <w:sdtPr>
        <w:id w:val="-410545009"/>
        <w:docPartObj>
          <w:docPartGallery w:val="Table of Contents"/>
          <w:docPartUnique/>
        </w:docPartObj>
      </w:sdtPr>
      <w:sdtContent>
        <w:p w14:paraId="00000016" w14:textId="77777777" w:rsidR="003745B8" w:rsidRDefault="00000000">
          <w:pPr>
            <w:tabs>
              <w:tab w:val="right" w:pos="9025"/>
            </w:tabs>
            <w:spacing w:before="80" w:line="24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gjdgxs">
            <w:r>
              <w:rPr>
                <w:rFonts w:ascii="Times New Roman" w:eastAsia="Times New Roman" w:hAnsi="Times New Roman" w:cs="Times New Roman"/>
                <w:color w:val="000000"/>
                <w:sz w:val="24"/>
                <w:szCs w:val="24"/>
              </w:rPr>
              <w:t>Introduction</w:t>
            </w:r>
          </w:hyperlink>
          <w:r>
            <w:rPr>
              <w:rFonts w:ascii="Times New Roman" w:eastAsia="Times New Roman" w:hAnsi="Times New Roman" w:cs="Times New Roman"/>
              <w:color w:val="000000"/>
              <w:sz w:val="24"/>
              <w:szCs w:val="24"/>
            </w:rPr>
            <w:tab/>
          </w:r>
          <w:r>
            <w:fldChar w:fldCharType="begin"/>
          </w:r>
          <w:r>
            <w:instrText xml:space="preserve"> PAGEREF _gjdgxs \h </w:instrText>
          </w:r>
          <w:r>
            <w:fldChar w:fldCharType="separate"/>
          </w:r>
          <w:r>
            <w:rPr>
              <w:rFonts w:ascii="Times New Roman" w:eastAsia="Times New Roman" w:hAnsi="Times New Roman" w:cs="Times New Roman"/>
              <w:color w:val="000000"/>
              <w:sz w:val="24"/>
              <w:szCs w:val="24"/>
            </w:rPr>
            <w:t>3</w:t>
          </w:r>
          <w:r>
            <w:fldChar w:fldCharType="end"/>
          </w:r>
        </w:p>
        <w:p w14:paraId="00000017" w14:textId="77777777" w:rsidR="003745B8" w:rsidRDefault="00000000">
          <w:pPr>
            <w:tabs>
              <w:tab w:val="right" w:pos="9025"/>
            </w:tabs>
            <w:spacing w:before="200" w:line="240" w:lineRule="auto"/>
            <w:rPr>
              <w:rFonts w:ascii="Times New Roman" w:eastAsia="Times New Roman" w:hAnsi="Times New Roman" w:cs="Times New Roman"/>
              <w:color w:val="000000"/>
              <w:sz w:val="24"/>
              <w:szCs w:val="24"/>
            </w:rPr>
          </w:pPr>
          <w:hyperlink w:anchor="_30j0zll">
            <w:r>
              <w:rPr>
                <w:rFonts w:ascii="Times New Roman" w:eastAsia="Times New Roman" w:hAnsi="Times New Roman" w:cs="Times New Roman"/>
                <w:color w:val="000000"/>
                <w:sz w:val="24"/>
                <w:szCs w:val="24"/>
              </w:rPr>
              <w:t>Commonwealth Games highlights and impacts on locals</w:t>
            </w:r>
          </w:hyperlink>
          <w:r>
            <w:rPr>
              <w:rFonts w:ascii="Times New Roman" w:eastAsia="Times New Roman" w:hAnsi="Times New Roman" w:cs="Times New Roman"/>
              <w:color w:val="000000"/>
              <w:sz w:val="24"/>
              <w:szCs w:val="24"/>
            </w:rPr>
            <w:tab/>
          </w:r>
          <w:r>
            <w:fldChar w:fldCharType="begin"/>
          </w:r>
          <w:r>
            <w:instrText xml:space="preserve"> PAGEREF _30j0zll \h </w:instrText>
          </w:r>
          <w:r>
            <w:fldChar w:fldCharType="separate"/>
          </w:r>
          <w:r>
            <w:rPr>
              <w:rFonts w:ascii="Times New Roman" w:eastAsia="Times New Roman" w:hAnsi="Times New Roman" w:cs="Times New Roman"/>
              <w:color w:val="000000"/>
              <w:sz w:val="24"/>
              <w:szCs w:val="24"/>
            </w:rPr>
            <w:t>3</w:t>
          </w:r>
          <w:r>
            <w:fldChar w:fldCharType="end"/>
          </w:r>
        </w:p>
        <w:p w14:paraId="00000018" w14:textId="77777777" w:rsidR="003745B8" w:rsidRDefault="00000000">
          <w:pPr>
            <w:tabs>
              <w:tab w:val="right" w:pos="9025"/>
            </w:tabs>
            <w:spacing w:before="200" w:line="240" w:lineRule="auto"/>
            <w:rPr>
              <w:rFonts w:ascii="Times New Roman" w:eastAsia="Times New Roman" w:hAnsi="Times New Roman" w:cs="Times New Roman"/>
              <w:color w:val="000000"/>
              <w:sz w:val="24"/>
              <w:szCs w:val="24"/>
            </w:rPr>
          </w:pPr>
          <w:hyperlink w:anchor="_1fob9te">
            <w:r>
              <w:rPr>
                <w:rFonts w:ascii="Times New Roman" w:eastAsia="Times New Roman" w:hAnsi="Times New Roman" w:cs="Times New Roman"/>
                <w:color w:val="000000"/>
                <w:sz w:val="24"/>
                <w:szCs w:val="24"/>
              </w:rPr>
              <w:t>Youth empowerment, economic growth, and Infrastructural development</w:t>
            </w:r>
          </w:hyperlink>
          <w:r>
            <w:rPr>
              <w:rFonts w:ascii="Times New Roman" w:eastAsia="Times New Roman" w:hAnsi="Times New Roman" w:cs="Times New Roman"/>
              <w:color w:val="000000"/>
              <w:sz w:val="24"/>
              <w:szCs w:val="24"/>
            </w:rPr>
            <w:tab/>
          </w:r>
          <w:r>
            <w:fldChar w:fldCharType="begin"/>
          </w:r>
          <w:r>
            <w:instrText xml:space="preserve"> PAGEREF _1fob9te \h </w:instrText>
          </w:r>
          <w:r>
            <w:fldChar w:fldCharType="separate"/>
          </w:r>
          <w:r>
            <w:rPr>
              <w:rFonts w:ascii="Times New Roman" w:eastAsia="Times New Roman" w:hAnsi="Times New Roman" w:cs="Times New Roman"/>
              <w:color w:val="000000"/>
              <w:sz w:val="24"/>
              <w:szCs w:val="24"/>
            </w:rPr>
            <w:t>5</w:t>
          </w:r>
          <w:r>
            <w:fldChar w:fldCharType="end"/>
          </w:r>
        </w:p>
        <w:p w14:paraId="00000019" w14:textId="77777777" w:rsidR="003745B8" w:rsidRDefault="00000000">
          <w:pPr>
            <w:tabs>
              <w:tab w:val="right" w:pos="9025"/>
            </w:tabs>
            <w:spacing w:before="200" w:line="240" w:lineRule="auto"/>
            <w:rPr>
              <w:rFonts w:ascii="Times New Roman" w:eastAsia="Times New Roman" w:hAnsi="Times New Roman" w:cs="Times New Roman"/>
              <w:color w:val="000000"/>
              <w:sz w:val="24"/>
              <w:szCs w:val="24"/>
            </w:rPr>
          </w:pPr>
          <w:hyperlink w:anchor="_3znysh7">
            <w:r>
              <w:rPr>
                <w:rFonts w:ascii="Times New Roman" w:eastAsia="Times New Roman" w:hAnsi="Times New Roman" w:cs="Times New Roman"/>
                <w:color w:val="000000"/>
                <w:sz w:val="24"/>
                <w:szCs w:val="24"/>
              </w:rPr>
              <w:t>Social engagement</w:t>
            </w:r>
          </w:hyperlink>
          <w:r>
            <w:rPr>
              <w:rFonts w:ascii="Times New Roman" w:eastAsia="Times New Roman" w:hAnsi="Times New Roman" w:cs="Times New Roman"/>
              <w:color w:val="000000"/>
              <w:sz w:val="24"/>
              <w:szCs w:val="24"/>
            </w:rPr>
            <w:tab/>
          </w:r>
          <w:r>
            <w:fldChar w:fldCharType="begin"/>
          </w:r>
          <w:r>
            <w:instrText xml:space="preserve"> PAGEREF _3znysh7 \h </w:instrText>
          </w:r>
          <w:r>
            <w:fldChar w:fldCharType="separate"/>
          </w:r>
          <w:r>
            <w:rPr>
              <w:rFonts w:ascii="Times New Roman" w:eastAsia="Times New Roman" w:hAnsi="Times New Roman" w:cs="Times New Roman"/>
              <w:color w:val="000000"/>
              <w:sz w:val="24"/>
              <w:szCs w:val="24"/>
            </w:rPr>
            <w:t>6</w:t>
          </w:r>
          <w:r>
            <w:fldChar w:fldCharType="end"/>
          </w:r>
        </w:p>
        <w:p w14:paraId="0000001A" w14:textId="77777777" w:rsidR="003745B8" w:rsidRDefault="00000000">
          <w:pPr>
            <w:tabs>
              <w:tab w:val="right" w:pos="9025"/>
            </w:tabs>
            <w:spacing w:before="200" w:line="240" w:lineRule="auto"/>
            <w:rPr>
              <w:rFonts w:ascii="Times New Roman" w:eastAsia="Times New Roman" w:hAnsi="Times New Roman" w:cs="Times New Roman"/>
              <w:color w:val="000000"/>
              <w:sz w:val="24"/>
              <w:szCs w:val="24"/>
            </w:rPr>
          </w:pPr>
          <w:hyperlink w:anchor="_2et92p0">
            <w:r>
              <w:rPr>
                <w:rFonts w:ascii="Times New Roman" w:eastAsia="Times New Roman" w:hAnsi="Times New Roman" w:cs="Times New Roman"/>
                <w:color w:val="000000"/>
                <w:sz w:val="24"/>
                <w:szCs w:val="24"/>
              </w:rPr>
              <w:t>Reflection</w:t>
            </w:r>
          </w:hyperlink>
          <w:r>
            <w:rPr>
              <w:rFonts w:ascii="Times New Roman" w:eastAsia="Times New Roman" w:hAnsi="Times New Roman" w:cs="Times New Roman"/>
              <w:color w:val="000000"/>
              <w:sz w:val="24"/>
              <w:szCs w:val="24"/>
            </w:rPr>
            <w:tab/>
          </w:r>
          <w:r>
            <w:fldChar w:fldCharType="begin"/>
          </w:r>
          <w:r>
            <w:instrText xml:space="preserve"> PAGEREF _2et92p0 \h </w:instrText>
          </w:r>
          <w:r>
            <w:fldChar w:fldCharType="separate"/>
          </w:r>
          <w:r>
            <w:rPr>
              <w:rFonts w:ascii="Times New Roman" w:eastAsia="Times New Roman" w:hAnsi="Times New Roman" w:cs="Times New Roman"/>
              <w:color w:val="000000"/>
              <w:sz w:val="24"/>
              <w:szCs w:val="24"/>
            </w:rPr>
            <w:t>8</w:t>
          </w:r>
          <w:r>
            <w:fldChar w:fldCharType="end"/>
          </w:r>
        </w:p>
        <w:p w14:paraId="0000001B" w14:textId="77777777" w:rsidR="003745B8" w:rsidRDefault="00000000">
          <w:pPr>
            <w:tabs>
              <w:tab w:val="right" w:pos="9025"/>
            </w:tabs>
            <w:spacing w:before="200" w:line="240" w:lineRule="auto"/>
            <w:rPr>
              <w:rFonts w:ascii="Times New Roman" w:eastAsia="Times New Roman" w:hAnsi="Times New Roman" w:cs="Times New Roman"/>
              <w:color w:val="000000"/>
              <w:sz w:val="24"/>
              <w:szCs w:val="24"/>
            </w:rPr>
          </w:pPr>
          <w:hyperlink w:anchor="_tyjcwt">
            <w:r>
              <w:rPr>
                <w:rFonts w:ascii="Times New Roman" w:eastAsia="Times New Roman" w:hAnsi="Times New Roman" w:cs="Times New Roman"/>
                <w:color w:val="000000"/>
                <w:sz w:val="24"/>
                <w:szCs w:val="24"/>
              </w:rPr>
              <w:t>Conclusion</w:t>
            </w:r>
          </w:hyperlink>
          <w:r>
            <w:rPr>
              <w:rFonts w:ascii="Times New Roman" w:eastAsia="Times New Roman" w:hAnsi="Times New Roman" w:cs="Times New Roman"/>
              <w:color w:val="000000"/>
              <w:sz w:val="24"/>
              <w:szCs w:val="24"/>
            </w:rPr>
            <w:tab/>
          </w:r>
          <w:r>
            <w:fldChar w:fldCharType="begin"/>
          </w:r>
          <w:r>
            <w:instrText xml:space="preserve"> PAGEREF _tyjcwt \h </w:instrText>
          </w:r>
          <w:r>
            <w:fldChar w:fldCharType="separate"/>
          </w:r>
          <w:r>
            <w:rPr>
              <w:rFonts w:ascii="Times New Roman" w:eastAsia="Times New Roman" w:hAnsi="Times New Roman" w:cs="Times New Roman"/>
              <w:color w:val="000000"/>
              <w:sz w:val="24"/>
              <w:szCs w:val="24"/>
            </w:rPr>
            <w:t>10</w:t>
          </w:r>
          <w:r>
            <w:fldChar w:fldCharType="end"/>
          </w:r>
        </w:p>
        <w:p w14:paraId="0000001C" w14:textId="77777777" w:rsidR="003745B8" w:rsidRDefault="00000000">
          <w:pPr>
            <w:tabs>
              <w:tab w:val="right" w:pos="9025"/>
            </w:tabs>
            <w:spacing w:before="200" w:after="80" w:line="240" w:lineRule="auto"/>
            <w:rPr>
              <w:rFonts w:ascii="Times New Roman" w:eastAsia="Times New Roman" w:hAnsi="Times New Roman" w:cs="Times New Roman"/>
              <w:color w:val="000000"/>
              <w:sz w:val="24"/>
              <w:szCs w:val="24"/>
            </w:rPr>
          </w:pPr>
          <w:hyperlink w:anchor="_1t3h5sf">
            <w:r>
              <w:rPr>
                <w:rFonts w:ascii="Times New Roman" w:eastAsia="Times New Roman" w:hAnsi="Times New Roman" w:cs="Times New Roman"/>
                <w:color w:val="000000"/>
                <w:sz w:val="24"/>
                <w:szCs w:val="24"/>
              </w:rPr>
              <w:t>References</w:t>
            </w:r>
          </w:hyperlink>
          <w:r>
            <w:rPr>
              <w:rFonts w:ascii="Times New Roman" w:eastAsia="Times New Roman" w:hAnsi="Times New Roman" w:cs="Times New Roman"/>
              <w:color w:val="000000"/>
              <w:sz w:val="24"/>
              <w:szCs w:val="24"/>
            </w:rPr>
            <w:tab/>
          </w:r>
          <w:r>
            <w:fldChar w:fldCharType="begin"/>
          </w:r>
          <w:r>
            <w:instrText xml:space="preserve"> PAGEREF _1t3h5sf \h </w:instrText>
          </w:r>
          <w:r>
            <w:fldChar w:fldCharType="separate"/>
          </w:r>
          <w:r>
            <w:rPr>
              <w:rFonts w:ascii="Times New Roman" w:eastAsia="Times New Roman" w:hAnsi="Times New Roman" w:cs="Times New Roman"/>
              <w:color w:val="000000"/>
              <w:sz w:val="24"/>
              <w:szCs w:val="24"/>
            </w:rPr>
            <w:t>11</w:t>
          </w:r>
          <w:r>
            <w:fldChar w:fldCharType="end"/>
          </w:r>
          <w:r>
            <w:fldChar w:fldCharType="end"/>
          </w:r>
        </w:p>
      </w:sdtContent>
    </w:sdt>
    <w:p w14:paraId="0000001D" w14:textId="77777777" w:rsidR="003745B8" w:rsidRDefault="003745B8">
      <w:pPr>
        <w:spacing w:line="480" w:lineRule="auto"/>
        <w:rPr>
          <w:rFonts w:ascii="Times New Roman" w:eastAsia="Times New Roman" w:hAnsi="Times New Roman" w:cs="Times New Roman"/>
          <w:sz w:val="24"/>
          <w:szCs w:val="24"/>
        </w:rPr>
      </w:pPr>
    </w:p>
    <w:p w14:paraId="0000001E" w14:textId="77777777" w:rsidR="003745B8" w:rsidRDefault="003745B8">
      <w:pPr>
        <w:spacing w:line="480" w:lineRule="auto"/>
        <w:rPr>
          <w:rFonts w:ascii="Times New Roman" w:eastAsia="Times New Roman" w:hAnsi="Times New Roman" w:cs="Times New Roman"/>
          <w:sz w:val="24"/>
          <w:szCs w:val="24"/>
        </w:rPr>
      </w:pPr>
    </w:p>
    <w:p w14:paraId="0000001F" w14:textId="77777777" w:rsidR="003745B8" w:rsidRDefault="003745B8">
      <w:pPr>
        <w:spacing w:line="480" w:lineRule="auto"/>
        <w:rPr>
          <w:rFonts w:ascii="Times New Roman" w:eastAsia="Times New Roman" w:hAnsi="Times New Roman" w:cs="Times New Roman"/>
          <w:sz w:val="24"/>
          <w:szCs w:val="24"/>
        </w:rPr>
      </w:pPr>
    </w:p>
    <w:p w14:paraId="00000020" w14:textId="77777777" w:rsidR="003745B8" w:rsidRDefault="003745B8">
      <w:pPr>
        <w:spacing w:line="480" w:lineRule="auto"/>
        <w:rPr>
          <w:rFonts w:ascii="Times New Roman" w:eastAsia="Times New Roman" w:hAnsi="Times New Roman" w:cs="Times New Roman"/>
          <w:sz w:val="24"/>
          <w:szCs w:val="24"/>
        </w:rPr>
      </w:pPr>
    </w:p>
    <w:p w14:paraId="00000021" w14:textId="77777777" w:rsidR="003745B8" w:rsidRDefault="003745B8">
      <w:pPr>
        <w:spacing w:line="480" w:lineRule="auto"/>
        <w:rPr>
          <w:rFonts w:ascii="Times New Roman" w:eastAsia="Times New Roman" w:hAnsi="Times New Roman" w:cs="Times New Roman"/>
          <w:sz w:val="24"/>
          <w:szCs w:val="24"/>
        </w:rPr>
      </w:pPr>
    </w:p>
    <w:p w14:paraId="00000022" w14:textId="77777777" w:rsidR="003745B8" w:rsidRDefault="003745B8">
      <w:pPr>
        <w:spacing w:line="480" w:lineRule="auto"/>
        <w:rPr>
          <w:rFonts w:ascii="Times New Roman" w:eastAsia="Times New Roman" w:hAnsi="Times New Roman" w:cs="Times New Roman"/>
          <w:sz w:val="24"/>
          <w:szCs w:val="24"/>
        </w:rPr>
      </w:pPr>
    </w:p>
    <w:p w14:paraId="00000023" w14:textId="77777777" w:rsidR="003745B8" w:rsidRDefault="003745B8">
      <w:pPr>
        <w:spacing w:line="480" w:lineRule="auto"/>
        <w:rPr>
          <w:rFonts w:ascii="Times New Roman" w:eastAsia="Times New Roman" w:hAnsi="Times New Roman" w:cs="Times New Roman"/>
          <w:sz w:val="24"/>
          <w:szCs w:val="24"/>
        </w:rPr>
      </w:pPr>
    </w:p>
    <w:p w14:paraId="00000024" w14:textId="77777777" w:rsidR="003745B8" w:rsidRDefault="003745B8">
      <w:pPr>
        <w:spacing w:line="480" w:lineRule="auto"/>
        <w:rPr>
          <w:rFonts w:ascii="Times New Roman" w:eastAsia="Times New Roman" w:hAnsi="Times New Roman" w:cs="Times New Roman"/>
          <w:sz w:val="24"/>
          <w:szCs w:val="24"/>
        </w:rPr>
      </w:pPr>
    </w:p>
    <w:p w14:paraId="00000025" w14:textId="77777777" w:rsidR="003745B8" w:rsidRDefault="003745B8">
      <w:pPr>
        <w:spacing w:line="480" w:lineRule="auto"/>
        <w:rPr>
          <w:rFonts w:ascii="Times New Roman" w:eastAsia="Times New Roman" w:hAnsi="Times New Roman" w:cs="Times New Roman"/>
          <w:sz w:val="24"/>
          <w:szCs w:val="24"/>
        </w:rPr>
      </w:pPr>
    </w:p>
    <w:p w14:paraId="00000026" w14:textId="77777777" w:rsidR="003745B8" w:rsidRDefault="003745B8">
      <w:pPr>
        <w:spacing w:line="480" w:lineRule="auto"/>
        <w:rPr>
          <w:rFonts w:ascii="Times New Roman" w:eastAsia="Times New Roman" w:hAnsi="Times New Roman" w:cs="Times New Roman"/>
          <w:sz w:val="24"/>
          <w:szCs w:val="24"/>
        </w:rPr>
      </w:pPr>
    </w:p>
    <w:p w14:paraId="00000027" w14:textId="77777777" w:rsidR="003745B8" w:rsidRDefault="003745B8">
      <w:pPr>
        <w:spacing w:line="480" w:lineRule="auto"/>
        <w:rPr>
          <w:rFonts w:ascii="Times New Roman" w:eastAsia="Times New Roman" w:hAnsi="Times New Roman" w:cs="Times New Roman"/>
          <w:sz w:val="24"/>
          <w:szCs w:val="24"/>
        </w:rPr>
      </w:pPr>
    </w:p>
    <w:p w14:paraId="00000028" w14:textId="77777777" w:rsidR="003745B8" w:rsidRDefault="003745B8">
      <w:pPr>
        <w:spacing w:line="480" w:lineRule="auto"/>
        <w:rPr>
          <w:rFonts w:ascii="Times New Roman" w:eastAsia="Times New Roman" w:hAnsi="Times New Roman" w:cs="Times New Roman"/>
          <w:sz w:val="24"/>
          <w:szCs w:val="24"/>
        </w:rPr>
      </w:pPr>
    </w:p>
    <w:p w14:paraId="00000029" w14:textId="77777777" w:rsidR="003745B8" w:rsidRDefault="003745B8">
      <w:pPr>
        <w:spacing w:line="480" w:lineRule="auto"/>
        <w:rPr>
          <w:rFonts w:ascii="Times New Roman" w:eastAsia="Times New Roman" w:hAnsi="Times New Roman" w:cs="Times New Roman"/>
          <w:sz w:val="24"/>
          <w:szCs w:val="24"/>
        </w:rPr>
      </w:pPr>
    </w:p>
    <w:p w14:paraId="0000002A" w14:textId="77777777" w:rsidR="003745B8" w:rsidRDefault="003745B8">
      <w:pPr>
        <w:spacing w:line="480" w:lineRule="auto"/>
        <w:rPr>
          <w:rFonts w:ascii="Times New Roman" w:eastAsia="Times New Roman" w:hAnsi="Times New Roman" w:cs="Times New Roman"/>
          <w:sz w:val="24"/>
          <w:szCs w:val="24"/>
        </w:rPr>
      </w:pPr>
    </w:p>
    <w:p w14:paraId="0000002B" w14:textId="77777777" w:rsidR="003745B8" w:rsidRDefault="00000000">
      <w:pPr>
        <w:pStyle w:val="Heading1"/>
        <w:spacing w:line="480" w:lineRule="auto"/>
        <w:rPr>
          <w:rFonts w:ascii="Times New Roman" w:eastAsia="Times New Roman" w:hAnsi="Times New Roman" w:cs="Times New Roman"/>
          <w:b/>
        </w:rPr>
      </w:pPr>
      <w:bookmarkStart w:id="0" w:name="_gjdgxs" w:colFirst="0" w:colLast="0"/>
      <w:bookmarkEnd w:id="0"/>
      <w:r>
        <w:rPr>
          <w:rFonts w:ascii="Times New Roman" w:eastAsia="Times New Roman" w:hAnsi="Times New Roman" w:cs="Times New Roman"/>
          <w:b/>
        </w:rPr>
        <w:lastRenderedPageBreak/>
        <w:t>Introduction</w:t>
      </w:r>
    </w:p>
    <w:p w14:paraId="0000002C" w14:textId="77777777" w:rsidR="003745B8"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Birmingham Commonwealth Games, held in Alexandria Stadium in 2022, is a multi-sport international event for Commonwealth nations. More than 72 countries participated in the competition, and approximately 1.2 million tickets were sold. The Commonwealth Federal integrated both para and non-para games. There were 87 medals awarded, 96 Commonwealth Games held, and four world records broken, resulting in tremendous success for all Home Nations. Public investment of £778 million facilitated regeneration in Birmingham and the West Midlands. Infrastructure improvement at Sandwell Aquatics, Alexander Stadium, and Perry Barr created jobs for local engineers. I consider this a golden thread that runs through the events as it allows for diversity, equality, and inclusion. Locals engaged in unique cultural experiences as part of the </w:t>
      </w:r>
      <w:proofErr w:type="gramStart"/>
      <w:r>
        <w:rPr>
          <w:rFonts w:ascii="Times New Roman" w:eastAsia="Times New Roman" w:hAnsi="Times New Roman" w:cs="Times New Roman"/>
          <w:sz w:val="24"/>
          <w:szCs w:val="24"/>
        </w:rPr>
        <w:t>Festival</w:t>
      </w:r>
      <w:proofErr w:type="gramEnd"/>
      <w:r>
        <w:rPr>
          <w:rFonts w:ascii="Times New Roman" w:eastAsia="Times New Roman" w:hAnsi="Times New Roman" w:cs="Times New Roman"/>
          <w:sz w:val="24"/>
          <w:szCs w:val="24"/>
        </w:rPr>
        <w:t>, reflecting and expressing the unique places and people of the West Midlands. Free access to Festival Sites across Birmingham enabled access to live performance, special events, and entertainment. The Commonwealth Collective created 14,000 volunteer jobs which the locals filled. Thus, I consider youth empowerment, economic growth, and Infrastructural development as implications of the Commonwealth Games.</w:t>
      </w:r>
    </w:p>
    <w:p w14:paraId="0000002D" w14:textId="77777777" w:rsidR="003745B8" w:rsidRDefault="003745B8">
      <w:pPr>
        <w:spacing w:line="480" w:lineRule="auto"/>
        <w:ind w:firstLine="720"/>
        <w:rPr>
          <w:rFonts w:ascii="Times New Roman" w:eastAsia="Times New Roman" w:hAnsi="Times New Roman" w:cs="Times New Roman"/>
          <w:sz w:val="24"/>
          <w:szCs w:val="24"/>
        </w:rPr>
      </w:pPr>
    </w:p>
    <w:p w14:paraId="0000002E" w14:textId="77777777" w:rsidR="003745B8" w:rsidRDefault="00000000">
      <w:pPr>
        <w:pStyle w:val="Heading1"/>
        <w:spacing w:line="480" w:lineRule="auto"/>
        <w:rPr>
          <w:rFonts w:ascii="Times New Roman" w:eastAsia="Times New Roman" w:hAnsi="Times New Roman" w:cs="Times New Roman"/>
          <w:b/>
        </w:rPr>
      </w:pPr>
      <w:bookmarkStart w:id="1" w:name="_30j0zll" w:colFirst="0" w:colLast="0"/>
      <w:bookmarkEnd w:id="1"/>
      <w:r>
        <w:rPr>
          <w:rFonts w:ascii="Times New Roman" w:eastAsia="Times New Roman" w:hAnsi="Times New Roman" w:cs="Times New Roman"/>
          <w:b/>
        </w:rPr>
        <w:t>Commonwealth Games highlights and impacts on locals</w:t>
      </w:r>
    </w:p>
    <w:p w14:paraId="0000002F" w14:textId="77777777" w:rsidR="003745B8"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Sporting events such as the Birmingham Commonwealth Games play an essential role in society, such as driving regeneration in deprived city areas plagued by post-industrial blight. By focusing on inactive and underrepresented groups, the Games partners enabled people to improve their physical activity levels and raise their mental health awareness. Programs such as 'Bring the Power' delivered by the Commonwealth Federal enabled community engagement among youths (</w:t>
      </w:r>
      <w:proofErr w:type="spellStart"/>
      <w:r>
        <w:rPr>
          <w:rFonts w:ascii="Times New Roman" w:eastAsia="Times New Roman" w:hAnsi="Times New Roman" w:cs="Times New Roman"/>
          <w:sz w:val="24"/>
          <w:szCs w:val="24"/>
        </w:rPr>
        <w:t>Tihic</w:t>
      </w:r>
      <w:proofErr w:type="spellEnd"/>
      <w:r>
        <w:rPr>
          <w:rFonts w:ascii="Times New Roman" w:eastAsia="Times New Roman" w:hAnsi="Times New Roman" w:cs="Times New Roman"/>
          <w:sz w:val="24"/>
          <w:szCs w:val="24"/>
        </w:rPr>
        <w:t xml:space="preserve">, 2022). The program diversified learning and </w:t>
      </w:r>
      <w:r>
        <w:rPr>
          <w:rFonts w:ascii="Times New Roman" w:eastAsia="Times New Roman" w:hAnsi="Times New Roman" w:cs="Times New Roman"/>
          <w:sz w:val="24"/>
          <w:szCs w:val="24"/>
        </w:rPr>
        <w:lastRenderedPageBreak/>
        <w:t xml:space="preserve">engagement activities helping inspire young people in Birmingham and the West Midlands. Birmingham City Council invested $500,000 to ensure the effective delivery of the 'Bring the Power' campaign in the region. Organisers redistributed workshops, lesson plans, and Games-themed assemblies to schools before the start of the games. This allowed learners across England to be inspired and feel connected to the event. Commonwealth Connections allowed young people from Commonwealth nations to share skills and ideas through sports, culture, and art on a global scale. As part of the program, 60 learning institutions in the West Midlands were twinned with other institutions across the Commonwealth. Learning together and sharing Commonwealth values aided in the development of social cohesion (Raw, 2022). </w:t>
      </w:r>
    </w:p>
    <w:p w14:paraId="00000030" w14:textId="77777777" w:rsidR="003745B8"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opening ceremonies for the Commonwealth Games in Birmingham were spectacular. The ceremonies provided an opportunity for locals and the West Midlands to showcase their unique cultural heritage on a global scale. This enabled celebration of vibrant diversity with friends from Commonwealth nations. The Games promoted equality and inclusiveness by welcoming everyone, including LGBTIQ+ fans and athletes with disabilities (Cumming, 2022). This enabled extensive connections in the community, resulting in meaningful participation and engagement, including 34 Community Hubs, 18 community engagement forums, and 125 roadshows and events. The participants were given twelve million pounds from different stakeholders’ organisations such as Arts Council England, National Lottery Heritage Fund, and Birmingham City Council (</w:t>
      </w:r>
      <w:proofErr w:type="spellStart"/>
      <w:r>
        <w:rPr>
          <w:rFonts w:ascii="Times New Roman" w:eastAsia="Times New Roman" w:hAnsi="Times New Roman" w:cs="Times New Roman"/>
          <w:sz w:val="24"/>
          <w:szCs w:val="24"/>
        </w:rPr>
        <w:t>Mutibwa</w:t>
      </w:r>
      <w:proofErr w:type="spellEnd"/>
      <w:r>
        <w:rPr>
          <w:rFonts w:ascii="Times New Roman" w:eastAsia="Times New Roman" w:hAnsi="Times New Roman" w:cs="Times New Roman"/>
          <w:sz w:val="24"/>
          <w:szCs w:val="24"/>
        </w:rPr>
        <w:t>, 2022). Performances, such as co-created dances and UB40 band singing, heightened the celebratory mood at the stadium. These free performances allowed locals to interact and share great moments at the festival. Community artists expressed their talents by painting the city's open spaces with art.</w:t>
      </w:r>
    </w:p>
    <w:p w14:paraId="00000031" w14:textId="77777777" w:rsidR="003745B8"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Commonwealth Games in Birmingham facilitated social and economic development in the West Midlands and the United Kingdom. Usman et al. (2022) note that </w:t>
      </w:r>
      <w:r>
        <w:rPr>
          <w:rFonts w:ascii="Times New Roman" w:eastAsia="Times New Roman" w:hAnsi="Times New Roman" w:cs="Times New Roman"/>
          <w:sz w:val="24"/>
          <w:szCs w:val="24"/>
        </w:rPr>
        <w:lastRenderedPageBreak/>
        <w:t>the organisers created community programs to ensure environmental cleanliness by minimising carbon footprint. They focused on major emission hotspots, encouraging spectators to use public transportation by including it in the price of each ticket. Different approaches were developed to help when the carbon footprint could not be eliminated in the long run. Relatedly, legacy forests planted on 2,022 acres in the Midlands region aided in carbon reduction for the Commonwealth Games (</w:t>
      </w:r>
      <w:proofErr w:type="spellStart"/>
      <w:r>
        <w:rPr>
          <w:rFonts w:ascii="Times New Roman" w:eastAsia="Times New Roman" w:hAnsi="Times New Roman" w:cs="Times New Roman"/>
          <w:sz w:val="24"/>
          <w:szCs w:val="24"/>
        </w:rPr>
        <w:t>Klitgaard</w:t>
      </w:r>
      <w:proofErr w:type="spellEnd"/>
      <w:r>
        <w:rPr>
          <w:rFonts w:ascii="Times New Roman" w:eastAsia="Times New Roman" w:hAnsi="Times New Roman" w:cs="Times New Roman"/>
          <w:sz w:val="24"/>
          <w:szCs w:val="24"/>
        </w:rPr>
        <w:t>, 2022). This was made possible through collaborations with key stakeholders such as Seven Trent Water and Nature and a Carbon Neutral supporter. Other aspects of sustainability included reducing waste by repurposing and reusing existing facilities and venues. The Commonwealth Federal worked closely with the Seven Trent, who provided free water bars to the communities at the event, significantly reducing the use of 'single-use plastic.' Working closely with uniform suppliers enabled the organisers to reduce environmental pollution from plastic packages as they demanded proper packaging, folding, and sizing technology for merchandise. The Canals and River Trust helped remove trash and plastics in dirty corners of the city. This program helped to create a clean environment throughout the city and the Midlands region (Macintyre, 2021).</w:t>
      </w:r>
    </w:p>
    <w:p w14:paraId="00000032" w14:textId="77777777" w:rsidR="003745B8" w:rsidRDefault="003745B8">
      <w:pPr>
        <w:spacing w:line="480" w:lineRule="auto"/>
        <w:ind w:firstLine="720"/>
        <w:rPr>
          <w:rFonts w:ascii="Times New Roman" w:eastAsia="Times New Roman" w:hAnsi="Times New Roman" w:cs="Times New Roman"/>
          <w:sz w:val="24"/>
          <w:szCs w:val="24"/>
        </w:rPr>
      </w:pPr>
    </w:p>
    <w:p w14:paraId="00000033" w14:textId="77777777" w:rsidR="003745B8" w:rsidRDefault="00000000">
      <w:pPr>
        <w:pStyle w:val="Heading1"/>
        <w:spacing w:line="480" w:lineRule="auto"/>
        <w:rPr>
          <w:rFonts w:ascii="Times New Roman" w:eastAsia="Times New Roman" w:hAnsi="Times New Roman" w:cs="Times New Roman"/>
          <w:b/>
        </w:rPr>
      </w:pPr>
      <w:bookmarkStart w:id="2" w:name="_1fob9te" w:colFirst="0" w:colLast="0"/>
      <w:bookmarkEnd w:id="2"/>
      <w:r>
        <w:rPr>
          <w:rFonts w:ascii="Times New Roman" w:eastAsia="Times New Roman" w:hAnsi="Times New Roman" w:cs="Times New Roman"/>
          <w:b/>
        </w:rPr>
        <w:t>Youth empowerment, economic growth, and Infrastructural development</w:t>
      </w:r>
    </w:p>
    <w:p w14:paraId="00000034" w14:textId="77777777" w:rsidR="003745B8"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organising committee, alongside strategic partners, provided funding to facilitate Carbon Literacy Training programs for Games volunteers in the region. Sullen et al. (2022) note that Carbon Literacy programs provided youths with knowledge on climate change; environmental cleanliness skills, particularly steps to reduce carbon footprint. Fourteen thousand volunteers were trained to assist in the event delivery, and 500 spots were reserved </w:t>
      </w:r>
      <w:r>
        <w:rPr>
          <w:rFonts w:ascii="Times New Roman" w:eastAsia="Times New Roman" w:hAnsi="Times New Roman" w:cs="Times New Roman"/>
          <w:sz w:val="24"/>
          <w:szCs w:val="24"/>
        </w:rPr>
        <w:lastRenderedPageBreak/>
        <w:t xml:space="preserve">for youths. There was complete equality, with 61% of volunteers from the West Midlands and 63% from the rest of the UK (Woodard, 2022). </w:t>
      </w:r>
    </w:p>
    <w:p w14:paraId="00000035" w14:textId="77777777" w:rsidR="003745B8"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Commonwealth Games' hosting by Birmingham raised the financial level of the city, the West Midlands, and the UK. Five million people moved into the city, increasing the local economy's market share. They bought items from locals, like merchandise, and ate the variety of food the area had. The Job and Skill Academy, one of the major stakeholders, provided five million pounds to train unemployed locals for jobs at the Games. More than 7500 people received training to work in the hospitality, security, cleaning, stewarding, and logistics industries. This was critical for the Games as it helped build a talented workforce in the region. Relatedly, stakeholders like West Midlands Combined Authority secured a great project, 'Find your Future,' being commissioned by Department work and pensions. The program enabled the training of individuals at higher levels of skills. An increase in employment enabled a rise in spending levels, hence community development through taxes collected (Park, 2022). Various departments were redeveloped to accommodate the large mass and enable smooth transportation. Some of the areas redeveloped include the Coventry, University, Leamington Spa train stations, and Sprint rapid bus routes. The Games also necessitated highways like the A34 at Perry Barr to be renovated, which benefited the city. People were urged to use transportation options that produced less carbon during the Games.</w:t>
      </w:r>
    </w:p>
    <w:p w14:paraId="00000036" w14:textId="77777777" w:rsidR="003745B8" w:rsidRDefault="003745B8">
      <w:pPr>
        <w:spacing w:line="480" w:lineRule="auto"/>
        <w:ind w:firstLine="720"/>
        <w:rPr>
          <w:rFonts w:ascii="Times New Roman" w:eastAsia="Times New Roman" w:hAnsi="Times New Roman" w:cs="Times New Roman"/>
          <w:sz w:val="24"/>
          <w:szCs w:val="24"/>
        </w:rPr>
      </w:pPr>
    </w:p>
    <w:p w14:paraId="00000037" w14:textId="77777777" w:rsidR="003745B8" w:rsidRDefault="00000000">
      <w:pPr>
        <w:pStyle w:val="Heading1"/>
        <w:spacing w:line="480" w:lineRule="auto"/>
        <w:rPr>
          <w:rFonts w:ascii="Times New Roman" w:eastAsia="Times New Roman" w:hAnsi="Times New Roman" w:cs="Times New Roman"/>
          <w:b/>
        </w:rPr>
      </w:pPr>
      <w:bookmarkStart w:id="3" w:name="_3znysh7" w:colFirst="0" w:colLast="0"/>
      <w:bookmarkEnd w:id="3"/>
      <w:r>
        <w:rPr>
          <w:rFonts w:ascii="Times New Roman" w:eastAsia="Times New Roman" w:hAnsi="Times New Roman" w:cs="Times New Roman"/>
          <w:b/>
        </w:rPr>
        <w:t>Social engagement</w:t>
      </w:r>
    </w:p>
    <w:p w14:paraId="00000038" w14:textId="77777777" w:rsidR="003745B8"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Social engagement via social media platforms played a crucial role in Commonwealth Games by broadcasting different activities in the city. The popularity of social media had a spectacular impact on the Games due to its coverage across the globe (</w:t>
      </w: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Khaldy</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Social media platforms such as YouTube, Facebook, Twitter, and Instagram enabled </w:t>
      </w:r>
      <w:r>
        <w:rPr>
          <w:rFonts w:ascii="Times New Roman" w:eastAsia="Times New Roman" w:hAnsi="Times New Roman" w:cs="Times New Roman"/>
          <w:sz w:val="24"/>
          <w:szCs w:val="24"/>
        </w:rPr>
        <w:lastRenderedPageBreak/>
        <w:t xml:space="preserve">engagement and fast updates about the events. Instagram posts by Athletes and fans helped share information about the event, their experiences, and what they had in mind about the Games. Participants were able to tweet and share their ideas during the event. Tweets provided different people worldwide with critical insight into Birmingham's culture. The information displayed on twitter served as a direct promotional approach for the Games. Chetty et al. (2022) note that the engagement on the platform cohesively united different individuals from various regions. Relatedly, Commonwealth Federal uses Twitter to relay current updates about the events, attracting more fans at the stadium hence more interaction. </w:t>
      </w:r>
    </w:p>
    <w:p w14:paraId="00000039" w14:textId="77777777" w:rsidR="003745B8"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Social platforms like YouTube allowed the Commonwealth Organiser to upload feeds and broadcast live stadium events (Pier, 2022). People across the globe could watch the games and comment on their views and anticipation. Dwivedi et al. (2022) note that the interaction in comments sections allowed people to converse important games' cultural aspects; people could share ideas and knowledge about sports. Facebook was deployed by Commonwealth Federal, informing the public about important schedules at the stadium. Posting events' schedules and results created traffic, and individuals interacted in comments and shared the feeds. This created large awareness of the games, allowing individuals to visit Birmingham. Relatedly, the Commonwealth Federal collaborated with the BBC channel to help broadcast the events. The channel allowed the rebranding of their program, allowing sharing of 15 seconds clips through social media (ROWE, 2022). Extensive coverage enabled more people to interact on social platforms.</w:t>
      </w:r>
    </w:p>
    <w:p w14:paraId="0000003A" w14:textId="77777777" w:rsidR="003745B8" w:rsidRDefault="003745B8">
      <w:pPr>
        <w:spacing w:line="480" w:lineRule="auto"/>
        <w:ind w:firstLine="720"/>
        <w:rPr>
          <w:rFonts w:ascii="Times New Roman" w:eastAsia="Times New Roman" w:hAnsi="Times New Roman" w:cs="Times New Roman"/>
          <w:sz w:val="24"/>
          <w:szCs w:val="24"/>
        </w:rPr>
      </w:pPr>
    </w:p>
    <w:p w14:paraId="0000003B" w14:textId="77777777" w:rsidR="003745B8" w:rsidRDefault="00000000">
      <w:pPr>
        <w:pStyle w:val="Heading1"/>
        <w:spacing w:line="480" w:lineRule="auto"/>
        <w:rPr>
          <w:rFonts w:ascii="Times New Roman" w:eastAsia="Times New Roman" w:hAnsi="Times New Roman" w:cs="Times New Roman"/>
          <w:b/>
        </w:rPr>
      </w:pPr>
      <w:bookmarkStart w:id="4" w:name="_2et92p0" w:colFirst="0" w:colLast="0"/>
      <w:bookmarkEnd w:id="4"/>
      <w:r>
        <w:rPr>
          <w:rFonts w:ascii="Times New Roman" w:eastAsia="Times New Roman" w:hAnsi="Times New Roman" w:cs="Times New Roman"/>
          <w:b/>
        </w:rPr>
        <w:t xml:space="preserve">Reflection </w:t>
      </w:r>
    </w:p>
    <w:p w14:paraId="0000003C" w14:textId="77777777" w:rsidR="003745B8"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believe empowering people through education helps to achieve sustainable economic growth and development. It also can integrate cultural, economic, and social </w:t>
      </w:r>
      <w:r>
        <w:rPr>
          <w:rFonts w:ascii="Times New Roman" w:eastAsia="Times New Roman" w:hAnsi="Times New Roman" w:cs="Times New Roman"/>
          <w:sz w:val="24"/>
          <w:szCs w:val="24"/>
        </w:rPr>
        <w:lastRenderedPageBreak/>
        <w:t>policies, achieving a great life. Programs such as 'Bring the Power' delivered by the Commonwealth Federal enhanced community engagement among youths. The program diversified learning and engagement activities helping inspire young people in Birmingham and the West Midlands (</w:t>
      </w:r>
      <w:proofErr w:type="spellStart"/>
      <w:r>
        <w:rPr>
          <w:rFonts w:ascii="Times New Roman" w:eastAsia="Times New Roman" w:hAnsi="Times New Roman" w:cs="Times New Roman"/>
          <w:sz w:val="24"/>
          <w:szCs w:val="24"/>
        </w:rPr>
        <w:t>Nenadic</w:t>
      </w:r>
      <w:proofErr w:type="spellEnd"/>
      <w:r>
        <w:rPr>
          <w:rFonts w:ascii="Times New Roman" w:eastAsia="Times New Roman" w:hAnsi="Times New Roman" w:cs="Times New Roman"/>
          <w:sz w:val="24"/>
          <w:szCs w:val="24"/>
        </w:rPr>
        <w:t xml:space="preserve">, 2022). I believe community engagement in Birmingham allowed locals to express and reflect on their unique cultural heritage. The Commonwealth Games allowed LGBTIQ+ fans and disabled athletes to participate and engage in the Games. </w:t>
      </w:r>
      <w:proofErr w:type="gramStart"/>
      <w:r>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this, I think equality and inclusiveness through community engagement can be achieved by welcoming everyone. Relatedly, I consider free performances, such as co-created dances, as an excellent way for locals to share great moments at the Games. Environmental cleanliness is critical during the Commonwealth games; it helps minimise carbon footprint. I believe such measures can minimise health problems resulting from air pollution. Increased air contaminants expose individuals to communicable infections such as TB and common coughs. </w:t>
      </w:r>
    </w:p>
    <w:p w14:paraId="0000003D" w14:textId="77777777" w:rsidR="003745B8"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of the benefits accompanied by hosting the Commonwealth Games encompass youth empowerment, economic growth, and Infrastructural development. I think youth empowerment achieved through Carbon Literacy Training programs developed a sense of awareness about climate change. Youths were offered practical skills allowing them to diversify unique strategies to maintain a clean environment. The Commonwealth Games aided economic development by attracting a large market pool (fans) (Allen, 2022). Visitors to the city increased demand for local products, boosting sales and enabling financial expansion. I believe that infrastructure redevelopment was a critical step, based on the large number of people who attended the CWG. First, it allowed for quick and smooth transportation of people throughout the city. Second, it enhanced Birmingham's public image, attracting more tourists. The success of community engagement relied on social engagement done via different platforms. The platforms spectacularly affected the Commonwealth Games </w:t>
      </w:r>
      <w:r>
        <w:rPr>
          <w:rFonts w:ascii="Times New Roman" w:eastAsia="Times New Roman" w:hAnsi="Times New Roman" w:cs="Times New Roman"/>
          <w:sz w:val="24"/>
          <w:szCs w:val="24"/>
        </w:rPr>
        <w:lastRenderedPageBreak/>
        <w:t xml:space="preserve">because they covered broad areas. Using media such as Facebook, YouTube, Twitter, and Instagram enabled easier information to broadcast information worldwide. Despite the benefits of the Birmingham Commonwealth Games, the community faced various challenges. The event relied heavily on volunteers and temporary staff to help with a vital section of the games. There was ineffective leadership resulting in low coordination among the volunteer staff. </w:t>
      </w:r>
    </w:p>
    <w:p w14:paraId="0000003E" w14:textId="77777777" w:rsidR="003745B8" w:rsidRDefault="0000000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 believe setting a clear structure before and during the event would help volunteer staff take accountability for their job. The effectiveness of the volunteer staff is beneficial to games and Birmingham in general. The excellent volunteer service delivery creates a positive image for the city and nation, attracting outsiders (fans) hence economic development via tourism. Other challenges Commonwealth Games organisers faced include criticism from locals. They lacked a voice in the planning process, and many decisions were made without associating them. For example, the change in traffic management routes and signage around the stadium was confusing. I think lack of community involvement in crucial aspects can cause disruptions in such events. Minimising criticism from locals requires Commonwealth organisers to involve the community in planning. Proper communication enables smooth operation of the event as everyone is aware of different regional changes. Athletes' hotel rooms were far, long-distance caused exhaustion hence low performance. I think reserving enough restrooms near the stadium for participants (athletes) minimises the reoccurrence of similar problems. Enough rest after the game enables the athletes to reenergize, allowing enough time to practise hence better performance.</w:t>
      </w:r>
    </w:p>
    <w:p w14:paraId="0000003F" w14:textId="77777777" w:rsidR="003745B8" w:rsidRDefault="003745B8">
      <w:pPr>
        <w:spacing w:line="480" w:lineRule="auto"/>
        <w:ind w:firstLine="720"/>
        <w:rPr>
          <w:rFonts w:ascii="Times New Roman" w:eastAsia="Times New Roman" w:hAnsi="Times New Roman" w:cs="Times New Roman"/>
          <w:sz w:val="24"/>
          <w:szCs w:val="24"/>
        </w:rPr>
      </w:pPr>
    </w:p>
    <w:p w14:paraId="00000040" w14:textId="77777777" w:rsidR="003745B8" w:rsidRDefault="00000000">
      <w:pPr>
        <w:pStyle w:val="Heading1"/>
        <w:spacing w:line="480" w:lineRule="auto"/>
        <w:rPr>
          <w:rFonts w:ascii="Times New Roman" w:eastAsia="Times New Roman" w:hAnsi="Times New Roman" w:cs="Times New Roman"/>
          <w:b/>
        </w:rPr>
      </w:pPr>
      <w:bookmarkStart w:id="5" w:name="_tyjcwt" w:colFirst="0" w:colLast="0"/>
      <w:bookmarkEnd w:id="5"/>
      <w:r>
        <w:rPr>
          <w:rFonts w:ascii="Times New Roman" w:eastAsia="Times New Roman" w:hAnsi="Times New Roman" w:cs="Times New Roman"/>
          <w:b/>
        </w:rPr>
        <w:lastRenderedPageBreak/>
        <w:t>Conclusion</w:t>
      </w:r>
    </w:p>
    <w:p w14:paraId="00000041" w14:textId="77777777" w:rsidR="003745B8" w:rsidRDefault="00000000">
      <w:pPr>
        <w:spacing w:line="480" w:lineRule="auto"/>
        <w:ind w:firstLine="720"/>
        <w:rPr>
          <w:rFonts w:ascii="Times New Roman" w:eastAsia="Times New Roman" w:hAnsi="Times New Roman" w:cs="Times New Roman"/>
          <w:sz w:val="24"/>
          <w:szCs w:val="24"/>
        </w:rPr>
      </w:pPr>
      <w:bookmarkStart w:id="6" w:name="_3dy6vkm" w:colFirst="0" w:colLast="0"/>
      <w:bookmarkEnd w:id="6"/>
      <w:r>
        <w:rPr>
          <w:rFonts w:ascii="Times New Roman" w:eastAsia="Times New Roman" w:hAnsi="Times New Roman" w:cs="Times New Roman"/>
          <w:sz w:val="24"/>
          <w:szCs w:val="24"/>
        </w:rPr>
        <w:t>The Birmingham Commonwealth Games, held in Alexandria Stadium in 2022, is a multi-sport international event for Commonwealth nations. The Commonwealth Games enabled regeneration in deprived city areas suffering from post-industrial blight. Infrastructure improvement at Sandwell Aquatics, Alexander Stadium, and Perry Barr created jobs for local engineers. Creatives from communities had a chance to express their talents; the city's open spaces were flooded with art. I consider Carbon Literacy programs essential as they teach youths about climate change. I also believe programs such as 'Bring the Power' diversify learning and engagement activities, which helps inspire young people. Social media platforms such as YouTube, Facebook, Twitter, and Instagram enabled engagement and fast updates about the events. The information displayed on twitter served as a direct promotional approach for the Games. Facebook was deployed by Commonwealth Federal, informing the public about important schedules at the stadium. The Commonwealth Games experienced challenges such as ineffective volunteer management, criticism from locals, and a lack of enough reservations for athletes. I believe setting a clear structure before and during the event would help volunteer staff take accountability for their job. Commonwealth Games organisers need to involve the community in essential aspects. I think diversifying effective planning, such as reservation of enough restrooms for Games participants, provides an optimal environment for better performance.</w:t>
      </w:r>
    </w:p>
    <w:p w14:paraId="00000042" w14:textId="77777777" w:rsidR="003745B8" w:rsidRDefault="003745B8">
      <w:pPr>
        <w:spacing w:line="480" w:lineRule="auto"/>
        <w:rPr>
          <w:rFonts w:ascii="Times New Roman" w:eastAsia="Times New Roman" w:hAnsi="Times New Roman" w:cs="Times New Roman"/>
          <w:sz w:val="24"/>
          <w:szCs w:val="24"/>
        </w:rPr>
      </w:pPr>
    </w:p>
    <w:p w14:paraId="00000043" w14:textId="77777777" w:rsidR="003745B8" w:rsidRDefault="003745B8">
      <w:pPr>
        <w:spacing w:line="480" w:lineRule="auto"/>
        <w:ind w:firstLine="720"/>
        <w:rPr>
          <w:rFonts w:ascii="Times New Roman" w:eastAsia="Times New Roman" w:hAnsi="Times New Roman" w:cs="Times New Roman"/>
          <w:sz w:val="24"/>
          <w:szCs w:val="24"/>
        </w:rPr>
      </w:pPr>
    </w:p>
    <w:p w14:paraId="00000044" w14:textId="77777777" w:rsidR="003745B8" w:rsidRDefault="003745B8">
      <w:pPr>
        <w:spacing w:line="480" w:lineRule="auto"/>
        <w:rPr>
          <w:rFonts w:ascii="Times New Roman" w:eastAsia="Times New Roman" w:hAnsi="Times New Roman" w:cs="Times New Roman"/>
          <w:sz w:val="24"/>
          <w:szCs w:val="24"/>
        </w:rPr>
      </w:pPr>
    </w:p>
    <w:p w14:paraId="00000045" w14:textId="77777777" w:rsidR="003745B8" w:rsidRDefault="003745B8">
      <w:pPr>
        <w:spacing w:line="480" w:lineRule="auto"/>
        <w:rPr>
          <w:rFonts w:ascii="Times New Roman" w:eastAsia="Times New Roman" w:hAnsi="Times New Roman" w:cs="Times New Roman"/>
          <w:sz w:val="24"/>
          <w:szCs w:val="24"/>
        </w:rPr>
      </w:pPr>
    </w:p>
    <w:p w14:paraId="00000046" w14:textId="77777777" w:rsidR="003745B8" w:rsidRDefault="003745B8">
      <w:pPr>
        <w:spacing w:line="480" w:lineRule="auto"/>
        <w:ind w:firstLine="720"/>
        <w:rPr>
          <w:rFonts w:ascii="Times New Roman" w:eastAsia="Times New Roman" w:hAnsi="Times New Roman" w:cs="Times New Roman"/>
          <w:sz w:val="24"/>
          <w:szCs w:val="24"/>
        </w:rPr>
      </w:pPr>
    </w:p>
    <w:p w14:paraId="00000047" w14:textId="77777777" w:rsidR="003745B8" w:rsidRDefault="00000000">
      <w:pPr>
        <w:pStyle w:val="Heading1"/>
        <w:spacing w:line="480" w:lineRule="auto"/>
        <w:rPr>
          <w:rFonts w:ascii="Times New Roman" w:eastAsia="Times New Roman" w:hAnsi="Times New Roman" w:cs="Times New Roman"/>
          <w:b/>
        </w:rPr>
      </w:pPr>
      <w:bookmarkStart w:id="7" w:name="_1t3h5sf" w:colFirst="0" w:colLast="0"/>
      <w:bookmarkEnd w:id="7"/>
      <w:r>
        <w:rPr>
          <w:rFonts w:ascii="Times New Roman" w:eastAsia="Times New Roman" w:hAnsi="Times New Roman" w:cs="Times New Roman"/>
          <w:b/>
        </w:rPr>
        <w:t>References</w:t>
      </w:r>
    </w:p>
    <w:p w14:paraId="00000048"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Khaldy</w:t>
      </w:r>
      <w:proofErr w:type="spellEnd"/>
      <w:r>
        <w:rPr>
          <w:rFonts w:ascii="Times New Roman" w:eastAsia="Times New Roman" w:hAnsi="Times New Roman" w:cs="Times New Roman"/>
          <w:color w:val="222222"/>
          <w:sz w:val="24"/>
          <w:szCs w:val="24"/>
          <w:highlight w:val="white"/>
        </w:rPr>
        <w:t xml:space="preserve">, D.A.W., Hassan, T.H.S., Abdou, A.H., </w:t>
      </w:r>
      <w:proofErr w:type="spellStart"/>
      <w:r>
        <w:rPr>
          <w:rFonts w:ascii="Times New Roman" w:eastAsia="Times New Roman" w:hAnsi="Times New Roman" w:cs="Times New Roman"/>
          <w:color w:val="222222"/>
          <w:sz w:val="24"/>
          <w:szCs w:val="24"/>
          <w:highlight w:val="white"/>
        </w:rPr>
        <w:t>Abdelmoaty</w:t>
      </w:r>
      <w:proofErr w:type="spellEnd"/>
      <w:r>
        <w:rPr>
          <w:rFonts w:ascii="Times New Roman" w:eastAsia="Times New Roman" w:hAnsi="Times New Roman" w:cs="Times New Roman"/>
          <w:color w:val="222222"/>
          <w:sz w:val="24"/>
          <w:szCs w:val="24"/>
          <w:highlight w:val="white"/>
        </w:rPr>
        <w:t xml:space="preserve">, M.A. and Salem, A.E., 2022. The Effects of Social Networking Services on Tourists’ Intention to Visit Mega-Events during the Riyadh Season: A Theory of Planned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Model.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(21), p.14481.</w:t>
      </w:r>
    </w:p>
    <w:p w14:paraId="00000049"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Allen, J., Harris, R., </w:t>
      </w:r>
      <w:proofErr w:type="spellStart"/>
      <w:r>
        <w:rPr>
          <w:rFonts w:ascii="Times New Roman" w:eastAsia="Times New Roman" w:hAnsi="Times New Roman" w:cs="Times New Roman"/>
          <w:color w:val="222222"/>
          <w:sz w:val="24"/>
          <w:szCs w:val="24"/>
          <w:highlight w:val="white"/>
        </w:rPr>
        <w:t>Jago</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Tantrai</w:t>
      </w:r>
      <w:proofErr w:type="spellEnd"/>
      <w:r>
        <w:rPr>
          <w:rFonts w:ascii="Times New Roman" w:eastAsia="Times New Roman" w:hAnsi="Times New Roman" w:cs="Times New Roman"/>
          <w:color w:val="222222"/>
          <w:sz w:val="24"/>
          <w:szCs w:val="24"/>
          <w:highlight w:val="white"/>
        </w:rPr>
        <w:t>, A., Jonson, P. and D'Arcy, E., 2022. </w:t>
      </w:r>
      <w:r>
        <w:rPr>
          <w:rFonts w:ascii="Times New Roman" w:eastAsia="Times New Roman" w:hAnsi="Times New Roman" w:cs="Times New Roman"/>
          <w:i/>
          <w:color w:val="222222"/>
          <w:sz w:val="24"/>
          <w:szCs w:val="24"/>
          <w:highlight w:val="white"/>
        </w:rPr>
        <w:t>Festival and special event management</w:t>
      </w:r>
      <w:r>
        <w:rPr>
          <w:rFonts w:ascii="Times New Roman" w:eastAsia="Times New Roman" w:hAnsi="Times New Roman" w:cs="Times New Roman"/>
          <w:color w:val="222222"/>
          <w:sz w:val="24"/>
          <w:szCs w:val="24"/>
          <w:highlight w:val="white"/>
        </w:rPr>
        <w:t>. John Wiley &amp; Sons.</w:t>
      </w:r>
    </w:p>
    <w:p w14:paraId="0000004A"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Chetty, R., Jackson, M.O., </w:t>
      </w:r>
      <w:proofErr w:type="spellStart"/>
      <w:r>
        <w:rPr>
          <w:rFonts w:ascii="Times New Roman" w:eastAsia="Times New Roman" w:hAnsi="Times New Roman" w:cs="Times New Roman"/>
          <w:color w:val="222222"/>
          <w:sz w:val="24"/>
          <w:szCs w:val="24"/>
          <w:highlight w:val="white"/>
        </w:rPr>
        <w:t>Kuchler</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Stroebel</w:t>
      </w:r>
      <w:proofErr w:type="spellEnd"/>
      <w:r>
        <w:rPr>
          <w:rFonts w:ascii="Times New Roman" w:eastAsia="Times New Roman" w:hAnsi="Times New Roman" w:cs="Times New Roman"/>
          <w:color w:val="222222"/>
          <w:sz w:val="24"/>
          <w:szCs w:val="24"/>
          <w:highlight w:val="white"/>
        </w:rPr>
        <w:t xml:space="preserve">, J., Hendren, N., </w:t>
      </w:r>
      <w:proofErr w:type="spellStart"/>
      <w:r>
        <w:rPr>
          <w:rFonts w:ascii="Times New Roman" w:eastAsia="Times New Roman" w:hAnsi="Times New Roman" w:cs="Times New Roman"/>
          <w:color w:val="222222"/>
          <w:sz w:val="24"/>
          <w:szCs w:val="24"/>
          <w:highlight w:val="white"/>
        </w:rPr>
        <w:t>Fluegge</w:t>
      </w:r>
      <w:proofErr w:type="spellEnd"/>
      <w:r>
        <w:rPr>
          <w:rFonts w:ascii="Times New Roman" w:eastAsia="Times New Roman" w:hAnsi="Times New Roman" w:cs="Times New Roman"/>
          <w:color w:val="222222"/>
          <w:sz w:val="24"/>
          <w:szCs w:val="24"/>
          <w:highlight w:val="white"/>
        </w:rPr>
        <w:t xml:space="preserve">, R.B., Gong, S., Gonzalez, F., </w:t>
      </w:r>
      <w:proofErr w:type="spellStart"/>
      <w:r>
        <w:rPr>
          <w:rFonts w:ascii="Times New Roman" w:eastAsia="Times New Roman" w:hAnsi="Times New Roman" w:cs="Times New Roman"/>
          <w:color w:val="222222"/>
          <w:sz w:val="24"/>
          <w:szCs w:val="24"/>
          <w:highlight w:val="white"/>
        </w:rPr>
        <w:t>Grondin</w:t>
      </w:r>
      <w:proofErr w:type="spellEnd"/>
      <w:r>
        <w:rPr>
          <w:rFonts w:ascii="Times New Roman" w:eastAsia="Times New Roman" w:hAnsi="Times New Roman" w:cs="Times New Roman"/>
          <w:color w:val="222222"/>
          <w:sz w:val="24"/>
          <w:szCs w:val="24"/>
          <w:highlight w:val="white"/>
        </w:rPr>
        <w:t>, A., Jacob, M. and Johnston, D., 2022. Social capital I: measurement and associations with economic mobility. </w:t>
      </w:r>
      <w:r>
        <w:rPr>
          <w:rFonts w:ascii="Times New Roman" w:eastAsia="Times New Roman" w:hAnsi="Times New Roman" w:cs="Times New Roman"/>
          <w:i/>
          <w:color w:val="222222"/>
          <w:sz w:val="24"/>
          <w:szCs w:val="24"/>
          <w:highlight w:val="white"/>
        </w:rPr>
        <w:t>Nature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608</w:t>
      </w:r>
      <w:r>
        <w:rPr>
          <w:rFonts w:ascii="Times New Roman" w:eastAsia="Times New Roman" w:hAnsi="Times New Roman" w:cs="Times New Roman"/>
          <w:color w:val="222222"/>
          <w:sz w:val="24"/>
          <w:szCs w:val="24"/>
          <w:highlight w:val="white"/>
        </w:rPr>
        <w:t>(7921), pp.108-121.</w:t>
      </w:r>
    </w:p>
    <w:p w14:paraId="0000004B"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Cumming-Potvin, W.M., 2022. </w:t>
      </w:r>
      <w:r>
        <w:rPr>
          <w:rFonts w:ascii="Times New Roman" w:eastAsia="Times New Roman" w:hAnsi="Times New Roman" w:cs="Times New Roman"/>
          <w:i/>
          <w:color w:val="222222"/>
          <w:sz w:val="24"/>
          <w:szCs w:val="24"/>
          <w:highlight w:val="white"/>
        </w:rPr>
        <w:t>LGBTQI+ Allies in Education, Advocacy, Activism, and Participatory Collaborative Research</w:t>
      </w:r>
      <w:r>
        <w:rPr>
          <w:rFonts w:ascii="Times New Roman" w:eastAsia="Times New Roman" w:hAnsi="Times New Roman" w:cs="Times New Roman"/>
          <w:color w:val="222222"/>
          <w:sz w:val="24"/>
          <w:szCs w:val="24"/>
          <w:highlight w:val="white"/>
        </w:rPr>
        <w:t>. Taylor &amp; Francis.</w:t>
      </w:r>
    </w:p>
    <w:p w14:paraId="0000004C"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Dwivedi, Y.K., Hughes, L., </w:t>
      </w:r>
      <w:proofErr w:type="spellStart"/>
      <w:r>
        <w:rPr>
          <w:rFonts w:ascii="Times New Roman" w:eastAsia="Times New Roman" w:hAnsi="Times New Roman" w:cs="Times New Roman"/>
          <w:color w:val="222222"/>
          <w:sz w:val="24"/>
          <w:szCs w:val="24"/>
          <w:highlight w:val="white"/>
        </w:rPr>
        <w:t>Baabdullah</w:t>
      </w:r>
      <w:proofErr w:type="spellEnd"/>
      <w:r>
        <w:rPr>
          <w:rFonts w:ascii="Times New Roman" w:eastAsia="Times New Roman" w:hAnsi="Times New Roman" w:cs="Times New Roman"/>
          <w:color w:val="222222"/>
          <w:sz w:val="24"/>
          <w:szCs w:val="24"/>
          <w:highlight w:val="white"/>
        </w:rPr>
        <w:t xml:space="preserve">, A.M., Ribeiro-Navarrete, S., </w:t>
      </w:r>
      <w:proofErr w:type="spellStart"/>
      <w:r>
        <w:rPr>
          <w:rFonts w:ascii="Times New Roman" w:eastAsia="Times New Roman" w:hAnsi="Times New Roman" w:cs="Times New Roman"/>
          <w:color w:val="222222"/>
          <w:sz w:val="24"/>
          <w:szCs w:val="24"/>
          <w:highlight w:val="white"/>
        </w:rPr>
        <w:t>Giannakis</w:t>
      </w:r>
      <w:proofErr w:type="spellEnd"/>
      <w:r>
        <w:rPr>
          <w:rFonts w:ascii="Times New Roman" w:eastAsia="Times New Roman" w:hAnsi="Times New Roman" w:cs="Times New Roman"/>
          <w:color w:val="222222"/>
          <w:sz w:val="24"/>
          <w:szCs w:val="24"/>
          <w:highlight w:val="white"/>
        </w:rPr>
        <w:t>, M., Al-</w:t>
      </w:r>
      <w:proofErr w:type="spellStart"/>
      <w:r>
        <w:rPr>
          <w:rFonts w:ascii="Times New Roman" w:eastAsia="Times New Roman" w:hAnsi="Times New Roman" w:cs="Times New Roman"/>
          <w:color w:val="222222"/>
          <w:sz w:val="24"/>
          <w:szCs w:val="24"/>
          <w:highlight w:val="white"/>
        </w:rPr>
        <w:t>Debei</w:t>
      </w:r>
      <w:proofErr w:type="spellEnd"/>
      <w:r>
        <w:rPr>
          <w:rFonts w:ascii="Times New Roman" w:eastAsia="Times New Roman" w:hAnsi="Times New Roman" w:cs="Times New Roman"/>
          <w:color w:val="222222"/>
          <w:sz w:val="24"/>
          <w:szCs w:val="24"/>
          <w:highlight w:val="white"/>
        </w:rPr>
        <w:t xml:space="preserve">, M.M., Dennehy, D., </w:t>
      </w:r>
      <w:proofErr w:type="spellStart"/>
      <w:r>
        <w:rPr>
          <w:rFonts w:ascii="Times New Roman" w:eastAsia="Times New Roman" w:hAnsi="Times New Roman" w:cs="Times New Roman"/>
          <w:color w:val="222222"/>
          <w:sz w:val="24"/>
          <w:szCs w:val="24"/>
          <w:highlight w:val="white"/>
        </w:rPr>
        <w:t>Metri</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Buhalis</w:t>
      </w:r>
      <w:proofErr w:type="spellEnd"/>
      <w:r>
        <w:rPr>
          <w:rFonts w:ascii="Times New Roman" w:eastAsia="Times New Roman" w:hAnsi="Times New Roman" w:cs="Times New Roman"/>
          <w:color w:val="222222"/>
          <w:sz w:val="24"/>
          <w:szCs w:val="24"/>
          <w:highlight w:val="white"/>
        </w:rPr>
        <w:t xml:space="preserve">, D., Cheung, C.M. and Conboy, K., 2022. Metaverse beyond the hype: Multidisciplinary perspectives on emerging challenges, opportunities, and agenda for research, </w:t>
      </w:r>
      <w:proofErr w:type="gramStart"/>
      <w:r>
        <w:rPr>
          <w:rFonts w:ascii="Times New Roman" w:eastAsia="Times New Roman" w:hAnsi="Times New Roman" w:cs="Times New Roman"/>
          <w:color w:val="222222"/>
          <w:sz w:val="24"/>
          <w:szCs w:val="24"/>
          <w:highlight w:val="white"/>
        </w:rPr>
        <w:t>practice</w:t>
      </w:r>
      <w:proofErr w:type="gramEnd"/>
      <w:r>
        <w:rPr>
          <w:rFonts w:ascii="Times New Roman" w:eastAsia="Times New Roman" w:hAnsi="Times New Roman" w:cs="Times New Roman"/>
          <w:color w:val="222222"/>
          <w:sz w:val="24"/>
          <w:szCs w:val="24"/>
          <w:highlight w:val="white"/>
        </w:rPr>
        <w:t xml:space="preserve"> and policy. </w:t>
      </w:r>
      <w:r>
        <w:rPr>
          <w:rFonts w:ascii="Times New Roman" w:eastAsia="Times New Roman" w:hAnsi="Times New Roman" w:cs="Times New Roman"/>
          <w:i/>
          <w:color w:val="222222"/>
          <w:sz w:val="24"/>
          <w:szCs w:val="24"/>
          <w:highlight w:val="white"/>
        </w:rPr>
        <w:t>International Journal of Information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66</w:t>
      </w:r>
      <w:r>
        <w:rPr>
          <w:rFonts w:ascii="Times New Roman" w:eastAsia="Times New Roman" w:hAnsi="Times New Roman" w:cs="Times New Roman"/>
          <w:color w:val="222222"/>
          <w:sz w:val="24"/>
          <w:szCs w:val="24"/>
          <w:highlight w:val="white"/>
        </w:rPr>
        <w:t>, p.102542.</w:t>
      </w:r>
    </w:p>
    <w:p w14:paraId="0000004D"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Klitgaard</w:t>
      </w:r>
      <w:proofErr w:type="spellEnd"/>
      <w:r>
        <w:rPr>
          <w:rFonts w:ascii="Times New Roman" w:eastAsia="Times New Roman" w:hAnsi="Times New Roman" w:cs="Times New Roman"/>
          <w:color w:val="222222"/>
          <w:sz w:val="24"/>
          <w:szCs w:val="24"/>
          <w:highlight w:val="white"/>
        </w:rPr>
        <w:t>, K., 2022. </w:t>
      </w:r>
      <w:r>
        <w:rPr>
          <w:rFonts w:ascii="Times New Roman" w:eastAsia="Times New Roman" w:hAnsi="Times New Roman" w:cs="Times New Roman"/>
          <w:i/>
          <w:color w:val="222222"/>
          <w:sz w:val="24"/>
          <w:szCs w:val="24"/>
          <w:highlight w:val="white"/>
        </w:rPr>
        <w:t>JEVONS'PARADOXES: William Stanley Jevons and the Roots of Biophysical and Neoclassical Economics</w:t>
      </w:r>
      <w:r>
        <w:rPr>
          <w:rFonts w:ascii="Times New Roman" w:eastAsia="Times New Roman" w:hAnsi="Times New Roman" w:cs="Times New Roman"/>
          <w:color w:val="222222"/>
          <w:sz w:val="24"/>
          <w:szCs w:val="24"/>
          <w:highlight w:val="white"/>
        </w:rPr>
        <w:t>. Springer Nature.</w:t>
      </w:r>
    </w:p>
    <w:p w14:paraId="0000004E"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Macintyre, H.L., Heaviside, C., Cai, X. and </w:t>
      </w:r>
      <w:proofErr w:type="spellStart"/>
      <w:r>
        <w:rPr>
          <w:rFonts w:ascii="Times New Roman" w:eastAsia="Times New Roman" w:hAnsi="Times New Roman" w:cs="Times New Roman"/>
          <w:color w:val="222222"/>
          <w:sz w:val="24"/>
          <w:szCs w:val="24"/>
          <w:highlight w:val="white"/>
        </w:rPr>
        <w:t>Phalkey</w:t>
      </w:r>
      <w:proofErr w:type="spellEnd"/>
      <w:r>
        <w:rPr>
          <w:rFonts w:ascii="Times New Roman" w:eastAsia="Times New Roman" w:hAnsi="Times New Roman" w:cs="Times New Roman"/>
          <w:color w:val="222222"/>
          <w:sz w:val="24"/>
          <w:szCs w:val="24"/>
          <w:highlight w:val="white"/>
        </w:rPr>
        <w:t xml:space="preserve">, R., 2021. Comparing temperature-related mortality impacts of cool roofs in winter and summer in a highly </w:t>
      </w:r>
      <w:r>
        <w:rPr>
          <w:rFonts w:ascii="Times New Roman" w:eastAsia="Times New Roman" w:hAnsi="Times New Roman" w:cs="Times New Roman"/>
          <w:color w:val="222222"/>
          <w:sz w:val="24"/>
          <w:szCs w:val="24"/>
          <w:highlight w:val="white"/>
        </w:rPr>
        <w:lastRenderedPageBreak/>
        <w:t>urbanized European region for present and future climate. </w:t>
      </w:r>
      <w:r>
        <w:rPr>
          <w:rFonts w:ascii="Times New Roman" w:eastAsia="Times New Roman" w:hAnsi="Times New Roman" w:cs="Times New Roman"/>
          <w:i/>
          <w:color w:val="222222"/>
          <w:sz w:val="24"/>
          <w:szCs w:val="24"/>
          <w:highlight w:val="white"/>
        </w:rPr>
        <w:t>Environment international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154</w:t>
      </w:r>
      <w:r>
        <w:rPr>
          <w:rFonts w:ascii="Times New Roman" w:eastAsia="Times New Roman" w:hAnsi="Times New Roman" w:cs="Times New Roman"/>
          <w:color w:val="222222"/>
          <w:sz w:val="24"/>
          <w:szCs w:val="24"/>
          <w:highlight w:val="white"/>
        </w:rPr>
        <w:t>, p.106606.</w:t>
      </w:r>
    </w:p>
    <w:p w14:paraId="0000004F"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Mutibwa</w:t>
      </w:r>
      <w:proofErr w:type="spellEnd"/>
      <w:r>
        <w:rPr>
          <w:rFonts w:ascii="Times New Roman" w:eastAsia="Times New Roman" w:hAnsi="Times New Roman" w:cs="Times New Roman"/>
          <w:color w:val="222222"/>
          <w:sz w:val="24"/>
          <w:szCs w:val="24"/>
          <w:highlight w:val="white"/>
        </w:rPr>
        <w:t xml:space="preserve">, D.H., 2022. The (Un) Changing Political Economy of Arts, Cultural and Community Engagement, the Creative </w:t>
      </w:r>
      <w:proofErr w:type="gramStart"/>
      <w:r>
        <w:rPr>
          <w:rFonts w:ascii="Times New Roman" w:eastAsia="Times New Roman" w:hAnsi="Times New Roman" w:cs="Times New Roman"/>
          <w:color w:val="222222"/>
          <w:sz w:val="24"/>
          <w:szCs w:val="24"/>
          <w:highlight w:val="white"/>
        </w:rPr>
        <w:t>Economy</w:t>
      </w:r>
      <w:proofErr w:type="gramEnd"/>
      <w:r>
        <w:rPr>
          <w:rFonts w:ascii="Times New Roman" w:eastAsia="Times New Roman" w:hAnsi="Times New Roman" w:cs="Times New Roman"/>
          <w:color w:val="222222"/>
          <w:sz w:val="24"/>
          <w:szCs w:val="24"/>
          <w:highlight w:val="white"/>
        </w:rPr>
        <w:t xml:space="preserve"> and Place-Based Development during Austere Times. </w:t>
      </w:r>
      <w:r>
        <w:rPr>
          <w:rFonts w:ascii="Times New Roman" w:eastAsia="Times New Roman" w:hAnsi="Times New Roman" w:cs="Times New Roman"/>
          <w:i/>
          <w:color w:val="222222"/>
          <w:sz w:val="24"/>
          <w:szCs w:val="24"/>
          <w:highlight w:val="white"/>
        </w:rPr>
        <w:t>Societies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(5), p.135.</w:t>
      </w:r>
    </w:p>
    <w:p w14:paraId="00000050"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Nenadic</w:t>
      </w:r>
      <w:proofErr w:type="spellEnd"/>
      <w:r>
        <w:rPr>
          <w:rFonts w:ascii="Times New Roman" w:eastAsia="Times New Roman" w:hAnsi="Times New Roman" w:cs="Times New Roman"/>
          <w:color w:val="222222"/>
          <w:sz w:val="24"/>
          <w:szCs w:val="24"/>
          <w:highlight w:val="white"/>
        </w:rPr>
        <w:t>, E. and Booth, N., 2022. Music Makers of the Future: West Midlands Music Research Report 2022.</w:t>
      </w:r>
    </w:p>
    <w:p w14:paraId="00000051"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Park, S., </w:t>
      </w:r>
      <w:proofErr w:type="spellStart"/>
      <w:r>
        <w:rPr>
          <w:rFonts w:ascii="Times New Roman" w:eastAsia="Times New Roman" w:hAnsi="Times New Roman" w:cs="Times New Roman"/>
          <w:color w:val="222222"/>
          <w:sz w:val="24"/>
          <w:szCs w:val="24"/>
          <w:highlight w:val="white"/>
        </w:rPr>
        <w:t>Rosca</w:t>
      </w:r>
      <w:proofErr w:type="spellEnd"/>
      <w:r>
        <w:rPr>
          <w:rFonts w:ascii="Times New Roman" w:eastAsia="Times New Roman" w:hAnsi="Times New Roman" w:cs="Times New Roman"/>
          <w:color w:val="222222"/>
          <w:sz w:val="24"/>
          <w:szCs w:val="24"/>
          <w:highlight w:val="white"/>
        </w:rPr>
        <w:t>, E. and Agarwal, N., 2022. Driving social impact at the bottom of the Pyramid through the internet-of-things enabled frugal innovations. </w:t>
      </w:r>
      <w:proofErr w:type="spellStart"/>
      <w:r>
        <w:rPr>
          <w:rFonts w:ascii="Times New Roman" w:eastAsia="Times New Roman" w:hAnsi="Times New Roman" w:cs="Times New Roman"/>
          <w:i/>
          <w:color w:val="222222"/>
          <w:sz w:val="24"/>
          <w:szCs w:val="24"/>
          <w:highlight w:val="white"/>
        </w:rPr>
        <w:t>Technovation</w:t>
      </w:r>
      <w:proofErr w:type="spell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118</w:t>
      </w:r>
      <w:r>
        <w:rPr>
          <w:rFonts w:ascii="Times New Roman" w:eastAsia="Times New Roman" w:hAnsi="Times New Roman" w:cs="Times New Roman"/>
          <w:color w:val="222222"/>
          <w:sz w:val="24"/>
          <w:szCs w:val="24"/>
          <w:highlight w:val="white"/>
        </w:rPr>
        <w:t>, p.102381.</w:t>
      </w:r>
    </w:p>
    <w:p w14:paraId="00000052" w14:textId="77777777" w:rsidR="003745B8"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Raw, K., Sherry, E. and Rowe, K., 2022. Sport for social cohesion: exploring aims and complexities. </w:t>
      </w:r>
      <w:r>
        <w:rPr>
          <w:rFonts w:ascii="Times New Roman" w:eastAsia="Times New Roman" w:hAnsi="Times New Roman" w:cs="Times New Roman"/>
          <w:i/>
          <w:color w:val="222222"/>
          <w:sz w:val="24"/>
          <w:szCs w:val="24"/>
          <w:highlight w:val="white"/>
        </w:rPr>
        <w:t>Sport Management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(3), pp.454-475.</w:t>
      </w:r>
    </w:p>
    <w:p w14:paraId="00000053"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ROWE, E.W., 2022. </w:t>
      </w:r>
      <w:r>
        <w:rPr>
          <w:rFonts w:ascii="Times New Roman" w:eastAsia="Times New Roman" w:hAnsi="Times New Roman" w:cs="Times New Roman"/>
          <w:i/>
          <w:color w:val="222222"/>
          <w:sz w:val="24"/>
          <w:szCs w:val="24"/>
          <w:highlight w:val="white"/>
        </w:rPr>
        <w:t>Spectatorship in the age of streaming: The organization, economics, and technology of esports</w:t>
      </w:r>
      <w:r>
        <w:rPr>
          <w:rFonts w:ascii="Times New Roman" w:eastAsia="Times New Roman" w:hAnsi="Times New Roman" w:cs="Times New Roman"/>
          <w:color w:val="222222"/>
          <w:sz w:val="24"/>
          <w:szCs w:val="24"/>
          <w:highlight w:val="white"/>
        </w:rPr>
        <w:t> (Doctoral dissertation, University of Colorado).</w:t>
      </w:r>
    </w:p>
    <w:p w14:paraId="00000054"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Sullenbarger</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Schutzenhofer</w:t>
      </w:r>
      <w:proofErr w:type="spellEnd"/>
      <w:r>
        <w:rPr>
          <w:rFonts w:ascii="Times New Roman" w:eastAsia="Times New Roman" w:hAnsi="Times New Roman" w:cs="Times New Roman"/>
          <w:color w:val="222222"/>
          <w:sz w:val="24"/>
          <w:szCs w:val="24"/>
          <w:highlight w:val="white"/>
        </w:rPr>
        <w:t xml:space="preserve">, E. and </w:t>
      </w:r>
      <w:proofErr w:type="spellStart"/>
      <w:r>
        <w:rPr>
          <w:rFonts w:ascii="Times New Roman" w:eastAsia="Times New Roman" w:hAnsi="Times New Roman" w:cs="Times New Roman"/>
          <w:color w:val="222222"/>
          <w:sz w:val="24"/>
          <w:szCs w:val="24"/>
          <w:highlight w:val="white"/>
        </w:rPr>
        <w:t>Haase</w:t>
      </w:r>
      <w:proofErr w:type="spellEnd"/>
      <w:r>
        <w:rPr>
          <w:rFonts w:ascii="Times New Roman" w:eastAsia="Times New Roman" w:hAnsi="Times New Roman" w:cs="Times New Roman"/>
          <w:color w:val="222222"/>
          <w:sz w:val="24"/>
          <w:szCs w:val="24"/>
          <w:highlight w:val="white"/>
        </w:rPr>
        <w:t>, E., 2022. Climate Change: Implications for Community Mental Health. In </w:t>
      </w:r>
      <w:r>
        <w:rPr>
          <w:rFonts w:ascii="Times New Roman" w:eastAsia="Times New Roman" w:hAnsi="Times New Roman" w:cs="Times New Roman"/>
          <w:i/>
          <w:color w:val="222222"/>
          <w:sz w:val="24"/>
          <w:szCs w:val="24"/>
          <w:highlight w:val="white"/>
        </w:rPr>
        <w:t>Textbook of Community Psychiatry</w:t>
      </w:r>
      <w:r>
        <w:rPr>
          <w:rFonts w:ascii="Times New Roman" w:eastAsia="Times New Roman" w:hAnsi="Times New Roman" w:cs="Times New Roman"/>
          <w:color w:val="222222"/>
          <w:sz w:val="24"/>
          <w:szCs w:val="24"/>
          <w:highlight w:val="white"/>
        </w:rPr>
        <w:t> (pp. 427-442). Springer, Cham.</w:t>
      </w:r>
    </w:p>
    <w:p w14:paraId="00000055" w14:textId="77777777" w:rsidR="003745B8" w:rsidRDefault="00000000">
      <w:pPr>
        <w:spacing w:line="480" w:lineRule="auto"/>
        <w:ind w:left="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Tihic</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Shaheen</w:t>
      </w:r>
      <w:proofErr w:type="spellEnd"/>
      <w:r>
        <w:rPr>
          <w:rFonts w:ascii="Times New Roman" w:eastAsia="Times New Roman" w:hAnsi="Times New Roman" w:cs="Times New Roman"/>
          <w:color w:val="222222"/>
          <w:sz w:val="24"/>
          <w:szCs w:val="24"/>
          <w:highlight w:val="white"/>
        </w:rPr>
        <w:t>, G. and Arndt, F., 2022. How entrepreneurs with physical and mental health challenges can benefit from an entrepreneurial ecosystems approach. In </w:t>
      </w:r>
      <w:r>
        <w:rPr>
          <w:rFonts w:ascii="Times New Roman" w:eastAsia="Times New Roman" w:hAnsi="Times New Roman" w:cs="Times New Roman"/>
          <w:i/>
          <w:color w:val="222222"/>
          <w:sz w:val="24"/>
          <w:szCs w:val="24"/>
          <w:highlight w:val="white"/>
        </w:rPr>
        <w:t>Research Handbook on Disability and Entrepreneurship</w:t>
      </w:r>
      <w:r>
        <w:rPr>
          <w:rFonts w:ascii="Times New Roman" w:eastAsia="Times New Roman" w:hAnsi="Times New Roman" w:cs="Times New Roman"/>
          <w:color w:val="222222"/>
          <w:sz w:val="24"/>
          <w:szCs w:val="24"/>
          <w:highlight w:val="white"/>
        </w:rPr>
        <w:t> (pp. 143-159). Edward Elgar Publishing.</w:t>
      </w:r>
    </w:p>
    <w:p w14:paraId="00000056" w14:textId="77777777" w:rsidR="003745B8"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Usman, M. and </w:t>
      </w:r>
      <w:proofErr w:type="spellStart"/>
      <w:r>
        <w:rPr>
          <w:rFonts w:ascii="Times New Roman" w:eastAsia="Times New Roman" w:hAnsi="Times New Roman" w:cs="Times New Roman"/>
          <w:color w:val="222222"/>
          <w:sz w:val="24"/>
          <w:szCs w:val="24"/>
          <w:highlight w:val="white"/>
        </w:rPr>
        <w:t>Radulescu</w:t>
      </w:r>
      <w:proofErr w:type="spellEnd"/>
      <w:r>
        <w:rPr>
          <w:rFonts w:ascii="Times New Roman" w:eastAsia="Times New Roman" w:hAnsi="Times New Roman" w:cs="Times New Roman"/>
          <w:color w:val="222222"/>
          <w:sz w:val="24"/>
          <w:szCs w:val="24"/>
          <w:highlight w:val="white"/>
        </w:rPr>
        <w:t xml:space="preserve">, M., 2022. Examining the role of nuclear and renewable energy in reducing carbon footprint: does the role of technological innovation really create some </w:t>
      </w:r>
      <w:proofErr w:type="gramStart"/>
      <w:r>
        <w:rPr>
          <w:rFonts w:ascii="Times New Roman" w:eastAsia="Times New Roman" w:hAnsi="Times New Roman" w:cs="Times New Roman"/>
          <w:color w:val="222222"/>
          <w:sz w:val="24"/>
          <w:szCs w:val="24"/>
          <w:highlight w:val="white"/>
        </w:rPr>
        <w:t>difference?.</w:t>
      </w:r>
      <w:proofErr w:type="gram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Science of The Total Environment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841</w:t>
      </w:r>
      <w:r>
        <w:rPr>
          <w:rFonts w:ascii="Times New Roman" w:eastAsia="Times New Roman" w:hAnsi="Times New Roman" w:cs="Times New Roman"/>
          <w:color w:val="222222"/>
          <w:sz w:val="24"/>
          <w:szCs w:val="24"/>
          <w:highlight w:val="white"/>
        </w:rPr>
        <w:t>, p.156662.</w:t>
      </w:r>
    </w:p>
    <w:p w14:paraId="00000057" w14:textId="77777777" w:rsidR="003745B8" w:rsidRDefault="00000000">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Woodard, J.G.S.C.R. and Parkinson, E., 2022. Volunteering voices: a future vision for Hastings.</w:t>
      </w:r>
    </w:p>
    <w:p w14:paraId="00000058" w14:textId="77777777" w:rsidR="003745B8" w:rsidRDefault="003745B8">
      <w:pPr>
        <w:spacing w:line="480" w:lineRule="auto"/>
        <w:ind w:left="720" w:hanging="720"/>
        <w:rPr>
          <w:rFonts w:ascii="Times New Roman" w:eastAsia="Times New Roman" w:hAnsi="Times New Roman" w:cs="Times New Roman"/>
          <w:sz w:val="24"/>
          <w:szCs w:val="24"/>
        </w:rPr>
      </w:pPr>
    </w:p>
    <w:p w14:paraId="00000059" w14:textId="77777777" w:rsidR="003745B8" w:rsidRDefault="003745B8">
      <w:pPr>
        <w:spacing w:line="480" w:lineRule="auto"/>
        <w:rPr>
          <w:rFonts w:ascii="Times New Roman" w:eastAsia="Times New Roman" w:hAnsi="Times New Roman" w:cs="Times New Roman"/>
          <w:sz w:val="24"/>
          <w:szCs w:val="24"/>
        </w:rPr>
      </w:pPr>
    </w:p>
    <w:p w14:paraId="0000005A" w14:textId="77777777" w:rsidR="003745B8" w:rsidRDefault="003745B8">
      <w:pPr>
        <w:spacing w:line="480" w:lineRule="auto"/>
        <w:rPr>
          <w:rFonts w:ascii="Times New Roman" w:eastAsia="Times New Roman" w:hAnsi="Times New Roman" w:cs="Times New Roman"/>
          <w:sz w:val="24"/>
          <w:szCs w:val="24"/>
        </w:rPr>
      </w:pPr>
    </w:p>
    <w:p w14:paraId="0000005B" w14:textId="77777777" w:rsidR="003745B8" w:rsidRDefault="003745B8">
      <w:pPr>
        <w:spacing w:line="480" w:lineRule="auto"/>
        <w:rPr>
          <w:rFonts w:ascii="Times New Roman" w:eastAsia="Times New Roman" w:hAnsi="Times New Roman" w:cs="Times New Roman"/>
          <w:b/>
          <w:strike/>
          <w:sz w:val="24"/>
          <w:szCs w:val="24"/>
        </w:rPr>
      </w:pPr>
    </w:p>
    <w:p w14:paraId="0000005C" w14:textId="77777777" w:rsidR="003745B8" w:rsidRDefault="003745B8">
      <w:pPr>
        <w:spacing w:line="480" w:lineRule="auto"/>
        <w:rPr>
          <w:rFonts w:ascii="Times New Roman" w:eastAsia="Times New Roman" w:hAnsi="Times New Roman" w:cs="Times New Roman"/>
          <w:b/>
          <w:sz w:val="24"/>
          <w:szCs w:val="24"/>
        </w:rPr>
      </w:pPr>
    </w:p>
    <w:p w14:paraId="0000005D" w14:textId="77777777" w:rsidR="003745B8" w:rsidRDefault="003745B8">
      <w:pPr>
        <w:spacing w:line="480" w:lineRule="auto"/>
        <w:rPr>
          <w:rFonts w:ascii="Times New Roman" w:eastAsia="Times New Roman" w:hAnsi="Times New Roman" w:cs="Times New Roman"/>
          <w:b/>
          <w:sz w:val="24"/>
          <w:szCs w:val="24"/>
        </w:rPr>
      </w:pPr>
    </w:p>
    <w:sectPr w:rsidR="003745B8">
      <w:head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E50C2" w14:textId="77777777" w:rsidR="00FB6BDC" w:rsidRDefault="00FB6BDC">
      <w:pPr>
        <w:spacing w:after="0" w:line="240" w:lineRule="auto"/>
      </w:pPr>
      <w:r>
        <w:separator/>
      </w:r>
    </w:p>
  </w:endnote>
  <w:endnote w:type="continuationSeparator" w:id="0">
    <w:p w14:paraId="5D1CE082" w14:textId="77777777" w:rsidR="00FB6BDC" w:rsidRDefault="00FB6B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B78AC" w14:textId="77777777" w:rsidR="00FB6BDC" w:rsidRDefault="00FB6BDC">
      <w:pPr>
        <w:spacing w:after="0" w:line="240" w:lineRule="auto"/>
      </w:pPr>
      <w:r>
        <w:separator/>
      </w:r>
    </w:p>
  </w:footnote>
  <w:footnote w:type="continuationSeparator" w:id="0">
    <w:p w14:paraId="38BBD4CC" w14:textId="77777777" w:rsidR="00FB6BDC" w:rsidRDefault="00FB6B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E" w14:textId="293CB8D8" w:rsidR="003745B8" w:rsidRDefault="00000000">
    <w:pPr>
      <w:pBdr>
        <w:top w:val="nil"/>
        <w:left w:val="nil"/>
        <w:bottom w:val="nil"/>
        <w:right w:val="nil"/>
        <w:between w:val="nil"/>
      </w:pBdr>
      <w:tabs>
        <w:tab w:val="center" w:pos="4513"/>
        <w:tab w:val="right" w:pos="9026"/>
      </w:tabs>
      <w:spacing w:after="0" w:line="480" w:lineRule="auto"/>
      <w:jc w:val="right"/>
      <w:rPr>
        <w:color w:val="000000"/>
      </w:rPr>
    </w:pPr>
    <w:r>
      <w:rPr>
        <w:rFonts w:ascii="Times New Roman" w:eastAsia="Times New Roman" w:hAnsi="Times New Roman" w:cs="Times New Roman"/>
        <w:color w:val="000000"/>
        <w:sz w:val="24"/>
        <w:szCs w:val="24"/>
      </w:rPr>
      <w:t>REFLECTIVE REPORT</w:t>
    </w:r>
    <w:r>
      <w:rPr>
        <w:color w:val="000000"/>
      </w:rPr>
      <w:fldChar w:fldCharType="begin"/>
    </w:r>
    <w:r>
      <w:rPr>
        <w:color w:val="000000"/>
      </w:rPr>
      <w:instrText>PAGE</w:instrText>
    </w:r>
    <w:r>
      <w:rPr>
        <w:color w:val="000000"/>
      </w:rPr>
      <w:fldChar w:fldCharType="separate"/>
    </w:r>
    <w:r w:rsidR="00F46FB8">
      <w:rPr>
        <w:noProof/>
        <w:color w:val="000000"/>
      </w:rPr>
      <w:t>1</w:t>
    </w:r>
    <w:r>
      <w:rPr>
        <w:color w:val="000000"/>
      </w:rPr>
      <w:fldChar w:fldCharType="end"/>
    </w:r>
  </w:p>
  <w:p w14:paraId="0000005F" w14:textId="77777777" w:rsidR="003745B8" w:rsidRDefault="003745B8">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45B8"/>
    <w:rsid w:val="003745B8"/>
    <w:rsid w:val="00F46FB8"/>
    <w:rsid w:val="00FB6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D1ECE9"/>
  <w15:docId w15:val="{2894F5B6-2390-1348-850E-858742630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semiHidden/>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F46FB8"/>
    <w:pPr>
      <w:ind w:left="720"/>
      <w:contextualSpacing/>
    </w:pPr>
    <w:rPr>
      <w:rFonts w:asciiTheme="minorHAnsi" w:eastAsiaTheme="minorHAnsi" w:hAnsiTheme="minorHAnsi" w:cstheme="minorBidi"/>
      <w:lang w:val="bg-B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2877</Words>
  <Characters>16402</Characters>
  <Application>Microsoft Office Word</Application>
  <DocSecurity>0</DocSecurity>
  <Lines>136</Lines>
  <Paragraphs>38</Paragraphs>
  <ScaleCrop>false</ScaleCrop>
  <Company/>
  <LinksUpToDate>false</LinksUpToDate>
  <CharactersWithSpaces>19241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Vasilena Chervenkova</cp:lastModifiedBy>
  <cp:revision>2</cp:revision>
  <dcterms:created xsi:type="dcterms:W3CDTF">2022-12-16T17:59:00Z</dcterms:created>
  <dcterms:modified xsi:type="dcterms:W3CDTF">2022-12-16T17:59:00Z</dcterms:modified>
</cp:coreProperties>
</file>