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C04235" w14:textId="77777777" w:rsidR="00882A8D" w:rsidRPr="003429FA" w:rsidRDefault="00882A8D" w:rsidP="00882A8D">
      <w:pPr>
        <w:pStyle w:val="Heading1"/>
        <w:kinsoku w:val="0"/>
        <w:overflowPunct w:val="0"/>
        <w:ind w:right="2895"/>
        <w:rPr>
          <w:spacing w:val="-4"/>
        </w:rPr>
      </w:pPr>
      <w:r w:rsidRPr="003429FA">
        <w:rPr>
          <w:spacing w:val="-4"/>
        </w:rPr>
        <w:t>Layout of Assignments</w:t>
      </w:r>
    </w:p>
    <w:p w14:paraId="74B8B0EF" w14:textId="77777777" w:rsidR="00882A8D" w:rsidRPr="003429FA" w:rsidRDefault="00882A8D" w:rsidP="00882A8D"/>
    <w:p w14:paraId="6C68BE2D" w14:textId="77777777" w:rsidR="00882A8D" w:rsidRPr="003429FA" w:rsidRDefault="00882A8D" w:rsidP="002860DF">
      <w:pPr>
        <w:pStyle w:val="BodyText"/>
        <w:numPr>
          <w:ilvl w:val="0"/>
          <w:numId w:val="1"/>
        </w:numPr>
        <w:kinsoku w:val="0"/>
        <w:overflowPunct w:val="0"/>
      </w:pPr>
      <w:r w:rsidRPr="003429FA">
        <w:t xml:space="preserve">Times New Roman </w:t>
      </w:r>
    </w:p>
    <w:p w14:paraId="0954C035" w14:textId="77777777" w:rsidR="00882A8D" w:rsidRPr="003429FA" w:rsidRDefault="00882A8D" w:rsidP="002860DF">
      <w:pPr>
        <w:pStyle w:val="BodyText"/>
        <w:numPr>
          <w:ilvl w:val="0"/>
          <w:numId w:val="1"/>
        </w:numPr>
        <w:kinsoku w:val="0"/>
        <w:overflowPunct w:val="0"/>
      </w:pPr>
      <w:r w:rsidRPr="003429FA">
        <w:t xml:space="preserve">12 </w:t>
      </w:r>
      <w:proofErr w:type="gramStart"/>
      <w:r w:rsidRPr="003429FA">
        <w:t>point</w:t>
      </w:r>
      <w:proofErr w:type="gramEnd"/>
    </w:p>
    <w:p w14:paraId="135E6E79" w14:textId="77777777" w:rsidR="00882A8D" w:rsidRPr="003429FA" w:rsidRDefault="00882A8D" w:rsidP="002860DF">
      <w:pPr>
        <w:pStyle w:val="BodyText"/>
        <w:numPr>
          <w:ilvl w:val="0"/>
          <w:numId w:val="1"/>
        </w:numPr>
        <w:kinsoku w:val="0"/>
        <w:overflowPunct w:val="0"/>
      </w:pPr>
      <w:r w:rsidRPr="003429FA">
        <w:t>1 ½ line spacing</w:t>
      </w:r>
    </w:p>
    <w:p w14:paraId="51D26AF4" w14:textId="77777777" w:rsidR="002860DF" w:rsidRPr="003429FA" w:rsidRDefault="002860DF" w:rsidP="002860DF">
      <w:pPr>
        <w:pStyle w:val="BodyText"/>
        <w:numPr>
          <w:ilvl w:val="0"/>
          <w:numId w:val="1"/>
        </w:numPr>
        <w:kinsoku w:val="0"/>
        <w:overflowPunct w:val="0"/>
      </w:pPr>
      <w:r w:rsidRPr="003429FA">
        <w:t xml:space="preserve">Long Direct Quotes </w:t>
      </w:r>
      <w:r w:rsidR="00882A8D" w:rsidRPr="003429FA">
        <w:t xml:space="preserve">over two lines long </w:t>
      </w:r>
    </w:p>
    <w:p w14:paraId="095F41A3" w14:textId="77777777" w:rsidR="002860DF" w:rsidRPr="003429FA" w:rsidRDefault="002860DF" w:rsidP="002860DF">
      <w:pPr>
        <w:pStyle w:val="BodyText"/>
        <w:numPr>
          <w:ilvl w:val="1"/>
          <w:numId w:val="1"/>
        </w:numPr>
        <w:kinsoku w:val="0"/>
        <w:overflowPunct w:val="0"/>
      </w:pPr>
      <w:r w:rsidRPr="003429FA">
        <w:t xml:space="preserve">Indent </w:t>
      </w:r>
      <w:r w:rsidR="00882A8D" w:rsidRPr="003429FA">
        <w:t xml:space="preserve">left and right margins by 1 cm </w:t>
      </w:r>
    </w:p>
    <w:p w14:paraId="28C0DACB" w14:textId="5B5B719F" w:rsidR="00882A8D" w:rsidRPr="003429FA" w:rsidRDefault="002860DF" w:rsidP="002860DF">
      <w:pPr>
        <w:pStyle w:val="BodyText"/>
        <w:numPr>
          <w:ilvl w:val="1"/>
          <w:numId w:val="1"/>
        </w:numPr>
        <w:kinsoku w:val="0"/>
        <w:overflowPunct w:val="0"/>
      </w:pPr>
      <w:r w:rsidRPr="003429FA">
        <w:t>S</w:t>
      </w:r>
      <w:r w:rsidR="00882A8D" w:rsidRPr="003429FA">
        <w:t>ingle line spacing</w:t>
      </w:r>
    </w:p>
    <w:p w14:paraId="5E22D9D8" w14:textId="7A0C21AF" w:rsidR="002860DF" w:rsidRPr="003429FA" w:rsidRDefault="002860DF" w:rsidP="002860DF">
      <w:pPr>
        <w:pStyle w:val="BodyText"/>
        <w:kinsoku w:val="0"/>
        <w:overflowPunct w:val="0"/>
      </w:pPr>
    </w:p>
    <w:p w14:paraId="3E753E32" w14:textId="2B313E79" w:rsidR="002860DF" w:rsidRPr="000256E7" w:rsidRDefault="002860DF" w:rsidP="002860DF">
      <w:pPr>
        <w:pStyle w:val="BodyText"/>
        <w:kinsoku w:val="0"/>
        <w:overflowPunct w:val="0"/>
        <w:rPr>
          <w:b/>
          <w:bCs/>
          <w:i/>
          <w:iCs/>
        </w:rPr>
      </w:pPr>
      <w:r w:rsidRPr="000256E7">
        <w:rPr>
          <w:b/>
          <w:bCs/>
          <w:i/>
          <w:iCs/>
        </w:rPr>
        <w:t>Example of layout below:</w:t>
      </w:r>
    </w:p>
    <w:p w14:paraId="1B3674E9" w14:textId="132FD707" w:rsidR="002860DF" w:rsidRPr="003429FA" w:rsidRDefault="002860DF" w:rsidP="002860DF">
      <w:pPr>
        <w:pStyle w:val="BodyText"/>
        <w:pBdr>
          <w:bottom w:val="single" w:sz="12" w:space="1" w:color="auto"/>
        </w:pBdr>
        <w:kinsoku w:val="0"/>
        <w:overflowPunct w:val="0"/>
      </w:pPr>
    </w:p>
    <w:p w14:paraId="551FAEBB" w14:textId="77777777" w:rsidR="002860DF" w:rsidRPr="003429FA" w:rsidRDefault="002860DF" w:rsidP="002860DF">
      <w:pPr>
        <w:pStyle w:val="BodyText"/>
        <w:kinsoku w:val="0"/>
        <w:overflowPunct w:val="0"/>
      </w:pPr>
    </w:p>
    <w:p w14:paraId="37CBDB85" w14:textId="76D05F1E" w:rsidR="00E34DB4" w:rsidRPr="003429FA" w:rsidRDefault="000256E7" w:rsidP="001740CD">
      <w:pPr>
        <w:tabs>
          <w:tab w:val="left" w:pos="1418"/>
        </w:tabs>
        <w:spacing w:line="360" w:lineRule="auto"/>
        <w:jc w:val="both"/>
        <w:rPr>
          <w:b/>
          <w:bCs/>
        </w:rPr>
      </w:pPr>
      <w:r w:rsidRPr="001D7843">
        <w:t>Rosen, Cheever</w:t>
      </w:r>
      <w:r>
        <w:t xml:space="preserve"> </w:t>
      </w:r>
      <w:r w:rsidRPr="001D7843">
        <w:t>and Carrier</w:t>
      </w:r>
      <w:r>
        <w:t xml:space="preserve"> </w:t>
      </w:r>
      <w:r w:rsidR="00E34DB4" w:rsidRPr="003429FA">
        <w:t>(20</w:t>
      </w:r>
      <w:r>
        <w:t>15</w:t>
      </w:r>
      <w:r w:rsidR="00E34DB4" w:rsidRPr="003429FA">
        <w:t xml:space="preserve">) argue that crime is mainly linked to and expressed through deviance. </w:t>
      </w:r>
      <w:r w:rsidR="001740CD">
        <w:t>Cook</w:t>
      </w:r>
      <w:r w:rsidR="00E34DB4" w:rsidRPr="003429FA">
        <w:t xml:space="preserve"> (</w:t>
      </w:r>
      <w:r w:rsidR="001740CD">
        <w:t>2006</w:t>
      </w:r>
      <w:r w:rsidR="00E34DB4" w:rsidRPr="003429FA">
        <w:t>, p. 1</w:t>
      </w:r>
      <w:r w:rsidR="00E34DB4" w:rsidRPr="003429FA">
        <w:t xml:space="preserve">) suggests deviance can be the definition </w:t>
      </w:r>
      <w:proofErr w:type="gramStart"/>
      <w:r w:rsidR="00E34DB4" w:rsidRPr="003429FA">
        <w:t>of;</w:t>
      </w:r>
      <w:proofErr w:type="gramEnd"/>
    </w:p>
    <w:p w14:paraId="22B15CDA" w14:textId="31033AF6" w:rsidR="00E34DB4" w:rsidRPr="003429FA" w:rsidRDefault="00E34DB4" w:rsidP="00E34DB4">
      <w:pPr>
        <w:spacing w:line="276" w:lineRule="auto"/>
        <w:ind w:left="567" w:right="567"/>
        <w:jc w:val="both"/>
      </w:pPr>
      <w:r w:rsidRPr="003429FA">
        <w:t>‘Deviance can often be defined as an attitude or action which can sometimes violate the norms within a society. Therefore, crime is deviance which violates a law, both crime and deviance represent the understanding of how society constructs what is classed as appropriate’.</w:t>
      </w:r>
    </w:p>
    <w:p w14:paraId="0943E161" w14:textId="77777777" w:rsidR="00E34DB4" w:rsidRPr="003429FA" w:rsidRDefault="00E34DB4" w:rsidP="00E34DB4">
      <w:pPr>
        <w:spacing w:line="480" w:lineRule="auto"/>
        <w:jc w:val="both"/>
      </w:pPr>
    </w:p>
    <w:p w14:paraId="2912CB62" w14:textId="092602CE" w:rsidR="00A01A57" w:rsidRDefault="00E34DB4" w:rsidP="00E34DB4">
      <w:pPr>
        <w:tabs>
          <w:tab w:val="left" w:pos="1418"/>
        </w:tabs>
        <w:spacing w:line="360" w:lineRule="auto"/>
        <w:jc w:val="both"/>
      </w:pPr>
      <w:r w:rsidRPr="003429FA">
        <w:t>Upon focusing on the development of crime and the death penalty within society, it is important to focus on Emile Durkheim's (1858-1975) work</w:t>
      </w:r>
      <w:r w:rsidR="003429FA">
        <w:t>.</w:t>
      </w:r>
      <w:r w:rsidRPr="003429FA">
        <w:t xml:space="preserve"> Durkheim was one of the first sociologists to study crime. He argued that both crime and punishment are linked, and if we do not fully understand discipline, therefore, we cannot understand crime (Lemert, 2000). Durkheim (1858-1975) understands crimes by identifying two social facts relating to crime and deviance, such as norms and values. He believed that there are three key ideas relating to crime such as crime is unavoidable within society and even necessary to make sure society function. First, he believed that crime has a positive role in society and, as a result, improves society's overall well-being (Marsh, </w:t>
      </w:r>
      <w:r w:rsidR="001740CD" w:rsidRPr="003429FA">
        <w:t>2007</w:t>
      </w:r>
      <w:r w:rsidR="001740CD">
        <w:t xml:space="preserve">; </w:t>
      </w:r>
      <w:r w:rsidR="001740CD" w:rsidRPr="003429FA">
        <w:t>Hilbert</w:t>
      </w:r>
      <w:r w:rsidRPr="003429FA">
        <w:t>, 2017). He also thought that too much crime is bad for society and would eventually cause humanity to collapse, although he argued that, on the other hand, social control within society is also essential for the overall function (</w:t>
      </w:r>
      <w:proofErr w:type="spellStart"/>
      <w:r w:rsidRPr="003429FA">
        <w:t>Melossi</w:t>
      </w:r>
      <w:proofErr w:type="spellEnd"/>
      <w:r w:rsidRPr="003429FA">
        <w:t>, 2008</w:t>
      </w:r>
      <w:r w:rsidR="001740CD">
        <w:t>;</w:t>
      </w:r>
      <w:r w:rsidRPr="003429FA">
        <w:t xml:space="preserve"> Siegel, 2016</w:t>
      </w:r>
      <w:r w:rsidR="001740CD">
        <w:t>;</w:t>
      </w:r>
      <w:r w:rsidRPr="003429FA">
        <w:t xml:space="preserve"> Brownstein, 2015). Moreover, Durkheim’s work suggests that not every individual member of society can be equally committed to the shared values and moral beliefs of the society in which we live (Gabor, 1994). </w:t>
      </w:r>
    </w:p>
    <w:p w14:paraId="17F80063" w14:textId="20338E63" w:rsidR="000256E7" w:rsidRDefault="000256E7" w:rsidP="00E34DB4">
      <w:pPr>
        <w:tabs>
          <w:tab w:val="left" w:pos="1418"/>
        </w:tabs>
        <w:spacing w:line="360" w:lineRule="auto"/>
        <w:jc w:val="both"/>
      </w:pPr>
    </w:p>
    <w:p w14:paraId="58B019A5" w14:textId="77777777" w:rsidR="001B034C" w:rsidRDefault="001B034C">
      <w:pPr>
        <w:widowControl/>
        <w:autoSpaceDE/>
        <w:autoSpaceDN/>
        <w:adjustRightInd/>
        <w:spacing w:after="160" w:line="259" w:lineRule="auto"/>
        <w:rPr>
          <w:u w:val="single"/>
        </w:rPr>
      </w:pPr>
      <w:r>
        <w:rPr>
          <w:u w:val="single"/>
        </w:rPr>
        <w:br w:type="page"/>
      </w:r>
    </w:p>
    <w:p w14:paraId="55479609" w14:textId="35640211" w:rsidR="000256E7" w:rsidRDefault="000256E7" w:rsidP="00E34DB4">
      <w:pPr>
        <w:tabs>
          <w:tab w:val="left" w:pos="1418"/>
        </w:tabs>
        <w:spacing w:line="360" w:lineRule="auto"/>
        <w:jc w:val="both"/>
        <w:rPr>
          <w:u w:val="single"/>
        </w:rPr>
      </w:pPr>
      <w:r>
        <w:rPr>
          <w:u w:val="single"/>
        </w:rPr>
        <w:lastRenderedPageBreak/>
        <w:t>Reference List</w:t>
      </w:r>
    </w:p>
    <w:p w14:paraId="1D0A62F8" w14:textId="77777777" w:rsidR="001B034C" w:rsidRPr="001D7843" w:rsidRDefault="001B034C" w:rsidP="00B9743A">
      <w:pPr>
        <w:spacing w:line="360" w:lineRule="auto"/>
        <w:ind w:left="567" w:hanging="567"/>
      </w:pPr>
      <w:r w:rsidRPr="001D7843">
        <w:t xml:space="preserve">Brownstein, H., </w:t>
      </w:r>
      <w:r>
        <w:t>(</w:t>
      </w:r>
      <w:r w:rsidRPr="001D7843">
        <w:t>2015</w:t>
      </w:r>
      <w:r>
        <w:t>)</w:t>
      </w:r>
      <w:r w:rsidRPr="001D7843">
        <w:t xml:space="preserve"> </w:t>
      </w:r>
      <w:r w:rsidRPr="00B9743A">
        <w:rPr>
          <w:i/>
          <w:iCs/>
        </w:rPr>
        <w:t>The Handbook of Drugs and Society</w:t>
      </w:r>
      <w:r w:rsidRPr="001D7843">
        <w:t>. 1st ed. United Kingdom: Wiley &amp; Sons.</w:t>
      </w:r>
    </w:p>
    <w:p w14:paraId="32838AE7" w14:textId="77777777" w:rsidR="001B034C" w:rsidRPr="001D7843" w:rsidRDefault="001B034C" w:rsidP="001740CD">
      <w:pPr>
        <w:spacing w:line="360" w:lineRule="auto"/>
        <w:ind w:left="567" w:hanging="567"/>
      </w:pPr>
      <w:r w:rsidRPr="001D7843">
        <w:t xml:space="preserve">Cook, D., </w:t>
      </w:r>
      <w:r>
        <w:t>(</w:t>
      </w:r>
      <w:r w:rsidRPr="001D7843">
        <w:t>2006</w:t>
      </w:r>
      <w:r>
        <w:t>)</w:t>
      </w:r>
      <w:r w:rsidRPr="001D7843">
        <w:t xml:space="preserve"> </w:t>
      </w:r>
      <w:r w:rsidRPr="00B9743A">
        <w:rPr>
          <w:i/>
          <w:iCs/>
        </w:rPr>
        <w:t>Criminal and Social Justice</w:t>
      </w:r>
      <w:r w:rsidRPr="001D7843">
        <w:t>. 1st ed. London: Sage Publications.</w:t>
      </w:r>
    </w:p>
    <w:p w14:paraId="7B748C57" w14:textId="77777777" w:rsidR="001B034C" w:rsidRPr="001D7843" w:rsidRDefault="001B034C" w:rsidP="00B9743A">
      <w:pPr>
        <w:spacing w:line="360" w:lineRule="auto"/>
        <w:ind w:left="567" w:hanging="567"/>
      </w:pPr>
      <w:r w:rsidRPr="001D7843">
        <w:t xml:space="preserve">Gabor, T., </w:t>
      </w:r>
      <w:r>
        <w:t>(</w:t>
      </w:r>
      <w:r w:rsidRPr="001D7843">
        <w:t>1994</w:t>
      </w:r>
      <w:r>
        <w:t>)</w:t>
      </w:r>
      <w:r w:rsidRPr="001D7843">
        <w:t xml:space="preserve"> </w:t>
      </w:r>
      <w:r w:rsidRPr="00B9743A">
        <w:rPr>
          <w:i/>
          <w:iCs/>
        </w:rPr>
        <w:t>Everybody Does It! Crime by the Public</w:t>
      </w:r>
      <w:r w:rsidRPr="001D7843">
        <w:t>. 1st ed. Canada: University of Toronto Press.</w:t>
      </w:r>
    </w:p>
    <w:p w14:paraId="4138F04C" w14:textId="77777777" w:rsidR="001B034C" w:rsidRPr="001D7843" w:rsidRDefault="001B034C" w:rsidP="001740CD">
      <w:pPr>
        <w:spacing w:line="360" w:lineRule="auto"/>
        <w:ind w:left="567" w:hanging="567"/>
        <w:rPr>
          <w:color w:val="000000"/>
          <w:shd w:val="clear" w:color="auto" w:fill="FFFFFF"/>
        </w:rPr>
      </w:pPr>
      <w:r w:rsidRPr="001D7843">
        <w:rPr>
          <w:color w:val="000000"/>
          <w:shd w:val="clear" w:color="auto" w:fill="FFFFFF"/>
        </w:rPr>
        <w:t xml:space="preserve">Hilbert, R., </w:t>
      </w:r>
      <w:r>
        <w:rPr>
          <w:color w:val="000000"/>
          <w:shd w:val="clear" w:color="auto" w:fill="FFFFFF"/>
        </w:rPr>
        <w:t>(</w:t>
      </w:r>
      <w:r w:rsidRPr="001D7843">
        <w:rPr>
          <w:color w:val="000000"/>
          <w:shd w:val="clear" w:color="auto" w:fill="FFFFFF"/>
        </w:rPr>
        <w:t>2017</w:t>
      </w:r>
      <w:r>
        <w:rPr>
          <w:color w:val="000000"/>
          <w:shd w:val="clear" w:color="auto" w:fill="FFFFFF"/>
        </w:rPr>
        <w:t>)</w:t>
      </w:r>
      <w:r w:rsidRPr="001D7843">
        <w:rPr>
          <w:color w:val="000000"/>
          <w:shd w:val="clear" w:color="auto" w:fill="FFFFFF"/>
        </w:rPr>
        <w:t> </w:t>
      </w:r>
      <w:r w:rsidRPr="001D7843">
        <w:rPr>
          <w:i/>
          <w:iCs/>
          <w:color w:val="000000"/>
        </w:rPr>
        <w:t>The Classical Roots of Ethnomethodology Durkheim, Weber, and Garfinkel</w:t>
      </w:r>
      <w:r w:rsidRPr="001D7843">
        <w:rPr>
          <w:color w:val="000000"/>
          <w:shd w:val="clear" w:color="auto" w:fill="FFFFFF"/>
        </w:rPr>
        <w:t>. 1st ed. United States of America: University of North Carolina Press.</w:t>
      </w:r>
    </w:p>
    <w:p w14:paraId="406775D7" w14:textId="77777777" w:rsidR="001B034C" w:rsidRPr="001D7843" w:rsidRDefault="001B034C" w:rsidP="001740CD">
      <w:pPr>
        <w:spacing w:line="360" w:lineRule="auto"/>
        <w:ind w:left="567" w:hanging="567"/>
      </w:pPr>
      <w:r w:rsidRPr="001D7843">
        <w:t xml:space="preserve">Lemert, E., 2000. </w:t>
      </w:r>
      <w:r w:rsidRPr="001B034C">
        <w:rPr>
          <w:i/>
          <w:iCs/>
        </w:rPr>
        <w:t>Crime and Deviance: Essays and Innovations of Edwin M. Lemert</w:t>
      </w:r>
      <w:r w:rsidRPr="001D7843">
        <w:t>. 1st ed. England: Rowman &amp; Littlefield Publishers.</w:t>
      </w:r>
    </w:p>
    <w:p w14:paraId="5C2097F7" w14:textId="77777777" w:rsidR="001B034C" w:rsidRPr="001D7843" w:rsidRDefault="001B034C" w:rsidP="001740CD">
      <w:pPr>
        <w:spacing w:line="360" w:lineRule="auto"/>
        <w:ind w:left="567" w:hanging="567"/>
      </w:pPr>
      <w:r w:rsidRPr="001D7843">
        <w:t xml:space="preserve">Marsh, I., </w:t>
      </w:r>
      <w:r>
        <w:t>(</w:t>
      </w:r>
      <w:r w:rsidRPr="001D7843">
        <w:t>2007</w:t>
      </w:r>
      <w:r>
        <w:t>)</w:t>
      </w:r>
      <w:r w:rsidRPr="001D7843">
        <w:t xml:space="preserve"> </w:t>
      </w:r>
      <w:r w:rsidRPr="00B9743A">
        <w:rPr>
          <w:i/>
          <w:iCs/>
        </w:rPr>
        <w:t>Theories of Crime</w:t>
      </w:r>
      <w:r w:rsidRPr="001D7843">
        <w:t>. 1st ed. London &amp; New York: Taylor &amp; Francis.</w:t>
      </w:r>
    </w:p>
    <w:p w14:paraId="6972B6EB" w14:textId="77777777" w:rsidR="001B034C" w:rsidRPr="001D7843" w:rsidRDefault="001B034C" w:rsidP="001740CD">
      <w:pPr>
        <w:spacing w:line="360" w:lineRule="auto"/>
        <w:ind w:left="567" w:hanging="567"/>
      </w:pPr>
      <w:proofErr w:type="spellStart"/>
      <w:r w:rsidRPr="001D7843">
        <w:t>Melossi</w:t>
      </w:r>
      <w:proofErr w:type="spellEnd"/>
      <w:r w:rsidRPr="001D7843">
        <w:t xml:space="preserve">, D., </w:t>
      </w:r>
      <w:r>
        <w:t>(</w:t>
      </w:r>
      <w:r w:rsidRPr="001D7843">
        <w:t>2008</w:t>
      </w:r>
      <w:r>
        <w:t>)</w:t>
      </w:r>
      <w:r w:rsidRPr="001D7843">
        <w:t xml:space="preserve"> </w:t>
      </w:r>
      <w:r w:rsidRPr="00B9743A">
        <w:rPr>
          <w:i/>
          <w:iCs/>
        </w:rPr>
        <w:t>Controlling Crime, Controlling Society: Thinking about Crime in Europe and America.</w:t>
      </w:r>
      <w:r w:rsidRPr="001D7843">
        <w:t xml:space="preserve"> 1st ed. Cambridge: Polity Press.</w:t>
      </w:r>
    </w:p>
    <w:p w14:paraId="70E04D8E" w14:textId="77777777" w:rsidR="001B034C" w:rsidRPr="001D7843" w:rsidRDefault="001B034C" w:rsidP="001740CD">
      <w:pPr>
        <w:spacing w:line="360" w:lineRule="auto"/>
        <w:ind w:left="567" w:hanging="567"/>
      </w:pPr>
      <w:r w:rsidRPr="001D7843">
        <w:t xml:space="preserve">Rosen, L., Cheever, N. and Carrier, M., </w:t>
      </w:r>
      <w:r>
        <w:t>(</w:t>
      </w:r>
      <w:r w:rsidRPr="001D7843">
        <w:t>2015</w:t>
      </w:r>
      <w:r>
        <w:t>)</w:t>
      </w:r>
      <w:r w:rsidRPr="001D7843">
        <w:t xml:space="preserve"> </w:t>
      </w:r>
      <w:r w:rsidRPr="001740CD">
        <w:rPr>
          <w:i/>
          <w:iCs/>
        </w:rPr>
        <w:t>The Wiley Handbook of Psychology, Technology, and Society</w:t>
      </w:r>
      <w:r w:rsidRPr="001D7843">
        <w:t>. 1st ed. Bath: Wiley &amp; Sons.</w:t>
      </w:r>
    </w:p>
    <w:p w14:paraId="680C27E9" w14:textId="77777777" w:rsidR="001B034C" w:rsidRPr="001D7843" w:rsidRDefault="001B034C" w:rsidP="00B9743A">
      <w:pPr>
        <w:spacing w:line="360" w:lineRule="auto"/>
        <w:ind w:left="567" w:hanging="567"/>
      </w:pPr>
      <w:r w:rsidRPr="001D7843">
        <w:t xml:space="preserve">Siegel, L., </w:t>
      </w:r>
      <w:r>
        <w:t>(</w:t>
      </w:r>
      <w:r w:rsidRPr="001D7843">
        <w:t>2016</w:t>
      </w:r>
      <w:r>
        <w:t>)</w:t>
      </w:r>
      <w:r w:rsidRPr="001D7843">
        <w:t xml:space="preserve"> </w:t>
      </w:r>
      <w:r w:rsidRPr="00B9743A">
        <w:rPr>
          <w:i/>
          <w:iCs/>
        </w:rPr>
        <w:t>Criminology: Theories, Patterns and Typologies</w:t>
      </w:r>
      <w:r w:rsidRPr="001D7843">
        <w:t>. 13th ed. United Kingdom: Cengage Learning.</w:t>
      </w:r>
    </w:p>
    <w:sectPr w:rsidR="001B034C" w:rsidRPr="001D7843" w:rsidSect="000915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80222"/>
    <w:multiLevelType w:val="hybridMultilevel"/>
    <w:tmpl w:val="ECD0A950"/>
    <w:lvl w:ilvl="0" w:tplc="08090001">
      <w:start w:val="1"/>
      <w:numFmt w:val="bullet"/>
      <w:lvlText w:val=""/>
      <w:lvlJc w:val="left"/>
      <w:pPr>
        <w:ind w:left="820" w:hanging="360"/>
      </w:pPr>
      <w:rPr>
        <w:rFonts w:ascii="Symbol" w:hAnsi="Symbol" w:hint="default"/>
      </w:rPr>
    </w:lvl>
    <w:lvl w:ilvl="1" w:tplc="08090003">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num w:numId="1" w16cid:durableId="21375272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A8D"/>
    <w:rsid w:val="000256E7"/>
    <w:rsid w:val="000915BB"/>
    <w:rsid w:val="001740CD"/>
    <w:rsid w:val="001B034C"/>
    <w:rsid w:val="002860DF"/>
    <w:rsid w:val="003429FA"/>
    <w:rsid w:val="00882A8D"/>
    <w:rsid w:val="00A01A57"/>
    <w:rsid w:val="00AB2978"/>
    <w:rsid w:val="00B9743A"/>
    <w:rsid w:val="00E34DB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D8E7D"/>
  <w15:chartTrackingRefBased/>
  <w15:docId w15:val="{7A31F26E-1220-430E-84E8-7CF898A4C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882A8D"/>
    <w:pPr>
      <w:widowControl w:val="0"/>
      <w:autoSpaceDE w:val="0"/>
      <w:autoSpaceDN w:val="0"/>
      <w:adjustRightInd w:val="0"/>
      <w:spacing w:after="0" w:line="240" w:lineRule="auto"/>
    </w:pPr>
    <w:rPr>
      <w:rFonts w:ascii="Times New Roman" w:eastAsiaTheme="minorEastAsia" w:hAnsi="Times New Roman" w:cs="Times New Roman"/>
      <w:lang w:eastAsia="en-GB"/>
    </w:rPr>
  </w:style>
  <w:style w:type="paragraph" w:styleId="Heading1">
    <w:name w:val="heading 1"/>
    <w:basedOn w:val="Normal"/>
    <w:next w:val="Normal"/>
    <w:link w:val="Heading1Char"/>
    <w:uiPriority w:val="1"/>
    <w:qFormat/>
    <w:rsid w:val="00882A8D"/>
    <w:pPr>
      <w:spacing w:before="69"/>
      <w:ind w:left="2896" w:right="2896"/>
      <w:jc w:val="center"/>
      <w:outlineLvl w:val="0"/>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882A8D"/>
    <w:rPr>
      <w:rFonts w:ascii="Times New Roman" w:eastAsiaTheme="minorEastAsia" w:hAnsi="Times New Roman" w:cs="Times New Roman"/>
      <w:b/>
      <w:bCs/>
      <w:sz w:val="32"/>
      <w:szCs w:val="32"/>
      <w:lang w:eastAsia="en-GB"/>
    </w:rPr>
  </w:style>
  <w:style w:type="paragraph" w:styleId="BodyText">
    <w:name w:val="Body Text"/>
    <w:basedOn w:val="Normal"/>
    <w:link w:val="BodyTextChar"/>
    <w:uiPriority w:val="1"/>
    <w:qFormat/>
    <w:rsid w:val="00882A8D"/>
    <w:rPr>
      <w:sz w:val="24"/>
      <w:szCs w:val="24"/>
    </w:rPr>
  </w:style>
  <w:style w:type="character" w:customStyle="1" w:styleId="BodyTextChar">
    <w:name w:val="Body Text Char"/>
    <w:basedOn w:val="DefaultParagraphFont"/>
    <w:link w:val="BodyText"/>
    <w:uiPriority w:val="1"/>
    <w:rsid w:val="00882A8D"/>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438</Words>
  <Characters>2497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Caroline Lohmann-Hancock</cp:lastModifiedBy>
  <cp:revision>3</cp:revision>
  <dcterms:created xsi:type="dcterms:W3CDTF">2022-11-03T11:52:00Z</dcterms:created>
  <dcterms:modified xsi:type="dcterms:W3CDTF">2022-11-03T11:58:00Z</dcterms:modified>
</cp:coreProperties>
</file>