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63F7F" w:rsidRDefault="00163F7F" w:rsidP="00163F7F">
      <w:pPr>
        <w:spacing w:before="100" w:beforeAutospacing="1" w:after="100" w:afterAutospacing="1" w:line="360" w:lineRule="auto"/>
        <w:jc w:val="both"/>
        <w:rPr>
          <w:rFonts w:ascii="Arial" w:eastAsia="Times New Roman" w:hAnsi="Arial" w:cs="Arial"/>
          <w:sz w:val="24"/>
          <w:szCs w:val="24"/>
          <w:lang w:eastAsia="en-GB"/>
        </w:rPr>
      </w:pPr>
      <w:bookmarkStart w:id="0" w:name="_GoBack"/>
      <w:bookmarkEnd w:id="0"/>
    </w:p>
    <w:p w:rsidR="00163F7F" w:rsidRDefault="006250AE" w:rsidP="006250AE">
      <w:pPr>
        <w:spacing w:before="100" w:beforeAutospacing="1" w:after="100" w:afterAutospacing="1" w:line="360" w:lineRule="auto"/>
        <w:jc w:val="center"/>
        <w:rPr>
          <w:rFonts w:ascii="Arial" w:eastAsia="Times New Roman" w:hAnsi="Arial" w:cs="Arial"/>
          <w:sz w:val="24"/>
          <w:szCs w:val="24"/>
          <w:lang w:eastAsia="en-GB"/>
        </w:rPr>
      </w:pPr>
      <w:r w:rsidRPr="00441242">
        <w:rPr>
          <w:rFonts w:ascii="Arial" w:hAnsi="Arial" w:cs="Arial"/>
          <w:noProof/>
          <w:lang w:eastAsia="en-GB"/>
        </w:rPr>
        <w:drawing>
          <wp:inline distT="0" distB="0" distL="0" distR="0" wp14:anchorId="4CBF34D3" wp14:editId="5E5A69D4">
            <wp:extent cx="3521491" cy="1461331"/>
            <wp:effectExtent l="0" t="0" r="3175" b="5715"/>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rsidR="00163F7F" w:rsidRPr="00024872" w:rsidRDefault="006250AE" w:rsidP="006250AE">
      <w:pPr>
        <w:spacing w:before="100" w:beforeAutospacing="1" w:after="100" w:afterAutospacing="1" w:line="360" w:lineRule="auto"/>
        <w:jc w:val="center"/>
        <w:rPr>
          <w:rFonts w:ascii="Arial" w:eastAsia="Times New Roman" w:hAnsi="Arial" w:cs="Arial"/>
          <w:b/>
          <w:sz w:val="28"/>
          <w:szCs w:val="28"/>
          <w:lang w:eastAsia="en-GB"/>
        </w:rPr>
      </w:pPr>
      <w:r w:rsidRPr="00024872">
        <w:rPr>
          <w:rFonts w:ascii="Arial" w:eastAsia="Times New Roman" w:hAnsi="Arial" w:cs="Arial"/>
          <w:b/>
          <w:sz w:val="28"/>
          <w:szCs w:val="28"/>
          <w:lang w:eastAsia="en-GB"/>
        </w:rPr>
        <w:t>Programme: Master of Business Administration</w:t>
      </w:r>
    </w:p>
    <w:p w:rsidR="006250AE" w:rsidRPr="00024872" w:rsidRDefault="006250AE" w:rsidP="006250AE">
      <w:pPr>
        <w:spacing w:line="360" w:lineRule="auto"/>
        <w:jc w:val="center"/>
        <w:rPr>
          <w:rFonts w:ascii="Arial" w:eastAsia="Times New Roman" w:hAnsi="Arial" w:cs="Arial"/>
          <w:b/>
          <w:i/>
          <w:sz w:val="28"/>
          <w:szCs w:val="28"/>
          <w:lang w:eastAsia="en-GB"/>
        </w:rPr>
      </w:pPr>
      <w:r w:rsidRPr="00024872">
        <w:rPr>
          <w:rFonts w:ascii="Arial" w:eastAsia="Times New Roman" w:hAnsi="Arial" w:cs="Arial"/>
          <w:b/>
          <w:i/>
          <w:sz w:val="28"/>
          <w:szCs w:val="28"/>
          <w:lang w:eastAsia="en-GB"/>
        </w:rPr>
        <w:t>Module: International Marketing: Principles and Practices</w:t>
      </w:r>
    </w:p>
    <w:p w:rsidR="006250AE" w:rsidRPr="00024872" w:rsidRDefault="006250AE" w:rsidP="006250AE">
      <w:pPr>
        <w:spacing w:line="360" w:lineRule="auto"/>
        <w:jc w:val="center"/>
        <w:rPr>
          <w:rFonts w:ascii="Arial" w:eastAsia="Times New Roman" w:hAnsi="Arial" w:cs="Arial"/>
          <w:b/>
          <w:i/>
          <w:sz w:val="28"/>
          <w:szCs w:val="28"/>
          <w:lang w:eastAsia="en-GB"/>
        </w:rPr>
      </w:pPr>
      <w:r w:rsidRPr="00024872">
        <w:rPr>
          <w:rFonts w:ascii="Arial" w:eastAsia="Times New Roman" w:hAnsi="Arial" w:cs="Arial"/>
          <w:b/>
          <w:i/>
          <w:sz w:val="28"/>
          <w:szCs w:val="28"/>
          <w:lang w:eastAsia="en-GB"/>
        </w:rPr>
        <w:t>Module code: LCMB7026</w:t>
      </w:r>
    </w:p>
    <w:p w:rsidR="006250AE" w:rsidRPr="00024872" w:rsidRDefault="006250AE" w:rsidP="006250AE">
      <w:pPr>
        <w:spacing w:before="100" w:beforeAutospacing="1" w:after="100" w:afterAutospacing="1" w:line="360" w:lineRule="auto"/>
        <w:jc w:val="center"/>
        <w:rPr>
          <w:rFonts w:ascii="Arial" w:eastAsia="Times New Roman" w:hAnsi="Arial" w:cs="Arial"/>
          <w:b/>
          <w:sz w:val="28"/>
          <w:szCs w:val="28"/>
          <w:lang w:eastAsia="en-GB"/>
        </w:rPr>
      </w:pPr>
    </w:p>
    <w:p w:rsidR="006250AE" w:rsidRPr="00024872" w:rsidRDefault="006250AE" w:rsidP="006250AE">
      <w:pPr>
        <w:spacing w:before="100" w:beforeAutospacing="1" w:after="100" w:afterAutospacing="1" w:line="360" w:lineRule="auto"/>
        <w:jc w:val="center"/>
        <w:rPr>
          <w:rFonts w:ascii="Arial" w:eastAsia="Times New Roman" w:hAnsi="Arial" w:cs="Arial"/>
          <w:b/>
          <w:i/>
          <w:sz w:val="28"/>
          <w:szCs w:val="28"/>
          <w:lang w:eastAsia="en-GB"/>
        </w:rPr>
      </w:pPr>
      <w:r w:rsidRPr="00024872">
        <w:rPr>
          <w:rFonts w:ascii="Arial" w:eastAsia="Times New Roman" w:hAnsi="Arial" w:cs="Arial"/>
          <w:b/>
          <w:i/>
          <w:sz w:val="28"/>
          <w:szCs w:val="28"/>
          <w:lang w:eastAsia="en-GB"/>
        </w:rPr>
        <w:t xml:space="preserve">Lecturer: </w:t>
      </w:r>
      <w:proofErr w:type="spellStart"/>
      <w:r w:rsidR="00024872" w:rsidRPr="00024872">
        <w:rPr>
          <w:rFonts w:ascii="Arial" w:eastAsia="Times New Roman" w:hAnsi="Arial" w:cs="Arial"/>
          <w:b/>
          <w:i/>
          <w:sz w:val="28"/>
          <w:szCs w:val="28"/>
          <w:lang w:eastAsia="en-GB"/>
        </w:rPr>
        <w:t>Tushara</w:t>
      </w:r>
      <w:proofErr w:type="spellEnd"/>
      <w:r w:rsidR="00024872" w:rsidRPr="00024872">
        <w:rPr>
          <w:rFonts w:ascii="Arial" w:eastAsia="Times New Roman" w:hAnsi="Arial" w:cs="Arial"/>
          <w:b/>
          <w:i/>
          <w:sz w:val="28"/>
          <w:szCs w:val="28"/>
          <w:lang w:eastAsia="en-GB"/>
        </w:rPr>
        <w:t xml:space="preserve"> </w:t>
      </w:r>
      <w:proofErr w:type="spellStart"/>
      <w:r w:rsidR="00024872" w:rsidRPr="00024872">
        <w:rPr>
          <w:rFonts w:ascii="Arial" w:eastAsia="Times New Roman" w:hAnsi="Arial" w:cs="Arial"/>
          <w:b/>
          <w:i/>
          <w:sz w:val="28"/>
          <w:szCs w:val="28"/>
          <w:lang w:eastAsia="en-GB"/>
        </w:rPr>
        <w:t>Balendran</w:t>
      </w:r>
      <w:proofErr w:type="spellEnd"/>
    </w:p>
    <w:p w:rsidR="006250AE" w:rsidRPr="00024872" w:rsidRDefault="006250AE" w:rsidP="006250AE">
      <w:pPr>
        <w:spacing w:before="100" w:beforeAutospacing="1" w:after="100" w:afterAutospacing="1" w:line="360" w:lineRule="auto"/>
        <w:jc w:val="center"/>
        <w:rPr>
          <w:rFonts w:ascii="Arial" w:eastAsia="Times New Roman" w:hAnsi="Arial" w:cs="Arial"/>
          <w:b/>
          <w:sz w:val="28"/>
          <w:szCs w:val="28"/>
          <w:lang w:eastAsia="en-GB"/>
        </w:rPr>
      </w:pPr>
    </w:p>
    <w:p w:rsidR="006250AE" w:rsidRPr="00024872" w:rsidRDefault="006250AE" w:rsidP="006250AE">
      <w:pPr>
        <w:spacing w:before="100" w:beforeAutospacing="1" w:after="100" w:afterAutospacing="1" w:line="360" w:lineRule="auto"/>
        <w:jc w:val="center"/>
        <w:rPr>
          <w:rFonts w:ascii="Arial" w:eastAsia="Times New Roman" w:hAnsi="Arial" w:cs="Arial"/>
          <w:b/>
          <w:sz w:val="28"/>
          <w:szCs w:val="28"/>
          <w:lang w:eastAsia="en-GB"/>
        </w:rPr>
      </w:pPr>
      <w:r w:rsidRPr="00024872">
        <w:rPr>
          <w:rFonts w:ascii="Arial" w:eastAsia="Times New Roman" w:hAnsi="Arial" w:cs="Arial"/>
          <w:b/>
          <w:sz w:val="28"/>
          <w:szCs w:val="28"/>
          <w:lang w:eastAsia="en-GB"/>
        </w:rPr>
        <w:t xml:space="preserve">Student Name: Shariara Mahmud Rafat </w:t>
      </w:r>
    </w:p>
    <w:p w:rsidR="006250AE" w:rsidRPr="00024872" w:rsidRDefault="006250AE" w:rsidP="006250AE">
      <w:pPr>
        <w:spacing w:before="100" w:beforeAutospacing="1" w:after="100" w:afterAutospacing="1" w:line="360" w:lineRule="auto"/>
        <w:jc w:val="center"/>
        <w:rPr>
          <w:rFonts w:ascii="Arial" w:eastAsia="Times New Roman" w:hAnsi="Arial" w:cs="Arial"/>
          <w:b/>
          <w:sz w:val="28"/>
          <w:szCs w:val="28"/>
          <w:lang w:eastAsia="en-GB"/>
        </w:rPr>
      </w:pPr>
      <w:r w:rsidRPr="00024872">
        <w:rPr>
          <w:rFonts w:ascii="Arial" w:eastAsia="Times New Roman" w:hAnsi="Arial" w:cs="Arial"/>
          <w:b/>
          <w:sz w:val="28"/>
          <w:szCs w:val="28"/>
          <w:lang w:eastAsia="en-GB"/>
        </w:rPr>
        <w:t>Student ID: 2521546</w:t>
      </w:r>
    </w:p>
    <w:p w:rsidR="006250AE" w:rsidRPr="00024872" w:rsidRDefault="006250AE" w:rsidP="006250AE">
      <w:pPr>
        <w:spacing w:before="100" w:beforeAutospacing="1" w:after="100" w:afterAutospacing="1" w:line="360" w:lineRule="auto"/>
        <w:jc w:val="center"/>
        <w:rPr>
          <w:rFonts w:ascii="Arial" w:eastAsia="Times New Roman" w:hAnsi="Arial" w:cs="Arial"/>
          <w:b/>
          <w:sz w:val="28"/>
          <w:szCs w:val="28"/>
          <w:lang w:eastAsia="en-GB"/>
        </w:rPr>
      </w:pPr>
    </w:p>
    <w:p w:rsidR="006250AE" w:rsidRPr="00024872" w:rsidRDefault="006250AE" w:rsidP="006250AE">
      <w:pPr>
        <w:spacing w:before="100" w:beforeAutospacing="1" w:after="100" w:afterAutospacing="1" w:line="360" w:lineRule="auto"/>
        <w:jc w:val="center"/>
        <w:rPr>
          <w:rFonts w:ascii="Arial" w:eastAsia="Times New Roman" w:hAnsi="Arial" w:cs="Arial"/>
          <w:b/>
          <w:sz w:val="28"/>
          <w:szCs w:val="28"/>
          <w:lang w:eastAsia="en-GB"/>
        </w:rPr>
      </w:pPr>
      <w:r w:rsidRPr="00024872">
        <w:rPr>
          <w:rFonts w:ascii="Arial" w:eastAsia="Times New Roman" w:hAnsi="Arial" w:cs="Arial"/>
          <w:b/>
          <w:sz w:val="28"/>
          <w:szCs w:val="28"/>
          <w:lang w:eastAsia="en-GB"/>
        </w:rPr>
        <w:t xml:space="preserve">Word Count: </w:t>
      </w:r>
      <w:r w:rsidR="003D5199">
        <w:rPr>
          <w:rFonts w:ascii="Arial" w:eastAsia="Times New Roman" w:hAnsi="Arial" w:cs="Arial"/>
          <w:b/>
          <w:sz w:val="28"/>
          <w:szCs w:val="28"/>
          <w:lang w:eastAsia="en-GB"/>
        </w:rPr>
        <w:t>530</w:t>
      </w:r>
      <w:r w:rsidR="0027172C">
        <w:rPr>
          <w:rFonts w:ascii="Arial" w:eastAsia="Times New Roman" w:hAnsi="Arial" w:cs="Arial"/>
          <w:b/>
          <w:sz w:val="28"/>
          <w:szCs w:val="28"/>
          <w:lang w:eastAsia="en-GB"/>
        </w:rPr>
        <w:t>9</w:t>
      </w:r>
    </w:p>
    <w:p w:rsidR="00666087" w:rsidRDefault="006250AE" w:rsidP="006250AE">
      <w:pPr>
        <w:spacing w:before="100" w:beforeAutospacing="1" w:after="100" w:afterAutospacing="1" w:line="360" w:lineRule="auto"/>
        <w:jc w:val="center"/>
        <w:rPr>
          <w:rFonts w:ascii="Arial" w:eastAsia="Times New Roman" w:hAnsi="Arial" w:cs="Arial"/>
          <w:b/>
          <w:sz w:val="28"/>
          <w:szCs w:val="28"/>
          <w:lang w:eastAsia="en-GB"/>
        </w:rPr>
      </w:pPr>
      <w:r w:rsidRPr="00024872">
        <w:rPr>
          <w:rFonts w:ascii="Arial" w:eastAsia="Times New Roman" w:hAnsi="Arial" w:cs="Arial"/>
          <w:b/>
          <w:sz w:val="28"/>
          <w:szCs w:val="28"/>
          <w:lang w:eastAsia="en-GB"/>
        </w:rPr>
        <w:t>Submission Date: 13th August, 2026</w:t>
      </w:r>
      <w:r w:rsidR="00666087">
        <w:rPr>
          <w:rFonts w:ascii="Arial" w:eastAsia="Times New Roman" w:hAnsi="Arial" w:cs="Arial"/>
          <w:b/>
          <w:sz w:val="28"/>
          <w:szCs w:val="28"/>
          <w:lang w:eastAsia="en-GB"/>
        </w:rPr>
        <w:br w:type="page"/>
      </w:r>
    </w:p>
    <w:p w:rsidR="006250AE" w:rsidRPr="00A91B2F" w:rsidRDefault="00E90127" w:rsidP="00A91B2F">
      <w:pPr>
        <w:spacing w:before="100" w:beforeAutospacing="1" w:after="100" w:afterAutospacing="1" w:line="360" w:lineRule="auto"/>
        <w:jc w:val="center"/>
        <w:rPr>
          <w:rFonts w:ascii="Arial" w:eastAsia="Times New Roman" w:hAnsi="Arial" w:cs="Arial"/>
          <w:b/>
          <w:sz w:val="24"/>
          <w:szCs w:val="24"/>
          <w:lang w:eastAsia="en-GB"/>
        </w:rPr>
      </w:pPr>
      <w:r w:rsidRPr="00A91B2F">
        <w:rPr>
          <w:rFonts w:ascii="Arial" w:eastAsia="Times New Roman" w:hAnsi="Arial" w:cs="Arial"/>
          <w:b/>
          <w:sz w:val="24"/>
          <w:szCs w:val="24"/>
          <w:lang w:eastAsia="en-GB"/>
        </w:rPr>
        <w:lastRenderedPageBreak/>
        <w:t>AI Acknowledgement</w:t>
      </w:r>
    </w:p>
    <w:p w:rsidR="000D7106" w:rsidRPr="00A91B2F" w:rsidRDefault="00A91B2F" w:rsidP="00A91B2F">
      <w:pPr>
        <w:spacing w:line="360" w:lineRule="auto"/>
        <w:rPr>
          <w:rFonts w:ascii="Arial" w:hAnsi="Arial" w:cs="Arial"/>
          <w:sz w:val="24"/>
          <w:szCs w:val="24"/>
        </w:rPr>
      </w:pPr>
      <w:r w:rsidRPr="00A91B2F">
        <w:rPr>
          <w:rFonts w:ascii="Arial" w:hAnsi="Arial" w:cs="Arial"/>
          <w:sz w:val="24"/>
          <w:szCs w:val="24"/>
        </w:rPr>
        <w:t>I declare that I did not use any Artificial Intelligence tools for this task. All work is original and my own. The sources are correctly referenced and cited. I confirm the originality of this work.</w:t>
      </w:r>
    </w:p>
    <w:p w:rsidR="00A91B2F" w:rsidRDefault="00A91B2F" w:rsidP="00A91B2F">
      <w:pPr>
        <w:spacing w:line="360" w:lineRule="auto"/>
        <w:jc w:val="both"/>
        <w:rPr>
          <w:rFonts w:ascii="Arial" w:hAnsi="Arial" w:cs="Arial"/>
          <w:sz w:val="24"/>
          <w:szCs w:val="24"/>
        </w:rPr>
      </w:pPr>
    </w:p>
    <w:p w:rsidR="002B7E7E" w:rsidRPr="00A91B2F" w:rsidRDefault="002B7E7E" w:rsidP="00A91B2F">
      <w:pPr>
        <w:spacing w:line="360" w:lineRule="auto"/>
        <w:jc w:val="both"/>
        <w:rPr>
          <w:rFonts w:ascii="Arial" w:hAnsi="Arial" w:cs="Arial"/>
          <w:sz w:val="24"/>
          <w:szCs w:val="24"/>
        </w:rPr>
        <w:sectPr w:rsidR="002B7E7E" w:rsidRPr="00A91B2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sdt>
      <w:sdtPr>
        <w:rPr>
          <w:rFonts w:asciiTheme="minorHAnsi" w:eastAsiaTheme="minorHAnsi" w:hAnsiTheme="minorHAnsi" w:cstheme="minorBidi"/>
          <w:b w:val="0"/>
          <w:bCs w:val="0"/>
          <w:color w:val="auto"/>
          <w:sz w:val="22"/>
          <w:szCs w:val="22"/>
          <w:lang w:val="en-GB" w:eastAsia="en-US"/>
        </w:rPr>
        <w:id w:val="-1605333896"/>
        <w:docPartObj>
          <w:docPartGallery w:val="Table of Contents"/>
          <w:docPartUnique/>
        </w:docPartObj>
      </w:sdtPr>
      <w:sdtEndPr>
        <w:rPr>
          <w:noProof/>
        </w:rPr>
      </w:sdtEndPr>
      <w:sdtContent>
        <w:p w:rsidR="000D7106" w:rsidRPr="00CE49FA" w:rsidRDefault="000D7106" w:rsidP="000D7106">
          <w:pPr>
            <w:pStyle w:val="TOCHeading"/>
            <w:jc w:val="center"/>
            <w:rPr>
              <w:rFonts w:ascii="Arial" w:hAnsi="Arial" w:cs="Arial"/>
              <w:color w:val="auto"/>
            </w:rPr>
          </w:pPr>
          <w:r w:rsidRPr="00CE49FA">
            <w:rPr>
              <w:rFonts w:ascii="Arial" w:hAnsi="Arial" w:cs="Arial"/>
              <w:color w:val="auto"/>
            </w:rPr>
            <w:t>Table of Contents</w:t>
          </w:r>
        </w:p>
        <w:p w:rsidR="000D3662" w:rsidRPr="000D3662" w:rsidRDefault="000D7106">
          <w:pPr>
            <w:pStyle w:val="TOC1"/>
            <w:tabs>
              <w:tab w:val="right" w:leader="dot" w:pos="9350"/>
            </w:tabs>
            <w:rPr>
              <w:rFonts w:ascii="Arial" w:eastAsiaTheme="minorEastAsia" w:hAnsi="Arial" w:cs="Arial"/>
              <w:b/>
              <w:noProof/>
              <w:lang w:eastAsia="en-GB"/>
            </w:rPr>
          </w:pPr>
          <w:r w:rsidRPr="00CE49FA">
            <w:rPr>
              <w:rFonts w:ascii="Arial" w:hAnsi="Arial" w:cs="Arial"/>
            </w:rPr>
            <w:fldChar w:fldCharType="begin"/>
          </w:r>
          <w:r w:rsidRPr="00CE49FA">
            <w:rPr>
              <w:rFonts w:ascii="Arial" w:hAnsi="Arial" w:cs="Arial"/>
            </w:rPr>
            <w:instrText xml:space="preserve"> TOC \o "1-3" \h \z \u </w:instrText>
          </w:r>
          <w:r w:rsidRPr="00CE49FA">
            <w:rPr>
              <w:rFonts w:ascii="Arial" w:hAnsi="Arial" w:cs="Arial"/>
            </w:rPr>
            <w:fldChar w:fldCharType="separate"/>
          </w:r>
          <w:hyperlink w:anchor="_Toc237266417" w:history="1">
            <w:r w:rsidR="000D3662" w:rsidRPr="000D3662">
              <w:rPr>
                <w:rStyle w:val="Hyperlink"/>
                <w:rFonts w:ascii="Arial" w:hAnsi="Arial" w:cs="Arial"/>
                <w:b/>
                <w:noProof/>
              </w:rPr>
              <w:t>1. Introduction</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_Toc237266417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18" w:history="1">
            <w:r w:rsidR="000D3662" w:rsidRPr="000D3662">
              <w:rPr>
                <w:rStyle w:val="Hyperlink"/>
                <w:rFonts w:ascii="Arial" w:eastAsia="Times New Roman" w:hAnsi="Arial" w:cs="Arial"/>
                <w:b/>
                <w:bCs/>
                <w:noProof/>
                <w:kern w:val="36"/>
                <w:lang w:eastAsia="en-GB"/>
              </w:rPr>
              <w:t>Section 1</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_Toc237266418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2</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19" w:history="1">
            <w:r w:rsidR="000D3662" w:rsidRPr="000D3662">
              <w:rPr>
                <w:rStyle w:val="Hyperlink"/>
                <w:rFonts w:ascii="Arial" w:eastAsia="Times New Roman" w:hAnsi="Arial" w:cs="Arial"/>
                <w:b/>
                <w:bCs/>
                <w:noProof/>
                <w:kern w:val="36"/>
                <w:lang w:eastAsia="en-GB"/>
              </w:rPr>
              <w:t>2. Comparative PESTLE and Cultural Analysis of Japan and the United Kingdom</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_Toc237266419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2</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20" w:history="1">
            <w:r w:rsidR="000D3662" w:rsidRPr="000D3662">
              <w:rPr>
                <w:rStyle w:val="Hyperlink"/>
                <w:rFonts w:ascii="Arial" w:eastAsia="Times New Roman" w:hAnsi="Arial" w:cs="Arial"/>
                <w:b/>
                <w:bCs/>
                <w:noProof/>
                <w:kern w:val="36"/>
                <w:lang w:eastAsia="en-GB"/>
              </w:rPr>
              <w:t>3. STP Analysis: Toyota in Japan and the United Kingdom</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_Toc237266420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6</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21" w:history="1">
            <w:r w:rsidR="000D3662" w:rsidRPr="000D3662">
              <w:rPr>
                <w:rStyle w:val="Hyperlink"/>
                <w:rFonts w:ascii="Arial" w:eastAsia="Times New Roman" w:hAnsi="Arial" w:cs="Arial"/>
                <w:b/>
                <w:bCs/>
                <w:noProof/>
                <w:lang w:eastAsia="en-GB"/>
              </w:rPr>
              <w:t>3.1 Segmentation</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_Toc237266421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6</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22" w:history="1">
            <w:r w:rsidR="000D3662" w:rsidRPr="000D3662">
              <w:rPr>
                <w:rStyle w:val="Hyperlink"/>
                <w:rFonts w:ascii="Arial" w:eastAsia="Times New Roman" w:hAnsi="Arial" w:cs="Arial"/>
                <w:b/>
                <w:bCs/>
                <w:noProof/>
                <w:lang w:eastAsia="en-GB"/>
              </w:rPr>
              <w:t>3.2 Targeting</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_Toc237266422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7</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23" w:history="1">
            <w:r w:rsidR="000D3662" w:rsidRPr="000D3662">
              <w:rPr>
                <w:rStyle w:val="Hyperlink"/>
                <w:rFonts w:ascii="Arial" w:hAnsi="Arial" w:cs="Arial"/>
                <w:b/>
                <w:noProof/>
              </w:rPr>
              <w:t>3.3 Positioning</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_Toc237266423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8</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24" w:history="1">
            <w:r w:rsidR="000D3662" w:rsidRPr="000D3662">
              <w:rPr>
                <w:rStyle w:val="Hyperlink"/>
                <w:rFonts w:ascii="Arial" w:eastAsia="Times New Roman" w:hAnsi="Arial" w:cs="Arial"/>
                <w:b/>
                <w:bCs/>
                <w:noProof/>
                <w:lang w:eastAsia="en-GB"/>
              </w:rPr>
              <w:t>3.4 STP Similarities and Differences</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_Toc237266424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10</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25" w:history="1">
            <w:r w:rsidR="000D3662" w:rsidRPr="000D3662">
              <w:rPr>
                <w:rStyle w:val="Hyperlink"/>
                <w:rFonts w:ascii="Arial" w:hAnsi="Arial" w:cs="Arial"/>
                <w:b/>
                <w:noProof/>
              </w:rPr>
              <w:t>4. Comparative International Marketing Mix—7Ps</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_Toc237266425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10</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26" w:history="1">
            <w:r w:rsidR="000D3662" w:rsidRPr="000D3662">
              <w:rPr>
                <w:rStyle w:val="Hyperlink"/>
                <w:rFonts w:ascii="Arial" w:hAnsi="Arial" w:cs="Arial"/>
                <w:b/>
                <w:noProof/>
              </w:rPr>
              <w:t>5. Market Entry Strategy: Toyota in the United Kingdom</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_Toc237266426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14</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27" w:history="1">
            <w:r w:rsidR="000D3662" w:rsidRPr="000D3662">
              <w:rPr>
                <w:rStyle w:val="Hyperlink"/>
                <w:rFonts w:ascii="Arial" w:hAnsi="Arial" w:cs="Arial"/>
                <w:b/>
                <w:noProof/>
              </w:rPr>
              <w:t>5.1 Entry Method</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_Toc237266427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14</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28" w:history="1">
            <w:r w:rsidR="000D3662" w:rsidRPr="000D3662">
              <w:rPr>
                <w:rStyle w:val="Hyperlink"/>
                <w:rFonts w:ascii="Arial" w:hAnsi="Arial" w:cs="Arial"/>
                <w:b/>
                <w:noProof/>
              </w:rPr>
              <w:t>5.2 Reasons for Selecting the Entry Method</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_Toc237266428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15</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29" w:history="1">
            <w:r w:rsidR="000D3662" w:rsidRPr="000D3662">
              <w:rPr>
                <w:rStyle w:val="Hyperlink"/>
                <w:rFonts w:ascii="Arial" w:hAnsi="Arial" w:cs="Arial"/>
                <w:b/>
                <w:noProof/>
              </w:rPr>
              <w:t>5.3 Advantages and Disadvantages</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_Toc237266429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15</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30" w:history="1">
            <w:r w:rsidR="000D3662" w:rsidRPr="000D3662">
              <w:rPr>
                <w:rStyle w:val="Hyperlink"/>
                <w:rFonts w:ascii="Arial" w:hAnsi="Arial" w:cs="Arial"/>
                <w:b/>
                <w:noProof/>
              </w:rPr>
              <w:t>6. Ethical Marketing Evaluation in the United Kingdom</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_Toc237266430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16</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31" w:history="1">
            <w:r w:rsidR="000D3662" w:rsidRPr="000D3662">
              <w:rPr>
                <w:rStyle w:val="Hyperlink"/>
                <w:rFonts w:ascii="Arial" w:hAnsi="Arial" w:cs="Arial"/>
                <w:b/>
                <w:noProof/>
              </w:rPr>
              <w:t>6.1 Ethical Marketing Practices</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_Toc237266431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16</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32" w:history="1">
            <w:r w:rsidR="000D3662" w:rsidRPr="000D3662">
              <w:rPr>
                <w:rStyle w:val="Hyperlink"/>
                <w:rFonts w:ascii="Arial" w:hAnsi="Arial" w:cs="Arial"/>
                <w:b/>
                <w:noProof/>
              </w:rPr>
              <w:t>6.2 Unethical Marketing Practices</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_Toc237266432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17</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33" w:history="1">
            <w:r w:rsidR="000D3662" w:rsidRPr="000D3662">
              <w:rPr>
                <w:rStyle w:val="Hyperlink"/>
                <w:rFonts w:ascii="Arial" w:hAnsi="Arial" w:cs="Arial"/>
                <w:b/>
                <w:noProof/>
              </w:rPr>
              <w:t>6.3 Balanced Evaluation</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_Toc237266433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17</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34" w:history="1">
            <w:r w:rsidR="000D3662" w:rsidRPr="000D3662">
              <w:rPr>
                <w:rStyle w:val="Hyperlink"/>
                <w:rFonts w:ascii="Arial" w:hAnsi="Arial" w:cs="Arial"/>
                <w:b/>
                <w:noProof/>
              </w:rPr>
              <w:t>7. Strategic Recommendations for Toyota</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_Toc237266434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17</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35" w:history="1">
            <w:r w:rsidR="000D3662" w:rsidRPr="000D3662">
              <w:rPr>
                <w:rStyle w:val="Hyperlink"/>
                <w:rFonts w:ascii="Arial" w:hAnsi="Arial" w:cs="Arial"/>
                <w:b/>
                <w:noProof/>
              </w:rPr>
              <w:t>7.1 Japan</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_Toc237266435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17</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36" w:history="1">
            <w:r w:rsidR="000D3662" w:rsidRPr="000D3662">
              <w:rPr>
                <w:rStyle w:val="Hyperlink"/>
                <w:rFonts w:ascii="Arial" w:hAnsi="Arial" w:cs="Arial"/>
                <w:b/>
                <w:noProof/>
              </w:rPr>
              <w:t>7.2 United Kingdom</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_Toc237266436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18</w:t>
            </w:r>
            <w:r w:rsidR="000D3662" w:rsidRPr="000D3662">
              <w:rPr>
                <w:rFonts w:ascii="Arial" w:hAnsi="Arial" w:cs="Arial"/>
                <w:b/>
                <w:noProof/>
                <w:webHidden/>
              </w:rPr>
              <w:fldChar w:fldCharType="end"/>
            </w:r>
          </w:hyperlink>
        </w:p>
        <w:p w:rsidR="000D3662" w:rsidRPr="000D3662" w:rsidRDefault="005E26F3">
          <w:pPr>
            <w:pStyle w:val="TOC2"/>
            <w:tabs>
              <w:tab w:val="right" w:leader="dot" w:pos="9350"/>
            </w:tabs>
            <w:rPr>
              <w:rFonts w:ascii="Arial" w:eastAsiaTheme="minorEastAsia" w:hAnsi="Arial" w:cs="Arial"/>
              <w:b/>
              <w:noProof/>
              <w:lang w:eastAsia="en-GB"/>
            </w:rPr>
          </w:pPr>
          <w:hyperlink w:anchor="_Toc237266437" w:history="1">
            <w:r w:rsidR="000D3662" w:rsidRPr="000D3662">
              <w:rPr>
                <w:rStyle w:val="Hyperlink"/>
                <w:rFonts w:ascii="Arial" w:hAnsi="Arial" w:cs="Arial"/>
                <w:b/>
                <w:noProof/>
              </w:rPr>
              <w:t>7.3 Ethical Improvement</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_Toc237266437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18</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38" w:history="1">
            <w:r w:rsidR="000D3662" w:rsidRPr="000D3662">
              <w:rPr>
                <w:rStyle w:val="Hyperlink"/>
                <w:rFonts w:ascii="Arial" w:hAnsi="Arial" w:cs="Arial"/>
                <w:b/>
                <w:noProof/>
              </w:rPr>
              <w:t>Section 2</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_Toc237266438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20</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39" w:history="1">
            <w:r w:rsidR="000D3662" w:rsidRPr="000D3662">
              <w:rPr>
                <w:rStyle w:val="Hyperlink"/>
                <w:rFonts w:ascii="Arial" w:hAnsi="Arial" w:cs="Arial"/>
                <w:b/>
                <w:noProof/>
              </w:rPr>
              <w:t>8. Reflection</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_Toc237266439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20</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40" w:history="1">
            <w:r w:rsidR="000D3662" w:rsidRPr="000D3662">
              <w:rPr>
                <w:rStyle w:val="Hyperlink"/>
                <w:rFonts w:ascii="Arial" w:hAnsi="Arial" w:cs="Arial"/>
                <w:b/>
                <w:noProof/>
              </w:rPr>
              <w:t>9. Conclusion</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_Toc237266440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23</w:t>
            </w:r>
            <w:r w:rsidR="000D3662" w:rsidRPr="000D3662">
              <w:rPr>
                <w:rFonts w:ascii="Arial" w:hAnsi="Arial" w:cs="Arial"/>
                <w:b/>
                <w:noProof/>
                <w:webHidden/>
              </w:rPr>
              <w:fldChar w:fldCharType="end"/>
            </w:r>
          </w:hyperlink>
        </w:p>
        <w:p w:rsidR="000D3662" w:rsidRPr="000D3662" w:rsidRDefault="005E26F3">
          <w:pPr>
            <w:pStyle w:val="TOC1"/>
            <w:tabs>
              <w:tab w:val="right" w:leader="dot" w:pos="9350"/>
            </w:tabs>
            <w:rPr>
              <w:rFonts w:ascii="Arial" w:eastAsiaTheme="minorEastAsia" w:hAnsi="Arial" w:cs="Arial"/>
              <w:b/>
              <w:noProof/>
              <w:lang w:eastAsia="en-GB"/>
            </w:rPr>
          </w:pPr>
          <w:hyperlink w:anchor="_Toc237266441" w:history="1">
            <w:r w:rsidR="000D3662" w:rsidRPr="000D3662">
              <w:rPr>
                <w:rStyle w:val="Hyperlink"/>
                <w:rFonts w:ascii="Arial" w:hAnsi="Arial" w:cs="Arial"/>
                <w:b/>
                <w:noProof/>
              </w:rPr>
              <w:t>10. References</w:t>
            </w:r>
            <w:r w:rsidR="000D3662" w:rsidRPr="000D3662">
              <w:rPr>
                <w:rFonts w:ascii="Arial" w:hAnsi="Arial" w:cs="Arial"/>
                <w:b/>
                <w:noProof/>
                <w:webHidden/>
              </w:rPr>
              <w:tab/>
            </w:r>
            <w:r w:rsidR="000D3662" w:rsidRPr="000D3662">
              <w:rPr>
                <w:rFonts w:ascii="Arial" w:hAnsi="Arial" w:cs="Arial"/>
                <w:b/>
                <w:noProof/>
                <w:webHidden/>
              </w:rPr>
              <w:fldChar w:fldCharType="begin"/>
            </w:r>
            <w:r w:rsidR="000D3662" w:rsidRPr="000D3662">
              <w:rPr>
                <w:rFonts w:ascii="Arial" w:hAnsi="Arial" w:cs="Arial"/>
                <w:b/>
                <w:noProof/>
                <w:webHidden/>
              </w:rPr>
              <w:instrText xml:space="preserve"> PAGEREF _Toc237266441 \h </w:instrText>
            </w:r>
            <w:r w:rsidR="000D3662" w:rsidRPr="000D3662">
              <w:rPr>
                <w:rFonts w:ascii="Arial" w:hAnsi="Arial" w:cs="Arial"/>
                <w:b/>
                <w:noProof/>
                <w:webHidden/>
              </w:rPr>
            </w:r>
            <w:r w:rsidR="000D3662" w:rsidRPr="000D3662">
              <w:rPr>
                <w:rFonts w:ascii="Arial" w:hAnsi="Arial" w:cs="Arial"/>
                <w:b/>
                <w:noProof/>
                <w:webHidden/>
              </w:rPr>
              <w:fldChar w:fldCharType="separate"/>
            </w:r>
            <w:r w:rsidR="00E90127">
              <w:rPr>
                <w:rFonts w:ascii="Arial" w:hAnsi="Arial" w:cs="Arial"/>
                <w:b/>
                <w:noProof/>
                <w:webHidden/>
              </w:rPr>
              <w:t>24</w:t>
            </w:r>
            <w:r w:rsidR="000D3662" w:rsidRPr="000D3662">
              <w:rPr>
                <w:rFonts w:ascii="Arial" w:hAnsi="Arial" w:cs="Arial"/>
                <w:b/>
                <w:noProof/>
                <w:webHidden/>
              </w:rPr>
              <w:fldChar w:fldCharType="end"/>
            </w:r>
          </w:hyperlink>
        </w:p>
        <w:p w:rsidR="000D7106" w:rsidRDefault="000D7106" w:rsidP="000D7106">
          <w:r w:rsidRPr="00CE49FA">
            <w:rPr>
              <w:rFonts w:ascii="Arial" w:hAnsi="Arial" w:cs="Arial"/>
              <w:bCs/>
              <w:noProof/>
            </w:rPr>
            <w:fldChar w:fldCharType="end"/>
          </w:r>
        </w:p>
      </w:sdtContent>
    </w:sdt>
    <w:p w:rsidR="000D7106" w:rsidRPr="00CE49FA" w:rsidRDefault="000D7106" w:rsidP="000D7106">
      <w:pPr>
        <w:sectPr w:rsidR="000D7106" w:rsidRPr="00CE49FA">
          <w:pgSz w:w="12240" w:h="15840"/>
          <w:pgMar w:top="1440" w:right="1440" w:bottom="1440" w:left="1440" w:header="720" w:footer="720" w:gutter="0"/>
          <w:cols w:space="720"/>
          <w:docGrid w:linePitch="360"/>
        </w:sectPr>
      </w:pPr>
    </w:p>
    <w:p w:rsidR="000D7106" w:rsidRPr="00E90127" w:rsidRDefault="000D7106" w:rsidP="000D7106">
      <w:pPr>
        <w:pStyle w:val="Heading1"/>
        <w:spacing w:after="240" w:line="360" w:lineRule="auto"/>
        <w:rPr>
          <w:rFonts w:ascii="Arial" w:hAnsi="Arial" w:cs="Arial"/>
          <w:sz w:val="24"/>
          <w:szCs w:val="24"/>
        </w:rPr>
      </w:pPr>
      <w:bookmarkStart w:id="1" w:name="_Toc237266417"/>
      <w:r w:rsidRPr="00E90127">
        <w:rPr>
          <w:rFonts w:ascii="Arial" w:hAnsi="Arial" w:cs="Arial"/>
          <w:sz w:val="24"/>
          <w:szCs w:val="24"/>
        </w:rPr>
        <w:t>1. Introduction</w:t>
      </w:r>
      <w:bookmarkEnd w:id="1"/>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 xml:space="preserve">The chosen multinational company is Toyota Motor Corporation and the two countries are Japan (home country) and the United Kingdom (host country). It was founded in 1937 by Kiichiro Toyoda, who built up his company's automotive business on the basis of the Toyoda family's manufacturing history. Toyota's mission is “Producing Happiness for All”, while its vision “Creating Mobility for All” signals the company's evolution from being an automobile firm to one that’s a mobility company. Toyota has been selling cars in the UK market since 1965 with the introduction of the Corona model, and has also increased its presence in the UK by establishing local distribution and manufacturing (Toyota (GB) </w:t>
      </w:r>
      <w:proofErr w:type="spellStart"/>
      <w:r w:rsidRPr="00310F06">
        <w:rPr>
          <w:rFonts w:ascii="Arial" w:eastAsia="Times New Roman" w:hAnsi="Arial" w:cs="Arial"/>
          <w:sz w:val="24"/>
          <w:szCs w:val="24"/>
          <w:lang w:eastAsia="en-GB"/>
        </w:rPr>
        <w:t>plc</w:t>
      </w:r>
      <w:proofErr w:type="spellEnd"/>
      <w:r w:rsidRPr="00310F06">
        <w:rPr>
          <w:rFonts w:ascii="Arial" w:eastAsia="Times New Roman" w:hAnsi="Arial" w:cs="Arial"/>
          <w:sz w:val="24"/>
          <w:szCs w:val="24"/>
          <w:lang w:eastAsia="en-GB"/>
        </w:rPr>
        <w:t xml:space="preserve">, 2020). The Japan and UK comparisons are strategically important because that is the trade-off that the multinational subsidiary faces in order to adapt and respond to customer expectations and host-market institutions (Meyer, Li and </w:t>
      </w:r>
      <w:proofErr w:type="spellStart"/>
      <w:r w:rsidRPr="00310F06">
        <w:rPr>
          <w:rFonts w:ascii="Arial" w:eastAsia="Times New Roman" w:hAnsi="Arial" w:cs="Arial"/>
          <w:sz w:val="24"/>
          <w:szCs w:val="24"/>
          <w:lang w:eastAsia="en-GB"/>
        </w:rPr>
        <w:t>Schotter</w:t>
      </w:r>
      <w:proofErr w:type="spellEnd"/>
      <w:r w:rsidRPr="00310F06">
        <w:rPr>
          <w:rFonts w:ascii="Arial" w:eastAsia="Times New Roman" w:hAnsi="Arial" w:cs="Arial"/>
          <w:sz w:val="24"/>
          <w:szCs w:val="24"/>
          <w:lang w:eastAsia="en-GB"/>
        </w:rPr>
        <w:t xml:space="preserve">, 2020). The report thus compares Toyota with the various factors like PESTLE and </w:t>
      </w:r>
      <w:proofErr w:type="spellStart"/>
      <w:r w:rsidRPr="00310F06">
        <w:rPr>
          <w:rFonts w:ascii="Arial" w:eastAsia="Times New Roman" w:hAnsi="Arial" w:cs="Arial"/>
          <w:sz w:val="24"/>
          <w:szCs w:val="24"/>
          <w:lang w:eastAsia="en-GB"/>
        </w:rPr>
        <w:t>Hofstede</w:t>
      </w:r>
      <w:proofErr w:type="spellEnd"/>
      <w:r w:rsidRPr="00310F06">
        <w:rPr>
          <w:rFonts w:ascii="Arial" w:eastAsia="Times New Roman" w:hAnsi="Arial" w:cs="Arial"/>
          <w:sz w:val="24"/>
          <w:szCs w:val="24"/>
          <w:lang w:eastAsia="en-GB"/>
        </w:rPr>
        <w:t xml:space="preserve"> analysis for the UK market, Segmentation, Targeting and Positioning, 7Ps marketing mix, UK market entry strategy and ethical marketing practices. It then creates its own recommendations for both countries and finally a Gibbs reflection on research process, learning outcomes, limitations and how they can be improved in the future.</w:t>
      </w:r>
    </w:p>
    <w:p w:rsidR="00F37F98" w:rsidRPr="00310F06" w:rsidRDefault="00F37F98" w:rsidP="007A4B33">
      <w:pPr>
        <w:spacing w:before="100" w:beforeAutospacing="1" w:after="100" w:afterAutospacing="1" w:line="360" w:lineRule="auto"/>
        <w:jc w:val="both"/>
        <w:rPr>
          <w:rFonts w:ascii="Arial" w:eastAsia="Times New Roman" w:hAnsi="Arial" w:cs="Arial"/>
          <w:sz w:val="24"/>
          <w:szCs w:val="24"/>
          <w:lang w:eastAsia="en-GB"/>
        </w:rPr>
      </w:pPr>
    </w:p>
    <w:p w:rsidR="00F37F98" w:rsidRPr="00310F06" w:rsidRDefault="00F37F98" w:rsidP="007A4B33">
      <w:pPr>
        <w:spacing w:before="100" w:beforeAutospacing="1" w:after="100" w:afterAutospacing="1" w:line="360" w:lineRule="auto"/>
        <w:jc w:val="both"/>
        <w:rPr>
          <w:rFonts w:ascii="Arial" w:eastAsia="Times New Roman" w:hAnsi="Arial" w:cs="Arial"/>
          <w:sz w:val="24"/>
          <w:szCs w:val="24"/>
          <w:lang w:eastAsia="en-GB"/>
        </w:rPr>
      </w:pPr>
    </w:p>
    <w:p w:rsidR="00F37F98" w:rsidRPr="00310F06" w:rsidRDefault="00F37F98" w:rsidP="007A4B33">
      <w:pPr>
        <w:spacing w:before="100" w:beforeAutospacing="1" w:after="100" w:afterAutospacing="1" w:line="360" w:lineRule="auto"/>
        <w:jc w:val="both"/>
        <w:rPr>
          <w:rFonts w:ascii="Arial" w:eastAsia="Times New Roman" w:hAnsi="Arial" w:cs="Arial"/>
          <w:sz w:val="24"/>
          <w:szCs w:val="24"/>
          <w:lang w:eastAsia="en-GB"/>
        </w:rPr>
      </w:pPr>
    </w:p>
    <w:p w:rsidR="00F37F98" w:rsidRPr="00310F06" w:rsidRDefault="00F37F98" w:rsidP="007A4B33">
      <w:pPr>
        <w:spacing w:before="100" w:beforeAutospacing="1" w:after="100" w:afterAutospacing="1" w:line="360" w:lineRule="auto"/>
        <w:jc w:val="both"/>
        <w:rPr>
          <w:rFonts w:ascii="Arial" w:eastAsia="Times New Roman" w:hAnsi="Arial" w:cs="Arial"/>
          <w:sz w:val="24"/>
          <w:szCs w:val="24"/>
          <w:lang w:eastAsia="en-GB"/>
        </w:rPr>
      </w:pPr>
    </w:p>
    <w:p w:rsidR="00F37F98" w:rsidRPr="00310F06" w:rsidRDefault="00F37F98" w:rsidP="007A4B33">
      <w:pPr>
        <w:spacing w:before="100" w:beforeAutospacing="1" w:after="100" w:afterAutospacing="1" w:line="360" w:lineRule="auto"/>
        <w:jc w:val="both"/>
        <w:rPr>
          <w:rFonts w:ascii="Arial" w:eastAsia="Times New Roman" w:hAnsi="Arial" w:cs="Arial"/>
          <w:sz w:val="24"/>
          <w:szCs w:val="24"/>
          <w:lang w:eastAsia="en-GB"/>
        </w:rPr>
      </w:pPr>
    </w:p>
    <w:p w:rsidR="00F37F98" w:rsidRPr="00310F06" w:rsidRDefault="00F37F98" w:rsidP="007A4B33">
      <w:pPr>
        <w:spacing w:before="100" w:beforeAutospacing="1" w:after="100" w:afterAutospacing="1" w:line="360" w:lineRule="auto"/>
        <w:jc w:val="both"/>
        <w:rPr>
          <w:rFonts w:ascii="Arial" w:eastAsia="Times New Roman" w:hAnsi="Arial" w:cs="Arial"/>
          <w:sz w:val="24"/>
          <w:szCs w:val="24"/>
          <w:lang w:eastAsia="en-GB"/>
        </w:rPr>
      </w:pPr>
    </w:p>
    <w:p w:rsidR="00F37F98" w:rsidRPr="00310F06" w:rsidRDefault="00F37F98" w:rsidP="007A4B33">
      <w:pPr>
        <w:spacing w:before="100" w:beforeAutospacing="1" w:after="100" w:afterAutospacing="1" w:line="360" w:lineRule="auto"/>
        <w:jc w:val="both"/>
        <w:rPr>
          <w:rFonts w:ascii="Arial" w:eastAsia="Times New Roman" w:hAnsi="Arial" w:cs="Arial"/>
          <w:sz w:val="24"/>
          <w:szCs w:val="24"/>
          <w:lang w:eastAsia="en-GB"/>
        </w:rPr>
      </w:pPr>
    </w:p>
    <w:p w:rsidR="00F37F98" w:rsidRPr="00310F06" w:rsidRDefault="00F37F98" w:rsidP="007A4B33">
      <w:pPr>
        <w:spacing w:before="100" w:beforeAutospacing="1" w:after="100" w:afterAutospacing="1" w:line="360" w:lineRule="auto"/>
        <w:jc w:val="both"/>
        <w:rPr>
          <w:rFonts w:ascii="Arial" w:eastAsia="Times New Roman" w:hAnsi="Arial" w:cs="Arial"/>
          <w:sz w:val="24"/>
          <w:szCs w:val="24"/>
          <w:lang w:eastAsia="en-GB"/>
        </w:rPr>
      </w:pPr>
    </w:p>
    <w:p w:rsidR="00F37F98" w:rsidRPr="00C73C93" w:rsidRDefault="00F37F98" w:rsidP="007A4B33">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2" w:name="_Toc237266418"/>
      <w:r w:rsidRPr="00C73C93">
        <w:rPr>
          <w:rFonts w:ascii="Arial" w:eastAsia="Times New Roman" w:hAnsi="Arial" w:cs="Arial"/>
          <w:b/>
          <w:bCs/>
          <w:kern w:val="36"/>
          <w:sz w:val="24"/>
          <w:szCs w:val="24"/>
          <w:lang w:eastAsia="en-GB"/>
        </w:rPr>
        <w:t>Section 1</w:t>
      </w:r>
      <w:bookmarkEnd w:id="2"/>
    </w:p>
    <w:p w:rsidR="007A4B33" w:rsidRPr="00C73C93" w:rsidRDefault="007A4B33" w:rsidP="007A4B33">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3" w:name="_Toc237266419"/>
      <w:r w:rsidRPr="00C73C93">
        <w:rPr>
          <w:rFonts w:ascii="Arial" w:eastAsia="Times New Roman" w:hAnsi="Arial" w:cs="Arial"/>
          <w:b/>
          <w:bCs/>
          <w:kern w:val="36"/>
          <w:sz w:val="24"/>
          <w:szCs w:val="24"/>
          <w:lang w:eastAsia="en-GB"/>
        </w:rPr>
        <w:t>2. Comparative PESTLE and Cultural Analysis of Japan and the United Kingdom</w:t>
      </w:r>
      <w:bookmarkEnd w:id="3"/>
    </w:p>
    <w:p w:rsidR="007A4B33" w:rsidRPr="00C73C93" w:rsidRDefault="007A4B33" w:rsidP="003D5199">
      <w:pPr>
        <w:spacing w:before="100" w:beforeAutospacing="1" w:after="100" w:afterAutospacing="1" w:line="360" w:lineRule="auto"/>
        <w:jc w:val="both"/>
        <w:rPr>
          <w:rFonts w:ascii="Arial" w:eastAsia="Times New Roman" w:hAnsi="Arial" w:cs="Arial"/>
          <w:b/>
          <w:sz w:val="24"/>
          <w:szCs w:val="24"/>
          <w:lang w:eastAsia="en-GB"/>
        </w:rPr>
      </w:pPr>
      <w:r w:rsidRPr="00C73C93">
        <w:rPr>
          <w:rFonts w:ascii="Arial" w:eastAsia="Times New Roman" w:hAnsi="Arial" w:cs="Arial"/>
          <w:b/>
          <w:sz w:val="24"/>
          <w:szCs w:val="24"/>
          <w:lang w:eastAsia="en-GB"/>
        </w:rPr>
        <w:t xml:space="preserve"> PESTLE Framework</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PESTLE analysis is used to analyse the political, economic, social, technological, legal and environmental influences that affect international business decisions (</w:t>
      </w:r>
      <w:proofErr w:type="spellStart"/>
      <w:r w:rsidRPr="00310F06">
        <w:rPr>
          <w:rFonts w:ascii="Arial" w:eastAsia="Times New Roman" w:hAnsi="Arial" w:cs="Arial"/>
          <w:sz w:val="24"/>
          <w:szCs w:val="24"/>
          <w:lang w:eastAsia="en-GB"/>
        </w:rPr>
        <w:t>Cavusgil</w:t>
      </w:r>
      <w:proofErr w:type="spellEnd"/>
      <w:r w:rsidRPr="00310F06">
        <w:rPr>
          <w:rFonts w:ascii="Arial" w:eastAsia="Times New Roman" w:hAnsi="Arial" w:cs="Arial"/>
          <w:sz w:val="24"/>
          <w:szCs w:val="24"/>
          <w:lang w:eastAsia="en-GB"/>
        </w:rPr>
        <w:t xml:space="preserve">, Knight and </w:t>
      </w:r>
      <w:proofErr w:type="spellStart"/>
      <w:r w:rsidRPr="00310F06">
        <w:rPr>
          <w:rFonts w:ascii="Arial" w:eastAsia="Times New Roman" w:hAnsi="Arial" w:cs="Arial"/>
          <w:sz w:val="24"/>
          <w:szCs w:val="24"/>
          <w:lang w:eastAsia="en-GB"/>
        </w:rPr>
        <w:t>Riesenberger</w:t>
      </w:r>
      <w:proofErr w:type="spellEnd"/>
      <w:r w:rsidRPr="00310F06">
        <w:rPr>
          <w:rFonts w:ascii="Arial" w:eastAsia="Times New Roman" w:hAnsi="Arial" w:cs="Arial"/>
          <w:sz w:val="24"/>
          <w:szCs w:val="24"/>
          <w:lang w:eastAsia="en-GB"/>
        </w:rPr>
        <w:t xml:space="preserve"> 2020). For Toyota, it helps to determine what features are general and what are specific, and what can be used in both markets and what needs to be modified.</w:t>
      </w:r>
    </w:p>
    <w:p w:rsidR="00F37F98" w:rsidRPr="00310F06" w:rsidRDefault="00F37F98" w:rsidP="00F37F98">
      <w:pPr>
        <w:spacing w:before="100" w:beforeAutospacing="1" w:after="100" w:afterAutospacing="1" w:line="360" w:lineRule="auto"/>
        <w:jc w:val="center"/>
        <w:rPr>
          <w:rFonts w:ascii="Arial" w:eastAsia="Times New Roman" w:hAnsi="Arial" w:cs="Arial"/>
          <w:sz w:val="24"/>
          <w:szCs w:val="24"/>
          <w:lang w:eastAsia="en-GB"/>
        </w:rPr>
      </w:pPr>
      <w:r w:rsidRPr="00310F06">
        <w:rPr>
          <w:noProof/>
          <w:lang w:eastAsia="en-GB"/>
        </w:rPr>
        <w:drawing>
          <wp:inline distT="0" distB="0" distL="0" distR="0" wp14:anchorId="66C85DBF" wp14:editId="2FC158A1">
            <wp:extent cx="3310185" cy="3132667"/>
            <wp:effectExtent l="0" t="0" r="5080" b="0"/>
            <wp:docPr id="2" name="Picture 2"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The CEO's Guide to Future-Proofing a Business | by Asif  Iqbal | Techno-Preneurship | Mediu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10563" cy="3133025"/>
                    </a:xfrm>
                    <a:prstGeom prst="rect">
                      <a:avLst/>
                    </a:prstGeom>
                    <a:noFill/>
                    <a:ln>
                      <a:noFill/>
                    </a:ln>
                  </pic:spPr>
                </pic:pic>
              </a:graphicData>
            </a:graphic>
          </wp:inline>
        </w:drawing>
      </w:r>
    </w:p>
    <w:p w:rsidR="00F37F98" w:rsidRPr="00310F06" w:rsidRDefault="00F37F98" w:rsidP="00F37F98">
      <w:pPr>
        <w:spacing w:before="100" w:beforeAutospacing="1" w:after="100" w:afterAutospacing="1" w:line="360" w:lineRule="auto"/>
        <w:jc w:val="center"/>
        <w:rPr>
          <w:rFonts w:ascii="Arial" w:eastAsia="Times New Roman" w:hAnsi="Arial" w:cs="Arial"/>
          <w:i/>
          <w:sz w:val="24"/>
          <w:szCs w:val="24"/>
          <w:lang w:eastAsia="en-GB"/>
        </w:rPr>
      </w:pPr>
      <w:r w:rsidRPr="00310F06">
        <w:rPr>
          <w:rFonts w:ascii="Arial" w:eastAsia="Times New Roman" w:hAnsi="Arial" w:cs="Arial"/>
          <w:i/>
          <w:sz w:val="24"/>
          <w:szCs w:val="24"/>
          <w:lang w:eastAsia="en-GB"/>
        </w:rPr>
        <w:t>Figure 1:</w:t>
      </w:r>
      <w:r w:rsidRPr="00310F06">
        <w:rPr>
          <w:i/>
        </w:rPr>
        <w:t xml:space="preserve"> </w:t>
      </w:r>
      <w:r w:rsidRPr="00310F06">
        <w:rPr>
          <w:rFonts w:ascii="Arial" w:eastAsia="Times New Roman" w:hAnsi="Arial" w:cs="Arial"/>
          <w:i/>
          <w:sz w:val="24"/>
          <w:szCs w:val="24"/>
          <w:lang w:eastAsia="en-GB"/>
        </w:rPr>
        <w:t>PESTLE Analysis (</w:t>
      </w:r>
      <w:proofErr w:type="spellStart"/>
      <w:r w:rsidRPr="00310F06">
        <w:rPr>
          <w:rFonts w:ascii="Arial" w:eastAsia="Times New Roman" w:hAnsi="Arial" w:cs="Arial"/>
          <w:i/>
          <w:sz w:val="24"/>
          <w:szCs w:val="24"/>
          <w:lang w:eastAsia="en-GB"/>
        </w:rPr>
        <w:t>Iqbal</w:t>
      </w:r>
      <w:proofErr w:type="spellEnd"/>
      <w:r w:rsidRPr="00310F06">
        <w:rPr>
          <w:rFonts w:ascii="Arial" w:eastAsia="Times New Roman" w:hAnsi="Arial" w:cs="Arial"/>
          <w:i/>
          <w:sz w:val="24"/>
          <w:szCs w:val="24"/>
          <w:lang w:eastAsia="en-GB"/>
        </w:rPr>
        <w:t>, 2025)</w:t>
      </w:r>
    </w:p>
    <w:p w:rsidR="007A4B33" w:rsidRPr="00C73C93" w:rsidRDefault="007A4B33" w:rsidP="0027172C">
      <w:pPr>
        <w:spacing w:before="100" w:beforeAutospacing="1" w:after="100" w:afterAutospacing="1" w:line="360" w:lineRule="auto"/>
        <w:jc w:val="both"/>
        <w:rPr>
          <w:rFonts w:ascii="Arial" w:eastAsia="Times New Roman" w:hAnsi="Arial" w:cs="Arial"/>
          <w:b/>
          <w:sz w:val="24"/>
          <w:szCs w:val="24"/>
          <w:lang w:eastAsia="en-GB"/>
        </w:rPr>
      </w:pPr>
      <w:r w:rsidRPr="00C73C93">
        <w:rPr>
          <w:rFonts w:ascii="Arial" w:eastAsia="Times New Roman" w:hAnsi="Arial" w:cs="Arial"/>
          <w:b/>
          <w:sz w:val="24"/>
          <w:szCs w:val="24"/>
          <w:lang w:eastAsia="en-GB"/>
        </w:rPr>
        <w:t>Political Factors</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The Japanese political climate is favourable as the government plans to phase out all new registrations of diesel and petrol vehicles and promote all new car sales to be electric-powered by 2035, including hybrid, plug-in hybrid, battery electric and fuel-cell vehicles (Ministry of Economy, Trade and Industry, 2023). This will help reinforce Toyota's multi-pathway approach. The UK political environment is unfavourable as the Zero Emission Vehicle mandate will mandate that 22% of new-car sales be zero-emission by 2024, as a pressure on Toyota's hybrid-heavy portfolio but a future opportunity for BEVs (Department for Transport, 2023).</w:t>
      </w:r>
    </w:p>
    <w:p w:rsidR="007A4B33" w:rsidRPr="00C73C93" w:rsidRDefault="007A4B33" w:rsidP="0027172C">
      <w:pPr>
        <w:spacing w:before="100" w:beforeAutospacing="1" w:after="100" w:afterAutospacing="1" w:line="360" w:lineRule="auto"/>
        <w:jc w:val="both"/>
        <w:rPr>
          <w:rFonts w:ascii="Arial" w:eastAsia="Times New Roman" w:hAnsi="Arial" w:cs="Arial"/>
          <w:b/>
          <w:sz w:val="24"/>
          <w:szCs w:val="24"/>
          <w:lang w:eastAsia="en-GB"/>
        </w:rPr>
      </w:pPr>
      <w:r w:rsidRPr="00C73C93">
        <w:rPr>
          <w:rFonts w:ascii="Arial" w:eastAsia="Times New Roman" w:hAnsi="Arial" w:cs="Arial"/>
          <w:b/>
          <w:sz w:val="24"/>
          <w:szCs w:val="24"/>
          <w:lang w:eastAsia="en-GB"/>
        </w:rPr>
        <w:t>Economic Factors</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The economic climate in Japan is unfavourable for volume growth, as Japan is a mature market, and GDP growth is expected to be 0.9% in 2024 (International Monetary Fund, 2024). Toyota will need to focus on efficiency, retention and lifecycle-value pricing, therefore. The economy in the UK is also unfavourable to the positive outlook as the CPI inflation increased to 2.5% in December 2024 and the rising interest rates limited the spending of households (</w:t>
      </w:r>
      <w:r w:rsidR="00923CA3" w:rsidRPr="00310F06">
        <w:rPr>
          <w:rFonts w:ascii="Arial" w:eastAsia="Times New Roman" w:hAnsi="Arial" w:cs="Arial"/>
          <w:sz w:val="24"/>
          <w:szCs w:val="24"/>
          <w:lang w:eastAsia="en-GB"/>
        </w:rPr>
        <w:t>Office for National Statistics</w:t>
      </w:r>
      <w:r w:rsidRPr="00310F06">
        <w:rPr>
          <w:rFonts w:ascii="Arial" w:eastAsia="Times New Roman" w:hAnsi="Arial" w:cs="Arial"/>
          <w:sz w:val="24"/>
          <w:szCs w:val="24"/>
          <w:lang w:eastAsia="en-GB"/>
        </w:rPr>
        <w:t xml:space="preserve">, 2025; Bank of England, 2024). It is </w:t>
      </w:r>
      <w:proofErr w:type="gramStart"/>
      <w:r w:rsidRPr="00310F06">
        <w:rPr>
          <w:rFonts w:ascii="Arial" w:eastAsia="Times New Roman" w:hAnsi="Arial" w:cs="Arial"/>
          <w:sz w:val="24"/>
          <w:szCs w:val="24"/>
          <w:lang w:eastAsia="en-GB"/>
        </w:rPr>
        <w:t>key</w:t>
      </w:r>
      <w:proofErr w:type="gramEnd"/>
      <w:r w:rsidRPr="00310F06">
        <w:rPr>
          <w:rFonts w:ascii="Arial" w:eastAsia="Times New Roman" w:hAnsi="Arial" w:cs="Arial"/>
          <w:sz w:val="24"/>
          <w:szCs w:val="24"/>
          <w:lang w:eastAsia="en-GB"/>
        </w:rPr>
        <w:t xml:space="preserve"> to have transparent leasing and total-cost propositions.</w:t>
      </w:r>
    </w:p>
    <w:p w:rsidR="007A4B33" w:rsidRPr="00C73C93" w:rsidRDefault="007A4B33" w:rsidP="0027172C">
      <w:pPr>
        <w:spacing w:before="100" w:beforeAutospacing="1" w:after="100" w:afterAutospacing="1" w:line="360" w:lineRule="auto"/>
        <w:jc w:val="both"/>
        <w:rPr>
          <w:rFonts w:ascii="Arial" w:eastAsia="Times New Roman" w:hAnsi="Arial" w:cs="Arial"/>
          <w:b/>
          <w:sz w:val="24"/>
          <w:szCs w:val="24"/>
          <w:lang w:eastAsia="en-GB"/>
        </w:rPr>
      </w:pPr>
      <w:r w:rsidRPr="00C73C93">
        <w:rPr>
          <w:rFonts w:ascii="Arial" w:eastAsia="Times New Roman" w:hAnsi="Arial" w:cs="Arial"/>
          <w:b/>
          <w:sz w:val="24"/>
          <w:szCs w:val="24"/>
          <w:lang w:eastAsia="en-GB"/>
        </w:rPr>
        <w:t xml:space="preserve"> Social Factors</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 xml:space="preserve">Japan’s social environment is favourable to Toyota’s strengths. People aged 65 and over represented 29.3% of the population in 2024, supporting demand for compact vehicles, accessibility, safety, dependable servicing and long-term ownership, although population decline limits expansion (Statistics Bureau of Japan, 2025). The UK social environment is favourable because digital purchasing, urban mobility, fleet demand and environmental awareness support </w:t>
      </w:r>
      <w:proofErr w:type="spellStart"/>
      <w:r w:rsidRPr="00310F06">
        <w:rPr>
          <w:rFonts w:ascii="Arial" w:eastAsia="Times New Roman" w:hAnsi="Arial" w:cs="Arial"/>
          <w:sz w:val="24"/>
          <w:szCs w:val="24"/>
          <w:lang w:eastAsia="en-GB"/>
        </w:rPr>
        <w:t>omnichannel</w:t>
      </w:r>
      <w:proofErr w:type="spellEnd"/>
      <w:r w:rsidRPr="00310F06">
        <w:rPr>
          <w:rFonts w:ascii="Arial" w:eastAsia="Times New Roman" w:hAnsi="Arial" w:cs="Arial"/>
          <w:sz w:val="24"/>
          <w:szCs w:val="24"/>
          <w:lang w:eastAsia="en-GB"/>
        </w:rPr>
        <w:t xml:space="preserve"> retail and low-emission vehicles. Zero-emission cars represented 19% of new registrations in 2024, and 82% were registered to company keepers (Department for Transport, 2025). </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 xml:space="preserve">The social environment in Japan is favourable to Toyota's strengths. The proportion of older people aged 65 and over was 29.3% of the population in 2024, which helps drive demand for compact vehicles, improved access, safety, and predictability of servicing and ownership but restricts growth due to population decline (Statistics Bureau of Japan, 2025). The UK social environment is favourable due to the purchasing </w:t>
      </w:r>
      <w:proofErr w:type="spellStart"/>
      <w:r w:rsidRPr="00310F06">
        <w:rPr>
          <w:rFonts w:ascii="Arial" w:eastAsia="Times New Roman" w:hAnsi="Arial" w:cs="Arial"/>
          <w:sz w:val="24"/>
          <w:szCs w:val="24"/>
          <w:lang w:eastAsia="en-GB"/>
        </w:rPr>
        <w:t>behavior</w:t>
      </w:r>
      <w:proofErr w:type="spellEnd"/>
      <w:r w:rsidRPr="00310F06">
        <w:rPr>
          <w:rFonts w:ascii="Arial" w:eastAsia="Times New Roman" w:hAnsi="Arial" w:cs="Arial"/>
          <w:sz w:val="24"/>
          <w:szCs w:val="24"/>
          <w:lang w:eastAsia="en-GB"/>
        </w:rPr>
        <w:t xml:space="preserve"> of digital customers, urban mobility, the demand for fleets and the positive attitude towards environment. In 2024 82% of the zero-emission cars were registered to company keepers, accounting for 19% of all new registrations (Department for Transport, 2025).</w:t>
      </w:r>
    </w:p>
    <w:p w:rsidR="007A4B33" w:rsidRPr="00C73C93" w:rsidRDefault="007A4B33" w:rsidP="0027172C">
      <w:pPr>
        <w:spacing w:before="100" w:beforeAutospacing="1" w:after="100" w:afterAutospacing="1" w:line="360" w:lineRule="auto"/>
        <w:jc w:val="both"/>
        <w:rPr>
          <w:rFonts w:ascii="Arial" w:eastAsia="Times New Roman" w:hAnsi="Arial" w:cs="Arial"/>
          <w:b/>
          <w:sz w:val="24"/>
          <w:szCs w:val="24"/>
          <w:lang w:eastAsia="en-GB"/>
        </w:rPr>
      </w:pPr>
      <w:r w:rsidRPr="00C73C93">
        <w:rPr>
          <w:rFonts w:ascii="Arial" w:eastAsia="Times New Roman" w:hAnsi="Arial" w:cs="Arial"/>
          <w:b/>
          <w:sz w:val="24"/>
          <w:szCs w:val="24"/>
          <w:lang w:eastAsia="en-GB"/>
        </w:rPr>
        <w:t xml:space="preserve">Cultural Factors: </w:t>
      </w:r>
      <w:proofErr w:type="spellStart"/>
      <w:r w:rsidRPr="00C73C93">
        <w:rPr>
          <w:rFonts w:ascii="Arial" w:eastAsia="Times New Roman" w:hAnsi="Arial" w:cs="Arial"/>
          <w:b/>
          <w:sz w:val="24"/>
          <w:szCs w:val="24"/>
          <w:lang w:eastAsia="en-GB"/>
        </w:rPr>
        <w:t>Hofstede’s</w:t>
      </w:r>
      <w:proofErr w:type="spellEnd"/>
      <w:r w:rsidRPr="00C73C93">
        <w:rPr>
          <w:rFonts w:ascii="Arial" w:eastAsia="Times New Roman" w:hAnsi="Arial" w:cs="Arial"/>
          <w:b/>
          <w:sz w:val="24"/>
          <w:szCs w:val="24"/>
          <w:lang w:eastAsia="en-GB"/>
        </w:rPr>
        <w:t xml:space="preserve"> Model</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The Culture Factor scores suggest Toyota should keep the same reliability guarantee and tweak their communication and customer experience (The Culture Factor Group, 2024).</w:t>
      </w:r>
    </w:p>
    <w:p w:rsidR="006250AE" w:rsidRPr="00310F06" w:rsidRDefault="006250AE" w:rsidP="000D3662">
      <w:pPr>
        <w:spacing w:before="100" w:beforeAutospacing="1" w:after="100" w:afterAutospacing="1" w:line="360" w:lineRule="auto"/>
        <w:jc w:val="center"/>
        <w:rPr>
          <w:rFonts w:ascii="Arial" w:eastAsia="Times New Roman" w:hAnsi="Arial" w:cs="Arial"/>
          <w:sz w:val="24"/>
          <w:szCs w:val="24"/>
          <w:lang w:eastAsia="en-GB"/>
        </w:rPr>
      </w:pPr>
      <w:r w:rsidRPr="00310F06">
        <w:rPr>
          <w:rFonts w:ascii="Arial" w:eastAsia="Times New Roman" w:hAnsi="Arial" w:cs="Arial"/>
          <w:noProof/>
          <w:sz w:val="24"/>
          <w:szCs w:val="24"/>
          <w:lang w:eastAsia="en-GB"/>
        </w:rPr>
        <w:drawing>
          <wp:inline distT="0" distB="0" distL="0" distR="0" wp14:anchorId="2771F613" wp14:editId="59FA0BB8">
            <wp:extent cx="5654040" cy="4335780"/>
            <wp:effectExtent l="0" t="0" r="381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654040" cy="4335780"/>
                    </a:xfrm>
                    <a:prstGeom prst="rect">
                      <a:avLst/>
                    </a:prstGeom>
                  </pic:spPr>
                </pic:pic>
              </a:graphicData>
            </a:graphic>
          </wp:inline>
        </w:drawing>
      </w:r>
    </w:p>
    <w:p w:rsidR="00F37F98" w:rsidRPr="00310F06" w:rsidRDefault="00644DD4" w:rsidP="0027172C">
      <w:pPr>
        <w:spacing w:before="100" w:beforeAutospacing="1" w:after="100" w:afterAutospacing="1" w:line="360" w:lineRule="auto"/>
        <w:jc w:val="center"/>
        <w:rPr>
          <w:rFonts w:ascii="Arial" w:eastAsia="Times New Roman" w:hAnsi="Arial" w:cs="Arial"/>
          <w:i/>
          <w:sz w:val="24"/>
          <w:szCs w:val="24"/>
          <w:lang w:eastAsia="en-GB"/>
        </w:rPr>
      </w:pPr>
      <w:r w:rsidRPr="00310F06">
        <w:rPr>
          <w:rFonts w:ascii="Arial" w:eastAsia="Times New Roman" w:hAnsi="Arial" w:cs="Arial"/>
          <w:i/>
          <w:sz w:val="24"/>
          <w:szCs w:val="24"/>
          <w:lang w:eastAsia="en-GB"/>
        </w:rPr>
        <w:t xml:space="preserve">Source: The Culture Factor Group </w:t>
      </w:r>
      <w:r w:rsidR="0027172C" w:rsidRPr="00310F06">
        <w:rPr>
          <w:rFonts w:ascii="Arial" w:eastAsia="Times New Roman" w:hAnsi="Arial" w:cs="Arial"/>
          <w:i/>
          <w:sz w:val="24"/>
          <w:szCs w:val="24"/>
          <w:lang w:eastAsia="en-GB"/>
        </w:rPr>
        <w:t>(2024)</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The Japanese culture is favourable to engineering quality, warranties, as well as safety and durability due to their high achievement orientation, uncertainty avoidance and long-term orientation. This is favourable when Toyota emphasizes transparency in communication, personal freedom, innovation and lifestyle benefits, because lower power distance, uncertainty avoidance and higher individualism and indulgence are characteristics of the UK.</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proofErr w:type="spellStart"/>
      <w:r w:rsidRPr="00310F06">
        <w:rPr>
          <w:rFonts w:ascii="Arial" w:eastAsia="Times New Roman" w:hAnsi="Arial" w:cs="Arial"/>
          <w:sz w:val="24"/>
          <w:szCs w:val="24"/>
          <w:lang w:eastAsia="en-GB"/>
        </w:rPr>
        <w:t>Hofstede's</w:t>
      </w:r>
      <w:proofErr w:type="spellEnd"/>
      <w:r w:rsidRPr="00310F06">
        <w:rPr>
          <w:rFonts w:ascii="Arial" w:eastAsia="Times New Roman" w:hAnsi="Arial" w:cs="Arial"/>
          <w:sz w:val="24"/>
          <w:szCs w:val="24"/>
          <w:lang w:eastAsia="en-GB"/>
        </w:rPr>
        <w:t xml:space="preserve"> model can be used to make structured comparisons and offers an explanation of risk, trust, communication and positioning. But the national averages can lead to stereotyping and fail to take account of regional and generational differences, suggesting a fixed nature of culture. Toyota should therefore combine it with current consumer evidence (</w:t>
      </w:r>
      <w:proofErr w:type="spellStart"/>
      <w:r w:rsidRPr="00310F06">
        <w:rPr>
          <w:rFonts w:ascii="Arial" w:eastAsia="Times New Roman" w:hAnsi="Arial" w:cs="Arial"/>
          <w:sz w:val="24"/>
          <w:szCs w:val="24"/>
          <w:lang w:eastAsia="en-GB"/>
        </w:rPr>
        <w:t>Minkov</w:t>
      </w:r>
      <w:proofErr w:type="spellEnd"/>
      <w:r w:rsidRPr="00310F06">
        <w:rPr>
          <w:rFonts w:ascii="Arial" w:eastAsia="Times New Roman" w:hAnsi="Arial" w:cs="Arial"/>
          <w:sz w:val="24"/>
          <w:szCs w:val="24"/>
          <w:lang w:eastAsia="en-GB"/>
        </w:rPr>
        <w:t xml:space="preserve"> and </w:t>
      </w:r>
      <w:proofErr w:type="spellStart"/>
      <w:r w:rsidRPr="00310F06">
        <w:rPr>
          <w:rFonts w:ascii="Arial" w:eastAsia="Times New Roman" w:hAnsi="Arial" w:cs="Arial"/>
          <w:sz w:val="24"/>
          <w:szCs w:val="24"/>
          <w:lang w:eastAsia="en-GB"/>
        </w:rPr>
        <w:t>Kaasa</w:t>
      </w:r>
      <w:proofErr w:type="spellEnd"/>
      <w:r w:rsidRPr="00310F06">
        <w:rPr>
          <w:rFonts w:ascii="Arial" w:eastAsia="Times New Roman" w:hAnsi="Arial" w:cs="Arial"/>
          <w:sz w:val="24"/>
          <w:szCs w:val="24"/>
          <w:lang w:eastAsia="en-GB"/>
        </w:rPr>
        <w:t>, 2022).</w:t>
      </w:r>
    </w:p>
    <w:p w:rsidR="007A4B33" w:rsidRPr="00C73C93" w:rsidRDefault="007A4B33" w:rsidP="0027172C">
      <w:pPr>
        <w:spacing w:before="100" w:beforeAutospacing="1" w:after="100" w:afterAutospacing="1" w:line="360" w:lineRule="auto"/>
        <w:jc w:val="both"/>
        <w:rPr>
          <w:rFonts w:ascii="Arial" w:eastAsia="Times New Roman" w:hAnsi="Arial" w:cs="Arial"/>
          <w:b/>
          <w:sz w:val="24"/>
          <w:szCs w:val="24"/>
          <w:lang w:eastAsia="en-GB"/>
        </w:rPr>
      </w:pPr>
      <w:r w:rsidRPr="00C73C93">
        <w:rPr>
          <w:rFonts w:ascii="Arial" w:eastAsia="Times New Roman" w:hAnsi="Arial" w:cs="Arial"/>
          <w:b/>
          <w:sz w:val="24"/>
          <w:szCs w:val="24"/>
          <w:lang w:eastAsia="en-GB"/>
        </w:rPr>
        <w:t xml:space="preserve"> Technological Factors</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 xml:space="preserve">The technological environment in Japan is favourable as it is based on advanced manufacturing and Mobility Digital Transformation Strategy, which in turn enables the software-defined vehicle, autonomous mobility and the use of data (Ministry of Economy, Trade and Industry, 2024). The technological climate in the UK is unfavourable to BEV as Toyota's BEV positioning is weakened by the competition in BEV, software and connected-services. Toyota </w:t>
      </w:r>
      <w:r w:rsidR="00923CA3" w:rsidRPr="00310F06">
        <w:rPr>
          <w:rFonts w:ascii="Arial" w:eastAsia="Times New Roman" w:hAnsi="Arial" w:cs="Arial"/>
          <w:sz w:val="24"/>
          <w:szCs w:val="24"/>
          <w:lang w:eastAsia="en-GB"/>
        </w:rPr>
        <w:t>needs</w:t>
      </w:r>
      <w:r w:rsidRPr="00310F06">
        <w:rPr>
          <w:rFonts w:ascii="Arial" w:eastAsia="Times New Roman" w:hAnsi="Arial" w:cs="Arial"/>
          <w:sz w:val="24"/>
          <w:szCs w:val="24"/>
          <w:lang w:eastAsia="en-GB"/>
        </w:rPr>
        <w:t xml:space="preserve"> to tap into their Japanese engineering prowess to make the charging, software and battery development faster in the UK. </w:t>
      </w:r>
    </w:p>
    <w:p w:rsidR="007A4B33" w:rsidRPr="00E90127" w:rsidRDefault="007A4B33" w:rsidP="0027172C">
      <w:pPr>
        <w:spacing w:before="100" w:beforeAutospacing="1" w:after="100" w:afterAutospacing="1" w:line="360" w:lineRule="auto"/>
        <w:jc w:val="both"/>
        <w:rPr>
          <w:rFonts w:ascii="Arial" w:eastAsia="Times New Roman" w:hAnsi="Arial" w:cs="Arial"/>
          <w:b/>
          <w:sz w:val="24"/>
          <w:szCs w:val="24"/>
          <w:lang w:eastAsia="en-GB"/>
        </w:rPr>
      </w:pPr>
      <w:r w:rsidRPr="00E90127">
        <w:rPr>
          <w:rFonts w:ascii="Arial" w:eastAsia="Times New Roman" w:hAnsi="Arial" w:cs="Arial"/>
          <w:b/>
          <w:sz w:val="24"/>
          <w:szCs w:val="24"/>
          <w:lang w:eastAsia="en-GB"/>
        </w:rPr>
        <w:t>Legal Factors</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The legal environment in Japan unfavourable; strict standards for certification leave the companies exposed to operational and reputational risk, such as Toyota's 2024 scandal and corrective actions (Toyota Motor Corporation, 2024). The legal environment in the UK is unfavourable as the ZEV mandate and enforcement of consumer protection further raises compliance costs and exposure for claims related to the environment and finances (Department for Transport, 2023; UK Parliament, 2024).</w:t>
      </w:r>
    </w:p>
    <w:p w:rsidR="007A4B33" w:rsidRPr="00C73C93" w:rsidRDefault="007A4B33" w:rsidP="0027172C">
      <w:pPr>
        <w:spacing w:before="100" w:beforeAutospacing="1" w:after="100" w:afterAutospacing="1" w:line="360" w:lineRule="auto"/>
        <w:jc w:val="both"/>
        <w:rPr>
          <w:rFonts w:ascii="Arial" w:eastAsia="Times New Roman" w:hAnsi="Arial" w:cs="Arial"/>
          <w:b/>
          <w:sz w:val="24"/>
          <w:szCs w:val="24"/>
          <w:lang w:eastAsia="en-GB"/>
        </w:rPr>
      </w:pPr>
      <w:r w:rsidRPr="00C73C93">
        <w:rPr>
          <w:rFonts w:ascii="Arial" w:eastAsia="Times New Roman" w:hAnsi="Arial" w:cs="Arial"/>
          <w:b/>
          <w:sz w:val="24"/>
          <w:szCs w:val="24"/>
          <w:lang w:eastAsia="en-GB"/>
        </w:rPr>
        <w:t>Environmental Factors</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The environment is favourable to Japan, with the policy being flexible on the hybrid, battery electric and hydrogen roadmap, similar to Toyota's portfolio (Ministry of Economy, Trade and Industry, 2023). The UK's environmental context is unfavourable to Toyota's hybrid focus as the UK needs to see faster adoption of zero-emission vehicles for transport decarbonisation (Climate Change Committee, 2024). This opens BEV opportunities but makes it difficult to credibility for unsupported sustainability claims.</w:t>
      </w:r>
    </w:p>
    <w:p w:rsidR="007A4B33" w:rsidRPr="00C73C93" w:rsidRDefault="007A4B33" w:rsidP="0027172C">
      <w:pPr>
        <w:spacing w:before="100" w:beforeAutospacing="1" w:after="100" w:afterAutospacing="1" w:line="360" w:lineRule="auto"/>
        <w:jc w:val="both"/>
        <w:rPr>
          <w:rFonts w:ascii="Arial" w:eastAsia="Times New Roman" w:hAnsi="Arial" w:cs="Arial"/>
          <w:b/>
          <w:sz w:val="24"/>
          <w:szCs w:val="24"/>
          <w:lang w:eastAsia="en-GB"/>
        </w:rPr>
      </w:pPr>
      <w:r w:rsidRPr="00C73C93">
        <w:rPr>
          <w:rFonts w:ascii="Arial" w:eastAsia="Times New Roman" w:hAnsi="Arial" w:cs="Arial"/>
          <w:b/>
          <w:sz w:val="24"/>
          <w:szCs w:val="24"/>
          <w:lang w:eastAsia="en-GB"/>
        </w:rPr>
        <w:t>PESTLE Similarities and Differences</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 xml:space="preserve">Both countries are high-income, technologically advanced markets, and have high expectations for safety and support for electrification. Nevertheless, Japan is more supportive of Toyota's hybrid, hydrogen, manufacturing and value additions while the UK exerts greater pressure for BEVs, digital experiences and verified environmental claims. The ageing population in Japan restricts growth of compact and safe vehicles; the adoption of ZE vehicles is favourable in the UK due to the adoption of flexible finance and electric products (Statistics Bureau of Japan, 2025; Department for Transport, 2025). Toyota needs to ensure consistency in quality and reliability, and make some changes to the </w:t>
      </w:r>
      <w:r w:rsidR="00F72BDA" w:rsidRPr="00310F06">
        <w:rPr>
          <w:rFonts w:ascii="Arial" w:eastAsia="Times New Roman" w:hAnsi="Arial" w:cs="Arial"/>
          <w:sz w:val="24"/>
          <w:szCs w:val="24"/>
          <w:lang w:eastAsia="en-GB"/>
        </w:rPr>
        <w:t>powertrains</w:t>
      </w:r>
      <w:r w:rsidRPr="00310F06">
        <w:rPr>
          <w:rFonts w:ascii="Arial" w:eastAsia="Times New Roman" w:hAnsi="Arial" w:cs="Arial"/>
          <w:sz w:val="24"/>
          <w:szCs w:val="24"/>
          <w:lang w:eastAsia="en-GB"/>
        </w:rPr>
        <w:t>, pricing, distribution and sustainability communication.</w:t>
      </w:r>
    </w:p>
    <w:p w:rsidR="007A4B33" w:rsidRPr="00C73C93" w:rsidRDefault="007A4B33" w:rsidP="007A4B33">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4" w:name="_Toc237266420"/>
      <w:r w:rsidRPr="00C73C93">
        <w:rPr>
          <w:rFonts w:ascii="Arial" w:eastAsia="Times New Roman" w:hAnsi="Arial" w:cs="Arial"/>
          <w:b/>
          <w:bCs/>
          <w:kern w:val="36"/>
          <w:sz w:val="24"/>
          <w:szCs w:val="24"/>
          <w:lang w:eastAsia="en-GB"/>
        </w:rPr>
        <w:t>3. STP Analysis: Toyota in Japan and the United Kingdom</w:t>
      </w:r>
      <w:bookmarkEnd w:id="4"/>
    </w:p>
    <w:p w:rsidR="007A4B33" w:rsidRPr="00C73C93" w:rsidRDefault="007A4B33" w:rsidP="007A4B33">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5" w:name="_Toc237266421"/>
      <w:r w:rsidRPr="00C73C93">
        <w:rPr>
          <w:rFonts w:ascii="Arial" w:eastAsia="Times New Roman" w:hAnsi="Arial" w:cs="Arial"/>
          <w:b/>
          <w:bCs/>
          <w:sz w:val="24"/>
          <w:szCs w:val="24"/>
          <w:lang w:eastAsia="en-GB"/>
        </w:rPr>
        <w:t>3.1 Segmentation</w:t>
      </w:r>
      <w:bookmarkEnd w:id="5"/>
    </w:p>
    <w:p w:rsidR="007A4B33" w:rsidRPr="00310F06" w:rsidRDefault="007A4B33" w:rsidP="007A4B33">
      <w:pPr>
        <w:spacing w:before="100" w:beforeAutospacing="1" w:after="100" w:afterAutospacing="1" w:line="360" w:lineRule="auto"/>
        <w:jc w:val="both"/>
        <w:rPr>
          <w:rFonts w:ascii="Arial" w:eastAsia="Times New Roman" w:hAnsi="Arial" w:cs="Arial"/>
          <w:bCs/>
          <w:sz w:val="24"/>
          <w:szCs w:val="24"/>
          <w:lang w:eastAsia="en-GB"/>
        </w:rPr>
      </w:pPr>
      <w:r w:rsidRPr="00E90127">
        <w:rPr>
          <w:rFonts w:ascii="Arial" w:eastAsia="Times New Roman" w:hAnsi="Arial" w:cs="Arial"/>
          <w:b/>
          <w:bCs/>
          <w:sz w:val="24"/>
          <w:szCs w:val="24"/>
          <w:lang w:eastAsia="en-GB"/>
        </w:rPr>
        <w:t>Demographic segmentation:</w:t>
      </w:r>
      <w:r w:rsidRPr="00310F06">
        <w:rPr>
          <w:rFonts w:ascii="Arial" w:eastAsia="Times New Roman" w:hAnsi="Arial" w:cs="Arial"/>
          <w:bCs/>
          <w:sz w:val="24"/>
          <w:szCs w:val="24"/>
          <w:lang w:eastAsia="en-GB"/>
        </w:rPr>
        <w:t xml:space="preserve"> Toyota segments both markets by age, income, occupation and family stage. Demand for compact dimensions, accessibility, safety and reliable ownership grew with the share of elderly people (65 and over) in Japan being 29.3% in 2024 (Statistics Bureau of Japan, 2025). Older and middle-income drivers tend to prefer the Aqua and Yaris Hybrid models, which offer comfort and status to those who prefer them. The Crown and </w:t>
      </w:r>
      <w:proofErr w:type="spellStart"/>
      <w:r w:rsidRPr="00310F06">
        <w:rPr>
          <w:rFonts w:ascii="Arial" w:eastAsia="Times New Roman" w:hAnsi="Arial" w:cs="Arial"/>
          <w:bCs/>
          <w:sz w:val="24"/>
          <w:szCs w:val="24"/>
          <w:lang w:eastAsia="en-GB"/>
        </w:rPr>
        <w:t>Alphard</w:t>
      </w:r>
      <w:proofErr w:type="spellEnd"/>
      <w:r w:rsidRPr="00310F06">
        <w:rPr>
          <w:rFonts w:ascii="Arial" w:eastAsia="Times New Roman" w:hAnsi="Arial" w:cs="Arial"/>
          <w:bCs/>
          <w:sz w:val="24"/>
          <w:szCs w:val="24"/>
          <w:lang w:eastAsia="en-GB"/>
        </w:rPr>
        <w:t xml:space="preserve"> models are more suited for affluent professionals and families who seek comfort and status (Toyota Motor Corporation, 2023a;</w:t>
      </w:r>
      <w:r w:rsidR="00024872" w:rsidRPr="00310F06">
        <w:rPr>
          <w:rFonts w:ascii="Arial" w:eastAsia="Times New Roman" w:hAnsi="Arial" w:cs="Arial"/>
          <w:bCs/>
          <w:sz w:val="24"/>
          <w:szCs w:val="24"/>
          <w:lang w:eastAsia="en-GB"/>
        </w:rPr>
        <w:t xml:space="preserve"> Toyota Motor Corporation, 2023</w:t>
      </w:r>
      <w:r w:rsidRPr="00310F06">
        <w:rPr>
          <w:rFonts w:ascii="Arial" w:eastAsia="Times New Roman" w:hAnsi="Arial" w:cs="Arial"/>
          <w:bCs/>
          <w:sz w:val="24"/>
          <w:szCs w:val="24"/>
          <w:lang w:eastAsia="en-GB"/>
        </w:rPr>
        <w:t xml:space="preserve">). Professionals, families and fleet operators are </w:t>
      </w:r>
      <w:proofErr w:type="gramStart"/>
      <w:r w:rsidRPr="00310F06">
        <w:rPr>
          <w:rFonts w:ascii="Arial" w:eastAsia="Times New Roman" w:hAnsi="Arial" w:cs="Arial"/>
          <w:bCs/>
          <w:sz w:val="24"/>
          <w:szCs w:val="24"/>
          <w:lang w:eastAsia="en-GB"/>
        </w:rPr>
        <w:t>key</w:t>
      </w:r>
      <w:proofErr w:type="gramEnd"/>
      <w:r w:rsidRPr="00310F06">
        <w:rPr>
          <w:rFonts w:ascii="Arial" w:eastAsia="Times New Roman" w:hAnsi="Arial" w:cs="Arial"/>
          <w:bCs/>
          <w:sz w:val="24"/>
          <w:szCs w:val="24"/>
          <w:lang w:eastAsia="en-GB"/>
        </w:rPr>
        <w:t xml:space="preserve"> to the success of ZEVs in the UK: company keepers registered 82% of new ZEVs in 2024 (Department for Transport, 2025). </w:t>
      </w:r>
    </w:p>
    <w:p w:rsidR="007A4B33" w:rsidRPr="00310F06" w:rsidRDefault="007A4B33" w:rsidP="007A4B33">
      <w:pPr>
        <w:spacing w:before="100" w:beforeAutospacing="1" w:after="100" w:afterAutospacing="1" w:line="360" w:lineRule="auto"/>
        <w:jc w:val="both"/>
        <w:rPr>
          <w:rFonts w:ascii="Arial" w:eastAsia="Times New Roman" w:hAnsi="Arial" w:cs="Arial"/>
          <w:bCs/>
          <w:sz w:val="24"/>
          <w:szCs w:val="24"/>
          <w:lang w:eastAsia="en-GB"/>
        </w:rPr>
      </w:pPr>
      <w:r w:rsidRPr="00E90127">
        <w:rPr>
          <w:rFonts w:ascii="Arial" w:eastAsia="Times New Roman" w:hAnsi="Arial" w:cs="Arial"/>
          <w:b/>
          <w:bCs/>
          <w:sz w:val="24"/>
          <w:szCs w:val="24"/>
          <w:lang w:eastAsia="en-GB"/>
        </w:rPr>
        <w:t>Geographic segmentation:</w:t>
      </w:r>
      <w:r w:rsidRPr="00310F06">
        <w:rPr>
          <w:rFonts w:ascii="Arial" w:eastAsia="Times New Roman" w:hAnsi="Arial" w:cs="Arial"/>
          <w:bCs/>
          <w:sz w:val="24"/>
          <w:szCs w:val="24"/>
          <w:lang w:eastAsia="en-GB"/>
        </w:rPr>
        <w:t xml:space="preserve"> Urban Japanese are more interested in compact hybrids, while suburban and rural consumers are interested in the SUV style and minivan. Access to Charging in the UK is a clinching factor. The BEV and plug-in hybrid market segments are better fits for households that have off-street parking facilities, while households that don't have off-street parking may be more apt to consider hybrids. The location and infrastructure were identified as important segmentation variables for more than a quarter of UK drivers, with the CMA estimating that 25% of them didn't have off-street parking (Competition and Markets Authority, 2021). </w:t>
      </w:r>
    </w:p>
    <w:p w:rsidR="007A4B33" w:rsidRPr="00310F06" w:rsidRDefault="007A4B33" w:rsidP="007A4B33">
      <w:pPr>
        <w:spacing w:before="100" w:beforeAutospacing="1" w:after="100" w:afterAutospacing="1" w:line="360" w:lineRule="auto"/>
        <w:jc w:val="both"/>
        <w:rPr>
          <w:rFonts w:ascii="Arial" w:eastAsia="Times New Roman" w:hAnsi="Arial" w:cs="Arial"/>
          <w:bCs/>
          <w:sz w:val="24"/>
          <w:szCs w:val="24"/>
          <w:lang w:eastAsia="en-GB"/>
        </w:rPr>
      </w:pPr>
      <w:r w:rsidRPr="00E90127">
        <w:rPr>
          <w:rFonts w:ascii="Arial" w:eastAsia="Times New Roman" w:hAnsi="Arial" w:cs="Arial"/>
          <w:b/>
          <w:bCs/>
          <w:sz w:val="24"/>
          <w:szCs w:val="24"/>
          <w:lang w:eastAsia="en-GB"/>
        </w:rPr>
        <w:t>Psychographic segmentation:</w:t>
      </w:r>
      <w:r w:rsidRPr="00310F06">
        <w:rPr>
          <w:rFonts w:ascii="Arial" w:eastAsia="Times New Roman" w:hAnsi="Arial" w:cs="Arial"/>
          <w:bCs/>
          <w:sz w:val="24"/>
          <w:szCs w:val="24"/>
          <w:lang w:eastAsia="en-GB"/>
        </w:rPr>
        <w:t xml:space="preserve"> VALS should not be used as an excuse to ignore either country as homogenous as personality, lifestyle, and self-image determine consumption preferences (Solomon and Russell, 2024). Prius, Aqua or Yaris Hybrid </w:t>
      </w:r>
      <w:r w:rsidR="00923CA3" w:rsidRPr="00310F06">
        <w:rPr>
          <w:rFonts w:ascii="Arial" w:eastAsia="Times New Roman" w:hAnsi="Arial" w:cs="Arial"/>
          <w:bCs/>
          <w:sz w:val="24"/>
          <w:szCs w:val="24"/>
          <w:lang w:eastAsia="en-GB"/>
        </w:rPr>
        <w:t>is</w:t>
      </w:r>
      <w:r w:rsidRPr="00310F06">
        <w:rPr>
          <w:rFonts w:ascii="Arial" w:eastAsia="Times New Roman" w:hAnsi="Arial" w:cs="Arial"/>
          <w:bCs/>
          <w:sz w:val="24"/>
          <w:szCs w:val="24"/>
          <w:lang w:eastAsia="en-GB"/>
        </w:rPr>
        <w:t xml:space="preserve"> efficient, safe and proven for Japanese Thinkers; quality, comfort and status are the key benefits of Crown or </w:t>
      </w:r>
      <w:proofErr w:type="spellStart"/>
      <w:r w:rsidRPr="00310F06">
        <w:rPr>
          <w:rFonts w:ascii="Arial" w:eastAsia="Times New Roman" w:hAnsi="Arial" w:cs="Arial"/>
          <w:bCs/>
          <w:sz w:val="24"/>
          <w:szCs w:val="24"/>
          <w:lang w:eastAsia="en-GB"/>
        </w:rPr>
        <w:t>Alphard</w:t>
      </w:r>
      <w:proofErr w:type="spellEnd"/>
      <w:r w:rsidRPr="00310F06">
        <w:rPr>
          <w:rFonts w:ascii="Arial" w:eastAsia="Times New Roman" w:hAnsi="Arial" w:cs="Arial"/>
          <w:bCs/>
          <w:sz w:val="24"/>
          <w:szCs w:val="24"/>
          <w:lang w:eastAsia="en-GB"/>
        </w:rPr>
        <w:t xml:space="preserve"> to Achievers. In the UK, Innovators are likely to be interested in the bZ4X or connected services, but Achievers are more likely to be interested in C-HR or RAV4 plug-in hybrid cars for the sense of progress they offer and practicality, respectively (Toyota UK, 2021; Toyota UK, 2023). </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E90127">
        <w:rPr>
          <w:rFonts w:ascii="Arial" w:eastAsia="Times New Roman" w:hAnsi="Arial" w:cs="Arial"/>
          <w:b/>
          <w:bCs/>
          <w:sz w:val="24"/>
          <w:szCs w:val="24"/>
          <w:lang w:eastAsia="en-GB"/>
        </w:rPr>
        <w:t>Behavioural segmentation:</w:t>
      </w:r>
      <w:r w:rsidRPr="00310F06">
        <w:rPr>
          <w:rFonts w:ascii="Arial" w:eastAsia="Times New Roman" w:hAnsi="Arial" w:cs="Arial"/>
          <w:bCs/>
          <w:sz w:val="24"/>
          <w:szCs w:val="24"/>
          <w:lang w:eastAsia="en-GB"/>
        </w:rPr>
        <w:t xml:space="preserve"> Japanese buyers vary in terms of their loyalty, usage, fuel efficiency, service needs and tolerance of risk in ownership. The differences between UK buyers are more varied in terms of their sensitivity to monthly payments, level of company-car use, their awareness and interest in technology and environment. 19% of new cars sold in the UK in 2024 were zero-emission vehicles and 74% of Toyota Motor Europe's sales were for electrified vehicles (Department for Transport, 2025; Toyota Motor Europe, 2025). Toyota has to now separate out those who want to be more efficient from those who want to go 100% electric</w:t>
      </w:r>
      <w:r w:rsidRPr="00310F06">
        <w:rPr>
          <w:rFonts w:ascii="Arial" w:eastAsia="Times New Roman" w:hAnsi="Arial" w:cs="Arial"/>
          <w:sz w:val="24"/>
          <w:szCs w:val="24"/>
          <w:lang w:eastAsia="en-GB"/>
        </w:rPr>
        <w:t xml:space="preserve">. </w:t>
      </w:r>
    </w:p>
    <w:p w:rsidR="007A4B33" w:rsidRPr="00C73C93" w:rsidRDefault="007A4B33" w:rsidP="007A4B33">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6" w:name="_Toc237266422"/>
      <w:r w:rsidRPr="00C73C93">
        <w:rPr>
          <w:rFonts w:ascii="Arial" w:eastAsia="Times New Roman" w:hAnsi="Arial" w:cs="Arial"/>
          <w:b/>
          <w:bCs/>
          <w:sz w:val="24"/>
          <w:szCs w:val="24"/>
          <w:lang w:eastAsia="en-GB"/>
        </w:rPr>
        <w:t>3.2 Targeting</w:t>
      </w:r>
      <w:bookmarkEnd w:id="6"/>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To differentiate the targeting, Toyota primarily has developed different propositions for various customer g</w:t>
      </w:r>
      <w:r w:rsidR="00E90127">
        <w:rPr>
          <w:rFonts w:ascii="Arial" w:eastAsia="Times New Roman" w:hAnsi="Arial" w:cs="Arial"/>
          <w:sz w:val="24"/>
          <w:szCs w:val="24"/>
          <w:lang w:eastAsia="en-GB"/>
        </w:rPr>
        <w:t>roups in both countries (</w:t>
      </w:r>
      <w:proofErr w:type="spellStart"/>
      <w:r w:rsidR="00E90127">
        <w:rPr>
          <w:rFonts w:ascii="Arial" w:eastAsia="Times New Roman" w:hAnsi="Arial" w:cs="Arial"/>
          <w:sz w:val="24"/>
          <w:szCs w:val="24"/>
          <w:lang w:eastAsia="en-GB"/>
        </w:rPr>
        <w:t>Kotler</w:t>
      </w:r>
      <w:proofErr w:type="spellEnd"/>
      <w:r w:rsidRPr="00310F06">
        <w:rPr>
          <w:rFonts w:ascii="Arial" w:eastAsia="Times New Roman" w:hAnsi="Arial" w:cs="Arial"/>
          <w:sz w:val="24"/>
          <w:szCs w:val="24"/>
          <w:lang w:eastAsia="en-GB"/>
        </w:rPr>
        <w:t xml:space="preserve"> </w:t>
      </w:r>
      <w:r w:rsidR="00E90127">
        <w:rPr>
          <w:rFonts w:ascii="Arial" w:eastAsia="Times New Roman" w:hAnsi="Arial" w:cs="Arial"/>
          <w:sz w:val="24"/>
          <w:szCs w:val="24"/>
          <w:lang w:eastAsia="en-GB"/>
        </w:rPr>
        <w:t>et al.</w:t>
      </w:r>
      <w:r w:rsidRPr="00310F06">
        <w:rPr>
          <w:rFonts w:ascii="Arial" w:eastAsia="Times New Roman" w:hAnsi="Arial" w:cs="Arial"/>
          <w:sz w:val="24"/>
          <w:szCs w:val="24"/>
          <w:lang w:eastAsia="en-GB"/>
        </w:rPr>
        <w:t xml:space="preserve">, 2024). In Japan the targets are: Older drivers, </w:t>
      </w:r>
      <w:proofErr w:type="gramStart"/>
      <w:r w:rsidRPr="00310F06">
        <w:rPr>
          <w:rFonts w:ascii="Arial" w:eastAsia="Times New Roman" w:hAnsi="Arial" w:cs="Arial"/>
          <w:sz w:val="24"/>
          <w:szCs w:val="24"/>
          <w:lang w:eastAsia="en-GB"/>
        </w:rPr>
        <w:t>Urban</w:t>
      </w:r>
      <w:proofErr w:type="gramEnd"/>
      <w:r w:rsidRPr="00310F06">
        <w:rPr>
          <w:rFonts w:ascii="Arial" w:eastAsia="Times New Roman" w:hAnsi="Arial" w:cs="Arial"/>
          <w:sz w:val="24"/>
          <w:szCs w:val="24"/>
          <w:lang w:eastAsia="en-GB"/>
        </w:rPr>
        <w:t xml:space="preserve"> hybrid users, families and wealthy professionals. Hybrid, plug-in-hybrid and battery-electric cars and vans are designed in the UK for professionals, families, consumers who care about the environment and fleet operators. Fleet-BEV is also a suitable market for targeted services for a limited number of companies as the majority of the demand for zero emissions is for company registration (Department for Transport, 2025). But too much reliance on existing hybrid customers may not be enough to make Toyota competitive in the BEV market, where many are deciding to go electric. </w:t>
      </w:r>
    </w:p>
    <w:p w:rsidR="007A4B33" w:rsidRPr="00C73C93" w:rsidRDefault="007A4B33" w:rsidP="002A7B2D">
      <w:pPr>
        <w:pStyle w:val="Heading2"/>
        <w:rPr>
          <w:rFonts w:ascii="Arial" w:hAnsi="Arial" w:cs="Arial"/>
          <w:sz w:val="24"/>
          <w:szCs w:val="24"/>
        </w:rPr>
      </w:pPr>
      <w:bookmarkStart w:id="7" w:name="_Toc237266423"/>
      <w:r w:rsidRPr="00C73C93">
        <w:rPr>
          <w:rFonts w:ascii="Arial" w:hAnsi="Arial" w:cs="Arial"/>
          <w:sz w:val="24"/>
          <w:szCs w:val="24"/>
        </w:rPr>
        <w:t>3.3 Positioning</w:t>
      </w:r>
      <w:bookmarkEnd w:id="7"/>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 xml:space="preserve">Toyota positions its products by attributes and positions its products with sustainability benefits. It's a brand that is known for reliability, safety, engineering, durability and low-risk ownership in Japan. Safety is the key in the UK, with the brand also championing two-way practical electrification and user-friendly technology. The bZ4X is Toyota's first purpose-built BEV, and the C-HR </w:t>
      </w:r>
      <w:r w:rsidR="001F051E" w:rsidRPr="00310F06">
        <w:rPr>
          <w:rFonts w:ascii="Arial" w:eastAsia="Times New Roman" w:hAnsi="Arial" w:cs="Arial"/>
          <w:sz w:val="24"/>
          <w:szCs w:val="24"/>
          <w:lang w:eastAsia="en-GB"/>
        </w:rPr>
        <w:t>is</w:t>
      </w:r>
      <w:r w:rsidRPr="00310F06">
        <w:rPr>
          <w:rFonts w:ascii="Arial" w:eastAsia="Times New Roman" w:hAnsi="Arial" w:cs="Arial"/>
          <w:sz w:val="24"/>
          <w:szCs w:val="24"/>
          <w:lang w:eastAsia="en-GB"/>
        </w:rPr>
        <w:t xml:space="preserve"> available as a hybrid and plug-in hybrid option (Toyota UK 2021; Toyota UK 2023). However, Toyota might still be seen as the hybrid technology expert and not as one of the most innovative BEV manufacturers thanks to the high share of hybrid sales to its electrified sales (Toyota Motor Europe, 2025). </w:t>
      </w:r>
    </w:p>
    <w:p w:rsidR="001F051E" w:rsidRPr="00310F06" w:rsidRDefault="00644DD4" w:rsidP="007A4B33">
      <w:pPr>
        <w:spacing w:before="100" w:beforeAutospacing="1" w:after="100" w:afterAutospacing="1" w:line="360" w:lineRule="auto"/>
        <w:jc w:val="both"/>
        <w:rPr>
          <w:rFonts w:ascii="Arial" w:eastAsia="Times New Roman" w:hAnsi="Arial" w:cs="Arial"/>
          <w:sz w:val="24"/>
          <w:szCs w:val="24"/>
          <w:lang w:eastAsia="en-GB"/>
        </w:rPr>
      </w:pPr>
      <w:r w:rsidRPr="00310F06">
        <w:rPr>
          <w:noProof/>
          <w:lang w:eastAsia="en-GB"/>
        </w:rPr>
        <w:drawing>
          <wp:inline distT="0" distB="0" distL="0" distR="0" wp14:anchorId="68A0835C" wp14:editId="70DC4160">
            <wp:extent cx="5943600" cy="39173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917315"/>
                    </a:xfrm>
                    <a:prstGeom prst="rect">
                      <a:avLst/>
                    </a:prstGeom>
                  </pic:spPr>
                </pic:pic>
              </a:graphicData>
            </a:graphic>
          </wp:inline>
        </w:drawing>
      </w:r>
    </w:p>
    <w:p w:rsidR="001F051E" w:rsidRPr="00310F06" w:rsidRDefault="001F051E" w:rsidP="001F051E">
      <w:pPr>
        <w:spacing w:before="100" w:beforeAutospacing="1" w:after="100" w:afterAutospacing="1" w:line="360" w:lineRule="auto"/>
        <w:jc w:val="center"/>
        <w:rPr>
          <w:rFonts w:ascii="Arial" w:eastAsia="Times New Roman" w:hAnsi="Arial" w:cs="Arial"/>
          <w:i/>
          <w:sz w:val="24"/>
          <w:szCs w:val="24"/>
          <w:lang w:eastAsia="en-GB"/>
        </w:rPr>
      </w:pPr>
      <w:r w:rsidRPr="00310F06">
        <w:rPr>
          <w:rFonts w:ascii="Arial" w:eastAsia="Times New Roman" w:hAnsi="Arial" w:cs="Arial"/>
          <w:i/>
          <w:sz w:val="24"/>
          <w:szCs w:val="24"/>
          <w:lang w:eastAsia="en-GB"/>
        </w:rPr>
        <w:t>Figure 2: Indicative perceptual map of selected automotive brands in the UK.</w:t>
      </w:r>
    </w:p>
    <w:p w:rsidR="001F051E" w:rsidRPr="00310F06" w:rsidRDefault="001F051E" w:rsidP="001F051E">
      <w:pPr>
        <w:spacing w:before="100" w:beforeAutospacing="1" w:after="100" w:afterAutospacing="1" w:line="360" w:lineRule="auto"/>
        <w:jc w:val="center"/>
        <w:rPr>
          <w:rFonts w:ascii="Arial" w:eastAsia="Times New Roman" w:hAnsi="Arial" w:cs="Arial"/>
          <w:i/>
          <w:sz w:val="24"/>
          <w:szCs w:val="24"/>
          <w:lang w:eastAsia="en-GB"/>
        </w:rPr>
      </w:pPr>
      <w:r w:rsidRPr="00310F06">
        <w:rPr>
          <w:rFonts w:ascii="Arial" w:eastAsia="Times New Roman" w:hAnsi="Arial" w:cs="Arial"/>
          <w:i/>
          <w:sz w:val="24"/>
          <w:szCs w:val="24"/>
          <w:lang w:eastAsia="en-GB"/>
        </w:rPr>
        <w:t>Source: Department for Transport (2025), Toyota Motor Europe (2025)</w:t>
      </w:r>
    </w:p>
    <w:p w:rsidR="007A4B33"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 xml:space="preserve">Toyota is currently looking to be in a more balanced position between mainstream value and moderate level of electric innovation as seen in Figure 2. Tesla is in the high cost, high innovation category, while Hyundai and Volkswagen are more on par with Toyota. The figure indicates that Toyota's UK brand equity is based on the reliability of the vehicle and its practical electrification, not on leading premium BEVs. The positions are indicative and based on the evidence of registration and manufacturers' product portfolios rather than on the main findings from consumer research (Department for Transport, 2025; Toyota Motor Europe, 2025). </w:t>
      </w:r>
    </w:p>
    <w:p w:rsidR="00923CA3" w:rsidRPr="00310F06" w:rsidRDefault="00923CA3" w:rsidP="007A4B33">
      <w:pPr>
        <w:spacing w:before="100" w:beforeAutospacing="1" w:after="100" w:afterAutospacing="1" w:line="360" w:lineRule="auto"/>
        <w:jc w:val="both"/>
        <w:rPr>
          <w:rFonts w:ascii="Arial" w:eastAsia="Times New Roman" w:hAnsi="Arial" w:cs="Arial"/>
          <w:sz w:val="24"/>
          <w:szCs w:val="24"/>
          <w:lang w:eastAsia="en-GB"/>
        </w:rPr>
      </w:pPr>
    </w:p>
    <w:p w:rsidR="00923CA3" w:rsidRPr="00310F06" w:rsidRDefault="00923CA3" w:rsidP="007A4B33">
      <w:pPr>
        <w:spacing w:before="100" w:beforeAutospacing="1" w:after="100" w:afterAutospacing="1" w:line="360" w:lineRule="auto"/>
        <w:jc w:val="both"/>
        <w:rPr>
          <w:rFonts w:ascii="Arial" w:eastAsia="Times New Roman" w:hAnsi="Arial" w:cs="Arial"/>
          <w:sz w:val="24"/>
          <w:szCs w:val="24"/>
          <w:lang w:eastAsia="en-GB"/>
        </w:rPr>
      </w:pPr>
    </w:p>
    <w:p w:rsidR="007A4B33" w:rsidRPr="00C73C93" w:rsidRDefault="007A4B33" w:rsidP="007A4B33">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8" w:name="_Toc237266424"/>
      <w:r w:rsidRPr="00C73C93">
        <w:rPr>
          <w:rFonts w:ascii="Arial" w:eastAsia="Times New Roman" w:hAnsi="Arial" w:cs="Arial"/>
          <w:b/>
          <w:bCs/>
          <w:sz w:val="24"/>
          <w:szCs w:val="24"/>
          <w:lang w:eastAsia="en-GB"/>
        </w:rPr>
        <w:t>3.4 STP Similarities and Differences</w:t>
      </w:r>
      <w:bookmarkEnd w:id="8"/>
    </w:p>
    <w:p w:rsidR="002A7B2D" w:rsidRPr="00310F06" w:rsidRDefault="007A4B33" w:rsidP="007A4B33">
      <w:pPr>
        <w:spacing w:before="100" w:beforeAutospacing="1" w:after="100" w:afterAutospacing="1"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 xml:space="preserve">Toyota's differentiated targeting strategy and its guarantee of reliability was its main image in both countries. Japan however, values the ageing consumer and accessibility, safety, long term ownership and risk reduction, while the UK values fleet demand, finance, digital convenience, charging access and technology adoption. The Japanese are therefore more dependent on positioning their products by attributes, while the UK is a combination of reliable positioning on mobility and innovation and environment. </w:t>
      </w:r>
      <w:proofErr w:type="gramStart"/>
      <w:r w:rsidRPr="00310F06">
        <w:rPr>
          <w:rFonts w:ascii="Arial" w:eastAsia="Times New Roman" w:hAnsi="Arial" w:cs="Arial"/>
          <w:sz w:val="24"/>
          <w:szCs w:val="24"/>
          <w:lang w:eastAsia="en-GB"/>
        </w:rPr>
        <w:t>To make Toyota's sustainability position in the UK more credible, there needs to be more visibility and support for charging and BEVs (Competition and Markets Authority, 2021; Toyota Motor Europe, 2025).</w:t>
      </w:r>
      <w:proofErr w:type="gramEnd"/>
    </w:p>
    <w:p w:rsidR="007A4B33" w:rsidRPr="00C73C93" w:rsidRDefault="007A4B33" w:rsidP="007A4B33">
      <w:pPr>
        <w:pStyle w:val="Heading1"/>
        <w:spacing w:line="360" w:lineRule="auto"/>
        <w:jc w:val="both"/>
        <w:rPr>
          <w:rFonts w:ascii="Arial" w:hAnsi="Arial" w:cs="Arial"/>
          <w:sz w:val="24"/>
          <w:szCs w:val="24"/>
        </w:rPr>
      </w:pPr>
      <w:bookmarkStart w:id="9" w:name="_Toc237266425"/>
      <w:r w:rsidRPr="00C73C93">
        <w:rPr>
          <w:rFonts w:ascii="Arial" w:hAnsi="Arial" w:cs="Arial"/>
          <w:sz w:val="24"/>
          <w:szCs w:val="24"/>
        </w:rPr>
        <w:t>4. Comparative International Marketing Mix—7Ps</w:t>
      </w:r>
      <w:bookmarkEnd w:id="9"/>
    </w:p>
    <w:p w:rsidR="007A4B33" w:rsidRPr="00C73C93" w:rsidRDefault="007A4B33" w:rsidP="003D5199">
      <w:pPr>
        <w:pStyle w:val="NormalWeb"/>
        <w:spacing w:line="360" w:lineRule="auto"/>
        <w:jc w:val="both"/>
        <w:rPr>
          <w:rFonts w:ascii="Arial" w:hAnsi="Arial" w:cs="Arial"/>
          <w:b/>
        </w:rPr>
      </w:pPr>
      <w:r w:rsidRPr="00C73C93">
        <w:rPr>
          <w:rFonts w:ascii="Arial" w:hAnsi="Arial" w:cs="Arial"/>
          <w:b/>
        </w:rPr>
        <w:t>Marketing Mix Framework</w:t>
      </w:r>
    </w:p>
    <w:p w:rsidR="007A4B33" w:rsidRPr="00310F06" w:rsidRDefault="007A4B33" w:rsidP="007A4B33">
      <w:pPr>
        <w:pStyle w:val="NormalWeb"/>
        <w:spacing w:line="360" w:lineRule="auto"/>
        <w:jc w:val="both"/>
        <w:rPr>
          <w:rFonts w:ascii="Arial" w:hAnsi="Arial" w:cs="Arial"/>
        </w:rPr>
      </w:pPr>
      <w:r w:rsidRPr="00310F06">
        <w:rPr>
          <w:rFonts w:ascii="Arial" w:hAnsi="Arial" w:cs="Arial"/>
        </w:rPr>
        <w:t xml:space="preserve">The marketing mix links the activities an organisation uses to create and deliver value. The 7Ps—product, price, place, promotion, people, process and physical evidence—are appropriate for use with the auto industry because it requires financial support, digital interactions, retail service, and after-sale care. Toyota's customer-value proposition is displayed in Figure 3, and these elements are shown around the customer-value proposition. </w:t>
      </w:r>
    </w:p>
    <w:p w:rsidR="00F37F98" w:rsidRPr="00310F06" w:rsidRDefault="00F37F98" w:rsidP="003D5199">
      <w:pPr>
        <w:pStyle w:val="NormalWeb"/>
        <w:spacing w:line="360" w:lineRule="auto"/>
        <w:jc w:val="center"/>
        <w:rPr>
          <w:rFonts w:ascii="Arial" w:hAnsi="Arial" w:cs="Arial"/>
        </w:rPr>
      </w:pPr>
      <w:r w:rsidRPr="00310F06">
        <w:rPr>
          <w:rFonts w:ascii="Arial" w:hAnsi="Arial" w:cs="Arial"/>
          <w:noProof/>
        </w:rPr>
        <w:drawing>
          <wp:inline distT="0" distB="0" distL="0" distR="0" wp14:anchorId="4CC501BA" wp14:editId="3CE00E2B">
            <wp:extent cx="4890481" cy="2753273"/>
            <wp:effectExtent l="0" t="0" r="5715" b="9525"/>
            <wp:docPr id="3" name="Picture 3" descr="7 P's of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P's of Marketing Mix"/>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3159" cy="2754780"/>
                    </a:xfrm>
                    <a:prstGeom prst="rect">
                      <a:avLst/>
                    </a:prstGeom>
                    <a:noFill/>
                    <a:ln>
                      <a:noFill/>
                    </a:ln>
                  </pic:spPr>
                </pic:pic>
              </a:graphicData>
            </a:graphic>
          </wp:inline>
        </w:drawing>
      </w:r>
    </w:p>
    <w:p w:rsidR="00F37F98" w:rsidRPr="00310F06" w:rsidRDefault="006250AE" w:rsidP="003D5199">
      <w:pPr>
        <w:pStyle w:val="NormalWeb"/>
        <w:spacing w:line="360" w:lineRule="auto"/>
        <w:jc w:val="center"/>
        <w:rPr>
          <w:rFonts w:ascii="Arial" w:hAnsi="Arial" w:cs="Arial"/>
          <w:i/>
        </w:rPr>
      </w:pPr>
      <w:r w:rsidRPr="00310F06">
        <w:rPr>
          <w:rFonts w:ascii="Arial" w:hAnsi="Arial" w:cs="Arial"/>
          <w:i/>
        </w:rPr>
        <w:t>Figure 3</w:t>
      </w:r>
      <w:r w:rsidR="00F37F98" w:rsidRPr="00310F06">
        <w:rPr>
          <w:rFonts w:ascii="Arial" w:hAnsi="Arial" w:cs="Arial"/>
          <w:i/>
        </w:rPr>
        <w:t>: 7Ps Marketing Mix (</w:t>
      </w:r>
      <w:proofErr w:type="spellStart"/>
      <w:r w:rsidR="00F37F98" w:rsidRPr="00310F06">
        <w:rPr>
          <w:rFonts w:ascii="Arial" w:hAnsi="Arial" w:cs="Arial"/>
          <w:i/>
        </w:rPr>
        <w:t>Collidu</w:t>
      </w:r>
      <w:proofErr w:type="spellEnd"/>
      <w:r w:rsidR="00F37F98" w:rsidRPr="00310F06">
        <w:rPr>
          <w:rFonts w:ascii="Arial" w:hAnsi="Arial" w:cs="Arial"/>
          <w:i/>
        </w:rPr>
        <w:t>, 2024)</w:t>
      </w:r>
    </w:p>
    <w:p w:rsidR="007A4B33" w:rsidRPr="00C73C93" w:rsidRDefault="007A4B33" w:rsidP="003D5199">
      <w:pPr>
        <w:pStyle w:val="NormalWeb"/>
        <w:spacing w:line="360" w:lineRule="auto"/>
        <w:jc w:val="both"/>
        <w:rPr>
          <w:rFonts w:ascii="Arial" w:hAnsi="Arial" w:cs="Arial"/>
          <w:b/>
        </w:rPr>
      </w:pPr>
      <w:r w:rsidRPr="00C73C93">
        <w:rPr>
          <w:rFonts w:ascii="Arial" w:hAnsi="Arial" w:cs="Arial"/>
          <w:b/>
        </w:rPr>
        <w:t>Product</w:t>
      </w:r>
    </w:p>
    <w:p w:rsidR="007A4B33" w:rsidRPr="00310F06" w:rsidRDefault="007A4B33" w:rsidP="007A4B33">
      <w:pPr>
        <w:pStyle w:val="NormalWeb"/>
        <w:spacing w:line="360" w:lineRule="auto"/>
        <w:jc w:val="both"/>
        <w:rPr>
          <w:rFonts w:ascii="Arial" w:hAnsi="Arial" w:cs="Arial"/>
        </w:rPr>
      </w:pPr>
      <w:r w:rsidRPr="00310F06">
        <w:rPr>
          <w:rFonts w:ascii="Arial" w:hAnsi="Arial" w:cs="Arial"/>
        </w:rPr>
        <w:t xml:space="preserve">Toyota has a wide range of products in both countries with a deeper range in Japan. It has a broad range of products in Japan such as compact cars, hatchbacks, sedans, SUVs, MPVs, sports and premium cars and commercial vehicles, all of which are powered by petrol, hybrid, plug-in-hybrid, battery-electric and hydrogen. Examples of depth models are the Aqua and Yaris compact models, the Prius and Crown variants, the </w:t>
      </w:r>
      <w:proofErr w:type="spellStart"/>
      <w:r w:rsidRPr="00310F06">
        <w:rPr>
          <w:rFonts w:ascii="Arial" w:hAnsi="Arial" w:cs="Arial"/>
        </w:rPr>
        <w:t>Alphard</w:t>
      </w:r>
      <w:proofErr w:type="spellEnd"/>
      <w:r w:rsidRPr="00310F06">
        <w:rPr>
          <w:rFonts w:ascii="Arial" w:hAnsi="Arial" w:cs="Arial"/>
        </w:rPr>
        <w:t xml:space="preserve"> and </w:t>
      </w:r>
      <w:proofErr w:type="spellStart"/>
      <w:r w:rsidRPr="00310F06">
        <w:rPr>
          <w:rFonts w:ascii="Arial" w:hAnsi="Arial" w:cs="Arial"/>
        </w:rPr>
        <w:t>Vellfire</w:t>
      </w:r>
      <w:proofErr w:type="spellEnd"/>
      <w:r w:rsidRPr="00310F06">
        <w:rPr>
          <w:rFonts w:ascii="Arial" w:hAnsi="Arial" w:cs="Arial"/>
        </w:rPr>
        <w:t xml:space="preserve"> MPV's, the Land Cruiser SUVs and the </w:t>
      </w:r>
      <w:proofErr w:type="spellStart"/>
      <w:r w:rsidRPr="00310F06">
        <w:rPr>
          <w:rFonts w:ascii="Arial" w:hAnsi="Arial" w:cs="Arial"/>
        </w:rPr>
        <w:t>Mirai</w:t>
      </w:r>
      <w:proofErr w:type="spellEnd"/>
      <w:r w:rsidRPr="00310F06">
        <w:rPr>
          <w:rFonts w:ascii="Arial" w:hAnsi="Arial" w:cs="Arial"/>
        </w:rPr>
        <w:t xml:space="preserve"> hydrogen models. The portfolio is more diverse for the UK, featuring </w:t>
      </w:r>
      <w:proofErr w:type="spellStart"/>
      <w:r w:rsidRPr="00310F06">
        <w:rPr>
          <w:rFonts w:ascii="Arial" w:hAnsi="Arial" w:cs="Arial"/>
        </w:rPr>
        <w:t>Aygo</w:t>
      </w:r>
      <w:proofErr w:type="spellEnd"/>
      <w:r w:rsidRPr="00310F06">
        <w:rPr>
          <w:rFonts w:ascii="Arial" w:hAnsi="Arial" w:cs="Arial"/>
        </w:rPr>
        <w:t xml:space="preserve"> X, Yaris, Corolla, C-HR, RAV4, Land Cruiser, </w:t>
      </w:r>
      <w:proofErr w:type="gramStart"/>
      <w:r w:rsidRPr="00310F06">
        <w:rPr>
          <w:rFonts w:ascii="Arial" w:hAnsi="Arial" w:cs="Arial"/>
        </w:rPr>
        <w:t>Prius</w:t>
      </w:r>
      <w:proofErr w:type="gramEnd"/>
      <w:r w:rsidRPr="00310F06">
        <w:rPr>
          <w:rFonts w:ascii="Arial" w:hAnsi="Arial" w:cs="Arial"/>
        </w:rPr>
        <w:t xml:space="preserve">, bZ4X, </w:t>
      </w:r>
      <w:proofErr w:type="spellStart"/>
      <w:r w:rsidRPr="00310F06">
        <w:rPr>
          <w:rFonts w:ascii="Arial" w:hAnsi="Arial" w:cs="Arial"/>
        </w:rPr>
        <w:t>Mirai</w:t>
      </w:r>
      <w:proofErr w:type="spellEnd"/>
      <w:r w:rsidRPr="00310F06">
        <w:rPr>
          <w:rFonts w:ascii="Arial" w:hAnsi="Arial" w:cs="Arial"/>
        </w:rPr>
        <w:t xml:space="preserve">, Hilux and </w:t>
      </w:r>
      <w:proofErr w:type="spellStart"/>
      <w:r w:rsidRPr="00310F06">
        <w:rPr>
          <w:rFonts w:ascii="Arial" w:hAnsi="Arial" w:cs="Arial"/>
        </w:rPr>
        <w:t>Proace</w:t>
      </w:r>
      <w:proofErr w:type="spellEnd"/>
      <w:r w:rsidRPr="00310F06">
        <w:rPr>
          <w:rFonts w:ascii="Arial" w:hAnsi="Arial" w:cs="Arial"/>
        </w:rPr>
        <w:t xml:space="preserve"> models. The focus for Japan is on variety and MPVs, while the UK is focused on hatchbacks, SUVs, fleet vehicles and electrification (Toyota Motor Corpor</w:t>
      </w:r>
      <w:r w:rsidR="000D3662" w:rsidRPr="00310F06">
        <w:rPr>
          <w:rFonts w:ascii="Arial" w:hAnsi="Arial" w:cs="Arial"/>
        </w:rPr>
        <w:t>ation, 2025</w:t>
      </w:r>
      <w:r w:rsidR="00923CA3" w:rsidRPr="00310F06">
        <w:rPr>
          <w:rFonts w:ascii="Arial" w:hAnsi="Arial" w:cs="Arial"/>
        </w:rPr>
        <w:t>; Toyota UK, 2023</w:t>
      </w:r>
      <w:r w:rsidRPr="00310F06">
        <w:rPr>
          <w:rFonts w:ascii="Arial" w:hAnsi="Arial" w:cs="Arial"/>
        </w:rPr>
        <w:t xml:space="preserve">). </w:t>
      </w:r>
    </w:p>
    <w:p w:rsidR="007A4B33" w:rsidRPr="00C73C93" w:rsidRDefault="007A4B33" w:rsidP="003D5199">
      <w:pPr>
        <w:pStyle w:val="NormalWeb"/>
        <w:spacing w:line="360" w:lineRule="auto"/>
        <w:jc w:val="both"/>
        <w:rPr>
          <w:rFonts w:ascii="Arial" w:hAnsi="Arial" w:cs="Arial"/>
          <w:b/>
        </w:rPr>
      </w:pPr>
      <w:r w:rsidRPr="00C73C93">
        <w:rPr>
          <w:rFonts w:ascii="Arial" w:hAnsi="Arial" w:cs="Arial"/>
          <w:b/>
        </w:rPr>
        <w:t>Price</w:t>
      </w:r>
    </w:p>
    <w:p w:rsidR="007A4B33" w:rsidRPr="00310F06" w:rsidRDefault="007A4B33" w:rsidP="007A4B33">
      <w:pPr>
        <w:pStyle w:val="NormalWeb"/>
        <w:spacing w:line="360" w:lineRule="auto"/>
        <w:jc w:val="both"/>
        <w:rPr>
          <w:rFonts w:ascii="Arial" w:hAnsi="Arial" w:cs="Arial"/>
        </w:rPr>
      </w:pPr>
      <w:r w:rsidRPr="00310F06">
        <w:rPr>
          <w:rFonts w:ascii="Arial" w:hAnsi="Arial" w:cs="Arial"/>
        </w:rPr>
        <w:t xml:space="preserve">Toyota employs value oriented pricing which uses the following factors: reliability, resale value, lifecycle cost. KINTO subscriptions are a hybrid insurance model in Japan that offers coverage along with tax and maintenance in one monthly fee, simplifying ownership (Toyota Motor Corporation, 2025b). Along with list prices, the UK customer is offered PCP, hire purchase and leasing deals with a focus on the monthly payment and final price. Total payable, interest, mileage conditions and incentives, however, should be a key point throughout the monthly price communication to be transparent (Toyota Financial Services UK, 2025). </w:t>
      </w:r>
    </w:p>
    <w:p w:rsidR="007A4B33" w:rsidRPr="00C73C93" w:rsidRDefault="007A4B33" w:rsidP="003D5199">
      <w:pPr>
        <w:pStyle w:val="NormalWeb"/>
        <w:spacing w:line="360" w:lineRule="auto"/>
        <w:jc w:val="both"/>
        <w:rPr>
          <w:rFonts w:ascii="Arial" w:hAnsi="Arial" w:cs="Arial"/>
          <w:b/>
        </w:rPr>
      </w:pPr>
      <w:r w:rsidRPr="00C73C93">
        <w:rPr>
          <w:rFonts w:ascii="Arial" w:hAnsi="Arial" w:cs="Arial"/>
          <w:b/>
        </w:rPr>
        <w:t xml:space="preserve"> Place</w:t>
      </w:r>
    </w:p>
    <w:p w:rsidR="007A4B33" w:rsidRPr="00310F06" w:rsidRDefault="007A4B33" w:rsidP="007A4B33">
      <w:pPr>
        <w:pStyle w:val="NormalWeb"/>
        <w:spacing w:line="360" w:lineRule="auto"/>
        <w:jc w:val="both"/>
        <w:rPr>
          <w:rFonts w:ascii="Arial" w:hAnsi="Arial" w:cs="Arial"/>
        </w:rPr>
      </w:pPr>
      <w:r w:rsidRPr="00310F06">
        <w:rPr>
          <w:rFonts w:ascii="Arial" w:hAnsi="Arial" w:cs="Arial"/>
        </w:rPr>
        <w:t xml:space="preserve">Toyota's indirect dealer network is coupled with direct digital contact. There were 231 dealers operating some 4,300 sales and service outlets in Japan in March 2025, and all domestic models were sold through their network </w:t>
      </w:r>
      <w:r w:rsidR="00923CA3" w:rsidRPr="00310F06">
        <w:rPr>
          <w:rFonts w:ascii="Arial" w:hAnsi="Arial" w:cs="Arial"/>
        </w:rPr>
        <w:t>(Toyota Motor Corporation, 2025</w:t>
      </w:r>
      <w:r w:rsidRPr="00310F06">
        <w:rPr>
          <w:rFonts w:ascii="Arial" w:hAnsi="Arial" w:cs="Arial"/>
        </w:rPr>
        <w:t>). Research, configuration, financing and online purchase are available for UK customers, with collection at a selected dealer, offering the convenience of test driving, delivering and after-sales support (</w:t>
      </w:r>
      <w:r w:rsidR="00FB52FB" w:rsidRPr="00310F06">
        <w:rPr>
          <w:rFonts w:ascii="Arial" w:hAnsi="Arial" w:cs="Arial"/>
        </w:rPr>
        <w:t xml:space="preserve">Toyota (GB) </w:t>
      </w:r>
      <w:proofErr w:type="spellStart"/>
      <w:r w:rsidR="00FB52FB" w:rsidRPr="00310F06">
        <w:rPr>
          <w:rFonts w:ascii="Arial" w:hAnsi="Arial" w:cs="Arial"/>
        </w:rPr>
        <w:t>plc</w:t>
      </w:r>
      <w:proofErr w:type="spellEnd"/>
      <w:r w:rsidRPr="00310F06">
        <w:rPr>
          <w:rFonts w:ascii="Arial" w:hAnsi="Arial" w:cs="Arial"/>
        </w:rPr>
        <w:t xml:space="preserve">, 2020). </w:t>
      </w:r>
      <w:proofErr w:type="spellStart"/>
      <w:r w:rsidRPr="00310F06">
        <w:rPr>
          <w:rFonts w:ascii="Arial" w:hAnsi="Arial" w:cs="Arial"/>
        </w:rPr>
        <w:t>Omnichannel</w:t>
      </w:r>
      <w:proofErr w:type="spellEnd"/>
      <w:r w:rsidRPr="00310F06">
        <w:rPr>
          <w:rFonts w:ascii="Arial" w:hAnsi="Arial" w:cs="Arial"/>
        </w:rPr>
        <w:t xml:space="preserve"> customer experience can be reinforced by an integrated online and physical channel (Shi et al., 2020). </w:t>
      </w:r>
    </w:p>
    <w:p w:rsidR="001F051E" w:rsidRPr="00310F06" w:rsidRDefault="001F051E" w:rsidP="003D5199">
      <w:pPr>
        <w:pStyle w:val="NormalWeb"/>
        <w:spacing w:line="360" w:lineRule="auto"/>
        <w:jc w:val="center"/>
        <w:rPr>
          <w:rFonts w:ascii="Arial" w:hAnsi="Arial" w:cs="Arial"/>
        </w:rPr>
      </w:pPr>
      <w:r w:rsidRPr="00310F06">
        <w:rPr>
          <w:rFonts w:ascii="Arial" w:hAnsi="Arial" w:cs="Arial"/>
          <w:noProof/>
        </w:rPr>
        <w:drawing>
          <wp:inline distT="0" distB="0" distL="0" distR="0" wp14:anchorId="7A8C5A0A" wp14:editId="75672A57">
            <wp:extent cx="5640821" cy="259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652676" cy="2596245"/>
                    </a:xfrm>
                    <a:prstGeom prst="rect">
                      <a:avLst/>
                    </a:prstGeom>
                  </pic:spPr>
                </pic:pic>
              </a:graphicData>
            </a:graphic>
          </wp:inline>
        </w:drawing>
      </w:r>
    </w:p>
    <w:p w:rsidR="001F051E" w:rsidRPr="00310F06" w:rsidRDefault="006250AE" w:rsidP="003D5199">
      <w:pPr>
        <w:pStyle w:val="NormalWeb"/>
        <w:spacing w:line="360" w:lineRule="auto"/>
        <w:jc w:val="center"/>
        <w:rPr>
          <w:rFonts w:ascii="Arial" w:hAnsi="Arial" w:cs="Arial"/>
          <w:i/>
        </w:rPr>
      </w:pPr>
      <w:r w:rsidRPr="00310F06">
        <w:rPr>
          <w:rFonts w:ascii="Arial" w:hAnsi="Arial" w:cs="Arial"/>
          <w:i/>
        </w:rPr>
        <w:t>Figure 4</w:t>
      </w:r>
      <w:r w:rsidR="001F051E" w:rsidRPr="00310F06">
        <w:rPr>
          <w:rFonts w:ascii="Arial" w:hAnsi="Arial" w:cs="Arial"/>
          <w:i/>
        </w:rPr>
        <w:t>: Toyota distribution channel in Japan and the UK</w:t>
      </w:r>
    </w:p>
    <w:p w:rsidR="001F051E" w:rsidRPr="00310F06" w:rsidRDefault="001F051E" w:rsidP="003D5199">
      <w:pPr>
        <w:pStyle w:val="NormalWeb"/>
        <w:spacing w:line="360" w:lineRule="auto"/>
        <w:jc w:val="center"/>
        <w:rPr>
          <w:rFonts w:ascii="Arial" w:hAnsi="Arial" w:cs="Arial"/>
          <w:i/>
        </w:rPr>
      </w:pPr>
      <w:r w:rsidRPr="00310F06">
        <w:rPr>
          <w:rFonts w:ascii="Arial" w:hAnsi="Arial" w:cs="Arial"/>
          <w:i/>
        </w:rPr>
        <w:t>Source:</w:t>
      </w:r>
      <w:r w:rsidR="00FB52FB" w:rsidRPr="00310F06">
        <w:rPr>
          <w:rFonts w:ascii="Arial" w:hAnsi="Arial" w:cs="Arial"/>
          <w:i/>
        </w:rPr>
        <w:t xml:space="preserve"> Toyota Motor Corporation (2025</w:t>
      </w:r>
      <w:r w:rsidRPr="00310F06">
        <w:rPr>
          <w:rFonts w:ascii="Arial" w:hAnsi="Arial" w:cs="Arial"/>
          <w:i/>
        </w:rPr>
        <w:t xml:space="preserve">) and </w:t>
      </w:r>
      <w:r w:rsidR="00FB52FB" w:rsidRPr="00310F06">
        <w:rPr>
          <w:rFonts w:ascii="Arial" w:hAnsi="Arial" w:cs="Arial"/>
          <w:i/>
        </w:rPr>
        <w:t xml:space="preserve">Toyota (GB) </w:t>
      </w:r>
      <w:proofErr w:type="spellStart"/>
      <w:r w:rsidR="00FB52FB" w:rsidRPr="00310F06">
        <w:rPr>
          <w:rFonts w:ascii="Arial" w:hAnsi="Arial" w:cs="Arial"/>
          <w:i/>
        </w:rPr>
        <w:t>plc</w:t>
      </w:r>
      <w:proofErr w:type="spellEnd"/>
      <w:r w:rsidR="00FB52FB" w:rsidRPr="00310F06">
        <w:rPr>
          <w:rFonts w:ascii="Arial" w:hAnsi="Arial" w:cs="Arial"/>
          <w:i/>
        </w:rPr>
        <w:t xml:space="preserve"> </w:t>
      </w:r>
      <w:r w:rsidRPr="00310F06">
        <w:rPr>
          <w:rFonts w:ascii="Arial" w:hAnsi="Arial" w:cs="Arial"/>
          <w:i/>
        </w:rPr>
        <w:t>(2020).</w:t>
      </w:r>
    </w:p>
    <w:p w:rsidR="003D5199" w:rsidRPr="00310F06" w:rsidRDefault="003D5199" w:rsidP="003D5199">
      <w:pPr>
        <w:pStyle w:val="NormalWeb"/>
        <w:spacing w:line="360" w:lineRule="auto"/>
        <w:jc w:val="center"/>
        <w:rPr>
          <w:rFonts w:ascii="Arial" w:hAnsi="Arial" w:cs="Arial"/>
          <w:i/>
        </w:rPr>
      </w:pPr>
    </w:p>
    <w:p w:rsidR="003D5199" w:rsidRPr="00310F06" w:rsidRDefault="003D5199" w:rsidP="003D5199">
      <w:pPr>
        <w:pStyle w:val="NormalWeb"/>
        <w:spacing w:line="360" w:lineRule="auto"/>
        <w:jc w:val="center"/>
        <w:rPr>
          <w:rFonts w:ascii="Arial" w:hAnsi="Arial" w:cs="Arial"/>
          <w:i/>
        </w:rPr>
      </w:pPr>
    </w:p>
    <w:p w:rsidR="007A4B33" w:rsidRPr="00C73C93" w:rsidRDefault="007A4B33" w:rsidP="003D5199">
      <w:pPr>
        <w:pStyle w:val="NormalWeb"/>
        <w:spacing w:line="360" w:lineRule="auto"/>
        <w:jc w:val="both"/>
        <w:rPr>
          <w:rFonts w:ascii="Arial" w:hAnsi="Arial" w:cs="Arial"/>
          <w:b/>
        </w:rPr>
      </w:pPr>
      <w:r w:rsidRPr="00C73C93">
        <w:rPr>
          <w:rFonts w:ascii="Arial" w:hAnsi="Arial" w:cs="Arial"/>
          <w:b/>
        </w:rPr>
        <w:t>Promotion</w:t>
      </w:r>
    </w:p>
    <w:p w:rsidR="007A4B33" w:rsidRPr="00310F06" w:rsidRDefault="007A4B33" w:rsidP="007A4B33">
      <w:pPr>
        <w:pStyle w:val="NormalWeb"/>
        <w:spacing w:line="360" w:lineRule="auto"/>
        <w:jc w:val="both"/>
        <w:rPr>
          <w:rFonts w:ascii="Arial" w:hAnsi="Arial" w:cs="Arial"/>
        </w:rPr>
      </w:pPr>
      <w:r w:rsidRPr="00310F06">
        <w:rPr>
          <w:rFonts w:ascii="Arial" w:hAnsi="Arial" w:cs="Arial"/>
        </w:rPr>
        <w:t>IMC synchronizes messages across all communication channels, helps to build consistent brand meanings and can enhance brand performance (</w:t>
      </w:r>
      <w:proofErr w:type="spellStart"/>
      <w:r w:rsidRPr="00310F06">
        <w:rPr>
          <w:rFonts w:ascii="Arial" w:hAnsi="Arial" w:cs="Arial"/>
        </w:rPr>
        <w:t>Porcu</w:t>
      </w:r>
      <w:proofErr w:type="spellEnd"/>
      <w:r w:rsidRPr="00310F06">
        <w:rPr>
          <w:rFonts w:ascii="Arial" w:hAnsi="Arial" w:cs="Arial"/>
        </w:rPr>
        <w:t xml:space="preserve"> et al., 2020). Toyota employs television, websites, social media, dealerships and mobility exhibitions in Japan to communicate individual needs to “Mobility for All” (Toyota Motor Corporati</w:t>
      </w:r>
      <w:r w:rsidR="00FB52FB" w:rsidRPr="00310F06">
        <w:rPr>
          <w:rFonts w:ascii="Arial" w:hAnsi="Arial" w:cs="Arial"/>
        </w:rPr>
        <w:t>on, 2025</w:t>
      </w:r>
      <w:r w:rsidRPr="00310F06">
        <w:rPr>
          <w:rFonts w:ascii="Arial" w:hAnsi="Arial" w:cs="Arial"/>
        </w:rPr>
        <w:t>). Accessibility and electrification are promoted by advertising, email, configurators, dealer offers, fleet test drive events and sponsorships in the UK (</w:t>
      </w:r>
      <w:r w:rsidR="00FB52FB" w:rsidRPr="00310F06">
        <w:rPr>
          <w:rFonts w:ascii="Arial" w:hAnsi="Arial" w:cs="Arial"/>
        </w:rPr>
        <w:t>Toyota UK, 2023</w:t>
      </w:r>
      <w:r w:rsidRPr="00310F06">
        <w:rPr>
          <w:rFonts w:ascii="Arial" w:hAnsi="Arial" w:cs="Arial"/>
        </w:rPr>
        <w:t xml:space="preserve">). Hybrids and plug-in hybrids, BEVs and hydrogen vehicles should be clearly differentiated in environmental communication. </w:t>
      </w:r>
    </w:p>
    <w:p w:rsidR="007A4B33" w:rsidRPr="00C73C93" w:rsidRDefault="007A4B33" w:rsidP="003D5199">
      <w:pPr>
        <w:pStyle w:val="NormalWeb"/>
        <w:spacing w:line="360" w:lineRule="auto"/>
        <w:jc w:val="both"/>
        <w:rPr>
          <w:rFonts w:ascii="Arial" w:hAnsi="Arial" w:cs="Arial"/>
          <w:b/>
        </w:rPr>
      </w:pPr>
      <w:r w:rsidRPr="00C73C93">
        <w:rPr>
          <w:rFonts w:ascii="Arial" w:hAnsi="Arial" w:cs="Arial"/>
          <w:b/>
        </w:rPr>
        <w:t xml:space="preserve"> People</w:t>
      </w:r>
    </w:p>
    <w:p w:rsidR="007A4B33" w:rsidRPr="00310F06" w:rsidRDefault="007A4B33" w:rsidP="007A4B33">
      <w:pPr>
        <w:pStyle w:val="NormalWeb"/>
        <w:spacing w:line="360" w:lineRule="auto"/>
        <w:jc w:val="both"/>
        <w:rPr>
          <w:rFonts w:ascii="Arial" w:hAnsi="Arial" w:cs="Arial"/>
        </w:rPr>
      </w:pPr>
      <w:r w:rsidRPr="00310F06">
        <w:rPr>
          <w:rFonts w:ascii="Arial" w:hAnsi="Arial" w:cs="Arial"/>
        </w:rPr>
        <w:t xml:space="preserve">Toyota's quality promise becomes a reality for customers through the efforts of the people who work at Toyota and at retail locations, as well as Toyota's technicians, finance advisers and customer-service teams. As of March 2025, the number of Toyota employees in Japan was 203,504 and there were about 3,000 Toyota employees at </w:t>
      </w:r>
      <w:proofErr w:type="spellStart"/>
      <w:r w:rsidRPr="00310F06">
        <w:rPr>
          <w:rFonts w:ascii="Arial" w:hAnsi="Arial" w:cs="Arial"/>
        </w:rPr>
        <w:t>Burnaston</w:t>
      </w:r>
      <w:proofErr w:type="spellEnd"/>
      <w:r w:rsidRPr="00310F06">
        <w:rPr>
          <w:rFonts w:ascii="Arial" w:hAnsi="Arial" w:cs="Arial"/>
        </w:rPr>
        <w:t xml:space="preserve"> and Deeside, UK (Toyota Motor Manufacturing UK, 2025). The figures are not directly comparable as the Japanese figure includes consolidated operations as per location and the UK figure is manufacturing operations. Technical training, the multiskilling and respectful communication are still very important in both countries. </w:t>
      </w:r>
    </w:p>
    <w:p w:rsidR="007A4B33" w:rsidRPr="00C73C93" w:rsidRDefault="007A4B33" w:rsidP="003D5199">
      <w:pPr>
        <w:pStyle w:val="NormalWeb"/>
        <w:spacing w:line="360" w:lineRule="auto"/>
        <w:jc w:val="both"/>
        <w:rPr>
          <w:rFonts w:ascii="Arial" w:hAnsi="Arial" w:cs="Arial"/>
          <w:b/>
        </w:rPr>
      </w:pPr>
      <w:r w:rsidRPr="00C73C93">
        <w:rPr>
          <w:rFonts w:ascii="Arial" w:hAnsi="Arial" w:cs="Arial"/>
          <w:b/>
        </w:rPr>
        <w:t>Process</w:t>
      </w:r>
    </w:p>
    <w:p w:rsidR="007A4B33" w:rsidRPr="00310F06" w:rsidRDefault="007A4B33" w:rsidP="007A4B33">
      <w:pPr>
        <w:pStyle w:val="NormalWeb"/>
        <w:spacing w:line="360" w:lineRule="auto"/>
        <w:jc w:val="both"/>
        <w:rPr>
          <w:rFonts w:ascii="Arial" w:hAnsi="Arial" w:cs="Arial"/>
        </w:rPr>
      </w:pPr>
      <w:r w:rsidRPr="00310F06">
        <w:rPr>
          <w:rFonts w:ascii="Arial" w:hAnsi="Arial" w:cs="Arial"/>
        </w:rPr>
        <w:t xml:space="preserve">The Toyota Customer process incorporates online search, vehicle configuration, finance quotation, reservation, dealer contact, test drive, order tracking, booking for delivery and service. The My Toyota platform enables online booking of service and order tracking, which enhances the convenience and improves the transparency of the service process (Toyota (GB) </w:t>
      </w:r>
      <w:proofErr w:type="spellStart"/>
      <w:r w:rsidRPr="00310F06">
        <w:rPr>
          <w:rFonts w:ascii="Arial" w:hAnsi="Arial" w:cs="Arial"/>
        </w:rPr>
        <w:t>plc</w:t>
      </w:r>
      <w:proofErr w:type="spellEnd"/>
      <w:r w:rsidRPr="00310F06">
        <w:rPr>
          <w:rFonts w:ascii="Arial" w:hAnsi="Arial" w:cs="Arial"/>
        </w:rPr>
        <w:t xml:space="preserve">, 2025). Complaints to be </w:t>
      </w:r>
      <w:r w:rsidR="00E90127" w:rsidRPr="00310F06">
        <w:rPr>
          <w:rFonts w:ascii="Arial" w:hAnsi="Arial" w:cs="Arial"/>
        </w:rPr>
        <w:t>documented</w:t>
      </w:r>
      <w:r w:rsidRPr="00310F06">
        <w:rPr>
          <w:rFonts w:ascii="Arial" w:hAnsi="Arial" w:cs="Arial"/>
        </w:rPr>
        <w:t xml:space="preserve"> investigated and escalated if not resolved. If Toyota Financial Services does not respond to the finance dispute</w:t>
      </w:r>
      <w:proofErr w:type="gramStart"/>
      <w:r w:rsidRPr="00310F06">
        <w:rPr>
          <w:rFonts w:ascii="Arial" w:hAnsi="Arial" w:cs="Arial"/>
        </w:rPr>
        <w:t>, ,</w:t>
      </w:r>
      <w:proofErr w:type="gramEnd"/>
      <w:r w:rsidRPr="00310F06">
        <w:rPr>
          <w:rFonts w:ascii="Arial" w:hAnsi="Arial" w:cs="Arial"/>
        </w:rPr>
        <w:t xml:space="preserve"> it may be referred to the Financial Ombudsman Service. With this structured process, transparency, accountability and service recovery is strengthened</w:t>
      </w:r>
      <w:r w:rsidR="00FB52FB" w:rsidRPr="00310F06">
        <w:rPr>
          <w:rFonts w:ascii="Arial" w:hAnsi="Arial" w:cs="Arial"/>
        </w:rPr>
        <w:t xml:space="preserve"> (Toyota Financial Services (UK) </w:t>
      </w:r>
      <w:proofErr w:type="spellStart"/>
      <w:r w:rsidR="00FB52FB" w:rsidRPr="00310F06">
        <w:rPr>
          <w:rFonts w:ascii="Arial" w:hAnsi="Arial" w:cs="Arial"/>
        </w:rPr>
        <w:t>plc</w:t>
      </w:r>
      <w:proofErr w:type="spellEnd"/>
      <w:r w:rsidR="00FB52FB" w:rsidRPr="00310F06">
        <w:rPr>
          <w:rFonts w:ascii="Arial" w:hAnsi="Arial" w:cs="Arial"/>
        </w:rPr>
        <w:t>, 2025)</w:t>
      </w:r>
      <w:r w:rsidRPr="00310F06">
        <w:rPr>
          <w:rFonts w:ascii="Arial" w:hAnsi="Arial" w:cs="Arial"/>
        </w:rPr>
        <w:t>.</w:t>
      </w:r>
    </w:p>
    <w:p w:rsidR="007A4B33" w:rsidRPr="00310F06" w:rsidRDefault="007A4B33" w:rsidP="003D5199">
      <w:pPr>
        <w:pStyle w:val="NormalWeb"/>
        <w:spacing w:line="360" w:lineRule="auto"/>
        <w:jc w:val="center"/>
        <w:rPr>
          <w:rFonts w:ascii="Arial" w:hAnsi="Arial" w:cs="Arial"/>
          <w:i/>
        </w:rPr>
      </w:pPr>
      <w:r w:rsidRPr="00310F06">
        <w:rPr>
          <w:rFonts w:ascii="Arial" w:hAnsi="Arial" w:cs="Arial"/>
          <w:i/>
        </w:rPr>
        <w:t>Dealer/customer relations → Complaint recorded → Investigation → Escalation → Resolution → Follow-up → External review</w:t>
      </w:r>
    </w:p>
    <w:p w:rsidR="007A4B33" w:rsidRPr="00C73C93" w:rsidRDefault="007A4B33" w:rsidP="003D5199">
      <w:pPr>
        <w:pStyle w:val="NormalWeb"/>
        <w:spacing w:line="360" w:lineRule="auto"/>
        <w:jc w:val="both"/>
        <w:rPr>
          <w:rFonts w:ascii="Arial" w:hAnsi="Arial" w:cs="Arial"/>
          <w:b/>
        </w:rPr>
      </w:pPr>
      <w:r w:rsidRPr="00C73C93">
        <w:rPr>
          <w:rFonts w:ascii="Arial" w:hAnsi="Arial" w:cs="Arial"/>
          <w:b/>
        </w:rPr>
        <w:t>Physical Evidence</w:t>
      </w:r>
    </w:p>
    <w:p w:rsidR="007A4B33" w:rsidRPr="00310F06" w:rsidRDefault="007A4B33" w:rsidP="007A4B33">
      <w:pPr>
        <w:pStyle w:val="NormalWeb"/>
        <w:spacing w:line="360" w:lineRule="auto"/>
        <w:jc w:val="both"/>
        <w:rPr>
          <w:rFonts w:ascii="Arial" w:hAnsi="Arial" w:cs="Arial"/>
        </w:rPr>
      </w:pPr>
      <w:r w:rsidRPr="00310F06">
        <w:rPr>
          <w:rFonts w:ascii="Arial" w:hAnsi="Arial" w:cs="Arial"/>
        </w:rPr>
        <w:t xml:space="preserve">Physical Evidence encompasses vehicle design, showroom, staff presentation, signage, Test Drive cars, Service documents, warranties, websites, </w:t>
      </w:r>
      <w:proofErr w:type="spellStart"/>
      <w:r w:rsidRPr="00310F06">
        <w:rPr>
          <w:rFonts w:ascii="Arial" w:hAnsi="Arial" w:cs="Arial"/>
        </w:rPr>
        <w:t>MyToyota</w:t>
      </w:r>
      <w:proofErr w:type="spellEnd"/>
      <w:r w:rsidRPr="00310F06">
        <w:rPr>
          <w:rFonts w:ascii="Arial" w:hAnsi="Arial" w:cs="Arial"/>
        </w:rPr>
        <w:t xml:space="preserve"> app, </w:t>
      </w:r>
      <w:proofErr w:type="spellStart"/>
      <w:r w:rsidRPr="00310F06">
        <w:rPr>
          <w:rFonts w:ascii="Arial" w:hAnsi="Arial" w:cs="Arial"/>
        </w:rPr>
        <w:t>config</w:t>
      </w:r>
      <w:proofErr w:type="spellEnd"/>
      <w:r w:rsidRPr="00310F06">
        <w:rPr>
          <w:rFonts w:ascii="Arial" w:hAnsi="Arial" w:cs="Arial"/>
        </w:rPr>
        <w:t xml:space="preserve"> and charging information. There are two screenshots of the Toyota Japan website and the Toyota UK website, each with a date on it, which should be compared with each other, as in the figure. The Japanese site should feature breadth in their models offered, and the UK site should feature the breadth of online purchasing, finance, and charging support (Toyota Motor Corpor</w:t>
      </w:r>
      <w:r w:rsidR="00FB52FB" w:rsidRPr="00310F06">
        <w:rPr>
          <w:rFonts w:ascii="Arial" w:hAnsi="Arial" w:cs="Arial"/>
        </w:rPr>
        <w:t>ation, 2025; Toyota UK, 2023</w:t>
      </w:r>
      <w:r w:rsidRPr="00310F06">
        <w:rPr>
          <w:rFonts w:ascii="Arial" w:hAnsi="Arial" w:cs="Arial"/>
        </w:rPr>
        <w:t xml:space="preserve">). </w:t>
      </w:r>
    </w:p>
    <w:p w:rsidR="007A4B33" w:rsidRPr="00C73C93" w:rsidRDefault="007A4B33" w:rsidP="003D5199">
      <w:pPr>
        <w:pStyle w:val="NormalWeb"/>
        <w:spacing w:line="360" w:lineRule="auto"/>
        <w:jc w:val="both"/>
        <w:rPr>
          <w:rFonts w:ascii="Arial" w:hAnsi="Arial" w:cs="Arial"/>
          <w:b/>
        </w:rPr>
      </w:pPr>
      <w:r w:rsidRPr="00C73C93">
        <w:rPr>
          <w:rFonts w:ascii="Arial" w:hAnsi="Arial" w:cs="Arial"/>
          <w:b/>
        </w:rPr>
        <w:t>Similarities and Differences in the 7Ps</w:t>
      </w:r>
    </w:p>
    <w:p w:rsidR="007A4B33" w:rsidRPr="00310F06" w:rsidRDefault="007A4B33" w:rsidP="007A4B33">
      <w:pPr>
        <w:pStyle w:val="NormalWeb"/>
        <w:spacing w:line="360" w:lineRule="auto"/>
        <w:jc w:val="both"/>
        <w:rPr>
          <w:rFonts w:ascii="Arial" w:hAnsi="Arial" w:cs="Arial"/>
        </w:rPr>
      </w:pPr>
      <w:r w:rsidRPr="00310F06">
        <w:rPr>
          <w:rFonts w:ascii="Arial" w:hAnsi="Arial" w:cs="Arial"/>
        </w:rPr>
        <w:t xml:space="preserve">Both markets offer uniformity in reliability, quality, hybrid know-how, visual identity and dealer-supported service. Despite this, Japan's focus is more on compact, MPV and premium choice, greater outlet network and subscription ownership, while the UK's focus is more on SUVs, fleet users, monthly finance, </w:t>
      </w:r>
      <w:proofErr w:type="spellStart"/>
      <w:r w:rsidRPr="00310F06">
        <w:rPr>
          <w:rFonts w:ascii="Arial" w:hAnsi="Arial" w:cs="Arial"/>
        </w:rPr>
        <w:t>omnichannel</w:t>
      </w:r>
      <w:proofErr w:type="spellEnd"/>
      <w:r w:rsidRPr="00310F06">
        <w:rPr>
          <w:rFonts w:ascii="Arial" w:hAnsi="Arial" w:cs="Arial"/>
        </w:rPr>
        <w:t xml:space="preserve"> purchase and BEV communication. Toyota thus maintains a consistent brand image across the globe, while tailoring the seven marketing mix elements to the local infrastructure, customer expectations and purchasing habits.</w:t>
      </w:r>
    </w:p>
    <w:p w:rsidR="007A4B33" w:rsidRPr="00C73C93" w:rsidRDefault="0027172C" w:rsidP="007A4B33">
      <w:pPr>
        <w:pStyle w:val="Heading1"/>
        <w:spacing w:after="240" w:line="360" w:lineRule="auto"/>
        <w:rPr>
          <w:rFonts w:ascii="Arial" w:hAnsi="Arial" w:cs="Arial"/>
          <w:bCs w:val="0"/>
          <w:sz w:val="24"/>
          <w:szCs w:val="24"/>
        </w:rPr>
      </w:pPr>
      <w:bookmarkStart w:id="10" w:name="_Toc237266426"/>
      <w:r w:rsidRPr="00C73C93">
        <w:rPr>
          <w:rFonts w:ascii="Arial" w:hAnsi="Arial" w:cs="Arial"/>
          <w:sz w:val="24"/>
          <w:szCs w:val="24"/>
        </w:rPr>
        <w:t>5</w:t>
      </w:r>
      <w:r w:rsidR="007A4B33" w:rsidRPr="00C73C93">
        <w:rPr>
          <w:rFonts w:ascii="Arial" w:hAnsi="Arial" w:cs="Arial"/>
          <w:sz w:val="24"/>
          <w:szCs w:val="24"/>
        </w:rPr>
        <w:t>. Market Entry Strategy: Toyota in the United Kingdom</w:t>
      </w:r>
      <w:bookmarkEnd w:id="10"/>
    </w:p>
    <w:p w:rsidR="007A4B33" w:rsidRPr="00C73C93" w:rsidRDefault="0027172C" w:rsidP="007A4B33">
      <w:pPr>
        <w:pStyle w:val="Heading2"/>
        <w:spacing w:after="240" w:afterAutospacing="0" w:line="360" w:lineRule="auto"/>
        <w:rPr>
          <w:rFonts w:ascii="Arial" w:hAnsi="Arial" w:cs="Arial"/>
          <w:bCs w:val="0"/>
          <w:sz w:val="24"/>
          <w:szCs w:val="24"/>
        </w:rPr>
      </w:pPr>
      <w:bookmarkStart w:id="11" w:name="_Toc237266427"/>
      <w:r w:rsidRPr="00C73C93">
        <w:rPr>
          <w:rFonts w:ascii="Arial" w:hAnsi="Arial" w:cs="Arial"/>
          <w:sz w:val="24"/>
          <w:szCs w:val="24"/>
        </w:rPr>
        <w:t>5</w:t>
      </w:r>
      <w:r w:rsidR="007A4B33" w:rsidRPr="00C73C93">
        <w:rPr>
          <w:rFonts w:ascii="Arial" w:hAnsi="Arial" w:cs="Arial"/>
          <w:sz w:val="24"/>
          <w:szCs w:val="24"/>
        </w:rPr>
        <w:t>.1 Entry Method</w:t>
      </w:r>
      <w:bookmarkEnd w:id="11"/>
    </w:p>
    <w:p w:rsidR="00F37F98" w:rsidRPr="00310F06" w:rsidRDefault="007A4B33" w:rsidP="007A4B33">
      <w:pPr>
        <w:spacing w:before="100" w:beforeAutospacing="1" w:after="240"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Toyota Motor Manufacturing UK has been brought to the United Kingdom via foreign direct investment (FDI), with plant production of vehicles and engines beginning in 1992 and production of the plant itself starting in 1989. FDI requires an investment in productive assets in a foreign market with managerial control over those assets, which is better suited to those projects where quality, technology and brand consistency is strategically important, than licensing does (</w:t>
      </w:r>
      <w:proofErr w:type="spellStart"/>
      <w:r w:rsidRPr="00310F06">
        <w:rPr>
          <w:rFonts w:ascii="Arial" w:eastAsia="Times New Roman" w:hAnsi="Arial" w:cs="Arial"/>
          <w:sz w:val="24"/>
          <w:szCs w:val="24"/>
          <w:lang w:eastAsia="en-GB"/>
        </w:rPr>
        <w:t>Hollensen</w:t>
      </w:r>
      <w:proofErr w:type="spellEnd"/>
      <w:r w:rsidRPr="00310F06">
        <w:rPr>
          <w:rFonts w:ascii="Arial" w:eastAsia="Times New Roman" w:hAnsi="Arial" w:cs="Arial"/>
          <w:sz w:val="24"/>
          <w:szCs w:val="24"/>
          <w:lang w:eastAsia="en-GB"/>
        </w:rPr>
        <w:t>, 2020). Ownership allowed Toyota to implement the Toyota Production System, the UK's Toyota Motor Manufacturing to have a closer relationship with the Toyota suppliers and dealers in the UK, and to have a closer control over quality assurance (Toy</w:t>
      </w:r>
      <w:r w:rsidR="00FB52FB" w:rsidRPr="00310F06">
        <w:rPr>
          <w:rFonts w:ascii="Arial" w:eastAsia="Times New Roman" w:hAnsi="Arial" w:cs="Arial"/>
          <w:sz w:val="24"/>
          <w:szCs w:val="24"/>
          <w:lang w:eastAsia="en-GB"/>
        </w:rPr>
        <w:t>ota Motor Manufacturing UK, 2025)</w:t>
      </w:r>
      <w:r w:rsidRPr="00310F06">
        <w:rPr>
          <w:rFonts w:ascii="Arial" w:eastAsia="Times New Roman" w:hAnsi="Arial" w:cs="Arial"/>
          <w:sz w:val="24"/>
          <w:szCs w:val="24"/>
          <w:lang w:eastAsia="en-GB"/>
        </w:rPr>
        <w:t>.</w:t>
      </w:r>
    </w:p>
    <w:p w:rsidR="007A4B33" w:rsidRPr="00C73C93" w:rsidRDefault="0027172C" w:rsidP="007A4B33">
      <w:pPr>
        <w:pStyle w:val="Heading2"/>
        <w:spacing w:after="240" w:afterAutospacing="0" w:line="360" w:lineRule="auto"/>
        <w:rPr>
          <w:rFonts w:ascii="Arial" w:hAnsi="Arial" w:cs="Arial"/>
          <w:bCs w:val="0"/>
          <w:sz w:val="24"/>
          <w:szCs w:val="24"/>
        </w:rPr>
      </w:pPr>
      <w:bookmarkStart w:id="12" w:name="_Toc237266428"/>
      <w:r w:rsidRPr="00C73C93">
        <w:rPr>
          <w:rFonts w:ascii="Arial" w:hAnsi="Arial" w:cs="Arial"/>
          <w:sz w:val="24"/>
          <w:szCs w:val="24"/>
        </w:rPr>
        <w:t>5</w:t>
      </w:r>
      <w:r w:rsidR="007A4B33" w:rsidRPr="00C73C93">
        <w:rPr>
          <w:rFonts w:ascii="Arial" w:hAnsi="Arial" w:cs="Arial"/>
          <w:sz w:val="24"/>
          <w:szCs w:val="24"/>
        </w:rPr>
        <w:t>.2 Reasons for Selecting the Entry Method</w:t>
      </w:r>
      <w:bookmarkEnd w:id="12"/>
    </w:p>
    <w:p w:rsidR="007A4B33" w:rsidRPr="00310F06" w:rsidRDefault="007A4B33" w:rsidP="007A4B33">
      <w:pPr>
        <w:spacing w:before="100" w:beforeAutospacing="1" w:after="240"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Local production reduced delivery distances to meet demand in the UK and Europe, and enabled the production schedules to be more flexible. It also enhanced the image of being a long-term employer, being seen as a contributor to industry, not just an overseas exporter, and that was strengthening legitimacy. This improved visibility of the government, local communities and businesses. In addition, the investment provides Toyota with an opportunity to demonstrate firm support for the UK economy, helping to build and maintain stakeholder confidence and ensure access for Toyota to the UK market in times of uncertainty when there is a threat from imported brands due to political or consumer sentiment.</w:t>
      </w:r>
    </w:p>
    <w:p w:rsidR="007A4B33" w:rsidRPr="00310F06" w:rsidRDefault="007A4B33" w:rsidP="007A4B33">
      <w:pPr>
        <w:spacing w:before="100" w:beforeAutospacing="1" w:after="240"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FDI also helped to facilitate control of the supply chain. The consistent supply of components, cooperation with tech</w:t>
      </w:r>
      <w:r w:rsidR="003D5199" w:rsidRPr="00310F06">
        <w:rPr>
          <w:rFonts w:ascii="Arial" w:eastAsia="Times New Roman" w:hAnsi="Arial" w:cs="Arial"/>
          <w:sz w:val="24"/>
          <w:szCs w:val="24"/>
          <w:lang w:eastAsia="en-GB"/>
        </w:rPr>
        <w:t>nical development and standardis</w:t>
      </w:r>
      <w:r w:rsidRPr="00310F06">
        <w:rPr>
          <w:rFonts w:ascii="Arial" w:eastAsia="Times New Roman" w:hAnsi="Arial" w:cs="Arial"/>
          <w:sz w:val="24"/>
          <w:szCs w:val="24"/>
          <w:lang w:eastAsia="en-GB"/>
        </w:rPr>
        <w:t xml:space="preserve">ation require the automotive industry to be reliable. Toyota has been able to establish relationships with its suppliers through its operations in the UK, thereby lessening the reliance on importing complete vehicles (Toyota Motor Corporation, 2024). The UK also traditionally had access to the rest of the EU market, but with the implementation of </w:t>
      </w:r>
      <w:proofErr w:type="spellStart"/>
      <w:r w:rsidRPr="00310F06">
        <w:rPr>
          <w:rFonts w:ascii="Arial" w:eastAsia="Times New Roman" w:hAnsi="Arial" w:cs="Arial"/>
          <w:sz w:val="24"/>
          <w:szCs w:val="24"/>
          <w:lang w:eastAsia="en-GB"/>
        </w:rPr>
        <w:t>Brexit</w:t>
      </w:r>
      <w:proofErr w:type="spellEnd"/>
      <w:r w:rsidRPr="00310F06">
        <w:rPr>
          <w:rFonts w:ascii="Arial" w:eastAsia="Times New Roman" w:hAnsi="Arial" w:cs="Arial"/>
          <w:sz w:val="24"/>
          <w:szCs w:val="24"/>
          <w:lang w:eastAsia="en-GB"/>
        </w:rPr>
        <w:t xml:space="preserve"> new customs arrangements have been introduced and rules of origin are uncertain. As a result, the initial market access approach that Toyota implemented continues to hold true but with increased regional procurement and supply chain agility.</w:t>
      </w:r>
    </w:p>
    <w:p w:rsidR="007A4B33" w:rsidRPr="00C73C93" w:rsidRDefault="0027172C" w:rsidP="007A4B33">
      <w:pPr>
        <w:pStyle w:val="Heading2"/>
        <w:spacing w:after="240" w:afterAutospacing="0" w:line="360" w:lineRule="auto"/>
        <w:rPr>
          <w:rFonts w:ascii="Arial" w:hAnsi="Arial" w:cs="Arial"/>
          <w:bCs w:val="0"/>
          <w:sz w:val="24"/>
          <w:szCs w:val="24"/>
        </w:rPr>
      </w:pPr>
      <w:bookmarkStart w:id="13" w:name="_Toc237266429"/>
      <w:r w:rsidRPr="00C73C93">
        <w:rPr>
          <w:rFonts w:ascii="Arial" w:hAnsi="Arial" w:cs="Arial"/>
          <w:sz w:val="24"/>
          <w:szCs w:val="24"/>
        </w:rPr>
        <w:t>5</w:t>
      </w:r>
      <w:r w:rsidR="007A4B33" w:rsidRPr="00C73C93">
        <w:rPr>
          <w:rFonts w:ascii="Arial" w:hAnsi="Arial" w:cs="Arial"/>
          <w:sz w:val="24"/>
          <w:szCs w:val="24"/>
        </w:rPr>
        <w:t>.3 Advantages and Disadvantages</w:t>
      </w:r>
      <w:bookmarkEnd w:id="13"/>
    </w:p>
    <w:p w:rsidR="007A4B33" w:rsidRPr="00310F06" w:rsidRDefault="007A4B33" w:rsidP="007A4B33">
      <w:pPr>
        <w:spacing w:before="100" w:beforeAutospacing="1" w:after="240"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The best thing about FDI is a legit and sustainable presence in the market. Local production creates jobs, builds supply chain development and brand trust, and ensures management control of the Toyota production standards. Additionally, it helps to lower susceptibility to some shipping charges, trade-rate fluctuations and import reliance. But the benefits of these gains are high capital fixed cost in terms of plant, equipment, training and technology. These assets are not easily movable when demand and/or regulation change.</w:t>
      </w:r>
    </w:p>
    <w:p w:rsidR="007A4B33" w:rsidRPr="00310F06" w:rsidRDefault="007A4B33" w:rsidP="007A4B33">
      <w:pPr>
        <w:spacing w:before="100" w:beforeAutospacing="1" w:after="240" w:line="360" w:lineRule="auto"/>
        <w:jc w:val="both"/>
        <w:rPr>
          <w:rFonts w:ascii="Arial" w:eastAsia="Times New Roman" w:hAnsi="Arial" w:cs="Arial"/>
          <w:sz w:val="24"/>
          <w:szCs w:val="24"/>
          <w:lang w:eastAsia="en-GB"/>
        </w:rPr>
      </w:pPr>
      <w:r w:rsidRPr="00310F06">
        <w:rPr>
          <w:rFonts w:ascii="Arial" w:eastAsia="Times New Roman" w:hAnsi="Arial" w:cs="Arial"/>
          <w:sz w:val="24"/>
          <w:szCs w:val="24"/>
          <w:lang w:eastAsia="en-GB"/>
        </w:rPr>
        <w:t xml:space="preserve">The uncertainty of politics and technology further erode flexibility. After </w:t>
      </w:r>
      <w:proofErr w:type="spellStart"/>
      <w:r w:rsidRPr="00310F06">
        <w:rPr>
          <w:rFonts w:ascii="Arial" w:eastAsia="Times New Roman" w:hAnsi="Arial" w:cs="Arial"/>
          <w:sz w:val="24"/>
          <w:szCs w:val="24"/>
          <w:lang w:eastAsia="en-GB"/>
        </w:rPr>
        <w:t>Brexit</w:t>
      </w:r>
      <w:proofErr w:type="spellEnd"/>
      <w:r w:rsidRPr="00310F06">
        <w:rPr>
          <w:rFonts w:ascii="Arial" w:eastAsia="Times New Roman" w:hAnsi="Arial" w:cs="Arial"/>
          <w:sz w:val="24"/>
          <w:szCs w:val="24"/>
          <w:lang w:eastAsia="en-GB"/>
        </w:rPr>
        <w:t>, potential trade tensions could also impact just in time supply chains, and the transition towards BEVs could necessitate large-scale retooling investments and the development of new battery relationships and skills training (UNCTAD, 2023). Thus, Toyota's FDI is still considered to be strategically safe in the UK provided that its plants are kept up-to-date at all times. The entry mode should not be seen as a successful project, but a long-term capability platform on which the benefits of electrification, adaptability of the supply-chain and alignment with regulatory frameworks can be built.</w:t>
      </w:r>
    </w:p>
    <w:p w:rsidR="007A4B33" w:rsidRPr="00C73C93" w:rsidRDefault="007A4B33" w:rsidP="002A7B2D">
      <w:pPr>
        <w:pStyle w:val="Heading1"/>
        <w:rPr>
          <w:rFonts w:ascii="Arial" w:hAnsi="Arial" w:cs="Arial"/>
          <w:sz w:val="24"/>
          <w:szCs w:val="24"/>
        </w:rPr>
      </w:pPr>
      <w:bookmarkStart w:id="14" w:name="_Toc237266430"/>
      <w:r w:rsidRPr="00C73C93">
        <w:rPr>
          <w:rFonts w:ascii="Arial" w:hAnsi="Arial" w:cs="Arial"/>
          <w:sz w:val="24"/>
          <w:szCs w:val="24"/>
        </w:rPr>
        <w:t>6. Ethical Marketing Evaluation in the United Kingdom</w:t>
      </w:r>
      <w:bookmarkEnd w:id="14"/>
    </w:p>
    <w:p w:rsidR="007A4B33" w:rsidRPr="00C73C93" w:rsidRDefault="007A4B33" w:rsidP="002A7B2D">
      <w:pPr>
        <w:pStyle w:val="Heading2"/>
        <w:rPr>
          <w:rFonts w:ascii="Arial" w:hAnsi="Arial" w:cs="Arial"/>
          <w:sz w:val="24"/>
          <w:szCs w:val="24"/>
        </w:rPr>
      </w:pPr>
      <w:bookmarkStart w:id="15" w:name="_Toc237266431"/>
      <w:r w:rsidRPr="00C73C93">
        <w:rPr>
          <w:rFonts w:ascii="Arial" w:hAnsi="Arial" w:cs="Arial"/>
          <w:sz w:val="24"/>
          <w:szCs w:val="24"/>
        </w:rPr>
        <w:t>6.1 Ethical Marketing Practices</w:t>
      </w:r>
      <w:bookmarkEnd w:id="15"/>
    </w:p>
    <w:p w:rsidR="007A4B33" w:rsidRPr="00310F06" w:rsidRDefault="007A4B33" w:rsidP="007A4B33">
      <w:pPr>
        <w:pStyle w:val="NormalWeb"/>
        <w:spacing w:line="360" w:lineRule="auto"/>
        <w:jc w:val="both"/>
        <w:rPr>
          <w:rFonts w:ascii="Arial" w:hAnsi="Arial" w:cs="Arial"/>
        </w:rPr>
      </w:pPr>
      <w:r w:rsidRPr="00310F06">
        <w:rPr>
          <w:rFonts w:ascii="Arial" w:hAnsi="Arial" w:cs="Arial"/>
        </w:rPr>
        <w:t>Toyota’s first ethical example relates to the product element. It can cut fuel use and running CO</w:t>
      </w:r>
      <w:r w:rsidRPr="00310F06">
        <w:rPr>
          <w:rFonts w:ascii="Cambria Math" w:hAnsi="Cambria Math" w:cs="Cambria Math"/>
        </w:rPr>
        <w:t>₂</w:t>
      </w:r>
      <w:r w:rsidRPr="00310F06">
        <w:rPr>
          <w:rFonts w:ascii="Arial" w:hAnsi="Arial" w:cs="Arial"/>
        </w:rPr>
        <w:t xml:space="preserve"> emissions from petrol cars when driving and charging conditions are optimal for its hybrid and plug-in hybrid cars. Some of these benefits, however, are not automatic as battery charge, driving mode, temperature and engine use have a material impact on real world performance (</w:t>
      </w:r>
      <w:proofErr w:type="spellStart"/>
      <w:r w:rsidRPr="00310F06">
        <w:rPr>
          <w:rFonts w:ascii="Arial" w:hAnsi="Arial" w:cs="Arial"/>
        </w:rPr>
        <w:t>Ehrenberger</w:t>
      </w:r>
      <w:proofErr w:type="spellEnd"/>
      <w:r w:rsidRPr="00310F06">
        <w:rPr>
          <w:rFonts w:ascii="Arial" w:hAnsi="Arial" w:cs="Arial"/>
        </w:rPr>
        <w:t xml:space="preserve">, </w:t>
      </w:r>
      <w:proofErr w:type="spellStart"/>
      <w:r w:rsidRPr="00310F06">
        <w:rPr>
          <w:rFonts w:ascii="Arial" w:hAnsi="Arial" w:cs="Arial"/>
        </w:rPr>
        <w:t>Konrad</w:t>
      </w:r>
      <w:proofErr w:type="spellEnd"/>
      <w:r w:rsidRPr="00310F06">
        <w:rPr>
          <w:rFonts w:ascii="Arial" w:hAnsi="Arial" w:cs="Arial"/>
        </w:rPr>
        <w:t xml:space="preserve"> and </w:t>
      </w:r>
      <w:proofErr w:type="spellStart"/>
      <w:r w:rsidRPr="00310F06">
        <w:rPr>
          <w:rFonts w:ascii="Arial" w:hAnsi="Arial" w:cs="Arial"/>
        </w:rPr>
        <w:t>Philipps</w:t>
      </w:r>
      <w:proofErr w:type="spellEnd"/>
      <w:r w:rsidRPr="00310F06">
        <w:rPr>
          <w:rFonts w:ascii="Arial" w:hAnsi="Arial" w:cs="Arial"/>
        </w:rPr>
        <w:t xml:space="preserve">, 2020). Toyota should thus introduce hybrid cars as stepping-stones to be seen as alternatives to zero emission vehicles, rather than as zero emission vehicles themselves. </w:t>
      </w:r>
    </w:p>
    <w:p w:rsidR="00923CA3" w:rsidRPr="00310F06" w:rsidRDefault="007A4B33" w:rsidP="007A4B33">
      <w:pPr>
        <w:pStyle w:val="NormalWeb"/>
        <w:spacing w:line="360" w:lineRule="auto"/>
        <w:jc w:val="both"/>
        <w:rPr>
          <w:rFonts w:ascii="Arial" w:hAnsi="Arial" w:cs="Arial"/>
        </w:rPr>
      </w:pPr>
      <w:r w:rsidRPr="00310F06">
        <w:rPr>
          <w:rFonts w:ascii="Arial" w:hAnsi="Arial" w:cs="Arial"/>
        </w:rPr>
        <w:t>The second example is the promotion and transparency of processes. The announcement of the battery capacities, expected WLTP range and charging capability, along with the provisional range of the figures pending homologation was released in Toyota's 2025 UK communication on the upda</w:t>
      </w:r>
      <w:r w:rsidR="00B75DEB" w:rsidRPr="00310F06">
        <w:rPr>
          <w:rFonts w:ascii="Arial" w:hAnsi="Arial" w:cs="Arial"/>
        </w:rPr>
        <w:t xml:space="preserve">ted bZ4X (Toyota (GB) </w:t>
      </w:r>
      <w:proofErr w:type="spellStart"/>
      <w:r w:rsidR="00B75DEB" w:rsidRPr="00310F06">
        <w:rPr>
          <w:rFonts w:ascii="Arial" w:hAnsi="Arial" w:cs="Arial"/>
        </w:rPr>
        <w:t>plc</w:t>
      </w:r>
      <w:proofErr w:type="spellEnd"/>
      <w:r w:rsidR="00B75DEB" w:rsidRPr="00310F06">
        <w:rPr>
          <w:rFonts w:ascii="Arial" w:hAnsi="Arial" w:cs="Arial"/>
        </w:rPr>
        <w:t>, 2025</w:t>
      </w:r>
      <w:r w:rsidRPr="00310F06">
        <w:rPr>
          <w:rFonts w:ascii="Arial" w:hAnsi="Arial" w:cs="Arial"/>
        </w:rPr>
        <w:t>). This specific information allows customers to compare options, and understand the limitations of the model they're considering. This is an improvement on the general environmental language as it can be independently analysed and compared to product performance (</w:t>
      </w:r>
      <w:proofErr w:type="spellStart"/>
      <w:r w:rsidRPr="00310F06">
        <w:rPr>
          <w:rFonts w:ascii="Arial" w:hAnsi="Arial" w:cs="Arial"/>
        </w:rPr>
        <w:t>Orazi</w:t>
      </w:r>
      <w:proofErr w:type="spellEnd"/>
      <w:r w:rsidRPr="00310F06">
        <w:rPr>
          <w:rFonts w:ascii="Arial" w:hAnsi="Arial" w:cs="Arial"/>
        </w:rPr>
        <w:t xml:space="preserve"> and Chan, 2020). </w:t>
      </w:r>
    </w:p>
    <w:p w:rsidR="007A4B33" w:rsidRPr="00C73C93" w:rsidRDefault="007A4B33" w:rsidP="002A7B2D">
      <w:pPr>
        <w:pStyle w:val="NormalWeb"/>
        <w:spacing w:line="360" w:lineRule="auto"/>
        <w:jc w:val="both"/>
        <w:outlineLvl w:val="1"/>
        <w:rPr>
          <w:rFonts w:ascii="Arial" w:hAnsi="Arial" w:cs="Arial"/>
          <w:b/>
        </w:rPr>
      </w:pPr>
      <w:bookmarkStart w:id="16" w:name="_Toc237266432"/>
      <w:r w:rsidRPr="00C73C93">
        <w:rPr>
          <w:rFonts w:ascii="Arial" w:hAnsi="Arial" w:cs="Arial"/>
          <w:b/>
        </w:rPr>
        <w:t>6.2 Unethical Marketing Practices</w:t>
      </w:r>
      <w:bookmarkEnd w:id="16"/>
    </w:p>
    <w:p w:rsidR="007A4B33" w:rsidRPr="00310F06" w:rsidRDefault="007A4B33" w:rsidP="007A4B33">
      <w:pPr>
        <w:pStyle w:val="NormalWeb"/>
        <w:spacing w:line="360" w:lineRule="auto"/>
        <w:jc w:val="both"/>
        <w:rPr>
          <w:rFonts w:ascii="Arial" w:hAnsi="Arial" w:cs="Arial"/>
        </w:rPr>
      </w:pPr>
      <w:r w:rsidRPr="00310F06">
        <w:rPr>
          <w:rFonts w:ascii="Arial" w:hAnsi="Arial" w:cs="Arial"/>
        </w:rPr>
        <w:t xml:space="preserve">The first issue is </w:t>
      </w:r>
      <w:r w:rsidR="00E90127" w:rsidRPr="00310F06">
        <w:rPr>
          <w:rFonts w:ascii="Arial" w:hAnsi="Arial" w:cs="Arial"/>
        </w:rPr>
        <w:t>green washing</w:t>
      </w:r>
      <w:r w:rsidRPr="00310F06">
        <w:rPr>
          <w:rFonts w:ascii="Arial" w:hAnsi="Arial" w:cs="Arial"/>
        </w:rPr>
        <w:t xml:space="preserve"> that is done through promotion. But if these terms are used and consumers don't differentiate between hybrids, plug-in hybrids and battery electric vehicles, they can be misled. These technologies have not been shown to yield the same environmental results. Even if a product has some level of environmental improvement, these can create negative effects on product evaluations, consumer trust and brand credibility when customers think that a product is green washing (</w:t>
      </w:r>
      <w:proofErr w:type="spellStart"/>
      <w:r w:rsidRPr="00310F06">
        <w:rPr>
          <w:rFonts w:ascii="Arial" w:hAnsi="Arial" w:cs="Arial"/>
        </w:rPr>
        <w:t>Szabo</w:t>
      </w:r>
      <w:proofErr w:type="spellEnd"/>
      <w:r w:rsidRPr="00310F06">
        <w:rPr>
          <w:rFonts w:ascii="Arial" w:hAnsi="Arial" w:cs="Arial"/>
        </w:rPr>
        <w:t xml:space="preserve"> and Webster, 2021). Toyota needs to clarify if each of these points relates to fuel economy, tail pipe emissions, electric driving or the entire lifecycle impact. </w:t>
      </w:r>
    </w:p>
    <w:p w:rsidR="002A7B2D" w:rsidRPr="00310F06" w:rsidRDefault="007A4B33" w:rsidP="007A4B33">
      <w:pPr>
        <w:pStyle w:val="NormalWeb"/>
        <w:spacing w:line="360" w:lineRule="auto"/>
        <w:jc w:val="both"/>
        <w:rPr>
          <w:rFonts w:ascii="Arial" w:hAnsi="Arial" w:cs="Arial"/>
        </w:rPr>
      </w:pPr>
      <w:r w:rsidRPr="00310F06">
        <w:rPr>
          <w:rFonts w:ascii="Arial" w:hAnsi="Arial" w:cs="Arial"/>
        </w:rPr>
        <w:t xml:space="preserve">The second example of bad ethics is the promotion and presentation of the </w:t>
      </w:r>
      <w:r w:rsidR="00B75DEB" w:rsidRPr="00310F06">
        <w:rPr>
          <w:rFonts w:ascii="Arial" w:hAnsi="Arial" w:cs="Arial"/>
        </w:rPr>
        <w:t>Hilux. The</w:t>
      </w:r>
      <w:r w:rsidRPr="00310F06">
        <w:rPr>
          <w:rFonts w:ascii="Arial" w:hAnsi="Arial" w:cs="Arial"/>
        </w:rPr>
        <w:t xml:space="preserve"> second is in terms of the promotion and presentation of the Hilux. The Advertising Standards Authority accepted a complaint about ads showing ‘riding wild' in nature. It has found that the campaign violated the standards on respecting the environment and a lack of social responsibility in the preparation of the campaign (Advertising Standards Authority, 2023). </w:t>
      </w:r>
    </w:p>
    <w:p w:rsidR="007A4B33" w:rsidRPr="00C73C93" w:rsidRDefault="007A4B33" w:rsidP="002A7B2D">
      <w:pPr>
        <w:pStyle w:val="NormalWeb"/>
        <w:spacing w:line="360" w:lineRule="auto"/>
        <w:jc w:val="both"/>
        <w:outlineLvl w:val="1"/>
        <w:rPr>
          <w:rFonts w:ascii="Arial" w:hAnsi="Arial" w:cs="Arial"/>
          <w:b/>
        </w:rPr>
      </w:pPr>
      <w:bookmarkStart w:id="17" w:name="_Toc237266433"/>
      <w:r w:rsidRPr="00C73C93">
        <w:rPr>
          <w:rFonts w:ascii="Arial" w:hAnsi="Arial" w:cs="Arial"/>
          <w:b/>
        </w:rPr>
        <w:t>6.3 Balanced Evaluation</w:t>
      </w:r>
      <w:bookmarkEnd w:id="17"/>
    </w:p>
    <w:p w:rsidR="00923CA3" w:rsidRPr="00310F06" w:rsidRDefault="007A4B33" w:rsidP="007A4B33">
      <w:pPr>
        <w:pStyle w:val="NormalWeb"/>
        <w:spacing w:line="360" w:lineRule="auto"/>
        <w:jc w:val="both"/>
        <w:rPr>
          <w:rFonts w:ascii="Arial" w:hAnsi="Arial" w:cs="Arial"/>
        </w:rPr>
      </w:pPr>
      <w:r w:rsidRPr="00310F06">
        <w:rPr>
          <w:rFonts w:ascii="Arial" w:hAnsi="Arial" w:cs="Arial"/>
        </w:rPr>
        <w:t>Toyota's hybrid strategy is generally regarded as having a purposeful ethical value when quick and easy BEV adoption is not feasible. However, claims about the environmental benefits should not be made without conditions, with baselines and with limitations. Toyota's marketing in the UK is ethically sound only if the claims are specific, verifiable and if it separates the hybrid efficiency from the zero tailpipe emission mobility.</w:t>
      </w:r>
    </w:p>
    <w:p w:rsidR="007A4B33" w:rsidRPr="00C73C93" w:rsidRDefault="00CE0069" w:rsidP="007A4B33">
      <w:pPr>
        <w:pStyle w:val="Heading1"/>
        <w:spacing w:after="240" w:line="360" w:lineRule="auto"/>
        <w:rPr>
          <w:rFonts w:ascii="Arial" w:hAnsi="Arial" w:cs="Arial"/>
          <w:sz w:val="24"/>
          <w:szCs w:val="24"/>
        </w:rPr>
      </w:pPr>
      <w:bookmarkStart w:id="18" w:name="_Toc237266434"/>
      <w:r w:rsidRPr="00C73C93">
        <w:rPr>
          <w:rFonts w:ascii="Arial" w:hAnsi="Arial" w:cs="Arial"/>
          <w:sz w:val="24"/>
          <w:szCs w:val="24"/>
        </w:rPr>
        <w:t>7</w:t>
      </w:r>
      <w:r w:rsidR="007A4B33" w:rsidRPr="00C73C93">
        <w:rPr>
          <w:rFonts w:ascii="Arial" w:hAnsi="Arial" w:cs="Arial"/>
          <w:sz w:val="24"/>
          <w:szCs w:val="24"/>
        </w:rPr>
        <w:t>. Strategic Recommendations for Toyota</w:t>
      </w:r>
      <w:bookmarkEnd w:id="18"/>
    </w:p>
    <w:p w:rsidR="007A4B33" w:rsidRPr="00C73C93" w:rsidRDefault="00CE0069" w:rsidP="007A4B33">
      <w:pPr>
        <w:pStyle w:val="Heading2"/>
        <w:spacing w:after="240" w:afterAutospacing="0" w:line="360" w:lineRule="auto"/>
        <w:rPr>
          <w:rFonts w:ascii="Arial" w:hAnsi="Arial" w:cs="Arial"/>
          <w:sz w:val="24"/>
          <w:szCs w:val="24"/>
        </w:rPr>
      </w:pPr>
      <w:bookmarkStart w:id="19" w:name="_Toc237266435"/>
      <w:r w:rsidRPr="00C73C93">
        <w:rPr>
          <w:rFonts w:ascii="Arial" w:hAnsi="Arial" w:cs="Arial"/>
          <w:sz w:val="24"/>
          <w:szCs w:val="24"/>
        </w:rPr>
        <w:t>7</w:t>
      </w:r>
      <w:r w:rsidR="007A4B33" w:rsidRPr="00C73C93">
        <w:rPr>
          <w:rFonts w:ascii="Arial" w:hAnsi="Arial" w:cs="Arial"/>
          <w:sz w:val="24"/>
          <w:szCs w:val="24"/>
        </w:rPr>
        <w:t>.1 Japan</w:t>
      </w:r>
      <w:bookmarkEnd w:id="19"/>
    </w:p>
    <w:p w:rsidR="00644DD4" w:rsidRPr="00310F06" w:rsidRDefault="007A4B33" w:rsidP="007A4B33">
      <w:pPr>
        <w:pStyle w:val="NormalWeb"/>
        <w:spacing w:after="240" w:afterAutospacing="0" w:line="360" w:lineRule="auto"/>
        <w:jc w:val="both"/>
        <w:rPr>
          <w:rFonts w:ascii="Arial" w:hAnsi="Arial" w:cs="Arial"/>
        </w:rPr>
      </w:pPr>
      <w:r w:rsidRPr="00310F06">
        <w:rPr>
          <w:rFonts w:ascii="Arial" w:hAnsi="Arial" w:cs="Arial"/>
        </w:rPr>
        <w:t>Toyota needs to target a younger, tech-savvy audience, with its unique marketing strategy, rather than alienating the family audience and older drivers who prioritize reliability. Growth in this segment will be limited by the ageing market in Japan and must be found in smaller, battery electric vehicles and connected services and flexible ownership packages. While brand credibility is a benefit of Toyota's global presence, younger consumers are also weighing charging facilities and sustainability when deciding on a car, in addition to engineering quality (</w:t>
      </w:r>
      <w:proofErr w:type="spellStart"/>
      <w:r w:rsidRPr="00310F06">
        <w:rPr>
          <w:rFonts w:ascii="Arial" w:hAnsi="Arial" w:cs="Arial"/>
        </w:rPr>
        <w:t>Interbrand</w:t>
      </w:r>
      <w:proofErr w:type="spellEnd"/>
      <w:r w:rsidRPr="00310F06">
        <w:rPr>
          <w:rFonts w:ascii="Arial" w:hAnsi="Arial" w:cs="Arial"/>
        </w:rPr>
        <w:t>, 2024). Toyota's reliability should therefore be presented as the extension of the product and promotion of EV innovation. Technological advances would be seen in model-specific digital campaigns and charging partnerships, which would decrease the risk of charge adoption (Toyota Motor Corporation, 2024).</w:t>
      </w:r>
    </w:p>
    <w:p w:rsidR="007A4B33" w:rsidRPr="00C73C93" w:rsidRDefault="00CE0069" w:rsidP="007A4B33">
      <w:pPr>
        <w:pStyle w:val="NormalWeb"/>
        <w:spacing w:after="240" w:afterAutospacing="0" w:line="360" w:lineRule="auto"/>
        <w:jc w:val="both"/>
        <w:outlineLvl w:val="1"/>
        <w:rPr>
          <w:rFonts w:ascii="Arial" w:hAnsi="Arial" w:cs="Arial"/>
          <w:b/>
        </w:rPr>
      </w:pPr>
      <w:bookmarkStart w:id="20" w:name="_Toc237266436"/>
      <w:r w:rsidRPr="00C73C93">
        <w:rPr>
          <w:rFonts w:ascii="Arial" w:hAnsi="Arial" w:cs="Arial"/>
          <w:b/>
        </w:rPr>
        <w:t>7</w:t>
      </w:r>
      <w:r w:rsidR="007A4B33" w:rsidRPr="00C73C93">
        <w:rPr>
          <w:rFonts w:ascii="Arial" w:hAnsi="Arial" w:cs="Arial"/>
          <w:b/>
        </w:rPr>
        <w:t>.2 United Kingdom</w:t>
      </w:r>
      <w:bookmarkEnd w:id="20"/>
    </w:p>
    <w:p w:rsidR="007A4B33" w:rsidRPr="00310F06" w:rsidRDefault="007A4B33" w:rsidP="007A4B33">
      <w:pPr>
        <w:pStyle w:val="NormalWeb"/>
        <w:spacing w:after="240" w:afterAutospacing="0" w:line="360" w:lineRule="auto"/>
        <w:jc w:val="both"/>
        <w:rPr>
          <w:rFonts w:ascii="Arial" w:hAnsi="Arial" w:cs="Arial"/>
        </w:rPr>
      </w:pPr>
      <w:r w:rsidRPr="00310F06">
        <w:rPr>
          <w:rFonts w:ascii="Arial" w:hAnsi="Arial" w:cs="Arial"/>
        </w:rPr>
        <w:t>In the UK, Toyota needs to focus on an environmental-focused low emission portfolio for its urban professional, family and fleet customers. The Toyota brand is now widely recognised as a leader in hybrid technology, but in 2024, it began to emerge as a player in the field of sustainable mobility, with battery-electric vehicles accounting for 19.6% of new cars registered in 2024. Positioning should be reliable engineering and quantifiable zero emission capability, backed up by BEV rollout and clear total cost comparisons, home charging solutions (Toyota Motor Corporation, 2024). Digital marketing should be an amalgamation of personalised model recommendations, finance quotations, stock visibility, online reservations and dealer follow-up. Consistency across channels can help to streamline customer effort and enhance conversion.</w:t>
      </w:r>
    </w:p>
    <w:p w:rsidR="007A4B33" w:rsidRPr="00C73C93" w:rsidRDefault="00CE0069" w:rsidP="007A4B33">
      <w:pPr>
        <w:pStyle w:val="NormalWeb"/>
        <w:spacing w:after="240" w:afterAutospacing="0" w:line="360" w:lineRule="auto"/>
        <w:jc w:val="both"/>
        <w:outlineLvl w:val="1"/>
        <w:rPr>
          <w:rFonts w:ascii="Arial" w:hAnsi="Arial" w:cs="Arial"/>
          <w:b/>
        </w:rPr>
      </w:pPr>
      <w:bookmarkStart w:id="21" w:name="_Toc237266437"/>
      <w:r w:rsidRPr="00C73C93">
        <w:rPr>
          <w:rFonts w:ascii="Arial" w:hAnsi="Arial" w:cs="Arial"/>
          <w:b/>
        </w:rPr>
        <w:t>7</w:t>
      </w:r>
      <w:r w:rsidR="007A4B33" w:rsidRPr="00C73C93">
        <w:rPr>
          <w:rFonts w:ascii="Arial" w:hAnsi="Arial" w:cs="Arial"/>
          <w:b/>
        </w:rPr>
        <w:t>.3 Ethical Improvement</w:t>
      </w:r>
      <w:bookmarkEnd w:id="21"/>
    </w:p>
    <w:p w:rsidR="007A4B33" w:rsidRPr="00310F06" w:rsidRDefault="007A4B33" w:rsidP="007A4B33">
      <w:pPr>
        <w:pStyle w:val="NormalWeb"/>
        <w:spacing w:after="240" w:afterAutospacing="0" w:line="360" w:lineRule="auto"/>
        <w:jc w:val="both"/>
        <w:rPr>
          <w:rFonts w:ascii="Arial" w:hAnsi="Arial" w:cs="Arial"/>
        </w:rPr>
      </w:pPr>
      <w:r w:rsidRPr="00310F06">
        <w:rPr>
          <w:rFonts w:ascii="Arial" w:hAnsi="Arial" w:cs="Arial"/>
        </w:rPr>
        <w:t>In both markets, Toyota should add supporting evidence specific to its products for the tailpipe emissions, energy use and lifecycle boundaries. The principles of the UK Green Claims Code (Competition and Markets Authority, 2021) should be applied to Japan's communication to ensure credibility and global trust in sustainability claims, which should also be clear, accurate and substantiated. Clearly differentiate between hybrid, plug-in hybrid and battery electric vehicles and have independent verification to minimize green washing risk. The following recommendations are linked to increased sustainability positioning and EV innovation, in order to support the representation of promotion.</w:t>
      </w:r>
    </w:p>
    <w:p w:rsidR="007A4B33" w:rsidRPr="00310F06" w:rsidRDefault="007A4B33" w:rsidP="007A4B33">
      <w:pPr>
        <w:pStyle w:val="NormalWeb"/>
        <w:spacing w:after="240" w:afterAutospacing="0" w:line="360" w:lineRule="auto"/>
        <w:jc w:val="both"/>
        <w:rPr>
          <w:rFonts w:ascii="Arial" w:hAnsi="Arial" w:cs="Arial"/>
        </w:rPr>
      </w:pPr>
    </w:p>
    <w:p w:rsidR="00644DD4" w:rsidRPr="00310F06" w:rsidRDefault="00644DD4" w:rsidP="007A4B33">
      <w:pPr>
        <w:pStyle w:val="NormalWeb"/>
        <w:spacing w:after="240" w:afterAutospacing="0" w:line="360" w:lineRule="auto"/>
        <w:jc w:val="both"/>
        <w:rPr>
          <w:rFonts w:ascii="Arial" w:hAnsi="Arial" w:cs="Arial"/>
        </w:rPr>
      </w:pPr>
    </w:p>
    <w:p w:rsidR="00644DD4" w:rsidRPr="00310F06" w:rsidRDefault="00644DD4" w:rsidP="007A4B33">
      <w:pPr>
        <w:pStyle w:val="NormalWeb"/>
        <w:spacing w:after="240" w:afterAutospacing="0" w:line="360" w:lineRule="auto"/>
        <w:jc w:val="both"/>
        <w:rPr>
          <w:rFonts w:ascii="Arial" w:hAnsi="Arial" w:cs="Arial"/>
        </w:rPr>
      </w:pPr>
    </w:p>
    <w:p w:rsidR="00644DD4" w:rsidRPr="00310F06" w:rsidRDefault="00644DD4" w:rsidP="007A4B33">
      <w:pPr>
        <w:pStyle w:val="NormalWeb"/>
        <w:spacing w:after="240" w:afterAutospacing="0" w:line="360" w:lineRule="auto"/>
        <w:jc w:val="both"/>
        <w:rPr>
          <w:rFonts w:ascii="Arial" w:hAnsi="Arial" w:cs="Arial"/>
        </w:rPr>
      </w:pPr>
    </w:p>
    <w:p w:rsidR="00644DD4" w:rsidRPr="00310F06" w:rsidRDefault="00644DD4" w:rsidP="007A4B33">
      <w:pPr>
        <w:pStyle w:val="NormalWeb"/>
        <w:spacing w:after="240" w:afterAutospacing="0" w:line="360" w:lineRule="auto"/>
        <w:jc w:val="both"/>
        <w:rPr>
          <w:rFonts w:ascii="Arial" w:hAnsi="Arial" w:cs="Arial"/>
        </w:rPr>
      </w:pPr>
    </w:p>
    <w:p w:rsidR="00923CA3" w:rsidRPr="00310F06" w:rsidRDefault="00923CA3" w:rsidP="007A4B33">
      <w:pPr>
        <w:pStyle w:val="NormalWeb"/>
        <w:spacing w:after="240" w:afterAutospacing="0" w:line="360" w:lineRule="auto"/>
        <w:jc w:val="both"/>
        <w:rPr>
          <w:rFonts w:ascii="Arial" w:hAnsi="Arial" w:cs="Arial"/>
        </w:rPr>
      </w:pPr>
    </w:p>
    <w:p w:rsidR="00923CA3" w:rsidRPr="00310F06" w:rsidRDefault="00923CA3" w:rsidP="007A4B33">
      <w:pPr>
        <w:pStyle w:val="NormalWeb"/>
        <w:spacing w:after="240" w:afterAutospacing="0" w:line="360" w:lineRule="auto"/>
        <w:jc w:val="both"/>
        <w:rPr>
          <w:rFonts w:ascii="Arial" w:hAnsi="Arial" w:cs="Arial"/>
        </w:rPr>
      </w:pPr>
    </w:p>
    <w:p w:rsidR="00923CA3" w:rsidRPr="00310F06" w:rsidRDefault="00923CA3" w:rsidP="007A4B33">
      <w:pPr>
        <w:pStyle w:val="NormalWeb"/>
        <w:spacing w:after="240" w:afterAutospacing="0" w:line="360" w:lineRule="auto"/>
        <w:jc w:val="both"/>
        <w:rPr>
          <w:rFonts w:ascii="Arial" w:hAnsi="Arial" w:cs="Arial"/>
        </w:rPr>
      </w:pPr>
    </w:p>
    <w:p w:rsidR="00923CA3" w:rsidRPr="00310F06" w:rsidRDefault="00923CA3" w:rsidP="007A4B33">
      <w:pPr>
        <w:pStyle w:val="NormalWeb"/>
        <w:spacing w:after="240" w:afterAutospacing="0" w:line="360" w:lineRule="auto"/>
        <w:jc w:val="both"/>
        <w:rPr>
          <w:rFonts w:ascii="Arial" w:hAnsi="Arial" w:cs="Arial"/>
        </w:rPr>
      </w:pPr>
    </w:p>
    <w:p w:rsidR="00923CA3" w:rsidRPr="00310F06" w:rsidRDefault="00923CA3" w:rsidP="007A4B33">
      <w:pPr>
        <w:pStyle w:val="NormalWeb"/>
        <w:spacing w:after="240" w:afterAutospacing="0" w:line="360" w:lineRule="auto"/>
        <w:jc w:val="both"/>
        <w:rPr>
          <w:rFonts w:ascii="Arial" w:hAnsi="Arial" w:cs="Arial"/>
        </w:rPr>
      </w:pPr>
    </w:p>
    <w:p w:rsidR="00923CA3" w:rsidRPr="00310F06" w:rsidRDefault="00923CA3" w:rsidP="007A4B33">
      <w:pPr>
        <w:pStyle w:val="NormalWeb"/>
        <w:spacing w:after="240" w:afterAutospacing="0" w:line="360" w:lineRule="auto"/>
        <w:jc w:val="both"/>
        <w:rPr>
          <w:rFonts w:ascii="Arial" w:hAnsi="Arial" w:cs="Arial"/>
        </w:rPr>
      </w:pPr>
    </w:p>
    <w:p w:rsidR="00923CA3" w:rsidRDefault="00923CA3" w:rsidP="007A4B33">
      <w:pPr>
        <w:pStyle w:val="NormalWeb"/>
        <w:spacing w:after="240" w:afterAutospacing="0" w:line="360" w:lineRule="auto"/>
        <w:jc w:val="both"/>
        <w:rPr>
          <w:rFonts w:ascii="Arial" w:hAnsi="Arial" w:cs="Arial"/>
        </w:rPr>
      </w:pPr>
    </w:p>
    <w:p w:rsidR="00C73C93" w:rsidRDefault="00C73C93" w:rsidP="007A4B33">
      <w:pPr>
        <w:pStyle w:val="NormalWeb"/>
        <w:spacing w:after="240" w:afterAutospacing="0" w:line="360" w:lineRule="auto"/>
        <w:jc w:val="both"/>
        <w:rPr>
          <w:rFonts w:ascii="Arial" w:hAnsi="Arial" w:cs="Arial"/>
        </w:rPr>
      </w:pPr>
    </w:p>
    <w:p w:rsidR="00C73C93" w:rsidRDefault="00C73C93" w:rsidP="007A4B33">
      <w:pPr>
        <w:pStyle w:val="NormalWeb"/>
        <w:spacing w:after="240" w:afterAutospacing="0" w:line="360" w:lineRule="auto"/>
        <w:jc w:val="both"/>
        <w:rPr>
          <w:rFonts w:ascii="Arial" w:hAnsi="Arial" w:cs="Arial"/>
        </w:rPr>
      </w:pPr>
    </w:p>
    <w:p w:rsidR="00C73C93" w:rsidRPr="00310F06" w:rsidRDefault="00C73C93" w:rsidP="007A4B33">
      <w:pPr>
        <w:pStyle w:val="NormalWeb"/>
        <w:spacing w:after="240" w:afterAutospacing="0" w:line="360" w:lineRule="auto"/>
        <w:jc w:val="both"/>
        <w:rPr>
          <w:rFonts w:ascii="Arial" w:hAnsi="Arial" w:cs="Arial"/>
        </w:rPr>
      </w:pPr>
    </w:p>
    <w:p w:rsidR="00B75DEB" w:rsidRPr="00310F06" w:rsidRDefault="00B75DEB" w:rsidP="007A4B33">
      <w:pPr>
        <w:pStyle w:val="NormalWeb"/>
        <w:spacing w:after="240" w:afterAutospacing="0" w:line="360" w:lineRule="auto"/>
        <w:jc w:val="both"/>
        <w:rPr>
          <w:rFonts w:ascii="Arial" w:hAnsi="Arial" w:cs="Arial"/>
        </w:rPr>
      </w:pPr>
    </w:p>
    <w:p w:rsidR="00B75DEB" w:rsidRPr="00310F06" w:rsidRDefault="00B75DEB" w:rsidP="007A4B33">
      <w:pPr>
        <w:pStyle w:val="NormalWeb"/>
        <w:spacing w:after="240" w:afterAutospacing="0" w:line="360" w:lineRule="auto"/>
        <w:jc w:val="both"/>
        <w:rPr>
          <w:rFonts w:ascii="Arial" w:hAnsi="Arial" w:cs="Arial"/>
        </w:rPr>
      </w:pPr>
    </w:p>
    <w:p w:rsidR="007A4B33" w:rsidRPr="00C73C93" w:rsidRDefault="00F37F98" w:rsidP="00F37F98">
      <w:pPr>
        <w:pStyle w:val="Heading1"/>
        <w:spacing w:after="240" w:line="360" w:lineRule="auto"/>
        <w:rPr>
          <w:rFonts w:ascii="Arial" w:hAnsi="Arial" w:cs="Arial"/>
          <w:sz w:val="24"/>
          <w:szCs w:val="24"/>
        </w:rPr>
      </w:pPr>
      <w:bookmarkStart w:id="22" w:name="_Toc237266438"/>
      <w:r w:rsidRPr="00C73C93">
        <w:rPr>
          <w:rFonts w:ascii="Arial" w:hAnsi="Arial" w:cs="Arial"/>
          <w:sz w:val="24"/>
          <w:szCs w:val="24"/>
        </w:rPr>
        <w:t>Section 2</w:t>
      </w:r>
      <w:bookmarkEnd w:id="22"/>
    </w:p>
    <w:p w:rsidR="00F37F98" w:rsidRPr="00C73C93" w:rsidRDefault="00CE0069" w:rsidP="000D7106">
      <w:pPr>
        <w:pStyle w:val="Heading1"/>
        <w:spacing w:after="240" w:line="360" w:lineRule="auto"/>
        <w:rPr>
          <w:rFonts w:ascii="Arial" w:hAnsi="Arial" w:cs="Arial"/>
          <w:sz w:val="24"/>
          <w:szCs w:val="24"/>
        </w:rPr>
      </w:pPr>
      <w:bookmarkStart w:id="23" w:name="_Toc237266439"/>
      <w:r w:rsidRPr="00C73C93">
        <w:rPr>
          <w:rFonts w:ascii="Arial" w:hAnsi="Arial" w:cs="Arial"/>
          <w:sz w:val="24"/>
          <w:szCs w:val="24"/>
        </w:rPr>
        <w:t>8.</w:t>
      </w:r>
      <w:r w:rsidR="000D7106" w:rsidRPr="00C73C93">
        <w:rPr>
          <w:rFonts w:ascii="Arial" w:hAnsi="Arial" w:cs="Arial"/>
          <w:sz w:val="24"/>
          <w:szCs w:val="24"/>
        </w:rPr>
        <w:t xml:space="preserve"> Reflection</w:t>
      </w:r>
      <w:bookmarkEnd w:id="23"/>
      <w:r w:rsidR="000D7106" w:rsidRPr="00C73C93">
        <w:rPr>
          <w:rFonts w:ascii="Arial" w:hAnsi="Arial" w:cs="Arial"/>
          <w:sz w:val="24"/>
          <w:szCs w:val="24"/>
        </w:rPr>
        <w:t xml:space="preserve"> </w:t>
      </w:r>
    </w:p>
    <w:p w:rsidR="00F72BDA" w:rsidRPr="00310F06" w:rsidRDefault="00F72BDA" w:rsidP="0027172C">
      <w:pPr>
        <w:pStyle w:val="NormalWeb"/>
        <w:spacing w:after="240" w:afterAutospacing="0" w:line="360" w:lineRule="auto"/>
        <w:jc w:val="center"/>
        <w:rPr>
          <w:rFonts w:ascii="Arial" w:hAnsi="Arial" w:cs="Arial"/>
        </w:rPr>
      </w:pPr>
      <w:r w:rsidRPr="00310F06">
        <w:rPr>
          <w:rFonts w:ascii="Arial" w:hAnsi="Arial" w:cs="Arial"/>
          <w:noProof/>
        </w:rPr>
        <w:drawing>
          <wp:inline distT="0" distB="0" distL="0" distR="0" wp14:anchorId="11D03D6D" wp14:editId="7CD12EC6">
            <wp:extent cx="3826933" cy="2870200"/>
            <wp:effectExtent l="0" t="0" r="2540" b="6350"/>
            <wp:docPr id="5" name="Picture 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26933" cy="2870200"/>
                    </a:xfrm>
                    <a:prstGeom prst="rect">
                      <a:avLst/>
                    </a:prstGeom>
                    <a:noFill/>
                    <a:ln>
                      <a:noFill/>
                    </a:ln>
                  </pic:spPr>
                </pic:pic>
              </a:graphicData>
            </a:graphic>
          </wp:inline>
        </w:drawing>
      </w:r>
    </w:p>
    <w:p w:rsidR="00F72BDA" w:rsidRPr="00310F06" w:rsidRDefault="006250AE" w:rsidP="0027172C">
      <w:pPr>
        <w:pStyle w:val="NormalWeb"/>
        <w:spacing w:after="240" w:afterAutospacing="0" w:line="360" w:lineRule="auto"/>
        <w:jc w:val="center"/>
        <w:rPr>
          <w:rFonts w:ascii="Arial" w:hAnsi="Arial" w:cs="Arial"/>
          <w:i/>
        </w:rPr>
      </w:pPr>
      <w:r w:rsidRPr="00310F06">
        <w:rPr>
          <w:rFonts w:ascii="Arial" w:hAnsi="Arial" w:cs="Arial"/>
          <w:i/>
        </w:rPr>
        <w:t>Figure 5</w:t>
      </w:r>
      <w:r w:rsidR="00F72BDA" w:rsidRPr="00310F06">
        <w:rPr>
          <w:rFonts w:ascii="Arial" w:hAnsi="Arial" w:cs="Arial"/>
          <w:i/>
        </w:rPr>
        <w:t xml:space="preserve">: Gibbs’ Reflective </w:t>
      </w:r>
      <w:r w:rsidR="00024872" w:rsidRPr="00310F06">
        <w:rPr>
          <w:rFonts w:ascii="Arial" w:hAnsi="Arial" w:cs="Arial"/>
          <w:i/>
        </w:rPr>
        <w:t>Cycle (</w:t>
      </w:r>
      <w:r w:rsidR="00F72BDA" w:rsidRPr="00310F06">
        <w:rPr>
          <w:rFonts w:ascii="Arial" w:hAnsi="Arial" w:cs="Arial"/>
          <w:i/>
        </w:rPr>
        <w:t>McLeod, 2025)</w:t>
      </w:r>
    </w:p>
    <w:p w:rsidR="000D7106" w:rsidRPr="00C73C93" w:rsidRDefault="000D7106" w:rsidP="000D7106">
      <w:pPr>
        <w:pStyle w:val="NormalWeb"/>
        <w:spacing w:after="240" w:afterAutospacing="0" w:line="360" w:lineRule="auto"/>
        <w:jc w:val="both"/>
        <w:rPr>
          <w:rFonts w:ascii="Arial" w:hAnsi="Arial" w:cs="Arial"/>
          <w:b/>
        </w:rPr>
      </w:pPr>
      <w:r w:rsidRPr="00C73C93">
        <w:rPr>
          <w:rFonts w:ascii="Arial" w:hAnsi="Arial" w:cs="Arial"/>
          <w:b/>
        </w:rPr>
        <w:t>Description</w:t>
      </w:r>
    </w:p>
    <w:p w:rsidR="000D7106" w:rsidRPr="00310F06" w:rsidRDefault="000D7106" w:rsidP="000D7106">
      <w:pPr>
        <w:pStyle w:val="NormalWeb"/>
        <w:spacing w:after="240" w:afterAutospacing="0" w:line="360" w:lineRule="auto"/>
        <w:jc w:val="both"/>
        <w:rPr>
          <w:rFonts w:ascii="Arial" w:hAnsi="Arial" w:cs="Arial"/>
        </w:rPr>
      </w:pPr>
      <w:r w:rsidRPr="00310F06">
        <w:rPr>
          <w:rFonts w:ascii="Arial" w:hAnsi="Arial" w:cs="Arial"/>
        </w:rPr>
        <w:t xml:space="preserve">For this assessment I needed to explore the differences in Toyota's international marketing strategy from Japan to the United Kingdom. I applied PESTLE and </w:t>
      </w:r>
      <w:proofErr w:type="spellStart"/>
      <w:r w:rsidRPr="00310F06">
        <w:rPr>
          <w:rFonts w:ascii="Arial" w:hAnsi="Arial" w:cs="Arial"/>
        </w:rPr>
        <w:t>Hofstede's</w:t>
      </w:r>
      <w:proofErr w:type="spellEnd"/>
      <w:r w:rsidRPr="00310F06">
        <w:rPr>
          <w:rFonts w:ascii="Arial" w:hAnsi="Arial" w:cs="Arial"/>
        </w:rPr>
        <w:t xml:space="preserve"> cultural dimensions to link national environment with strategic decision, followed by STP, the 7Ps and theory of foreign direct investment and ethical-marketing, all of which were used to link national environment with strategic decision. I used academic books and journal articles, government publications, industry reports and Toyota documents for my research. I started with a wide range of data and then focused on a thesis about Toyota's global power: standardization of reliability with targeted adaptation of electrification, communication and customer experience. It was appropriate to use Gibbs' cycle as this organizes reflection as going through the experience to thinking about the results and what should be done next rather than it being a story (Gibbs, 1988; </w:t>
      </w:r>
      <w:proofErr w:type="spellStart"/>
      <w:r w:rsidRPr="00310F06">
        <w:rPr>
          <w:rFonts w:ascii="Arial" w:hAnsi="Arial" w:cs="Arial"/>
        </w:rPr>
        <w:t>Bassot</w:t>
      </w:r>
      <w:proofErr w:type="spellEnd"/>
      <w:r w:rsidRPr="00310F06">
        <w:rPr>
          <w:rFonts w:ascii="Arial" w:hAnsi="Arial" w:cs="Arial"/>
        </w:rPr>
        <w:t>, 2020).</w:t>
      </w:r>
    </w:p>
    <w:p w:rsidR="000D7106" w:rsidRPr="00C73C93" w:rsidRDefault="000D7106" w:rsidP="000D7106">
      <w:pPr>
        <w:pStyle w:val="NormalWeb"/>
        <w:spacing w:after="240" w:afterAutospacing="0" w:line="360" w:lineRule="auto"/>
        <w:jc w:val="both"/>
        <w:rPr>
          <w:rFonts w:ascii="Arial" w:hAnsi="Arial" w:cs="Arial"/>
          <w:b/>
        </w:rPr>
      </w:pPr>
      <w:r w:rsidRPr="00C73C93">
        <w:rPr>
          <w:rFonts w:ascii="Arial" w:hAnsi="Arial" w:cs="Arial"/>
          <w:b/>
        </w:rPr>
        <w:t>Feelings</w:t>
      </w:r>
    </w:p>
    <w:p w:rsidR="00B75DEB" w:rsidRPr="00310F06" w:rsidRDefault="000D7106" w:rsidP="000D7106">
      <w:pPr>
        <w:pStyle w:val="NormalWeb"/>
        <w:spacing w:after="240" w:afterAutospacing="0" w:line="360" w:lineRule="auto"/>
        <w:jc w:val="both"/>
        <w:rPr>
          <w:rFonts w:ascii="Arial" w:hAnsi="Arial" w:cs="Arial"/>
        </w:rPr>
      </w:pPr>
      <w:r w:rsidRPr="00310F06">
        <w:rPr>
          <w:rFonts w:ascii="Arial" w:hAnsi="Arial" w:cs="Arial"/>
        </w:rPr>
        <w:t>I was a little bit in the confidence at the outset because I knew that Toyota was a global brand. My trust is lowered, however, by the conflicting interpretations of its hybrid strategy I got from my sources. The “multi-pathway” approach was presented as pragmatic in corporate reporting but more emphasis was laid on a speedy battery electric transition in independent reporting. It was also challenging to do a comparison without having to write two different descriptive country profiles about Japan and the UK. This uncertainty was useful as it prompted me to challenge assumptions and understand that there is not enough and/or conflicting evidence to rely on judgement for critical work (Cottrell, 2023). I got more confident when I started probing how every discovery impacted on the product, pricing, positioning, or ethics of Toyota.</w:t>
      </w:r>
    </w:p>
    <w:p w:rsidR="000D7106" w:rsidRPr="00C73C93" w:rsidRDefault="000D7106" w:rsidP="000D7106">
      <w:pPr>
        <w:pStyle w:val="NormalWeb"/>
        <w:spacing w:after="240" w:afterAutospacing="0" w:line="360" w:lineRule="auto"/>
        <w:jc w:val="both"/>
        <w:rPr>
          <w:rFonts w:ascii="Arial" w:hAnsi="Arial" w:cs="Arial"/>
          <w:b/>
        </w:rPr>
      </w:pPr>
      <w:r w:rsidRPr="00C73C93">
        <w:rPr>
          <w:rFonts w:ascii="Arial" w:hAnsi="Arial" w:cs="Arial"/>
          <w:b/>
        </w:rPr>
        <w:t xml:space="preserve"> Evaluation</w:t>
      </w:r>
    </w:p>
    <w:p w:rsidR="000D7106" w:rsidRPr="00310F06" w:rsidRDefault="000D7106" w:rsidP="000D7106">
      <w:pPr>
        <w:pStyle w:val="NormalWeb"/>
        <w:spacing w:after="240" w:afterAutospacing="0" w:line="360" w:lineRule="auto"/>
        <w:jc w:val="both"/>
        <w:rPr>
          <w:rFonts w:ascii="Arial" w:hAnsi="Arial" w:cs="Arial"/>
        </w:rPr>
      </w:pPr>
      <w:r w:rsidRPr="00310F06">
        <w:rPr>
          <w:rFonts w:ascii="Arial" w:hAnsi="Arial" w:cs="Arial"/>
        </w:rPr>
        <w:t>There were a number of components of the research that proved to be successful. First, by having a variety of sources, Toyota's corporate presentation was lessened. Theoretical background was provided from academic literature and up-to-date market evidence from various regulatory and industry sources. Secondly, through comparative analysis, I was able to pinpoint those areas of Toyota's approach that are consistent and those that are flexible. Third, every strategic issue was covered in one section rather than a single country description would have been included in each of the sections, this aided coherence and made it easier to directly link to the learning outcome of socio-cultural similarities and differences.</w:t>
      </w:r>
    </w:p>
    <w:p w:rsidR="000D7106" w:rsidRPr="00310F06" w:rsidRDefault="000D7106" w:rsidP="000D7106">
      <w:pPr>
        <w:pStyle w:val="NormalWeb"/>
        <w:spacing w:after="240" w:afterAutospacing="0" w:line="360" w:lineRule="auto"/>
        <w:jc w:val="both"/>
        <w:rPr>
          <w:rFonts w:ascii="Arial" w:hAnsi="Arial" w:cs="Arial"/>
        </w:rPr>
      </w:pPr>
      <w:r w:rsidRPr="00310F06">
        <w:rPr>
          <w:rFonts w:ascii="Arial" w:hAnsi="Arial" w:cs="Arial"/>
        </w:rPr>
        <w:t xml:space="preserve">However, weaknesses remained. Comparisons between the data were not always possible, due to some statistical data referring to different years, geographical areas or definitions. I also took too much time in finding the sources without identifying the evidence that was needed for the argument. In addition, </w:t>
      </w:r>
      <w:proofErr w:type="spellStart"/>
      <w:r w:rsidRPr="00310F06">
        <w:rPr>
          <w:rFonts w:ascii="Arial" w:hAnsi="Arial" w:cs="Arial"/>
        </w:rPr>
        <w:t>Hofstede's</w:t>
      </w:r>
      <w:proofErr w:type="spellEnd"/>
      <w:r w:rsidRPr="00310F06">
        <w:rPr>
          <w:rFonts w:ascii="Arial" w:hAnsi="Arial" w:cs="Arial"/>
        </w:rPr>
        <w:t xml:space="preserve"> national scores would lead to the perception that culture is homogeneous and static. The process of critical reading is not only pertinent, but also involves assessing the author, purpose, methodology, currency and limitations (Wallace and Wray, 2021). In some instances the limitations of my earlier analysis were not sufficiently clear.</w:t>
      </w:r>
    </w:p>
    <w:p w:rsidR="000D7106" w:rsidRPr="00C73C93" w:rsidRDefault="000D7106" w:rsidP="000D7106">
      <w:pPr>
        <w:pStyle w:val="NormalWeb"/>
        <w:spacing w:after="240" w:afterAutospacing="0" w:line="360" w:lineRule="auto"/>
        <w:jc w:val="both"/>
        <w:rPr>
          <w:rFonts w:ascii="Arial" w:hAnsi="Arial" w:cs="Arial"/>
          <w:b/>
        </w:rPr>
      </w:pPr>
      <w:r w:rsidRPr="00C73C93">
        <w:rPr>
          <w:rFonts w:ascii="Arial" w:hAnsi="Arial" w:cs="Arial"/>
          <w:b/>
        </w:rPr>
        <w:t>Analysis</w:t>
      </w:r>
    </w:p>
    <w:p w:rsidR="000D7106" w:rsidRPr="00310F06" w:rsidRDefault="000D7106" w:rsidP="000D7106">
      <w:pPr>
        <w:pStyle w:val="NormalWeb"/>
        <w:spacing w:after="240" w:afterAutospacing="0" w:line="360" w:lineRule="auto"/>
        <w:jc w:val="both"/>
        <w:rPr>
          <w:rFonts w:ascii="Arial" w:hAnsi="Arial" w:cs="Arial"/>
        </w:rPr>
      </w:pPr>
      <w:r w:rsidRPr="00310F06">
        <w:rPr>
          <w:rFonts w:ascii="Arial" w:hAnsi="Arial" w:cs="Arial"/>
        </w:rPr>
        <w:t xml:space="preserve">Over-arching learning was that frameworks do not necessarily lead to critical analysis. PESTLE was only useful when used in conjunction with Toyota's entry into the market, pricing and electrification options and decisions. Likewise, </w:t>
      </w:r>
      <w:proofErr w:type="spellStart"/>
      <w:r w:rsidRPr="00310F06">
        <w:rPr>
          <w:rFonts w:ascii="Arial" w:hAnsi="Arial" w:cs="Arial"/>
        </w:rPr>
        <w:t>Hofstede's</w:t>
      </w:r>
      <w:proofErr w:type="spellEnd"/>
      <w:r w:rsidRPr="00310F06">
        <w:rPr>
          <w:rFonts w:ascii="Arial" w:hAnsi="Arial" w:cs="Arial"/>
        </w:rPr>
        <w:t xml:space="preserve"> dimensions did not mean much without being used with careful consideration in combination with any current evidence available about consumers. This was experiential learning as I gained understanding from applying theory, finding my weaknesses and revising my interpretations (Kolb, 2015).</w:t>
      </w:r>
    </w:p>
    <w:p w:rsidR="000D7106" w:rsidRPr="00310F06" w:rsidRDefault="000D7106" w:rsidP="000D7106">
      <w:pPr>
        <w:pStyle w:val="NormalWeb"/>
        <w:spacing w:after="240" w:afterAutospacing="0" w:line="360" w:lineRule="auto"/>
        <w:jc w:val="both"/>
        <w:rPr>
          <w:rFonts w:ascii="Arial" w:hAnsi="Arial" w:cs="Arial"/>
        </w:rPr>
      </w:pPr>
      <w:r w:rsidRPr="00310F06">
        <w:rPr>
          <w:rFonts w:ascii="Arial" w:hAnsi="Arial" w:cs="Arial"/>
        </w:rPr>
        <w:t xml:space="preserve">One more thing I learned is that I'm able to tell the difference between evidence and judgement. A statistic indicating growth in UK battery electric vehicle adoption is evidence; to recommend that Toyota shift from being a hybrid leader, to a sustainable-mobility leader is a judgement that needs to be backed up by several sources. There is therefore a need for data to be used in a transparent manner in business research to lead to an interpretation and recommendation (Saunders, Lewis and </w:t>
      </w:r>
      <w:proofErr w:type="spellStart"/>
      <w:r w:rsidRPr="00310F06">
        <w:rPr>
          <w:rFonts w:ascii="Arial" w:hAnsi="Arial" w:cs="Arial"/>
        </w:rPr>
        <w:t>Thornhill</w:t>
      </w:r>
      <w:proofErr w:type="spellEnd"/>
      <w:r w:rsidRPr="00310F06">
        <w:rPr>
          <w:rFonts w:ascii="Arial" w:hAnsi="Arial" w:cs="Arial"/>
        </w:rPr>
        <w:t>, 2023). It also helped me to be aware of the possibility of bias when doing a comparison of data from a corporate statement and independent evidence. Toyota reports were useful for providing some insight into Toyota's strategy, but external evidence was required to analyse environmental impacts and ethical dilemmas.</w:t>
      </w:r>
    </w:p>
    <w:p w:rsidR="000D7106" w:rsidRPr="00C73C93" w:rsidRDefault="000D7106" w:rsidP="000D7106">
      <w:pPr>
        <w:pStyle w:val="NormalWeb"/>
        <w:spacing w:after="240" w:afterAutospacing="0" w:line="360" w:lineRule="auto"/>
        <w:jc w:val="both"/>
        <w:rPr>
          <w:rFonts w:ascii="Arial" w:hAnsi="Arial" w:cs="Arial"/>
          <w:b/>
        </w:rPr>
      </w:pPr>
      <w:r w:rsidRPr="00C73C93">
        <w:rPr>
          <w:rFonts w:ascii="Arial" w:hAnsi="Arial" w:cs="Arial"/>
          <w:b/>
        </w:rPr>
        <w:t>Conclusion</w:t>
      </w:r>
    </w:p>
    <w:p w:rsidR="000D7106" w:rsidRPr="00310F06" w:rsidRDefault="000D7106" w:rsidP="000D7106">
      <w:pPr>
        <w:pStyle w:val="NormalWeb"/>
        <w:spacing w:after="240" w:afterAutospacing="0" w:line="360" w:lineRule="auto"/>
        <w:jc w:val="both"/>
        <w:rPr>
          <w:rFonts w:ascii="Arial" w:hAnsi="Arial" w:cs="Arial"/>
        </w:rPr>
      </w:pPr>
      <w:r w:rsidRPr="00310F06">
        <w:rPr>
          <w:rFonts w:ascii="Arial" w:hAnsi="Arial" w:cs="Arial"/>
        </w:rPr>
        <w:t xml:space="preserve">Comparing between the international markets, implementing marketing theory and assessing ethical issues </w:t>
      </w:r>
      <w:proofErr w:type="gramStart"/>
      <w:r w:rsidRPr="00310F06">
        <w:rPr>
          <w:rFonts w:ascii="Arial" w:hAnsi="Arial" w:cs="Arial"/>
        </w:rPr>
        <w:t>was</w:t>
      </w:r>
      <w:proofErr w:type="gramEnd"/>
      <w:r w:rsidRPr="00310F06">
        <w:rPr>
          <w:rFonts w:ascii="Arial" w:hAnsi="Arial" w:cs="Arial"/>
        </w:rPr>
        <w:t xml:space="preserve"> strengthened by the research. Firstly, I spoke about how socio-cultural differences have an impact on Toyota's segmentation, communication and positioning. To the two latter I commented on the usefulness and ethical dangers of hybrid promotion and sustainability claims and foreign direct investment. I need to be more consistent w</w:t>
      </w:r>
      <w:r w:rsidR="00F37F98" w:rsidRPr="00310F06">
        <w:rPr>
          <w:rFonts w:ascii="Arial" w:hAnsi="Arial" w:cs="Arial"/>
        </w:rPr>
        <w:t xml:space="preserve">ith the evidence to </w:t>
      </w:r>
      <w:r w:rsidRPr="00310F06">
        <w:rPr>
          <w:rFonts w:ascii="Arial" w:hAnsi="Arial" w:cs="Arial"/>
        </w:rPr>
        <w:t>evaluation progression for each paragraph, however. I also need to reinforce source management and make sure that the statistics that are used in comparisons are comparable.</w:t>
      </w:r>
    </w:p>
    <w:p w:rsidR="000D7106" w:rsidRPr="00C73C93" w:rsidRDefault="000D7106" w:rsidP="000D7106">
      <w:pPr>
        <w:pStyle w:val="NormalWeb"/>
        <w:spacing w:after="240" w:afterAutospacing="0" w:line="360" w:lineRule="auto"/>
        <w:jc w:val="both"/>
        <w:rPr>
          <w:rFonts w:ascii="Arial" w:hAnsi="Arial" w:cs="Arial"/>
          <w:b/>
        </w:rPr>
      </w:pPr>
      <w:r w:rsidRPr="00C73C93">
        <w:rPr>
          <w:rFonts w:ascii="Arial" w:hAnsi="Arial" w:cs="Arial"/>
          <w:b/>
        </w:rPr>
        <w:t xml:space="preserve"> Action Plan</w:t>
      </w:r>
    </w:p>
    <w:p w:rsidR="000D7106" w:rsidRPr="00310F06" w:rsidRDefault="000D7106" w:rsidP="000D7106">
      <w:pPr>
        <w:pStyle w:val="NormalWeb"/>
        <w:spacing w:after="240" w:afterAutospacing="0" w:line="360" w:lineRule="auto"/>
        <w:jc w:val="both"/>
        <w:rPr>
          <w:rFonts w:ascii="Arial" w:hAnsi="Arial" w:cs="Arial"/>
        </w:rPr>
      </w:pPr>
      <w:r w:rsidRPr="00310F06">
        <w:rPr>
          <w:rFonts w:ascii="Arial" w:hAnsi="Arial" w:cs="Arial"/>
        </w:rPr>
        <w:t>Before researching for future assessments, I will formulate a research question, central argument and evidence plan. I will make a credibility source matrix that will include publication date, methodology, findings and limitations. Evidence gathered from peer-reviewed sources, government and regulatory will be prioritised, with the company reports to be used primarily for organisational information. I will also ensure that the comparative statistics are for similar definitions and dates. My claim, evidence, comparison, implication and limitation paragraph test will be used when I am drafting. Finally, I will provide time for analysis, editing and referencing. These activities should enhance my critical thinking, writing of academic papers and my decisions as a professional researcher, and enable me to make research in the future more efficient and transparent.</w:t>
      </w:r>
    </w:p>
    <w:p w:rsidR="000D7106" w:rsidRPr="00C73C93" w:rsidRDefault="00CE0069" w:rsidP="000D7106">
      <w:pPr>
        <w:pStyle w:val="Heading1"/>
        <w:spacing w:after="240" w:line="360" w:lineRule="auto"/>
        <w:rPr>
          <w:rFonts w:ascii="Arial" w:hAnsi="Arial" w:cs="Arial"/>
          <w:sz w:val="24"/>
          <w:szCs w:val="24"/>
        </w:rPr>
      </w:pPr>
      <w:bookmarkStart w:id="24" w:name="_Toc237266440"/>
      <w:r w:rsidRPr="00C73C93">
        <w:rPr>
          <w:rFonts w:ascii="Arial" w:hAnsi="Arial" w:cs="Arial"/>
          <w:sz w:val="24"/>
          <w:szCs w:val="24"/>
        </w:rPr>
        <w:t>9</w:t>
      </w:r>
      <w:r w:rsidR="000D7106" w:rsidRPr="00C73C93">
        <w:rPr>
          <w:rFonts w:ascii="Arial" w:hAnsi="Arial" w:cs="Arial"/>
          <w:sz w:val="24"/>
          <w:szCs w:val="24"/>
        </w:rPr>
        <w:t>. Conclusion</w:t>
      </w:r>
      <w:bookmarkEnd w:id="24"/>
    </w:p>
    <w:p w:rsidR="002B7E7E" w:rsidRPr="00310F06" w:rsidRDefault="000D7106" w:rsidP="000D7106">
      <w:pPr>
        <w:pStyle w:val="NormalWeb"/>
        <w:spacing w:after="240" w:afterAutospacing="0" w:line="360" w:lineRule="auto"/>
        <w:jc w:val="both"/>
        <w:rPr>
          <w:rFonts w:ascii="Arial" w:hAnsi="Arial" w:cs="Arial"/>
        </w:rPr>
      </w:pPr>
      <w:r w:rsidRPr="00310F06">
        <w:rPr>
          <w:rFonts w:ascii="Arial" w:hAnsi="Arial" w:cs="Arial"/>
        </w:rPr>
        <w:t xml:space="preserve">Toyota's global success is based on uniformity of reliability and operational discipline; and local adaptation where appropriate. While Japan offers cultural alignment, manufacturing capability and support for hybrid and hydrogen technologies, the UK needs to get more electrified, digitally engaged and meet more demanding emissions targets. Cultural differences also impact communication. Japanese consumers are more interested in durability and risk reduction, whilst UK consumers prioritise individual choice, sustainability and convenience. Toyota's adapted STP and 7Ps strategies are therefore still suitable, but credibility of the claims must be transparent on the environmental side. A faster pace of battery electric development is needed along with improved </w:t>
      </w:r>
      <w:proofErr w:type="spellStart"/>
      <w:r w:rsidRPr="00310F06">
        <w:rPr>
          <w:rFonts w:ascii="Arial" w:hAnsi="Arial" w:cs="Arial"/>
        </w:rPr>
        <w:t>omnichannel</w:t>
      </w:r>
      <w:proofErr w:type="spellEnd"/>
      <w:r w:rsidRPr="00310F06">
        <w:rPr>
          <w:rFonts w:ascii="Arial" w:hAnsi="Arial" w:cs="Arial"/>
        </w:rPr>
        <w:t xml:space="preserve"> marketing and more transparent sustainability claims on both markets is needed to ensure competitiveness.</w:t>
      </w:r>
    </w:p>
    <w:p w:rsidR="000D7106" w:rsidRPr="00310F06" w:rsidRDefault="000D7106" w:rsidP="000D7106">
      <w:pPr>
        <w:spacing w:after="240" w:line="360" w:lineRule="auto"/>
        <w:jc w:val="both"/>
        <w:rPr>
          <w:rFonts w:ascii="Arial" w:hAnsi="Arial" w:cs="Arial"/>
          <w:sz w:val="24"/>
          <w:szCs w:val="24"/>
        </w:rPr>
      </w:pPr>
    </w:p>
    <w:p w:rsidR="000D7106" w:rsidRDefault="00CE0069" w:rsidP="000D7106">
      <w:pPr>
        <w:pStyle w:val="Heading1"/>
        <w:spacing w:after="240" w:line="360" w:lineRule="auto"/>
        <w:jc w:val="both"/>
        <w:rPr>
          <w:rFonts w:ascii="Arial" w:hAnsi="Arial" w:cs="Arial"/>
          <w:sz w:val="24"/>
          <w:szCs w:val="24"/>
        </w:rPr>
      </w:pPr>
      <w:bookmarkStart w:id="25" w:name="_Toc237266441"/>
      <w:r>
        <w:rPr>
          <w:rFonts w:ascii="Arial" w:hAnsi="Arial" w:cs="Arial"/>
          <w:sz w:val="24"/>
          <w:szCs w:val="24"/>
        </w:rPr>
        <w:t>10</w:t>
      </w:r>
      <w:r w:rsidR="000D7106" w:rsidRPr="00CE49FA">
        <w:rPr>
          <w:rFonts w:ascii="Arial" w:hAnsi="Arial" w:cs="Arial"/>
          <w:sz w:val="24"/>
          <w:szCs w:val="24"/>
        </w:rPr>
        <w:t>. References</w:t>
      </w:r>
      <w:bookmarkEnd w:id="25"/>
    </w:p>
    <w:p w:rsidR="00F72BDA" w:rsidRPr="00F72BDA" w:rsidRDefault="00F72BDA" w:rsidP="00F72BDA">
      <w:pPr>
        <w:pStyle w:val="pdq2pgselectionanchorcontainer"/>
        <w:spacing w:line="360" w:lineRule="auto"/>
        <w:jc w:val="both"/>
        <w:rPr>
          <w:rFonts w:ascii="Arial" w:hAnsi="Arial" w:cs="Arial"/>
        </w:rPr>
      </w:pPr>
      <w:r w:rsidRPr="00F72BDA">
        <w:rPr>
          <w:rFonts w:ascii="Arial" w:hAnsi="Arial" w:cs="Arial"/>
        </w:rPr>
        <w:t xml:space="preserve">Advertising Standards Authority (2023) ‘ASA ruling on Toyota (GB) </w:t>
      </w:r>
      <w:proofErr w:type="spellStart"/>
      <w:r w:rsidRPr="00F72BDA">
        <w:rPr>
          <w:rFonts w:ascii="Arial" w:hAnsi="Arial" w:cs="Arial"/>
        </w:rPr>
        <w:t>plc</w:t>
      </w:r>
      <w:proofErr w:type="spellEnd"/>
      <w:r w:rsidRPr="00F72BDA">
        <w:rPr>
          <w:rFonts w:ascii="Arial" w:hAnsi="Arial" w:cs="Arial"/>
        </w:rPr>
        <w:t xml:space="preserve">: Complaint reference A23-1191673’, 22 November. Available at: </w:t>
      </w:r>
      <w:hyperlink r:id="rId20" w:tgtFrame="_new" w:history="1">
        <w:r w:rsidRPr="00F72BDA">
          <w:rPr>
            <w:rStyle w:val="Hyperlink"/>
            <w:rFonts w:ascii="Arial" w:hAnsi="Arial" w:cs="Arial"/>
          </w:rPr>
          <w:t>https://www.asa.org.uk/rulings/toyota--</w:t>
        </w:r>
        <w:proofErr w:type="spellStart"/>
        <w:r w:rsidRPr="00F72BDA">
          <w:rPr>
            <w:rStyle w:val="Hyperlink"/>
            <w:rFonts w:ascii="Arial" w:hAnsi="Arial" w:cs="Arial"/>
          </w:rPr>
          <w:t>gb</w:t>
        </w:r>
        <w:proofErr w:type="spellEnd"/>
        <w:r w:rsidRPr="00F72BDA">
          <w:rPr>
            <w:rStyle w:val="Hyperlink"/>
            <w:rFonts w:ascii="Arial" w:hAnsi="Arial" w:cs="Arial"/>
          </w:rPr>
          <w:t>--plc-a23-1191673-toyota--</w:t>
        </w:r>
        <w:proofErr w:type="spellStart"/>
        <w:r w:rsidRPr="00F72BDA">
          <w:rPr>
            <w:rStyle w:val="Hyperlink"/>
            <w:rFonts w:ascii="Arial" w:hAnsi="Arial" w:cs="Arial"/>
          </w:rPr>
          <w:t>gb</w:t>
        </w:r>
        <w:proofErr w:type="spellEnd"/>
        <w:r w:rsidRPr="00F72BDA">
          <w:rPr>
            <w:rStyle w:val="Hyperlink"/>
            <w:rFonts w:ascii="Arial" w:hAnsi="Arial" w:cs="Arial"/>
          </w:rPr>
          <w:t>--plc.html</w:t>
        </w:r>
      </w:hyperlink>
      <w:r w:rsidRPr="00F72BDA">
        <w:rPr>
          <w:rFonts w:ascii="Arial" w:hAnsi="Arial" w:cs="Arial"/>
        </w:rPr>
        <w:t xml:space="preserve"> (Accessed: 4 August 2026). </w:t>
      </w:r>
    </w:p>
    <w:p w:rsidR="00F72BDA" w:rsidRPr="00F72BDA" w:rsidRDefault="00F72BDA" w:rsidP="00F72BDA">
      <w:pPr>
        <w:pStyle w:val="pdq2pgselectionanchorcontainer"/>
        <w:spacing w:line="360" w:lineRule="auto"/>
        <w:jc w:val="both"/>
        <w:rPr>
          <w:rFonts w:ascii="Arial" w:hAnsi="Arial" w:cs="Arial"/>
        </w:rPr>
      </w:pPr>
      <w:r w:rsidRPr="00F72BDA">
        <w:rPr>
          <w:rFonts w:ascii="Arial" w:hAnsi="Arial" w:cs="Arial"/>
        </w:rPr>
        <w:t xml:space="preserve">Bank of England (2024) </w:t>
      </w:r>
      <w:r w:rsidRPr="00F72BDA">
        <w:rPr>
          <w:rStyle w:val="Emphasis"/>
          <w:rFonts w:ascii="Arial" w:hAnsi="Arial" w:cs="Arial"/>
        </w:rPr>
        <w:t>Monetary Policy Report: November 2024</w:t>
      </w:r>
      <w:r w:rsidRPr="00F72BDA">
        <w:rPr>
          <w:rFonts w:ascii="Arial" w:hAnsi="Arial" w:cs="Arial"/>
        </w:rPr>
        <w:t xml:space="preserve">. London: Bank of England. Available at: </w:t>
      </w:r>
      <w:hyperlink r:id="rId21" w:tgtFrame="_new" w:history="1">
        <w:r w:rsidRPr="00F72BDA">
          <w:rPr>
            <w:rStyle w:val="Hyperlink"/>
            <w:rFonts w:ascii="Arial" w:hAnsi="Arial" w:cs="Arial"/>
          </w:rPr>
          <w:t>https://www.bankofengland.co.uk/monetary-policy-report/2024/november-2024</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spellStart"/>
      <w:r w:rsidRPr="00F72BDA">
        <w:rPr>
          <w:rFonts w:ascii="Arial" w:hAnsi="Arial" w:cs="Arial"/>
        </w:rPr>
        <w:t>Bassot</w:t>
      </w:r>
      <w:proofErr w:type="spellEnd"/>
      <w:r w:rsidRPr="00F72BDA">
        <w:rPr>
          <w:rFonts w:ascii="Arial" w:hAnsi="Arial" w:cs="Arial"/>
        </w:rPr>
        <w:t xml:space="preserve">, B. (2020) </w:t>
      </w:r>
      <w:proofErr w:type="gramStart"/>
      <w:r w:rsidRPr="00F72BDA">
        <w:rPr>
          <w:rStyle w:val="Emphasis"/>
          <w:rFonts w:ascii="Arial" w:hAnsi="Arial" w:cs="Arial"/>
        </w:rPr>
        <w:t>The</w:t>
      </w:r>
      <w:proofErr w:type="gramEnd"/>
      <w:r w:rsidRPr="00F72BDA">
        <w:rPr>
          <w:rStyle w:val="Emphasis"/>
          <w:rFonts w:ascii="Arial" w:hAnsi="Arial" w:cs="Arial"/>
        </w:rPr>
        <w:t xml:space="preserve"> Reflective Journal</w:t>
      </w:r>
      <w:r w:rsidRPr="00F72BDA">
        <w:rPr>
          <w:rFonts w:ascii="Arial" w:hAnsi="Arial" w:cs="Arial"/>
        </w:rPr>
        <w:t xml:space="preserve">. </w:t>
      </w:r>
      <w:proofErr w:type="gramStart"/>
      <w:r w:rsidRPr="00F72BDA">
        <w:rPr>
          <w:rFonts w:ascii="Arial" w:hAnsi="Arial" w:cs="Arial"/>
        </w:rPr>
        <w:t xml:space="preserve">3rd </w:t>
      </w:r>
      <w:proofErr w:type="spellStart"/>
      <w:r w:rsidRPr="00F72BDA">
        <w:rPr>
          <w:rFonts w:ascii="Arial" w:hAnsi="Arial" w:cs="Arial"/>
        </w:rPr>
        <w:t>edn</w:t>
      </w:r>
      <w:proofErr w:type="spellEnd"/>
      <w:r w:rsidRPr="00F72BDA">
        <w:rPr>
          <w:rFonts w:ascii="Arial" w:hAnsi="Arial" w:cs="Arial"/>
        </w:rPr>
        <w:t>.</w:t>
      </w:r>
      <w:proofErr w:type="gramEnd"/>
      <w:r w:rsidRPr="00F72BDA">
        <w:rPr>
          <w:rFonts w:ascii="Arial" w:hAnsi="Arial" w:cs="Arial"/>
        </w:rPr>
        <w:t xml:space="preserve"> London: Bloomsbury Academic. </w:t>
      </w:r>
    </w:p>
    <w:p w:rsidR="00F72BDA" w:rsidRPr="00F72BDA" w:rsidRDefault="00F72BDA" w:rsidP="00F72BDA">
      <w:pPr>
        <w:pStyle w:val="NormalWeb"/>
        <w:spacing w:line="360" w:lineRule="auto"/>
        <w:jc w:val="both"/>
        <w:rPr>
          <w:rFonts w:ascii="Arial" w:hAnsi="Arial" w:cs="Arial"/>
        </w:rPr>
      </w:pPr>
      <w:proofErr w:type="spellStart"/>
      <w:r w:rsidRPr="00F72BDA">
        <w:rPr>
          <w:rFonts w:ascii="Arial" w:hAnsi="Arial" w:cs="Arial"/>
        </w:rPr>
        <w:t>Cavusgil</w:t>
      </w:r>
      <w:proofErr w:type="spellEnd"/>
      <w:r w:rsidRPr="00F72BDA">
        <w:rPr>
          <w:rFonts w:ascii="Arial" w:hAnsi="Arial" w:cs="Arial"/>
        </w:rPr>
        <w:t xml:space="preserve">, S.T., Knight, G. and </w:t>
      </w:r>
      <w:proofErr w:type="spellStart"/>
      <w:r w:rsidRPr="00F72BDA">
        <w:rPr>
          <w:rFonts w:ascii="Arial" w:hAnsi="Arial" w:cs="Arial"/>
        </w:rPr>
        <w:t>Riesenberger</w:t>
      </w:r>
      <w:proofErr w:type="spellEnd"/>
      <w:r w:rsidRPr="00F72BDA">
        <w:rPr>
          <w:rFonts w:ascii="Arial" w:hAnsi="Arial" w:cs="Arial"/>
        </w:rPr>
        <w:t xml:space="preserve">, J.R. (2020) </w:t>
      </w:r>
      <w:r w:rsidRPr="00F72BDA">
        <w:rPr>
          <w:rStyle w:val="Emphasis"/>
          <w:rFonts w:ascii="Arial" w:hAnsi="Arial" w:cs="Arial"/>
        </w:rPr>
        <w:t>International Business: The New Realities</w:t>
      </w:r>
      <w:r w:rsidRPr="00F72BDA">
        <w:rPr>
          <w:rFonts w:ascii="Arial" w:hAnsi="Arial" w:cs="Arial"/>
        </w:rPr>
        <w:t xml:space="preserve">. </w:t>
      </w:r>
      <w:proofErr w:type="gramStart"/>
      <w:r w:rsidRPr="00F72BDA">
        <w:rPr>
          <w:rFonts w:ascii="Arial" w:hAnsi="Arial" w:cs="Arial"/>
        </w:rPr>
        <w:t xml:space="preserve">5th </w:t>
      </w:r>
      <w:proofErr w:type="spellStart"/>
      <w:r w:rsidRPr="00F72BDA">
        <w:rPr>
          <w:rFonts w:ascii="Arial" w:hAnsi="Arial" w:cs="Arial"/>
        </w:rPr>
        <w:t>edn</w:t>
      </w:r>
      <w:proofErr w:type="spellEnd"/>
      <w:r w:rsidRPr="00F72BDA">
        <w:rPr>
          <w:rFonts w:ascii="Arial" w:hAnsi="Arial" w:cs="Arial"/>
        </w:rPr>
        <w:t>.</w:t>
      </w:r>
      <w:proofErr w:type="gramEnd"/>
      <w:r w:rsidRPr="00F72BDA">
        <w:rPr>
          <w:rFonts w:ascii="Arial" w:hAnsi="Arial" w:cs="Arial"/>
        </w:rPr>
        <w:t xml:space="preserve"> Harlow: Pearson Education.</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Climate Change Committee (2024) </w:t>
      </w:r>
      <w:r w:rsidRPr="00F72BDA">
        <w:rPr>
          <w:rStyle w:val="Emphasis"/>
          <w:rFonts w:ascii="Arial" w:hAnsi="Arial" w:cs="Arial"/>
        </w:rPr>
        <w:t>Progress in Reducing Emissions: 2024 Report to Parliament</w:t>
      </w:r>
      <w:r w:rsidRPr="00F72BDA">
        <w:rPr>
          <w:rFonts w:ascii="Arial" w:hAnsi="Arial" w:cs="Arial"/>
        </w:rPr>
        <w:t xml:space="preserve">. London: Climate Change Committee. Available at: </w:t>
      </w:r>
      <w:hyperlink r:id="rId22" w:tgtFrame="_new" w:history="1">
        <w:r w:rsidRPr="00F72BDA">
          <w:rPr>
            <w:rStyle w:val="Hyperlink"/>
            <w:rFonts w:ascii="Arial" w:hAnsi="Arial" w:cs="Arial"/>
          </w:rPr>
          <w:t>https://www.theccc.org.uk/publication/progress-in-reducing-emissions-2024-report-to-parliament/</w:t>
        </w:r>
      </w:hyperlink>
      <w:r w:rsidRPr="00F72BDA">
        <w:rPr>
          <w:rFonts w:ascii="Arial" w:hAnsi="Arial" w:cs="Arial"/>
        </w:rPr>
        <w:t xml:space="preserve"> (Accessed: 4 August 2026).</w:t>
      </w:r>
    </w:p>
    <w:p w:rsidR="00F72BDA" w:rsidRPr="00F72BDA" w:rsidRDefault="00F72BDA" w:rsidP="00F72BDA">
      <w:pPr>
        <w:pStyle w:val="NormalWeb"/>
        <w:spacing w:before="0" w:beforeAutospacing="0" w:after="240" w:afterAutospacing="0" w:line="360" w:lineRule="auto"/>
        <w:jc w:val="both"/>
        <w:rPr>
          <w:rFonts w:ascii="Arial" w:hAnsi="Arial" w:cs="Arial"/>
        </w:rPr>
      </w:pPr>
      <w:proofErr w:type="spellStart"/>
      <w:proofErr w:type="gramStart"/>
      <w:r w:rsidRPr="00F72BDA">
        <w:rPr>
          <w:rFonts w:ascii="Arial" w:hAnsi="Arial" w:cs="Arial"/>
        </w:rPr>
        <w:t>Collidu</w:t>
      </w:r>
      <w:proofErr w:type="spellEnd"/>
      <w:r w:rsidRPr="00F72BDA">
        <w:rPr>
          <w:rFonts w:ascii="Arial" w:hAnsi="Arial" w:cs="Arial"/>
        </w:rPr>
        <w:t xml:space="preserve"> (2024).</w:t>
      </w:r>
      <w:proofErr w:type="gramEnd"/>
      <w:r w:rsidRPr="00F72BDA">
        <w:rPr>
          <w:rFonts w:ascii="Arial" w:hAnsi="Arial" w:cs="Arial"/>
        </w:rPr>
        <w:t xml:space="preserve"> </w:t>
      </w:r>
      <w:r w:rsidRPr="00F72BDA">
        <w:rPr>
          <w:rFonts w:ascii="Arial" w:hAnsi="Arial" w:cs="Arial"/>
          <w:i/>
          <w:iCs/>
        </w:rPr>
        <w:t>7 P’s of marketing mix</w:t>
      </w:r>
      <w:r w:rsidRPr="00F72BDA">
        <w:rPr>
          <w:rFonts w:ascii="Arial" w:hAnsi="Arial" w:cs="Arial"/>
        </w:rPr>
        <w:t>. [</w:t>
      </w:r>
      <w:proofErr w:type="gramStart"/>
      <w:r w:rsidRPr="00F72BDA">
        <w:rPr>
          <w:rFonts w:ascii="Arial" w:hAnsi="Arial" w:cs="Arial"/>
        </w:rPr>
        <w:t>online</w:t>
      </w:r>
      <w:proofErr w:type="gramEnd"/>
      <w:r w:rsidRPr="00F72BDA">
        <w:rPr>
          <w:rFonts w:ascii="Arial" w:hAnsi="Arial" w:cs="Arial"/>
        </w:rPr>
        <w:t xml:space="preserve">] </w:t>
      </w:r>
      <w:r w:rsidRPr="00F72BDA">
        <w:rPr>
          <w:rFonts w:ascii="Arial" w:hAnsi="Arial" w:cs="Arial"/>
          <w:i/>
          <w:iCs/>
        </w:rPr>
        <w:t>Collidu.com</w:t>
      </w:r>
      <w:r w:rsidRPr="00F72BDA">
        <w:rPr>
          <w:rFonts w:ascii="Arial" w:hAnsi="Arial" w:cs="Arial"/>
        </w:rPr>
        <w:t>. Available at: https://www.collidu.com/presentation-7-p-of-marketing-mix [Accessed 5 Aug. 2026].</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 xml:space="preserve">Competition and Markets Authority (2021) </w:t>
      </w:r>
      <w:r w:rsidRPr="00F72BDA">
        <w:rPr>
          <w:rStyle w:val="Emphasis"/>
          <w:rFonts w:ascii="Arial" w:hAnsi="Arial" w:cs="Arial"/>
        </w:rPr>
        <w:t>Electric Vehicle Charging Market Study: Final Report</w:t>
      </w:r>
      <w:r w:rsidRPr="00F72BDA">
        <w:rPr>
          <w:rFonts w:ascii="Arial" w:hAnsi="Arial" w:cs="Arial"/>
        </w:rPr>
        <w:t>.</w:t>
      </w:r>
      <w:proofErr w:type="gramEnd"/>
      <w:r w:rsidRPr="00F72BDA">
        <w:rPr>
          <w:rFonts w:ascii="Arial" w:hAnsi="Arial" w:cs="Arial"/>
        </w:rPr>
        <w:t xml:space="preserve"> London: Competition and Markets Authority. Available at: </w:t>
      </w:r>
      <w:hyperlink r:id="rId23" w:tgtFrame="_new" w:history="1">
        <w:r w:rsidRPr="00F72BDA">
          <w:rPr>
            <w:rStyle w:val="Hyperlink"/>
            <w:rFonts w:ascii="Arial" w:hAnsi="Arial" w:cs="Arial"/>
          </w:rPr>
          <w:t>https://www.gov.uk/government/publications/electric-vehicle-charging-market-study-final-report/final-report</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 xml:space="preserve">Cottrell, S. (2023) </w:t>
      </w:r>
      <w:r w:rsidRPr="00F72BDA">
        <w:rPr>
          <w:rStyle w:val="Emphasis"/>
          <w:rFonts w:ascii="Arial" w:hAnsi="Arial" w:cs="Arial"/>
        </w:rPr>
        <w:t>Critical Thinking Skills: Effective Analysis, Argument and Reflection</w:t>
      </w:r>
      <w:r w:rsidRPr="00F72BDA">
        <w:rPr>
          <w:rFonts w:ascii="Arial" w:hAnsi="Arial" w:cs="Arial"/>
        </w:rPr>
        <w:t>.</w:t>
      </w:r>
      <w:proofErr w:type="gramEnd"/>
      <w:r w:rsidRPr="00F72BDA">
        <w:rPr>
          <w:rFonts w:ascii="Arial" w:hAnsi="Arial" w:cs="Arial"/>
        </w:rPr>
        <w:t xml:space="preserve"> </w:t>
      </w:r>
      <w:proofErr w:type="gramStart"/>
      <w:r w:rsidRPr="00F72BDA">
        <w:rPr>
          <w:rFonts w:ascii="Arial" w:hAnsi="Arial" w:cs="Arial"/>
        </w:rPr>
        <w:t xml:space="preserve">4th </w:t>
      </w:r>
      <w:proofErr w:type="spellStart"/>
      <w:r w:rsidRPr="00F72BDA">
        <w:rPr>
          <w:rFonts w:ascii="Arial" w:hAnsi="Arial" w:cs="Arial"/>
        </w:rPr>
        <w:t>edn</w:t>
      </w:r>
      <w:proofErr w:type="spellEnd"/>
      <w:r w:rsidRPr="00F72BDA">
        <w:rPr>
          <w:rFonts w:ascii="Arial" w:hAnsi="Arial" w:cs="Arial"/>
        </w:rPr>
        <w:t>.</w:t>
      </w:r>
      <w:proofErr w:type="gramEnd"/>
      <w:r w:rsidRPr="00F72BDA">
        <w:rPr>
          <w:rFonts w:ascii="Arial" w:hAnsi="Arial" w:cs="Arial"/>
        </w:rPr>
        <w:t xml:space="preserve"> London: Bloomsbury Academic. </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Department for Transport (2023) </w:t>
      </w:r>
      <w:r w:rsidRPr="00F72BDA">
        <w:rPr>
          <w:rStyle w:val="Emphasis"/>
          <w:rFonts w:ascii="Arial" w:hAnsi="Arial" w:cs="Arial"/>
        </w:rPr>
        <w:t>Zero Emission Vehicle Mandate Consultation: Summary of Responses and Joint Government Response</w:t>
      </w:r>
      <w:r w:rsidRPr="00F72BDA">
        <w:rPr>
          <w:rFonts w:ascii="Arial" w:hAnsi="Arial" w:cs="Arial"/>
        </w:rPr>
        <w:t xml:space="preserve">. London: Department for Transport. Available at: </w:t>
      </w:r>
      <w:hyperlink r:id="rId24" w:tgtFrame="_new" w:history="1">
        <w:r w:rsidRPr="00F72BDA">
          <w:rPr>
            <w:rStyle w:val="Hyperlink"/>
            <w:rFonts w:ascii="Arial" w:hAnsi="Arial" w:cs="Arial"/>
          </w:rPr>
          <w:t>https://www.gov.uk/government/consultations/a-zero-emission-vehicle-zev-mandate-and-co2-emissions-regulation-for-new-cars-and-vans-in-the-uk/outcome/zero-emission-vehicle-zev-mandate-consultation-summary-of-responses-and-joint-government-response</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Department for Transport (2025) </w:t>
      </w:r>
      <w:r w:rsidRPr="00F72BDA">
        <w:rPr>
          <w:rStyle w:val="Emphasis"/>
          <w:rFonts w:ascii="Arial" w:hAnsi="Arial" w:cs="Arial"/>
        </w:rPr>
        <w:t>Vehicle Licensing Statistics, United Kingdom: 2024</w:t>
      </w:r>
      <w:r w:rsidRPr="00F72BDA">
        <w:rPr>
          <w:rFonts w:ascii="Arial" w:hAnsi="Arial" w:cs="Arial"/>
        </w:rPr>
        <w:t xml:space="preserve">. London: Department for Transport. Available at: </w:t>
      </w:r>
      <w:hyperlink r:id="rId25" w:tgtFrame="_new" w:history="1">
        <w:r w:rsidRPr="00F72BDA">
          <w:rPr>
            <w:rStyle w:val="Hyperlink"/>
            <w:rFonts w:ascii="Arial" w:hAnsi="Arial" w:cs="Arial"/>
          </w:rPr>
          <w:t>https://www.gov.uk/government/statistics/vehicle-licensing-statistics-2024/vehicle-licensing-statistics-united-kingdom-2024</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spellStart"/>
      <w:r w:rsidRPr="00F72BDA">
        <w:rPr>
          <w:rFonts w:ascii="Arial" w:hAnsi="Arial" w:cs="Arial"/>
        </w:rPr>
        <w:t>Ehrenberger</w:t>
      </w:r>
      <w:proofErr w:type="spellEnd"/>
      <w:r w:rsidRPr="00F72BDA">
        <w:rPr>
          <w:rFonts w:ascii="Arial" w:hAnsi="Arial" w:cs="Arial"/>
        </w:rPr>
        <w:t xml:space="preserve">, S.I., </w:t>
      </w:r>
      <w:proofErr w:type="spellStart"/>
      <w:r w:rsidRPr="00F72BDA">
        <w:rPr>
          <w:rFonts w:ascii="Arial" w:hAnsi="Arial" w:cs="Arial"/>
        </w:rPr>
        <w:t>Konrad</w:t>
      </w:r>
      <w:proofErr w:type="spellEnd"/>
      <w:r w:rsidRPr="00F72BDA">
        <w:rPr>
          <w:rFonts w:ascii="Arial" w:hAnsi="Arial" w:cs="Arial"/>
        </w:rPr>
        <w:t xml:space="preserve">, M. and </w:t>
      </w:r>
      <w:proofErr w:type="spellStart"/>
      <w:r w:rsidRPr="00F72BDA">
        <w:rPr>
          <w:rFonts w:ascii="Arial" w:hAnsi="Arial" w:cs="Arial"/>
        </w:rPr>
        <w:t>Philipps</w:t>
      </w:r>
      <w:proofErr w:type="spellEnd"/>
      <w:r w:rsidRPr="00F72BDA">
        <w:rPr>
          <w:rFonts w:ascii="Arial" w:hAnsi="Arial" w:cs="Arial"/>
        </w:rPr>
        <w:t xml:space="preserve">, F. (2020) ‘Pollutant emissions analysis of three plug-in hybrid electric vehicles using different modes of operation and driving conditions’, </w:t>
      </w:r>
      <w:r w:rsidRPr="00F72BDA">
        <w:rPr>
          <w:rStyle w:val="Emphasis"/>
          <w:rFonts w:ascii="Arial" w:hAnsi="Arial" w:cs="Arial"/>
        </w:rPr>
        <w:t>Atmospheric Environment</w:t>
      </w:r>
      <w:r w:rsidRPr="00F72BDA">
        <w:rPr>
          <w:rFonts w:ascii="Arial" w:hAnsi="Arial" w:cs="Arial"/>
        </w:rPr>
        <w:t xml:space="preserve">, 234, article 117612. </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 xml:space="preserve">Gibbs, G. (1988) </w:t>
      </w:r>
      <w:r w:rsidRPr="00F72BDA">
        <w:rPr>
          <w:rStyle w:val="Emphasis"/>
          <w:rFonts w:ascii="Arial" w:hAnsi="Arial" w:cs="Arial"/>
        </w:rPr>
        <w:t>Learning by Doing: A Guide to Teaching and Learning Methods</w:t>
      </w:r>
      <w:r w:rsidRPr="00F72BDA">
        <w:rPr>
          <w:rFonts w:ascii="Arial" w:hAnsi="Arial" w:cs="Arial"/>
        </w:rPr>
        <w:t>.</w:t>
      </w:r>
      <w:proofErr w:type="gramEnd"/>
      <w:r w:rsidRPr="00F72BDA">
        <w:rPr>
          <w:rFonts w:ascii="Arial" w:hAnsi="Arial" w:cs="Arial"/>
        </w:rPr>
        <w:t xml:space="preserve"> London: Further Education Unit. </w:t>
      </w:r>
    </w:p>
    <w:p w:rsidR="00F72BDA" w:rsidRPr="00F72BDA" w:rsidRDefault="00F72BDA" w:rsidP="00F72BDA">
      <w:pPr>
        <w:pStyle w:val="NormalWeb"/>
        <w:spacing w:line="360" w:lineRule="auto"/>
        <w:jc w:val="both"/>
        <w:rPr>
          <w:rFonts w:ascii="Arial" w:hAnsi="Arial" w:cs="Arial"/>
        </w:rPr>
      </w:pPr>
      <w:proofErr w:type="spellStart"/>
      <w:r w:rsidRPr="00F72BDA">
        <w:rPr>
          <w:rFonts w:ascii="Arial" w:hAnsi="Arial" w:cs="Arial"/>
        </w:rPr>
        <w:t>Hollensen</w:t>
      </w:r>
      <w:proofErr w:type="spellEnd"/>
      <w:r w:rsidRPr="00F72BDA">
        <w:rPr>
          <w:rFonts w:ascii="Arial" w:hAnsi="Arial" w:cs="Arial"/>
        </w:rPr>
        <w:t xml:space="preserve">, S. (2020) </w:t>
      </w:r>
      <w:r w:rsidRPr="00F72BDA">
        <w:rPr>
          <w:rStyle w:val="Emphasis"/>
          <w:rFonts w:ascii="Arial" w:hAnsi="Arial" w:cs="Arial"/>
        </w:rPr>
        <w:t>Global Marketing</w:t>
      </w:r>
      <w:r w:rsidRPr="00F72BDA">
        <w:rPr>
          <w:rFonts w:ascii="Arial" w:hAnsi="Arial" w:cs="Arial"/>
        </w:rPr>
        <w:t xml:space="preserve">. </w:t>
      </w:r>
      <w:proofErr w:type="gramStart"/>
      <w:r w:rsidRPr="00F72BDA">
        <w:rPr>
          <w:rFonts w:ascii="Arial" w:hAnsi="Arial" w:cs="Arial"/>
        </w:rPr>
        <w:t xml:space="preserve">8th </w:t>
      </w:r>
      <w:proofErr w:type="spellStart"/>
      <w:r w:rsidRPr="00F72BDA">
        <w:rPr>
          <w:rFonts w:ascii="Arial" w:hAnsi="Arial" w:cs="Arial"/>
        </w:rPr>
        <w:t>edn</w:t>
      </w:r>
      <w:proofErr w:type="spellEnd"/>
      <w:r w:rsidRPr="00F72BDA">
        <w:rPr>
          <w:rFonts w:ascii="Arial" w:hAnsi="Arial" w:cs="Arial"/>
        </w:rPr>
        <w:t>.</w:t>
      </w:r>
      <w:proofErr w:type="gramEnd"/>
      <w:r w:rsidRPr="00F72BDA">
        <w:rPr>
          <w:rFonts w:ascii="Arial" w:hAnsi="Arial" w:cs="Arial"/>
        </w:rPr>
        <w:t xml:space="preserve"> Harlow: Pearson.</w:t>
      </w:r>
    </w:p>
    <w:p w:rsidR="00F72BDA" w:rsidRPr="00F72BDA" w:rsidRDefault="00F72BDA" w:rsidP="00F72BDA">
      <w:pPr>
        <w:pStyle w:val="NormalWeb"/>
        <w:spacing w:line="360" w:lineRule="auto"/>
        <w:jc w:val="both"/>
        <w:rPr>
          <w:rFonts w:ascii="Arial" w:hAnsi="Arial" w:cs="Arial"/>
        </w:rPr>
      </w:pPr>
      <w:proofErr w:type="spellStart"/>
      <w:proofErr w:type="gramStart"/>
      <w:r w:rsidRPr="00F72BDA">
        <w:rPr>
          <w:rFonts w:ascii="Arial" w:hAnsi="Arial" w:cs="Arial"/>
        </w:rPr>
        <w:t>Interbrand</w:t>
      </w:r>
      <w:proofErr w:type="spellEnd"/>
      <w:r w:rsidRPr="00F72BDA">
        <w:rPr>
          <w:rFonts w:ascii="Arial" w:hAnsi="Arial" w:cs="Arial"/>
        </w:rPr>
        <w:t xml:space="preserve"> (2024) </w:t>
      </w:r>
      <w:r w:rsidRPr="00F72BDA">
        <w:rPr>
          <w:rStyle w:val="Emphasis"/>
          <w:rFonts w:ascii="Arial" w:hAnsi="Arial" w:cs="Arial"/>
        </w:rPr>
        <w:t>Best Global Brands 2024</w:t>
      </w:r>
      <w:r w:rsidRPr="00F72BDA">
        <w:rPr>
          <w:rFonts w:ascii="Arial" w:hAnsi="Arial" w:cs="Arial"/>
        </w:rPr>
        <w:t>.</w:t>
      </w:r>
      <w:proofErr w:type="gramEnd"/>
      <w:r w:rsidRPr="00F72BDA">
        <w:rPr>
          <w:rFonts w:ascii="Arial" w:hAnsi="Arial" w:cs="Arial"/>
        </w:rPr>
        <w:t xml:space="preserve"> New York: </w:t>
      </w:r>
      <w:proofErr w:type="spellStart"/>
      <w:r w:rsidRPr="00F72BDA">
        <w:rPr>
          <w:rFonts w:ascii="Arial" w:hAnsi="Arial" w:cs="Arial"/>
        </w:rPr>
        <w:t>Interbrand</w:t>
      </w:r>
      <w:proofErr w:type="spellEnd"/>
      <w:r w:rsidRPr="00F72BDA">
        <w:rPr>
          <w:rFonts w:ascii="Arial" w:hAnsi="Arial" w:cs="Arial"/>
        </w:rPr>
        <w:t xml:space="preserve">. Available at: </w:t>
      </w:r>
      <w:hyperlink r:id="rId26" w:tgtFrame="_new" w:history="1">
        <w:r w:rsidRPr="00F72BDA">
          <w:rPr>
            <w:rStyle w:val="Hyperlink"/>
            <w:rFonts w:ascii="Arial" w:hAnsi="Arial" w:cs="Arial"/>
          </w:rPr>
          <w:t>https://interbrand.com/best-global-brands/</w:t>
        </w:r>
      </w:hyperlink>
      <w:r w:rsidRPr="00F72BDA">
        <w:rPr>
          <w:rFonts w:ascii="Arial" w:hAnsi="Arial" w:cs="Arial"/>
        </w:rPr>
        <w:t xml:space="preserve"> (Accessed: 12 July 2026).</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International Monetary Fund (2024) </w:t>
      </w:r>
      <w:r w:rsidRPr="00F72BDA">
        <w:rPr>
          <w:rStyle w:val="Emphasis"/>
          <w:rFonts w:ascii="Arial" w:hAnsi="Arial" w:cs="Arial"/>
        </w:rPr>
        <w:t>Japan: 2024 Article IV Consultation—Press Release, Staff Report and Statement by the Executive Director for Japan</w:t>
      </w:r>
      <w:r w:rsidRPr="00F72BDA">
        <w:rPr>
          <w:rFonts w:ascii="Arial" w:hAnsi="Arial" w:cs="Arial"/>
        </w:rPr>
        <w:t xml:space="preserve">. IMF Country Report No. 24/118. Washington, DC: International Monetary Fund. Available at: </w:t>
      </w:r>
      <w:hyperlink r:id="rId27" w:tgtFrame="_new" w:history="1">
        <w:r w:rsidRPr="00F72BDA">
          <w:rPr>
            <w:rStyle w:val="Hyperlink"/>
            <w:rFonts w:ascii="Arial" w:hAnsi="Arial" w:cs="Arial"/>
          </w:rPr>
          <w:t>https://www.imf.org/en/publications/cr/issues/2024/05/13/japan-2024-article-iv-consultation-press-release-staff-report-and-statement-by-the-548845</w:t>
        </w:r>
      </w:hyperlink>
      <w:r w:rsidRPr="00F72BDA">
        <w:rPr>
          <w:rFonts w:ascii="Arial" w:hAnsi="Arial" w:cs="Arial"/>
        </w:rPr>
        <w:t xml:space="preserve"> (Accessed: 4 August 2026).</w:t>
      </w:r>
    </w:p>
    <w:p w:rsidR="00F72BDA" w:rsidRPr="00F72BDA" w:rsidRDefault="00F72BDA" w:rsidP="00F72BDA">
      <w:pPr>
        <w:pStyle w:val="NormalWeb"/>
        <w:spacing w:before="0" w:beforeAutospacing="0" w:after="240" w:afterAutospacing="0" w:line="360" w:lineRule="auto"/>
        <w:jc w:val="both"/>
        <w:rPr>
          <w:rFonts w:ascii="Arial" w:hAnsi="Arial" w:cs="Arial"/>
        </w:rPr>
      </w:pPr>
      <w:proofErr w:type="spellStart"/>
      <w:r w:rsidRPr="00F72BDA">
        <w:rPr>
          <w:rFonts w:ascii="Arial" w:hAnsi="Arial" w:cs="Arial"/>
        </w:rPr>
        <w:t>Iqbal</w:t>
      </w:r>
      <w:proofErr w:type="spellEnd"/>
      <w:r w:rsidRPr="00F72BDA">
        <w:rPr>
          <w:rFonts w:ascii="Arial" w:hAnsi="Arial" w:cs="Arial"/>
        </w:rPr>
        <w:t xml:space="preserve">, A. (2025). </w:t>
      </w:r>
      <w:r w:rsidRPr="00F72BDA">
        <w:rPr>
          <w:rFonts w:ascii="Arial" w:hAnsi="Arial" w:cs="Arial"/>
          <w:i/>
          <w:iCs/>
        </w:rPr>
        <w:t>PESTLE analysis: The CEO’s guide to future-proofing a business</w:t>
      </w:r>
      <w:r w:rsidRPr="00F72BDA">
        <w:rPr>
          <w:rFonts w:ascii="Arial" w:hAnsi="Arial" w:cs="Arial"/>
        </w:rPr>
        <w:t>. [</w:t>
      </w:r>
      <w:proofErr w:type="gramStart"/>
      <w:r w:rsidRPr="00F72BDA">
        <w:rPr>
          <w:rFonts w:ascii="Arial" w:hAnsi="Arial" w:cs="Arial"/>
        </w:rPr>
        <w:t>online</w:t>
      </w:r>
      <w:proofErr w:type="gramEnd"/>
      <w:r w:rsidRPr="00F72BDA">
        <w:rPr>
          <w:rFonts w:ascii="Arial" w:hAnsi="Arial" w:cs="Arial"/>
        </w:rPr>
        <w:t xml:space="preserve">] </w:t>
      </w:r>
      <w:proofErr w:type="gramStart"/>
      <w:r w:rsidRPr="00F72BDA">
        <w:rPr>
          <w:rFonts w:ascii="Arial" w:hAnsi="Arial" w:cs="Arial"/>
          <w:i/>
          <w:iCs/>
        </w:rPr>
        <w:t>Medium</w:t>
      </w:r>
      <w:r w:rsidRPr="00F72BDA">
        <w:rPr>
          <w:rFonts w:ascii="Arial" w:hAnsi="Arial" w:cs="Arial"/>
        </w:rPr>
        <w:t>.</w:t>
      </w:r>
      <w:proofErr w:type="gramEnd"/>
      <w:r w:rsidRPr="00F72BDA">
        <w:rPr>
          <w:rFonts w:ascii="Arial" w:hAnsi="Arial" w:cs="Arial"/>
        </w:rPr>
        <w:t xml:space="preserve"> </w:t>
      </w:r>
      <w:proofErr w:type="gramStart"/>
      <w:r w:rsidRPr="00F72BDA">
        <w:rPr>
          <w:rFonts w:ascii="Arial" w:hAnsi="Arial" w:cs="Arial"/>
        </w:rPr>
        <w:t>Techno-</w:t>
      </w:r>
      <w:proofErr w:type="spellStart"/>
      <w:r w:rsidRPr="00F72BDA">
        <w:rPr>
          <w:rFonts w:ascii="Arial" w:hAnsi="Arial" w:cs="Arial"/>
        </w:rPr>
        <w:t>Preneurship</w:t>
      </w:r>
      <w:proofErr w:type="spellEnd"/>
      <w:r w:rsidRPr="00F72BDA">
        <w:rPr>
          <w:rFonts w:ascii="Arial" w:hAnsi="Arial" w:cs="Arial"/>
        </w:rPr>
        <w:t>.</w:t>
      </w:r>
      <w:proofErr w:type="gramEnd"/>
      <w:r w:rsidRPr="00F72BDA">
        <w:rPr>
          <w:rFonts w:ascii="Arial" w:hAnsi="Arial" w:cs="Arial"/>
        </w:rPr>
        <w:t xml:space="preserve"> Available at: https://medium.com/techno-preneurship/pestle-analysis-the-ceos-guide-to-future-proofing-a-busine</w:t>
      </w:r>
      <w:r w:rsidR="00024872">
        <w:rPr>
          <w:rFonts w:ascii="Arial" w:hAnsi="Arial" w:cs="Arial"/>
        </w:rPr>
        <w:t>ss-877e6c4e20ea (Accessed 5 August 2026)</w:t>
      </w:r>
      <w:r w:rsidRPr="00F72BDA">
        <w:rPr>
          <w:rFonts w:ascii="Arial" w:hAnsi="Arial" w:cs="Arial"/>
        </w:rPr>
        <w:t>.</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 xml:space="preserve">Kolb, D.A. (2015) </w:t>
      </w:r>
      <w:r w:rsidRPr="00F72BDA">
        <w:rPr>
          <w:rStyle w:val="Emphasis"/>
          <w:rFonts w:ascii="Arial" w:hAnsi="Arial" w:cs="Arial"/>
        </w:rPr>
        <w:t>Experiential Learning: Experience as the Source of Learning and Development</w:t>
      </w:r>
      <w:r w:rsidRPr="00F72BDA">
        <w:rPr>
          <w:rFonts w:ascii="Arial" w:hAnsi="Arial" w:cs="Arial"/>
        </w:rPr>
        <w:t>.</w:t>
      </w:r>
      <w:proofErr w:type="gramEnd"/>
      <w:r w:rsidRPr="00F72BDA">
        <w:rPr>
          <w:rFonts w:ascii="Arial" w:hAnsi="Arial" w:cs="Arial"/>
        </w:rPr>
        <w:t xml:space="preserve"> </w:t>
      </w:r>
      <w:proofErr w:type="gramStart"/>
      <w:r w:rsidRPr="00F72BDA">
        <w:rPr>
          <w:rFonts w:ascii="Arial" w:hAnsi="Arial" w:cs="Arial"/>
        </w:rPr>
        <w:t xml:space="preserve">2nd </w:t>
      </w:r>
      <w:proofErr w:type="spellStart"/>
      <w:r w:rsidRPr="00F72BDA">
        <w:rPr>
          <w:rFonts w:ascii="Arial" w:hAnsi="Arial" w:cs="Arial"/>
        </w:rPr>
        <w:t>edn</w:t>
      </w:r>
      <w:proofErr w:type="spellEnd"/>
      <w:r w:rsidRPr="00F72BDA">
        <w:rPr>
          <w:rFonts w:ascii="Arial" w:hAnsi="Arial" w:cs="Arial"/>
        </w:rPr>
        <w:t>.</w:t>
      </w:r>
      <w:proofErr w:type="gramEnd"/>
      <w:r w:rsidRPr="00F72BDA">
        <w:rPr>
          <w:rFonts w:ascii="Arial" w:hAnsi="Arial" w:cs="Arial"/>
        </w:rPr>
        <w:t xml:space="preserve"> Upper Saddle River, NJ: Pearson Education. </w:t>
      </w:r>
    </w:p>
    <w:p w:rsidR="00F72BDA" w:rsidRPr="00F72BDA" w:rsidRDefault="00F72BDA" w:rsidP="00F72BDA">
      <w:pPr>
        <w:pStyle w:val="NormalWeb"/>
        <w:spacing w:line="360" w:lineRule="auto"/>
        <w:jc w:val="both"/>
        <w:rPr>
          <w:rFonts w:ascii="Arial" w:hAnsi="Arial" w:cs="Arial"/>
        </w:rPr>
      </w:pPr>
      <w:proofErr w:type="spellStart"/>
      <w:r w:rsidRPr="00F72BDA">
        <w:rPr>
          <w:rFonts w:ascii="Arial" w:hAnsi="Arial" w:cs="Arial"/>
        </w:rPr>
        <w:t>Kotler</w:t>
      </w:r>
      <w:proofErr w:type="spellEnd"/>
      <w:r w:rsidRPr="00F72BDA">
        <w:rPr>
          <w:rFonts w:ascii="Arial" w:hAnsi="Arial" w:cs="Arial"/>
        </w:rPr>
        <w:t xml:space="preserve">, P., Armstrong, G. and </w:t>
      </w:r>
      <w:proofErr w:type="spellStart"/>
      <w:r w:rsidRPr="00F72BDA">
        <w:rPr>
          <w:rFonts w:ascii="Arial" w:hAnsi="Arial" w:cs="Arial"/>
        </w:rPr>
        <w:t>Balasubramanian</w:t>
      </w:r>
      <w:proofErr w:type="spellEnd"/>
      <w:r w:rsidRPr="00F72BDA">
        <w:rPr>
          <w:rFonts w:ascii="Arial" w:hAnsi="Arial" w:cs="Arial"/>
        </w:rPr>
        <w:t xml:space="preserve">, S. (2024) </w:t>
      </w:r>
      <w:r w:rsidRPr="00F72BDA">
        <w:rPr>
          <w:rStyle w:val="Emphasis"/>
          <w:rFonts w:ascii="Arial" w:hAnsi="Arial" w:cs="Arial"/>
        </w:rPr>
        <w:t>Principles of Marketing</w:t>
      </w:r>
      <w:r w:rsidRPr="00F72BDA">
        <w:rPr>
          <w:rFonts w:ascii="Arial" w:hAnsi="Arial" w:cs="Arial"/>
        </w:rPr>
        <w:t xml:space="preserve">. </w:t>
      </w:r>
      <w:proofErr w:type="gramStart"/>
      <w:r w:rsidRPr="00F72BDA">
        <w:rPr>
          <w:rFonts w:ascii="Arial" w:hAnsi="Arial" w:cs="Arial"/>
        </w:rPr>
        <w:t xml:space="preserve">19th </w:t>
      </w:r>
      <w:proofErr w:type="spellStart"/>
      <w:r w:rsidRPr="00F72BDA">
        <w:rPr>
          <w:rFonts w:ascii="Arial" w:hAnsi="Arial" w:cs="Arial"/>
        </w:rPr>
        <w:t>edn</w:t>
      </w:r>
      <w:proofErr w:type="spellEnd"/>
      <w:r w:rsidRPr="00F72BDA">
        <w:rPr>
          <w:rFonts w:ascii="Arial" w:hAnsi="Arial" w:cs="Arial"/>
        </w:rPr>
        <w:t>.</w:t>
      </w:r>
      <w:proofErr w:type="gramEnd"/>
      <w:r w:rsidRPr="00F72BDA">
        <w:rPr>
          <w:rFonts w:ascii="Arial" w:hAnsi="Arial" w:cs="Arial"/>
        </w:rPr>
        <w:t xml:space="preserve"> Harlow: Pearson Education.</w:t>
      </w:r>
    </w:p>
    <w:p w:rsidR="00F72BDA" w:rsidRPr="00F72BDA" w:rsidRDefault="00F72BDA" w:rsidP="00F72BDA">
      <w:pPr>
        <w:pStyle w:val="NormalWeb"/>
        <w:spacing w:before="0" w:beforeAutospacing="0" w:after="240" w:afterAutospacing="0" w:line="360" w:lineRule="auto"/>
        <w:jc w:val="both"/>
        <w:rPr>
          <w:rFonts w:ascii="Arial" w:hAnsi="Arial" w:cs="Arial"/>
        </w:rPr>
      </w:pPr>
      <w:proofErr w:type="gramStart"/>
      <w:r w:rsidRPr="00F72BDA">
        <w:rPr>
          <w:rFonts w:ascii="Arial" w:hAnsi="Arial" w:cs="Arial"/>
        </w:rPr>
        <w:t>McLeod, S. (2025).</w:t>
      </w:r>
      <w:proofErr w:type="gramEnd"/>
      <w:r w:rsidRPr="00F72BDA">
        <w:rPr>
          <w:rFonts w:ascii="Arial" w:hAnsi="Arial" w:cs="Arial"/>
        </w:rPr>
        <w:t xml:space="preserve"> </w:t>
      </w:r>
      <w:proofErr w:type="gramStart"/>
      <w:r w:rsidRPr="00F72BDA">
        <w:rPr>
          <w:rFonts w:ascii="Arial" w:hAnsi="Arial" w:cs="Arial"/>
          <w:i/>
          <w:iCs/>
        </w:rPr>
        <w:t>Gibbs reflective cycle</w:t>
      </w:r>
      <w:r w:rsidRPr="00F72BDA">
        <w:rPr>
          <w:rFonts w:ascii="Arial" w:hAnsi="Arial" w:cs="Arial"/>
        </w:rPr>
        <w:t>.</w:t>
      </w:r>
      <w:proofErr w:type="gramEnd"/>
      <w:r w:rsidRPr="00F72BDA">
        <w:rPr>
          <w:rFonts w:ascii="Arial" w:hAnsi="Arial" w:cs="Arial"/>
        </w:rPr>
        <w:t xml:space="preserve"> [</w:t>
      </w:r>
      <w:proofErr w:type="gramStart"/>
      <w:r w:rsidRPr="00F72BDA">
        <w:rPr>
          <w:rFonts w:ascii="Arial" w:hAnsi="Arial" w:cs="Arial"/>
        </w:rPr>
        <w:t>online</w:t>
      </w:r>
      <w:proofErr w:type="gramEnd"/>
      <w:r w:rsidRPr="00F72BDA">
        <w:rPr>
          <w:rFonts w:ascii="Arial" w:hAnsi="Arial" w:cs="Arial"/>
        </w:rPr>
        <w:t xml:space="preserve">] </w:t>
      </w:r>
      <w:proofErr w:type="gramStart"/>
      <w:r w:rsidRPr="00F72BDA">
        <w:rPr>
          <w:rFonts w:ascii="Arial" w:hAnsi="Arial" w:cs="Arial"/>
          <w:i/>
          <w:iCs/>
        </w:rPr>
        <w:t>Simply Psychology</w:t>
      </w:r>
      <w:r w:rsidRPr="00F72BDA">
        <w:rPr>
          <w:rFonts w:ascii="Arial" w:hAnsi="Arial" w:cs="Arial"/>
        </w:rPr>
        <w:t>.</w:t>
      </w:r>
      <w:proofErr w:type="gramEnd"/>
      <w:r w:rsidRPr="00F72BDA">
        <w:rPr>
          <w:rFonts w:ascii="Arial" w:hAnsi="Arial" w:cs="Arial"/>
        </w:rPr>
        <w:t xml:space="preserve"> Available at: https://www.simplypsychology.org/gibbs-reflec</w:t>
      </w:r>
      <w:r w:rsidR="00024872">
        <w:rPr>
          <w:rFonts w:ascii="Arial" w:hAnsi="Arial" w:cs="Arial"/>
        </w:rPr>
        <w:t>tive-cycle.html (Accessed 5 August 2026)</w:t>
      </w:r>
      <w:r w:rsidRPr="00F72BDA">
        <w:rPr>
          <w:rFonts w:ascii="Arial" w:hAnsi="Arial" w:cs="Arial"/>
        </w:rPr>
        <w:t>.</w:t>
      </w:r>
    </w:p>
    <w:p w:rsidR="00F72BDA" w:rsidRPr="00F72BDA" w:rsidRDefault="00F72BDA" w:rsidP="00F72BDA">
      <w:pPr>
        <w:pStyle w:val="pdq2pgselectionanchorcontainer"/>
        <w:spacing w:line="360" w:lineRule="auto"/>
        <w:jc w:val="both"/>
        <w:rPr>
          <w:rFonts w:ascii="Arial" w:hAnsi="Arial" w:cs="Arial"/>
        </w:rPr>
      </w:pPr>
      <w:r w:rsidRPr="00F72BDA">
        <w:rPr>
          <w:rFonts w:ascii="Arial" w:hAnsi="Arial" w:cs="Arial"/>
        </w:rPr>
        <w:t xml:space="preserve">Meyer, K.E., Li, C. and </w:t>
      </w:r>
      <w:proofErr w:type="spellStart"/>
      <w:r w:rsidRPr="00F72BDA">
        <w:rPr>
          <w:rFonts w:ascii="Arial" w:hAnsi="Arial" w:cs="Arial"/>
        </w:rPr>
        <w:t>Schotter</w:t>
      </w:r>
      <w:proofErr w:type="spellEnd"/>
      <w:r w:rsidRPr="00F72BDA">
        <w:rPr>
          <w:rFonts w:ascii="Arial" w:hAnsi="Arial" w:cs="Arial"/>
        </w:rPr>
        <w:t xml:space="preserve">, A.P.J. (2020) ‘Managing the MNE subsidiary: Advancing a multi-level and dynamic research agenda’, </w:t>
      </w:r>
      <w:r w:rsidRPr="00F72BDA">
        <w:rPr>
          <w:rStyle w:val="Emphasis"/>
          <w:rFonts w:ascii="Arial" w:hAnsi="Arial" w:cs="Arial"/>
        </w:rPr>
        <w:t>Journal of International Business Studies</w:t>
      </w:r>
      <w:r w:rsidRPr="00F72BDA">
        <w:rPr>
          <w:rFonts w:ascii="Arial" w:hAnsi="Arial" w:cs="Arial"/>
        </w:rPr>
        <w:t xml:space="preserve">, 51(4), pp. 538–576. </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Ministry of Economy, Trade and Industry (2023) ‘Guidelines for promoting the development of EV charging infrastructure formulated’, 18 October.</w:t>
      </w:r>
      <w:proofErr w:type="gramEnd"/>
      <w:r w:rsidRPr="00F72BDA">
        <w:rPr>
          <w:rFonts w:ascii="Arial" w:hAnsi="Arial" w:cs="Arial"/>
        </w:rPr>
        <w:t xml:space="preserve"> Available at: </w:t>
      </w:r>
      <w:hyperlink r:id="rId28" w:tgtFrame="_new" w:history="1">
        <w:r w:rsidRPr="00F72BDA">
          <w:rPr>
            <w:rStyle w:val="Hyperlink"/>
            <w:rFonts w:ascii="Arial" w:hAnsi="Arial" w:cs="Arial"/>
          </w:rPr>
          <w:t>https://www.meti.go.jp/english/press/2023/1018_002.html</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Ministry of Economy, Trade and Industry (2024) ‘Mobility Digital Transformation (DX) Strategy formulated’, 24 May.</w:t>
      </w:r>
      <w:proofErr w:type="gramEnd"/>
      <w:r w:rsidRPr="00F72BDA">
        <w:rPr>
          <w:rFonts w:ascii="Arial" w:hAnsi="Arial" w:cs="Arial"/>
        </w:rPr>
        <w:t xml:space="preserve"> Available at: </w:t>
      </w:r>
      <w:hyperlink r:id="rId29" w:tgtFrame="_new" w:history="1">
        <w:r w:rsidRPr="00F72BDA">
          <w:rPr>
            <w:rStyle w:val="Hyperlink"/>
            <w:rFonts w:ascii="Arial" w:hAnsi="Arial" w:cs="Arial"/>
          </w:rPr>
          <w:t>https://www.meti.go.jp/english/press/2024/0524_002.html</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spellStart"/>
      <w:proofErr w:type="gramStart"/>
      <w:r w:rsidRPr="00F72BDA">
        <w:rPr>
          <w:rFonts w:ascii="Arial" w:hAnsi="Arial" w:cs="Arial"/>
        </w:rPr>
        <w:t>Minkov</w:t>
      </w:r>
      <w:proofErr w:type="spellEnd"/>
      <w:r w:rsidRPr="00F72BDA">
        <w:rPr>
          <w:rFonts w:ascii="Arial" w:hAnsi="Arial" w:cs="Arial"/>
        </w:rPr>
        <w:t xml:space="preserve">, M. and </w:t>
      </w:r>
      <w:proofErr w:type="spellStart"/>
      <w:r w:rsidRPr="00F72BDA">
        <w:rPr>
          <w:rFonts w:ascii="Arial" w:hAnsi="Arial" w:cs="Arial"/>
        </w:rPr>
        <w:t>Kaasa</w:t>
      </w:r>
      <w:proofErr w:type="spellEnd"/>
      <w:r w:rsidRPr="00F72BDA">
        <w:rPr>
          <w:rFonts w:ascii="Arial" w:hAnsi="Arial" w:cs="Arial"/>
        </w:rPr>
        <w:t>, A. (2022) ‘Do dimensions of culture exist objectively?</w:t>
      </w:r>
      <w:proofErr w:type="gramEnd"/>
      <w:r w:rsidRPr="00F72BDA">
        <w:rPr>
          <w:rFonts w:ascii="Arial" w:hAnsi="Arial" w:cs="Arial"/>
        </w:rPr>
        <w:t xml:space="preserve"> A validation of the revised </w:t>
      </w:r>
      <w:proofErr w:type="spellStart"/>
      <w:r w:rsidRPr="00F72BDA">
        <w:rPr>
          <w:rFonts w:ascii="Arial" w:hAnsi="Arial" w:cs="Arial"/>
        </w:rPr>
        <w:t>Minkov</w:t>
      </w:r>
      <w:proofErr w:type="spellEnd"/>
      <w:r w:rsidRPr="00F72BDA">
        <w:rPr>
          <w:rFonts w:ascii="Arial" w:hAnsi="Arial" w:cs="Arial"/>
        </w:rPr>
        <w:t>–</w:t>
      </w:r>
      <w:proofErr w:type="spellStart"/>
      <w:r w:rsidRPr="00F72BDA">
        <w:rPr>
          <w:rFonts w:ascii="Arial" w:hAnsi="Arial" w:cs="Arial"/>
        </w:rPr>
        <w:t>Hofstede</w:t>
      </w:r>
      <w:proofErr w:type="spellEnd"/>
      <w:r w:rsidRPr="00F72BDA">
        <w:rPr>
          <w:rFonts w:ascii="Arial" w:hAnsi="Arial" w:cs="Arial"/>
        </w:rPr>
        <w:t xml:space="preserve"> model of culture with World Values Survey items and scores for 102 countries’, </w:t>
      </w:r>
      <w:r w:rsidRPr="00F72BDA">
        <w:rPr>
          <w:rStyle w:val="Emphasis"/>
          <w:rFonts w:ascii="Arial" w:hAnsi="Arial" w:cs="Arial"/>
        </w:rPr>
        <w:t>Journal of International Management</w:t>
      </w:r>
      <w:r w:rsidRPr="00F72BDA">
        <w:rPr>
          <w:rFonts w:ascii="Arial" w:hAnsi="Arial" w:cs="Arial"/>
        </w:rPr>
        <w:t xml:space="preserve">, 28(4), article 100971. </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Office for National Statistics (2025) </w:t>
      </w:r>
      <w:r w:rsidRPr="00F72BDA">
        <w:rPr>
          <w:rStyle w:val="Emphasis"/>
          <w:rFonts w:ascii="Arial" w:hAnsi="Arial" w:cs="Arial"/>
        </w:rPr>
        <w:t>Consumer Price Inflation, UK: December 2024</w:t>
      </w:r>
      <w:r w:rsidRPr="00F72BDA">
        <w:rPr>
          <w:rFonts w:ascii="Arial" w:hAnsi="Arial" w:cs="Arial"/>
        </w:rPr>
        <w:t xml:space="preserve">. Newport: Office for National Statistics. Available at: </w:t>
      </w:r>
      <w:hyperlink r:id="rId30" w:tgtFrame="_new" w:history="1">
        <w:r w:rsidRPr="00F72BDA">
          <w:rPr>
            <w:rStyle w:val="Hyperlink"/>
            <w:rFonts w:ascii="Arial" w:hAnsi="Arial" w:cs="Arial"/>
          </w:rPr>
          <w:t>https://www.ons.gov.uk/economy/inflationandpriceindices/bulletins/consumerpriceinflation/december2024</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spellStart"/>
      <w:r w:rsidRPr="00F72BDA">
        <w:rPr>
          <w:rFonts w:ascii="Arial" w:hAnsi="Arial" w:cs="Arial"/>
        </w:rPr>
        <w:t>Orazi</w:t>
      </w:r>
      <w:proofErr w:type="spellEnd"/>
      <w:r w:rsidRPr="00F72BDA">
        <w:rPr>
          <w:rFonts w:ascii="Arial" w:hAnsi="Arial" w:cs="Arial"/>
        </w:rPr>
        <w:t>, D.C. and Chan, E.Y. (2020) ‘“They did not walk the green talk!</w:t>
      </w:r>
      <w:proofErr w:type="gramStart"/>
      <w:r w:rsidRPr="00F72BDA">
        <w:rPr>
          <w:rFonts w:ascii="Arial" w:hAnsi="Arial" w:cs="Arial"/>
        </w:rPr>
        <w:t>”:</w:t>
      </w:r>
      <w:proofErr w:type="gramEnd"/>
      <w:r w:rsidRPr="00F72BDA">
        <w:rPr>
          <w:rFonts w:ascii="Arial" w:hAnsi="Arial" w:cs="Arial"/>
        </w:rPr>
        <w:t xml:space="preserve"> How information specificity influences consumer evaluations of disconfirmed environmental claims’, </w:t>
      </w:r>
      <w:r w:rsidRPr="00F72BDA">
        <w:rPr>
          <w:rStyle w:val="Emphasis"/>
          <w:rFonts w:ascii="Arial" w:hAnsi="Arial" w:cs="Arial"/>
        </w:rPr>
        <w:t>Journal of Business Ethics</w:t>
      </w:r>
      <w:r w:rsidRPr="00F72BDA">
        <w:rPr>
          <w:rFonts w:ascii="Arial" w:hAnsi="Arial" w:cs="Arial"/>
        </w:rPr>
        <w:t xml:space="preserve">, 163(1), pp. 107–123. </w:t>
      </w:r>
    </w:p>
    <w:p w:rsidR="00F72BDA" w:rsidRPr="00F72BDA" w:rsidRDefault="00F72BDA" w:rsidP="00F72BDA">
      <w:pPr>
        <w:pStyle w:val="pdq2pgselectionanchorcontainer"/>
        <w:spacing w:line="360" w:lineRule="auto"/>
        <w:jc w:val="both"/>
        <w:rPr>
          <w:rFonts w:ascii="Arial" w:hAnsi="Arial" w:cs="Arial"/>
        </w:rPr>
      </w:pPr>
      <w:proofErr w:type="spellStart"/>
      <w:r w:rsidRPr="00F72BDA">
        <w:rPr>
          <w:rFonts w:ascii="Arial" w:hAnsi="Arial" w:cs="Arial"/>
        </w:rPr>
        <w:t>Porcu</w:t>
      </w:r>
      <w:proofErr w:type="spellEnd"/>
      <w:r w:rsidRPr="00F72BDA">
        <w:rPr>
          <w:rFonts w:ascii="Arial" w:hAnsi="Arial" w:cs="Arial"/>
        </w:rPr>
        <w:t>, L., del Barrio-</w:t>
      </w:r>
      <w:proofErr w:type="spellStart"/>
      <w:r w:rsidRPr="00F72BDA">
        <w:rPr>
          <w:rFonts w:ascii="Arial" w:hAnsi="Arial" w:cs="Arial"/>
        </w:rPr>
        <w:t>García</w:t>
      </w:r>
      <w:proofErr w:type="spellEnd"/>
      <w:r w:rsidRPr="00F72BDA">
        <w:rPr>
          <w:rFonts w:ascii="Arial" w:hAnsi="Arial" w:cs="Arial"/>
        </w:rPr>
        <w:t xml:space="preserve">, S., Kitchen, P.J. and </w:t>
      </w:r>
      <w:proofErr w:type="spellStart"/>
      <w:r w:rsidRPr="00F72BDA">
        <w:rPr>
          <w:rFonts w:ascii="Arial" w:hAnsi="Arial" w:cs="Arial"/>
        </w:rPr>
        <w:t>Tourky</w:t>
      </w:r>
      <w:proofErr w:type="spellEnd"/>
      <w:r w:rsidRPr="00F72BDA">
        <w:rPr>
          <w:rFonts w:ascii="Arial" w:hAnsi="Arial" w:cs="Arial"/>
        </w:rPr>
        <w:t xml:space="preserve">, M. (2020) ‘The antecedent role of a collaborative versus a controlling corporate culture on firm-wide integrated marketing communication and brand performance’, </w:t>
      </w:r>
      <w:r w:rsidRPr="00F72BDA">
        <w:rPr>
          <w:rStyle w:val="Emphasis"/>
          <w:rFonts w:ascii="Arial" w:hAnsi="Arial" w:cs="Arial"/>
        </w:rPr>
        <w:t>Journal of Business Research</w:t>
      </w:r>
      <w:r w:rsidRPr="00F72BDA">
        <w:rPr>
          <w:rFonts w:ascii="Arial" w:hAnsi="Arial" w:cs="Arial"/>
        </w:rPr>
        <w:t xml:space="preserve">, 119, pp. 435–443. </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 xml:space="preserve">Saunders, M.N.K., Lewis, P. and </w:t>
      </w:r>
      <w:proofErr w:type="spellStart"/>
      <w:r w:rsidRPr="00F72BDA">
        <w:rPr>
          <w:rFonts w:ascii="Arial" w:hAnsi="Arial" w:cs="Arial"/>
        </w:rPr>
        <w:t>Thornhill</w:t>
      </w:r>
      <w:proofErr w:type="spellEnd"/>
      <w:r w:rsidRPr="00F72BDA">
        <w:rPr>
          <w:rFonts w:ascii="Arial" w:hAnsi="Arial" w:cs="Arial"/>
        </w:rPr>
        <w:t xml:space="preserve">, A. (2023) </w:t>
      </w:r>
      <w:r w:rsidRPr="00F72BDA">
        <w:rPr>
          <w:rStyle w:val="Emphasis"/>
          <w:rFonts w:ascii="Arial" w:hAnsi="Arial" w:cs="Arial"/>
        </w:rPr>
        <w:t>Research Methods for Business Students</w:t>
      </w:r>
      <w:r w:rsidRPr="00F72BDA">
        <w:rPr>
          <w:rFonts w:ascii="Arial" w:hAnsi="Arial" w:cs="Arial"/>
        </w:rPr>
        <w:t>.</w:t>
      </w:r>
      <w:proofErr w:type="gramEnd"/>
      <w:r w:rsidRPr="00F72BDA">
        <w:rPr>
          <w:rFonts w:ascii="Arial" w:hAnsi="Arial" w:cs="Arial"/>
        </w:rPr>
        <w:t xml:space="preserve"> </w:t>
      </w:r>
      <w:proofErr w:type="gramStart"/>
      <w:r w:rsidRPr="00F72BDA">
        <w:rPr>
          <w:rFonts w:ascii="Arial" w:hAnsi="Arial" w:cs="Arial"/>
        </w:rPr>
        <w:t xml:space="preserve">9th </w:t>
      </w:r>
      <w:proofErr w:type="spellStart"/>
      <w:r w:rsidRPr="00F72BDA">
        <w:rPr>
          <w:rFonts w:ascii="Arial" w:hAnsi="Arial" w:cs="Arial"/>
        </w:rPr>
        <w:t>edn</w:t>
      </w:r>
      <w:proofErr w:type="spellEnd"/>
      <w:r w:rsidRPr="00F72BDA">
        <w:rPr>
          <w:rFonts w:ascii="Arial" w:hAnsi="Arial" w:cs="Arial"/>
        </w:rPr>
        <w:t>.</w:t>
      </w:r>
      <w:proofErr w:type="gramEnd"/>
      <w:r w:rsidRPr="00F72BDA">
        <w:rPr>
          <w:rFonts w:ascii="Arial" w:hAnsi="Arial" w:cs="Arial"/>
        </w:rPr>
        <w:t xml:space="preserve"> Harlow: Pearson Education. </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Shi, S., Wang, Y., Chen, X. and Zhang, Q. (2020) ‘Conceptualization of </w:t>
      </w:r>
      <w:proofErr w:type="spellStart"/>
      <w:r w:rsidRPr="00F72BDA">
        <w:rPr>
          <w:rFonts w:ascii="Arial" w:hAnsi="Arial" w:cs="Arial"/>
        </w:rPr>
        <w:t>omnichannel</w:t>
      </w:r>
      <w:proofErr w:type="spellEnd"/>
      <w:r w:rsidRPr="00F72BDA">
        <w:rPr>
          <w:rFonts w:ascii="Arial" w:hAnsi="Arial" w:cs="Arial"/>
        </w:rPr>
        <w:t xml:space="preserve"> customer experience and its impact on shopping intention: A mixed-method approach’, </w:t>
      </w:r>
      <w:r w:rsidRPr="00F72BDA">
        <w:rPr>
          <w:rStyle w:val="Emphasis"/>
          <w:rFonts w:ascii="Arial" w:hAnsi="Arial" w:cs="Arial"/>
        </w:rPr>
        <w:t>International Journal of Information Management</w:t>
      </w:r>
      <w:r w:rsidRPr="00F72BDA">
        <w:rPr>
          <w:rFonts w:ascii="Arial" w:hAnsi="Arial" w:cs="Arial"/>
        </w:rPr>
        <w:t xml:space="preserve">, 50, pp. 325–336. </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Solomon, M.R. and Russell, C.A. (2024) </w:t>
      </w:r>
      <w:r w:rsidRPr="00F72BDA">
        <w:rPr>
          <w:rStyle w:val="Emphasis"/>
          <w:rFonts w:ascii="Arial" w:hAnsi="Arial" w:cs="Arial"/>
        </w:rPr>
        <w:t xml:space="preserve">Consumer </w:t>
      </w:r>
      <w:proofErr w:type="spellStart"/>
      <w:r w:rsidRPr="00F72BDA">
        <w:rPr>
          <w:rStyle w:val="Emphasis"/>
          <w:rFonts w:ascii="Arial" w:hAnsi="Arial" w:cs="Arial"/>
        </w:rPr>
        <w:t>Behavior</w:t>
      </w:r>
      <w:proofErr w:type="spellEnd"/>
      <w:r w:rsidRPr="00F72BDA">
        <w:rPr>
          <w:rStyle w:val="Emphasis"/>
          <w:rFonts w:ascii="Arial" w:hAnsi="Arial" w:cs="Arial"/>
        </w:rPr>
        <w:t>: Buying, Having, and Being</w:t>
      </w:r>
      <w:r w:rsidRPr="00F72BDA">
        <w:rPr>
          <w:rFonts w:ascii="Arial" w:hAnsi="Arial" w:cs="Arial"/>
        </w:rPr>
        <w:t xml:space="preserve">. </w:t>
      </w:r>
      <w:proofErr w:type="gramStart"/>
      <w:r w:rsidRPr="00F72BDA">
        <w:rPr>
          <w:rFonts w:ascii="Arial" w:hAnsi="Arial" w:cs="Arial"/>
        </w:rPr>
        <w:t xml:space="preserve">14th </w:t>
      </w:r>
      <w:proofErr w:type="spellStart"/>
      <w:r w:rsidRPr="00F72BDA">
        <w:rPr>
          <w:rFonts w:ascii="Arial" w:hAnsi="Arial" w:cs="Arial"/>
        </w:rPr>
        <w:t>edn</w:t>
      </w:r>
      <w:proofErr w:type="spellEnd"/>
      <w:r w:rsidRPr="00F72BDA">
        <w:rPr>
          <w:rFonts w:ascii="Arial" w:hAnsi="Arial" w:cs="Arial"/>
        </w:rPr>
        <w:t>.</w:t>
      </w:r>
      <w:proofErr w:type="gramEnd"/>
      <w:r w:rsidRPr="00F72BDA">
        <w:rPr>
          <w:rFonts w:ascii="Arial" w:hAnsi="Arial" w:cs="Arial"/>
        </w:rPr>
        <w:t xml:space="preserve"> Harlow: Pearson Education.</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Statistics Bureau of Japan (2025) </w:t>
      </w:r>
      <w:r w:rsidRPr="00F72BDA">
        <w:rPr>
          <w:rStyle w:val="Emphasis"/>
          <w:rFonts w:ascii="Arial" w:hAnsi="Arial" w:cs="Arial"/>
        </w:rPr>
        <w:t>Current Population Estimates as of October 1, 2024</w:t>
      </w:r>
      <w:r w:rsidRPr="00F72BDA">
        <w:rPr>
          <w:rFonts w:ascii="Arial" w:hAnsi="Arial" w:cs="Arial"/>
        </w:rPr>
        <w:t xml:space="preserve">. Tokyo: Ministry of Internal Affairs and Communications. Available at: </w:t>
      </w:r>
      <w:hyperlink r:id="rId31" w:tgtFrame="_new" w:history="1">
        <w:r w:rsidRPr="00F72BDA">
          <w:rPr>
            <w:rStyle w:val="Hyperlink"/>
            <w:rFonts w:ascii="Arial" w:hAnsi="Arial" w:cs="Arial"/>
          </w:rPr>
          <w:t>https://www.stat.go.jp/english/data/jinsui/2024np/index.html</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Statistics Bureau of Japan (2025) </w:t>
      </w:r>
      <w:r w:rsidRPr="00F72BDA">
        <w:rPr>
          <w:rStyle w:val="Emphasis"/>
          <w:rFonts w:ascii="Arial" w:hAnsi="Arial" w:cs="Arial"/>
        </w:rPr>
        <w:t>Current Population Estimates as of October 1, 2024</w:t>
      </w:r>
      <w:r w:rsidRPr="00F72BDA">
        <w:rPr>
          <w:rFonts w:ascii="Arial" w:hAnsi="Arial" w:cs="Arial"/>
        </w:rPr>
        <w:t xml:space="preserve">. Tokyo: Ministry of Internal Affairs and Communications. Available at: </w:t>
      </w:r>
      <w:hyperlink r:id="rId32" w:tgtFrame="_new" w:history="1">
        <w:r w:rsidRPr="00F72BDA">
          <w:rPr>
            <w:rStyle w:val="Hyperlink"/>
            <w:rFonts w:ascii="Arial" w:hAnsi="Arial" w:cs="Arial"/>
          </w:rPr>
          <w:t>https://www.stat.go.jp/english/data/jinsui/2024np/index.html</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spellStart"/>
      <w:r w:rsidRPr="00F72BDA">
        <w:rPr>
          <w:rFonts w:ascii="Arial" w:hAnsi="Arial" w:cs="Arial"/>
        </w:rPr>
        <w:t>Szabo</w:t>
      </w:r>
      <w:proofErr w:type="spellEnd"/>
      <w:r w:rsidRPr="00F72BDA">
        <w:rPr>
          <w:rFonts w:ascii="Arial" w:hAnsi="Arial" w:cs="Arial"/>
        </w:rPr>
        <w:t xml:space="preserve">, S. and Webster, J. (2021) ‘Perceived </w:t>
      </w:r>
      <w:proofErr w:type="spellStart"/>
      <w:r w:rsidRPr="00F72BDA">
        <w:rPr>
          <w:rFonts w:ascii="Arial" w:hAnsi="Arial" w:cs="Arial"/>
        </w:rPr>
        <w:t>greenwashing</w:t>
      </w:r>
      <w:proofErr w:type="spellEnd"/>
      <w:r w:rsidRPr="00F72BDA">
        <w:rPr>
          <w:rFonts w:ascii="Arial" w:hAnsi="Arial" w:cs="Arial"/>
        </w:rPr>
        <w:t xml:space="preserve">: The effects of green marketing on environmental and product perceptions’, </w:t>
      </w:r>
      <w:r w:rsidRPr="00F72BDA">
        <w:rPr>
          <w:rStyle w:val="Emphasis"/>
          <w:rFonts w:ascii="Arial" w:hAnsi="Arial" w:cs="Arial"/>
        </w:rPr>
        <w:t>Journal of Business Ethics</w:t>
      </w:r>
      <w:r w:rsidRPr="00F72BDA">
        <w:rPr>
          <w:rFonts w:ascii="Arial" w:hAnsi="Arial" w:cs="Arial"/>
        </w:rPr>
        <w:t xml:space="preserve">, 171, pp. 719–739. </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The Culture Factor Group (2024) </w:t>
      </w:r>
      <w:r w:rsidRPr="00F72BDA">
        <w:rPr>
          <w:rStyle w:val="Emphasis"/>
          <w:rFonts w:ascii="Arial" w:hAnsi="Arial" w:cs="Arial"/>
        </w:rPr>
        <w:t>Country Comparison Tool: Japan and the United Kingdom</w:t>
      </w:r>
      <w:r w:rsidRPr="00F72BDA">
        <w:rPr>
          <w:rFonts w:ascii="Arial" w:hAnsi="Arial" w:cs="Arial"/>
        </w:rPr>
        <w:t xml:space="preserve">. Available at: </w:t>
      </w:r>
      <w:hyperlink r:id="rId33" w:tgtFrame="_new" w:history="1">
        <w:r w:rsidRPr="00F72BDA">
          <w:rPr>
            <w:rStyle w:val="Hyperlink"/>
            <w:rFonts w:ascii="Arial" w:hAnsi="Arial" w:cs="Arial"/>
          </w:rPr>
          <w:t>https://www.theculturefactor.com/country-comparison-tool</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Toyota (GB) </w:t>
      </w:r>
      <w:proofErr w:type="spellStart"/>
      <w:r w:rsidRPr="00F72BDA">
        <w:rPr>
          <w:rFonts w:ascii="Arial" w:hAnsi="Arial" w:cs="Arial"/>
        </w:rPr>
        <w:t>plc</w:t>
      </w:r>
      <w:proofErr w:type="spellEnd"/>
      <w:r w:rsidRPr="00F72BDA">
        <w:rPr>
          <w:rFonts w:ascii="Arial" w:hAnsi="Arial" w:cs="Arial"/>
        </w:rPr>
        <w:t xml:space="preserve"> (2020) ‘Toyota brings flexibility to car buyers with online offering’, 28 May. Available at: </w:t>
      </w:r>
      <w:hyperlink r:id="rId34" w:tgtFrame="_new" w:history="1">
        <w:r w:rsidRPr="00F72BDA">
          <w:rPr>
            <w:rStyle w:val="Hyperlink"/>
            <w:rFonts w:ascii="Arial" w:hAnsi="Arial" w:cs="Arial"/>
          </w:rPr>
          <w:t>https://media.toyota.co.uk/toyota-brings-flexibility-to-car-buyers-with-online-offering/</w:t>
        </w:r>
      </w:hyperlink>
      <w:r w:rsidRPr="00F72BDA">
        <w:rPr>
          <w:rFonts w:ascii="Arial" w:hAnsi="Arial" w:cs="Arial"/>
        </w:rPr>
        <w:t xml:space="preserve"> (Accessed: 4 August 2026). </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 xml:space="preserve">Toyota Financial Services (UK) </w:t>
      </w:r>
      <w:proofErr w:type="spellStart"/>
      <w:r w:rsidRPr="00F72BDA">
        <w:rPr>
          <w:rFonts w:ascii="Arial" w:hAnsi="Arial" w:cs="Arial"/>
        </w:rPr>
        <w:t>plc</w:t>
      </w:r>
      <w:proofErr w:type="spellEnd"/>
      <w:r w:rsidRPr="00F72BDA">
        <w:rPr>
          <w:rFonts w:ascii="Arial" w:hAnsi="Arial" w:cs="Arial"/>
        </w:rPr>
        <w:t xml:space="preserve"> (2025) </w:t>
      </w:r>
      <w:r w:rsidRPr="00F72BDA">
        <w:rPr>
          <w:rStyle w:val="Emphasis"/>
          <w:rFonts w:ascii="Arial" w:hAnsi="Arial" w:cs="Arial"/>
        </w:rPr>
        <w:t>Toyota Personal Finance</w:t>
      </w:r>
      <w:r w:rsidRPr="00F72BDA">
        <w:rPr>
          <w:rFonts w:ascii="Arial" w:hAnsi="Arial" w:cs="Arial"/>
        </w:rPr>
        <w:t>.</w:t>
      </w:r>
      <w:proofErr w:type="gramEnd"/>
      <w:r w:rsidRPr="00F72BDA">
        <w:rPr>
          <w:rFonts w:ascii="Arial" w:hAnsi="Arial" w:cs="Arial"/>
        </w:rPr>
        <w:t xml:space="preserve"> Available at: </w:t>
      </w:r>
      <w:hyperlink r:id="rId35" w:tgtFrame="_new" w:history="1">
        <w:r w:rsidRPr="00F72BDA">
          <w:rPr>
            <w:rStyle w:val="Hyperlink"/>
            <w:rFonts w:ascii="Arial" w:hAnsi="Arial" w:cs="Arial"/>
          </w:rPr>
          <w:t>https://www.toyota.co.uk/personal-finance</w:t>
        </w:r>
      </w:hyperlink>
      <w:r w:rsidRPr="00F72BDA">
        <w:rPr>
          <w:rFonts w:ascii="Arial" w:hAnsi="Arial" w:cs="Arial"/>
        </w:rPr>
        <w:t xml:space="preserve"> (Accessed: 4 August 2026). </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Toyota Motor Corporation (2024) ‘Toyota submits report on measures to prevent recurrence’, 9 August. Available at: </w:t>
      </w:r>
      <w:hyperlink r:id="rId36" w:tgtFrame="_new" w:history="1">
        <w:r w:rsidRPr="00F72BDA">
          <w:rPr>
            <w:rStyle w:val="Hyperlink"/>
            <w:rFonts w:ascii="Arial" w:hAnsi="Arial" w:cs="Arial"/>
          </w:rPr>
          <w:t>https://global.toyota/en/newsroom/corporate/41363981.html</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Toyota Motor Corporation (2025) ‘Toyota launches all-new Crown Estate in Japan’, 13 March.</w:t>
      </w:r>
      <w:proofErr w:type="gramEnd"/>
      <w:r w:rsidRPr="00F72BDA">
        <w:rPr>
          <w:rFonts w:ascii="Arial" w:hAnsi="Arial" w:cs="Arial"/>
        </w:rPr>
        <w:t xml:space="preserve"> Available at: </w:t>
      </w:r>
      <w:hyperlink r:id="rId37" w:tgtFrame="_new" w:history="1">
        <w:r w:rsidRPr="00F72BDA">
          <w:rPr>
            <w:rStyle w:val="Hyperlink"/>
            <w:rFonts w:ascii="Arial" w:hAnsi="Arial" w:cs="Arial"/>
          </w:rPr>
          <w:t>https://global.toyota/en/newsroom/toyota/42369120.html</w:t>
        </w:r>
      </w:hyperlink>
      <w:r w:rsidRPr="00F72BDA">
        <w:rPr>
          <w:rFonts w:ascii="Arial" w:hAnsi="Arial" w:cs="Arial"/>
        </w:rPr>
        <w:t xml:space="preserve"> (Accessed: 4 August 2026). </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Toyota Motor Corporation (2025) </w:t>
      </w:r>
      <w:r w:rsidRPr="00F72BDA">
        <w:rPr>
          <w:rStyle w:val="Emphasis"/>
          <w:rFonts w:ascii="Arial" w:hAnsi="Arial" w:cs="Arial"/>
        </w:rPr>
        <w:t>Annual Report on Form 20-F for the Fiscal Year Ended 31 March 2025</w:t>
      </w:r>
      <w:r w:rsidRPr="00F72BDA">
        <w:rPr>
          <w:rFonts w:ascii="Arial" w:hAnsi="Arial" w:cs="Arial"/>
        </w:rPr>
        <w:t xml:space="preserve">. Toyota City: Toyota Motor Corporation. Available at: </w:t>
      </w:r>
      <w:hyperlink r:id="rId38" w:tgtFrame="_new" w:history="1">
        <w:r w:rsidRPr="00F72BDA">
          <w:rPr>
            <w:rStyle w:val="Hyperlink"/>
            <w:rFonts w:ascii="Arial" w:hAnsi="Arial" w:cs="Arial"/>
          </w:rPr>
          <w:t>https://global.toyota/en/ir/library/sec/</w:t>
        </w:r>
      </w:hyperlink>
      <w:r w:rsidRPr="00F72BDA">
        <w:rPr>
          <w:rFonts w:ascii="Arial" w:hAnsi="Arial" w:cs="Arial"/>
        </w:rPr>
        <w:t xml:space="preserve"> (Accessed: 4 August 2026). </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Toyota Motor Europe (2025) </w:t>
      </w:r>
      <w:r w:rsidRPr="00F72BDA">
        <w:rPr>
          <w:rStyle w:val="Emphasis"/>
          <w:rFonts w:ascii="Arial" w:hAnsi="Arial" w:cs="Arial"/>
        </w:rPr>
        <w:t>Toyota Motor Europe Achieves Record Sales in 2024 with Strong Electrified Vehicle Demand</w:t>
      </w:r>
      <w:r w:rsidRPr="00F72BDA">
        <w:rPr>
          <w:rFonts w:ascii="Arial" w:hAnsi="Arial" w:cs="Arial"/>
        </w:rPr>
        <w:t xml:space="preserve">. Brussels: Toyota Motor Europe. Available at: </w:t>
      </w:r>
      <w:hyperlink r:id="rId39" w:tgtFrame="_new" w:history="1">
        <w:r w:rsidRPr="00F72BDA">
          <w:rPr>
            <w:rStyle w:val="Hyperlink"/>
            <w:rFonts w:ascii="Arial" w:hAnsi="Arial" w:cs="Arial"/>
          </w:rPr>
          <w:t>https://newsroom.toyota.eu/</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 xml:space="preserve">Toyota Motor Manufacturing (UK) (2025) </w:t>
      </w:r>
      <w:r w:rsidRPr="00F72BDA">
        <w:rPr>
          <w:rStyle w:val="Emphasis"/>
          <w:rFonts w:ascii="Arial" w:hAnsi="Arial" w:cs="Arial"/>
        </w:rPr>
        <w:t>Overview of Toyota in the UK</w:t>
      </w:r>
      <w:r w:rsidRPr="00F72BDA">
        <w:rPr>
          <w:rFonts w:ascii="Arial" w:hAnsi="Arial" w:cs="Arial"/>
        </w:rPr>
        <w:t>.</w:t>
      </w:r>
      <w:proofErr w:type="gramEnd"/>
      <w:r w:rsidRPr="00F72BDA">
        <w:rPr>
          <w:rFonts w:ascii="Arial" w:hAnsi="Arial" w:cs="Arial"/>
        </w:rPr>
        <w:t xml:space="preserve"> Available at: </w:t>
      </w:r>
      <w:hyperlink r:id="rId40" w:tgtFrame="_new" w:history="1">
        <w:r w:rsidRPr="00F72BDA">
          <w:rPr>
            <w:rStyle w:val="Hyperlink"/>
            <w:rFonts w:ascii="Arial" w:hAnsi="Arial" w:cs="Arial"/>
          </w:rPr>
          <w:t>https://www.toyotauk.com/toyota-in-the-uk/overview-of-toyota-in-the-uk</w:t>
        </w:r>
      </w:hyperlink>
      <w:r w:rsidRPr="00F72BDA">
        <w:rPr>
          <w:rFonts w:ascii="Arial" w:hAnsi="Arial" w:cs="Arial"/>
        </w:rPr>
        <w:t xml:space="preserve"> (Accessed: 4 August 2026). </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Toyota UK (2021) </w:t>
      </w:r>
      <w:r w:rsidRPr="00F72BDA">
        <w:rPr>
          <w:rStyle w:val="Emphasis"/>
          <w:rFonts w:ascii="Arial" w:hAnsi="Arial" w:cs="Arial"/>
        </w:rPr>
        <w:t>Toyota bZ4X: World Premiere of Toyota’s First Dedicated Battery Electric Vehicle</w:t>
      </w:r>
      <w:r w:rsidRPr="00F72BDA">
        <w:rPr>
          <w:rFonts w:ascii="Arial" w:hAnsi="Arial" w:cs="Arial"/>
        </w:rPr>
        <w:t xml:space="preserve">. Available at: </w:t>
      </w:r>
      <w:hyperlink r:id="rId41" w:tgtFrame="_new" w:history="1">
        <w:r w:rsidRPr="00F72BDA">
          <w:rPr>
            <w:rStyle w:val="Hyperlink"/>
            <w:rFonts w:ascii="Arial" w:hAnsi="Arial" w:cs="Arial"/>
          </w:rPr>
          <w:t>https://media.toyota.co.uk/world-premiere-of-the-all-new-toyota-bz4x/</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Toyota UK (2023) </w:t>
      </w:r>
      <w:r w:rsidRPr="00F72BDA">
        <w:rPr>
          <w:rStyle w:val="Emphasis"/>
          <w:rFonts w:ascii="Arial" w:hAnsi="Arial" w:cs="Arial"/>
        </w:rPr>
        <w:t>Toyota C-HR: New Generation Hybrid and Plug-in Hybrid Technology</w:t>
      </w:r>
      <w:r w:rsidRPr="00F72BDA">
        <w:rPr>
          <w:rFonts w:ascii="Arial" w:hAnsi="Arial" w:cs="Arial"/>
        </w:rPr>
        <w:t xml:space="preserve">. Available at: </w:t>
      </w:r>
      <w:hyperlink r:id="rId42" w:tgtFrame="_new" w:history="1">
        <w:r w:rsidRPr="00F72BDA">
          <w:rPr>
            <w:rStyle w:val="Hyperlink"/>
            <w:rFonts w:ascii="Arial" w:hAnsi="Arial" w:cs="Arial"/>
          </w:rPr>
          <w:t>https://media.toyota.co.uk/</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proofErr w:type="gramStart"/>
      <w:r w:rsidRPr="00F72BDA">
        <w:rPr>
          <w:rFonts w:ascii="Arial" w:hAnsi="Arial" w:cs="Arial"/>
        </w:rPr>
        <w:t xml:space="preserve">UK Parliament (2024) </w:t>
      </w:r>
      <w:r w:rsidRPr="00F72BDA">
        <w:rPr>
          <w:rStyle w:val="Emphasis"/>
          <w:rFonts w:ascii="Arial" w:hAnsi="Arial" w:cs="Arial"/>
        </w:rPr>
        <w:t>Digital Markets, Competition and Consumers Act 2024</w:t>
      </w:r>
      <w:r w:rsidRPr="00F72BDA">
        <w:rPr>
          <w:rFonts w:ascii="Arial" w:hAnsi="Arial" w:cs="Arial"/>
        </w:rPr>
        <w:t>.</w:t>
      </w:r>
      <w:proofErr w:type="gramEnd"/>
      <w:r w:rsidRPr="00F72BDA">
        <w:rPr>
          <w:rFonts w:ascii="Arial" w:hAnsi="Arial" w:cs="Arial"/>
        </w:rPr>
        <w:t xml:space="preserve"> London: The Stationery Office. Available at: </w:t>
      </w:r>
      <w:hyperlink r:id="rId43" w:tgtFrame="_new" w:history="1">
        <w:r w:rsidRPr="00F72BDA">
          <w:rPr>
            <w:rStyle w:val="Hyperlink"/>
            <w:rFonts w:ascii="Arial" w:hAnsi="Arial" w:cs="Arial"/>
          </w:rPr>
          <w:t>https://www.legislation.gov.uk/ukpga/2024/13/contents</w:t>
        </w:r>
      </w:hyperlink>
      <w:r w:rsidRPr="00F72BDA">
        <w:rPr>
          <w:rFonts w:ascii="Arial" w:hAnsi="Arial" w:cs="Arial"/>
        </w:rPr>
        <w:t xml:space="preserve"> (Accessed: 4 August 2026).</w:t>
      </w:r>
    </w:p>
    <w:p w:rsidR="00F72BDA" w:rsidRPr="00F72BDA" w:rsidRDefault="00F72BDA" w:rsidP="00F72BDA">
      <w:pPr>
        <w:pStyle w:val="NormalWeb"/>
        <w:spacing w:line="360" w:lineRule="auto"/>
        <w:jc w:val="both"/>
        <w:rPr>
          <w:rFonts w:ascii="Arial" w:hAnsi="Arial" w:cs="Arial"/>
        </w:rPr>
      </w:pPr>
      <w:r w:rsidRPr="00F72BDA">
        <w:rPr>
          <w:rFonts w:ascii="Arial" w:hAnsi="Arial" w:cs="Arial"/>
        </w:rPr>
        <w:t xml:space="preserve">UNCTAD (2023) </w:t>
      </w:r>
      <w:r w:rsidRPr="00F72BDA">
        <w:rPr>
          <w:rStyle w:val="Emphasis"/>
          <w:rFonts w:ascii="Arial" w:hAnsi="Arial" w:cs="Arial"/>
        </w:rPr>
        <w:t>World Investment Report 2023: Investing in sustainable energy for all</w:t>
      </w:r>
      <w:r w:rsidRPr="00F72BDA">
        <w:rPr>
          <w:rFonts w:ascii="Arial" w:hAnsi="Arial" w:cs="Arial"/>
        </w:rPr>
        <w:t xml:space="preserve">. Geneva: United Nations. Available at: </w:t>
      </w:r>
      <w:hyperlink r:id="rId44" w:tgtFrame="_new" w:history="1">
        <w:r w:rsidRPr="00F72BDA">
          <w:rPr>
            <w:rStyle w:val="Hyperlink"/>
            <w:rFonts w:ascii="Arial" w:hAnsi="Arial" w:cs="Arial"/>
          </w:rPr>
          <w:t>https://unctad.org/publication/world-investment-report-2023</w:t>
        </w:r>
      </w:hyperlink>
      <w:r w:rsidRPr="00F72BDA">
        <w:rPr>
          <w:rFonts w:ascii="Arial" w:hAnsi="Arial" w:cs="Arial"/>
        </w:rPr>
        <w:t xml:space="preserve"> (Accessed: 12 July 2026).</w:t>
      </w:r>
    </w:p>
    <w:p w:rsidR="00F72BDA" w:rsidRDefault="00F72BDA" w:rsidP="00C73C93">
      <w:pPr>
        <w:pStyle w:val="NormalWeb"/>
        <w:spacing w:line="360" w:lineRule="auto"/>
        <w:jc w:val="both"/>
        <w:rPr>
          <w:rFonts w:ascii="Arial" w:hAnsi="Arial" w:cs="Arial"/>
        </w:rPr>
      </w:pPr>
      <w:r w:rsidRPr="00F72BDA">
        <w:rPr>
          <w:rFonts w:ascii="Arial" w:hAnsi="Arial" w:cs="Arial"/>
        </w:rPr>
        <w:t xml:space="preserve">Wallace, M. and Wray, A. (2021) </w:t>
      </w:r>
      <w:r w:rsidRPr="00F72BDA">
        <w:rPr>
          <w:rStyle w:val="Emphasis"/>
          <w:rFonts w:ascii="Arial" w:hAnsi="Arial" w:cs="Arial"/>
        </w:rPr>
        <w:t>Critical Reading and Writing for Postgraduates</w:t>
      </w:r>
      <w:r w:rsidRPr="00F72BDA">
        <w:rPr>
          <w:rFonts w:ascii="Arial" w:hAnsi="Arial" w:cs="Arial"/>
        </w:rPr>
        <w:t xml:space="preserve">. </w:t>
      </w:r>
      <w:proofErr w:type="gramStart"/>
      <w:r w:rsidRPr="00F72BDA">
        <w:rPr>
          <w:rFonts w:ascii="Arial" w:hAnsi="Arial" w:cs="Arial"/>
        </w:rPr>
        <w:t xml:space="preserve">4th </w:t>
      </w:r>
      <w:proofErr w:type="spellStart"/>
      <w:r w:rsidRPr="00F72BDA">
        <w:rPr>
          <w:rFonts w:ascii="Arial" w:hAnsi="Arial" w:cs="Arial"/>
        </w:rPr>
        <w:t>edn</w:t>
      </w:r>
      <w:proofErr w:type="spellEnd"/>
      <w:r w:rsidRPr="00F72BDA">
        <w:rPr>
          <w:rFonts w:ascii="Arial" w:hAnsi="Arial" w:cs="Arial"/>
        </w:rPr>
        <w:t>.</w:t>
      </w:r>
      <w:proofErr w:type="gramEnd"/>
      <w:r w:rsidRPr="00F72BDA">
        <w:rPr>
          <w:rFonts w:ascii="Arial" w:hAnsi="Arial" w:cs="Arial"/>
        </w:rPr>
        <w:t xml:space="preserve"> London: SAGE Publications. </w:t>
      </w:r>
    </w:p>
    <w:p w:rsidR="00163F7F" w:rsidRPr="00163F7F" w:rsidRDefault="00163F7F" w:rsidP="00163F7F">
      <w:pPr>
        <w:spacing w:before="100" w:beforeAutospacing="1" w:after="100" w:afterAutospacing="1" w:line="360" w:lineRule="auto"/>
        <w:jc w:val="center"/>
        <w:rPr>
          <w:i/>
        </w:rPr>
      </w:pPr>
    </w:p>
    <w:sectPr w:rsidR="00163F7F" w:rsidRPr="00163F7F" w:rsidSect="002A7B2D">
      <w:headerReference w:type="even" r:id="rId45"/>
      <w:headerReference w:type="default" r:id="rId46"/>
      <w:footerReference w:type="even" r:id="rId47"/>
      <w:footerReference w:type="default" r:id="rId48"/>
      <w:headerReference w:type="first" r:id="rId49"/>
      <w:footerReference w:type="first" r:id="rId5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E26F3" w:rsidRDefault="005E26F3" w:rsidP="00C804A1">
      <w:pPr>
        <w:spacing w:after="0" w:line="240" w:lineRule="auto"/>
      </w:pPr>
      <w:r>
        <w:separator/>
      </w:r>
    </w:p>
  </w:endnote>
  <w:endnote w:type="continuationSeparator" w:id="0">
    <w:p w:rsidR="005E26F3" w:rsidRDefault="005E26F3" w:rsidP="00C80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Footer"/>
      <w:jc w:val="center"/>
    </w:pPr>
  </w:p>
  <w:p w:rsidR="0027172C" w:rsidRDefault="0027172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2047367"/>
      <w:docPartObj>
        <w:docPartGallery w:val="Page Numbers (Bottom of Page)"/>
        <w:docPartUnique/>
      </w:docPartObj>
    </w:sdtPr>
    <w:sdtEndPr>
      <w:rPr>
        <w:noProof/>
      </w:rPr>
    </w:sdtEndPr>
    <w:sdtContent>
      <w:p w:rsidR="0027172C" w:rsidRDefault="0027172C">
        <w:pPr>
          <w:pStyle w:val="Footer"/>
          <w:jc w:val="center"/>
        </w:pPr>
        <w:r>
          <w:fldChar w:fldCharType="begin"/>
        </w:r>
        <w:r>
          <w:instrText xml:space="preserve"> PAGE   \* MERGEFORMAT </w:instrText>
        </w:r>
        <w:r>
          <w:fldChar w:fldCharType="separate"/>
        </w:r>
        <w:r w:rsidR="00925BD2">
          <w:rPr>
            <w:noProof/>
          </w:rPr>
          <w:t>29</w:t>
        </w:r>
        <w:r>
          <w:rPr>
            <w:noProof/>
          </w:rPr>
          <w:fldChar w:fldCharType="end"/>
        </w:r>
      </w:p>
    </w:sdtContent>
  </w:sdt>
  <w:p w:rsidR="0027172C" w:rsidRDefault="0027172C">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E26F3" w:rsidRDefault="005E26F3" w:rsidP="00C804A1">
      <w:pPr>
        <w:spacing w:after="0" w:line="240" w:lineRule="auto"/>
      </w:pPr>
      <w:r>
        <w:separator/>
      </w:r>
    </w:p>
  </w:footnote>
  <w:footnote w:type="continuationSeparator" w:id="0">
    <w:p w:rsidR="005E26F3" w:rsidRDefault="005E26F3" w:rsidP="00C804A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172C" w:rsidRDefault="002717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3195"/>
    <w:rsid w:val="00024872"/>
    <w:rsid w:val="000D1F39"/>
    <w:rsid w:val="000D3662"/>
    <w:rsid w:val="000D7106"/>
    <w:rsid w:val="00163F7F"/>
    <w:rsid w:val="001C7F2D"/>
    <w:rsid w:val="001F051E"/>
    <w:rsid w:val="002047D0"/>
    <w:rsid w:val="0027172C"/>
    <w:rsid w:val="002A7B2D"/>
    <w:rsid w:val="002B7E7E"/>
    <w:rsid w:val="00310ADB"/>
    <w:rsid w:val="00310F06"/>
    <w:rsid w:val="003D5199"/>
    <w:rsid w:val="003E613E"/>
    <w:rsid w:val="004B628F"/>
    <w:rsid w:val="004D7919"/>
    <w:rsid w:val="004F70A5"/>
    <w:rsid w:val="005008C6"/>
    <w:rsid w:val="00516010"/>
    <w:rsid w:val="00540361"/>
    <w:rsid w:val="005D04D4"/>
    <w:rsid w:val="005E26F3"/>
    <w:rsid w:val="006250AE"/>
    <w:rsid w:val="00644DD4"/>
    <w:rsid w:val="00666087"/>
    <w:rsid w:val="006D472F"/>
    <w:rsid w:val="007245A8"/>
    <w:rsid w:val="00733195"/>
    <w:rsid w:val="007A4994"/>
    <w:rsid w:val="007A4B33"/>
    <w:rsid w:val="007B3B4D"/>
    <w:rsid w:val="00802BA8"/>
    <w:rsid w:val="00923CA3"/>
    <w:rsid w:val="00925BD2"/>
    <w:rsid w:val="00991CC8"/>
    <w:rsid w:val="009D33D4"/>
    <w:rsid w:val="00A61DEC"/>
    <w:rsid w:val="00A91B2F"/>
    <w:rsid w:val="00AA09A7"/>
    <w:rsid w:val="00AD5581"/>
    <w:rsid w:val="00B3593F"/>
    <w:rsid w:val="00B75DEB"/>
    <w:rsid w:val="00BB5F27"/>
    <w:rsid w:val="00C73C93"/>
    <w:rsid w:val="00C804A1"/>
    <w:rsid w:val="00C90C7F"/>
    <w:rsid w:val="00CE0069"/>
    <w:rsid w:val="00CE2AAF"/>
    <w:rsid w:val="00CF56E7"/>
    <w:rsid w:val="00D34EC5"/>
    <w:rsid w:val="00E4771C"/>
    <w:rsid w:val="00E90127"/>
    <w:rsid w:val="00EC5298"/>
    <w:rsid w:val="00F34643"/>
    <w:rsid w:val="00F37F98"/>
    <w:rsid w:val="00F72BDA"/>
    <w:rsid w:val="00FB0F1F"/>
    <w:rsid w:val="00FB5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3D4"/>
  </w:style>
  <w:style w:type="paragraph" w:styleId="Heading1">
    <w:name w:val="heading 1"/>
    <w:basedOn w:val="Normal"/>
    <w:link w:val="Heading1Char"/>
    <w:uiPriority w:val="9"/>
    <w:qFormat/>
    <w:rsid w:val="007331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3319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3319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19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3319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3319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7331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33195"/>
    <w:rPr>
      <w:b/>
      <w:bCs/>
    </w:rPr>
  </w:style>
  <w:style w:type="character" w:styleId="Emphasis">
    <w:name w:val="Emphasis"/>
    <w:basedOn w:val="DefaultParagraphFont"/>
    <w:uiPriority w:val="20"/>
    <w:qFormat/>
    <w:rsid w:val="00733195"/>
    <w:rPr>
      <w:i/>
      <w:iCs/>
    </w:rPr>
  </w:style>
  <w:style w:type="table" w:styleId="TableGrid">
    <w:name w:val="Table Grid"/>
    <w:basedOn w:val="TableNormal"/>
    <w:uiPriority w:val="59"/>
    <w:rsid w:val="0073319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331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3195"/>
    <w:rPr>
      <w:rFonts w:ascii="Tahoma" w:hAnsi="Tahoma" w:cs="Tahoma"/>
      <w:sz w:val="16"/>
      <w:szCs w:val="16"/>
    </w:rPr>
  </w:style>
  <w:style w:type="paragraph" w:styleId="Header">
    <w:name w:val="header"/>
    <w:basedOn w:val="Normal"/>
    <w:link w:val="HeaderChar"/>
    <w:uiPriority w:val="99"/>
    <w:unhideWhenUsed/>
    <w:rsid w:val="00C804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4A1"/>
  </w:style>
  <w:style w:type="paragraph" w:styleId="Footer">
    <w:name w:val="footer"/>
    <w:basedOn w:val="Normal"/>
    <w:link w:val="FooterChar"/>
    <w:uiPriority w:val="99"/>
    <w:unhideWhenUsed/>
    <w:rsid w:val="00C804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4A1"/>
  </w:style>
  <w:style w:type="paragraph" w:styleId="TOCHeading">
    <w:name w:val="TOC Heading"/>
    <w:basedOn w:val="Heading1"/>
    <w:next w:val="Normal"/>
    <w:uiPriority w:val="39"/>
    <w:semiHidden/>
    <w:unhideWhenUsed/>
    <w:qFormat/>
    <w:rsid w:val="000D7106"/>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0D7106"/>
    <w:pPr>
      <w:spacing w:after="100"/>
    </w:pPr>
  </w:style>
  <w:style w:type="paragraph" w:styleId="TOC2">
    <w:name w:val="toc 2"/>
    <w:basedOn w:val="Normal"/>
    <w:next w:val="Normal"/>
    <w:autoRedefine/>
    <w:uiPriority w:val="39"/>
    <w:unhideWhenUsed/>
    <w:rsid w:val="000D7106"/>
    <w:pPr>
      <w:spacing w:after="100"/>
      <w:ind w:left="220"/>
    </w:pPr>
  </w:style>
  <w:style w:type="character" w:styleId="Hyperlink">
    <w:name w:val="Hyperlink"/>
    <w:basedOn w:val="DefaultParagraphFont"/>
    <w:uiPriority w:val="99"/>
    <w:unhideWhenUsed/>
    <w:rsid w:val="000D7106"/>
    <w:rPr>
      <w:color w:val="0000FF" w:themeColor="hyperlink"/>
      <w:u w:val="single"/>
    </w:rPr>
  </w:style>
  <w:style w:type="paragraph" w:customStyle="1" w:styleId="pdq2pgselectionanchorcontainer">
    <w:name w:val="pdq2pg_selectionanchorcontainer"/>
    <w:basedOn w:val="Normal"/>
    <w:rsid w:val="000D71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D7106"/>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3D4"/>
  </w:style>
  <w:style w:type="paragraph" w:styleId="Heading1">
    <w:name w:val="heading 1"/>
    <w:basedOn w:val="Normal"/>
    <w:link w:val="Heading1Char"/>
    <w:uiPriority w:val="9"/>
    <w:qFormat/>
    <w:rsid w:val="007331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3319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3319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19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3319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3319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7331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33195"/>
    <w:rPr>
      <w:b/>
      <w:bCs/>
    </w:rPr>
  </w:style>
  <w:style w:type="character" w:styleId="Emphasis">
    <w:name w:val="Emphasis"/>
    <w:basedOn w:val="DefaultParagraphFont"/>
    <w:uiPriority w:val="20"/>
    <w:qFormat/>
    <w:rsid w:val="00733195"/>
    <w:rPr>
      <w:i/>
      <w:iCs/>
    </w:rPr>
  </w:style>
  <w:style w:type="table" w:styleId="TableGrid">
    <w:name w:val="Table Grid"/>
    <w:basedOn w:val="TableNormal"/>
    <w:uiPriority w:val="59"/>
    <w:rsid w:val="0073319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331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3195"/>
    <w:rPr>
      <w:rFonts w:ascii="Tahoma" w:hAnsi="Tahoma" w:cs="Tahoma"/>
      <w:sz w:val="16"/>
      <w:szCs w:val="16"/>
    </w:rPr>
  </w:style>
  <w:style w:type="paragraph" w:styleId="Header">
    <w:name w:val="header"/>
    <w:basedOn w:val="Normal"/>
    <w:link w:val="HeaderChar"/>
    <w:uiPriority w:val="99"/>
    <w:unhideWhenUsed/>
    <w:rsid w:val="00C804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4A1"/>
  </w:style>
  <w:style w:type="paragraph" w:styleId="Footer">
    <w:name w:val="footer"/>
    <w:basedOn w:val="Normal"/>
    <w:link w:val="FooterChar"/>
    <w:uiPriority w:val="99"/>
    <w:unhideWhenUsed/>
    <w:rsid w:val="00C804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4A1"/>
  </w:style>
  <w:style w:type="paragraph" w:styleId="TOCHeading">
    <w:name w:val="TOC Heading"/>
    <w:basedOn w:val="Heading1"/>
    <w:next w:val="Normal"/>
    <w:uiPriority w:val="39"/>
    <w:semiHidden/>
    <w:unhideWhenUsed/>
    <w:qFormat/>
    <w:rsid w:val="000D7106"/>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0D7106"/>
    <w:pPr>
      <w:spacing w:after="100"/>
    </w:pPr>
  </w:style>
  <w:style w:type="paragraph" w:styleId="TOC2">
    <w:name w:val="toc 2"/>
    <w:basedOn w:val="Normal"/>
    <w:next w:val="Normal"/>
    <w:autoRedefine/>
    <w:uiPriority w:val="39"/>
    <w:unhideWhenUsed/>
    <w:rsid w:val="000D7106"/>
    <w:pPr>
      <w:spacing w:after="100"/>
      <w:ind w:left="220"/>
    </w:pPr>
  </w:style>
  <w:style w:type="character" w:styleId="Hyperlink">
    <w:name w:val="Hyperlink"/>
    <w:basedOn w:val="DefaultParagraphFont"/>
    <w:uiPriority w:val="99"/>
    <w:unhideWhenUsed/>
    <w:rsid w:val="000D7106"/>
    <w:rPr>
      <w:color w:val="0000FF" w:themeColor="hyperlink"/>
      <w:u w:val="single"/>
    </w:rPr>
  </w:style>
  <w:style w:type="paragraph" w:customStyle="1" w:styleId="pdq2pgselectionanchorcontainer">
    <w:name w:val="pdq2pg_selectionanchorcontainer"/>
    <w:basedOn w:val="Normal"/>
    <w:rsid w:val="000D71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D710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2949974">
      <w:bodyDiv w:val="1"/>
      <w:marLeft w:val="0"/>
      <w:marRight w:val="0"/>
      <w:marTop w:val="0"/>
      <w:marBottom w:val="0"/>
      <w:divBdr>
        <w:top w:val="none" w:sz="0" w:space="0" w:color="auto"/>
        <w:left w:val="none" w:sz="0" w:space="0" w:color="auto"/>
        <w:bottom w:val="none" w:sz="0" w:space="0" w:color="auto"/>
        <w:right w:val="none" w:sz="0" w:space="0" w:color="auto"/>
      </w:divBdr>
      <w:divsChild>
        <w:div w:id="2044018533">
          <w:marLeft w:val="0"/>
          <w:marRight w:val="0"/>
          <w:marTop w:val="0"/>
          <w:marBottom w:val="0"/>
          <w:divBdr>
            <w:top w:val="none" w:sz="0" w:space="0" w:color="auto"/>
            <w:left w:val="none" w:sz="0" w:space="0" w:color="auto"/>
            <w:bottom w:val="none" w:sz="0" w:space="0" w:color="auto"/>
            <w:right w:val="none" w:sz="0" w:space="0" w:color="auto"/>
          </w:divBdr>
          <w:divsChild>
            <w:div w:id="1765146740">
              <w:marLeft w:val="0"/>
              <w:marRight w:val="0"/>
              <w:marTop w:val="0"/>
              <w:marBottom w:val="0"/>
              <w:divBdr>
                <w:top w:val="none" w:sz="0" w:space="0" w:color="auto"/>
                <w:left w:val="none" w:sz="0" w:space="0" w:color="auto"/>
                <w:bottom w:val="none" w:sz="0" w:space="0" w:color="auto"/>
                <w:right w:val="none" w:sz="0" w:space="0" w:color="auto"/>
              </w:divBdr>
              <w:divsChild>
                <w:div w:id="115563529">
                  <w:marLeft w:val="0"/>
                  <w:marRight w:val="0"/>
                  <w:marTop w:val="0"/>
                  <w:marBottom w:val="0"/>
                  <w:divBdr>
                    <w:top w:val="none" w:sz="0" w:space="0" w:color="auto"/>
                    <w:left w:val="none" w:sz="0" w:space="0" w:color="auto"/>
                    <w:bottom w:val="none" w:sz="0" w:space="0" w:color="auto"/>
                    <w:right w:val="none" w:sz="0" w:space="0" w:color="auto"/>
                  </w:divBdr>
                  <w:divsChild>
                    <w:div w:id="2115057084">
                      <w:marLeft w:val="0"/>
                      <w:marRight w:val="0"/>
                      <w:marTop w:val="0"/>
                      <w:marBottom w:val="0"/>
                      <w:divBdr>
                        <w:top w:val="none" w:sz="0" w:space="0" w:color="auto"/>
                        <w:left w:val="none" w:sz="0" w:space="0" w:color="auto"/>
                        <w:bottom w:val="none" w:sz="0" w:space="0" w:color="auto"/>
                        <w:right w:val="none" w:sz="0" w:space="0" w:color="auto"/>
                      </w:divBdr>
                      <w:divsChild>
                        <w:div w:id="392046157">
                          <w:marLeft w:val="0"/>
                          <w:marRight w:val="0"/>
                          <w:marTop w:val="0"/>
                          <w:marBottom w:val="0"/>
                          <w:divBdr>
                            <w:top w:val="none" w:sz="0" w:space="0" w:color="auto"/>
                            <w:left w:val="none" w:sz="0" w:space="0" w:color="auto"/>
                            <w:bottom w:val="none" w:sz="0" w:space="0" w:color="auto"/>
                            <w:right w:val="none" w:sz="0" w:space="0" w:color="auto"/>
                          </w:divBdr>
                          <w:divsChild>
                            <w:div w:id="1800804921">
                              <w:marLeft w:val="0"/>
                              <w:marRight w:val="0"/>
                              <w:marTop w:val="0"/>
                              <w:marBottom w:val="0"/>
                              <w:divBdr>
                                <w:top w:val="none" w:sz="0" w:space="0" w:color="auto"/>
                                <w:left w:val="none" w:sz="0" w:space="0" w:color="auto"/>
                                <w:bottom w:val="none" w:sz="0" w:space="0" w:color="auto"/>
                                <w:right w:val="none" w:sz="0" w:space="0" w:color="auto"/>
                              </w:divBdr>
                              <w:divsChild>
                                <w:div w:id="2050957671">
                                  <w:marLeft w:val="0"/>
                                  <w:marRight w:val="0"/>
                                  <w:marTop w:val="0"/>
                                  <w:marBottom w:val="0"/>
                                  <w:divBdr>
                                    <w:top w:val="none" w:sz="0" w:space="0" w:color="auto"/>
                                    <w:left w:val="none" w:sz="0" w:space="0" w:color="auto"/>
                                    <w:bottom w:val="none" w:sz="0" w:space="0" w:color="auto"/>
                                    <w:right w:val="none" w:sz="0" w:space="0" w:color="auto"/>
                                  </w:divBdr>
                                  <w:divsChild>
                                    <w:div w:id="1032413004">
                                      <w:marLeft w:val="0"/>
                                      <w:marRight w:val="0"/>
                                      <w:marTop w:val="0"/>
                                      <w:marBottom w:val="0"/>
                                      <w:divBdr>
                                        <w:top w:val="none" w:sz="0" w:space="0" w:color="auto"/>
                                        <w:left w:val="none" w:sz="0" w:space="0" w:color="auto"/>
                                        <w:bottom w:val="none" w:sz="0" w:space="0" w:color="auto"/>
                                        <w:right w:val="none" w:sz="0" w:space="0" w:color="auto"/>
                                      </w:divBdr>
                                      <w:divsChild>
                                        <w:div w:id="134069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9031041">
      <w:bodyDiv w:val="1"/>
      <w:marLeft w:val="0"/>
      <w:marRight w:val="0"/>
      <w:marTop w:val="0"/>
      <w:marBottom w:val="0"/>
      <w:divBdr>
        <w:top w:val="none" w:sz="0" w:space="0" w:color="auto"/>
        <w:left w:val="none" w:sz="0" w:space="0" w:color="auto"/>
        <w:bottom w:val="none" w:sz="0" w:space="0" w:color="auto"/>
        <w:right w:val="none" w:sz="0" w:space="0" w:color="auto"/>
      </w:divBdr>
    </w:div>
    <w:div w:id="1515463347">
      <w:bodyDiv w:val="1"/>
      <w:marLeft w:val="0"/>
      <w:marRight w:val="0"/>
      <w:marTop w:val="0"/>
      <w:marBottom w:val="0"/>
      <w:divBdr>
        <w:top w:val="none" w:sz="0" w:space="0" w:color="auto"/>
        <w:left w:val="none" w:sz="0" w:space="0" w:color="auto"/>
        <w:bottom w:val="none" w:sz="0" w:space="0" w:color="auto"/>
        <w:right w:val="none" w:sz="0" w:space="0" w:color="auto"/>
      </w:divBdr>
      <w:divsChild>
        <w:div w:id="80369449">
          <w:marLeft w:val="0"/>
          <w:marRight w:val="0"/>
          <w:marTop w:val="0"/>
          <w:marBottom w:val="0"/>
          <w:divBdr>
            <w:top w:val="none" w:sz="0" w:space="0" w:color="auto"/>
            <w:left w:val="none" w:sz="0" w:space="0" w:color="auto"/>
            <w:bottom w:val="none" w:sz="0" w:space="0" w:color="auto"/>
            <w:right w:val="none" w:sz="0" w:space="0" w:color="auto"/>
          </w:divBdr>
          <w:divsChild>
            <w:div w:id="20310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219978">
      <w:bodyDiv w:val="1"/>
      <w:marLeft w:val="0"/>
      <w:marRight w:val="0"/>
      <w:marTop w:val="0"/>
      <w:marBottom w:val="0"/>
      <w:divBdr>
        <w:top w:val="none" w:sz="0" w:space="0" w:color="auto"/>
        <w:left w:val="none" w:sz="0" w:space="0" w:color="auto"/>
        <w:bottom w:val="none" w:sz="0" w:space="0" w:color="auto"/>
        <w:right w:val="none" w:sz="0" w:space="0" w:color="auto"/>
      </w:divBdr>
      <w:divsChild>
        <w:div w:id="543559524">
          <w:marLeft w:val="0"/>
          <w:marRight w:val="0"/>
          <w:marTop w:val="0"/>
          <w:marBottom w:val="0"/>
          <w:divBdr>
            <w:top w:val="none" w:sz="0" w:space="0" w:color="auto"/>
            <w:left w:val="none" w:sz="0" w:space="0" w:color="auto"/>
            <w:bottom w:val="none" w:sz="0" w:space="0" w:color="auto"/>
            <w:right w:val="none" w:sz="0" w:space="0" w:color="auto"/>
          </w:divBdr>
          <w:divsChild>
            <w:div w:id="94701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hyperlink" Target="https://interbrand.com/best-global-brands/" TargetMode="External"/><Relationship Id="rId39" Type="http://schemas.openxmlformats.org/officeDocument/2006/relationships/hyperlink" Target="https://newsroom.toyota.eu/" TargetMode="External"/><Relationship Id="rId3" Type="http://schemas.openxmlformats.org/officeDocument/2006/relationships/settings" Target="settings.xml"/><Relationship Id="rId21" Type="http://schemas.openxmlformats.org/officeDocument/2006/relationships/hyperlink" Target="https://www.bankofengland.co.uk/monetary-policy-report/2024/november-2024?utm_source=chat5.toolnestit.com" TargetMode="External"/><Relationship Id="rId34" Type="http://schemas.openxmlformats.org/officeDocument/2006/relationships/hyperlink" Target="https://media.toyota.co.uk/toyota-brings-flexibility-to-car-buyers-with-online-offering/?utm_source=chat5.toolnestit.com" TargetMode="External"/><Relationship Id="rId42" Type="http://schemas.openxmlformats.org/officeDocument/2006/relationships/hyperlink" Target="https://media.toyota.co.uk/?utm_source=chat5.toolnestit.com" TargetMode="External"/><Relationship Id="rId47" Type="http://schemas.openxmlformats.org/officeDocument/2006/relationships/footer" Target="footer4.xml"/><Relationship Id="rId50" Type="http://schemas.openxmlformats.org/officeDocument/2006/relationships/footer" Target="footer6.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hyperlink" Target="https://www.gov.uk/government/statistics/vehicle-licensing-statistics-2024/vehicle-licensing-statistics-united-kingdom-2024?utm_source=chat5.toolnestit.com" TargetMode="External"/><Relationship Id="rId33" Type="http://schemas.openxmlformats.org/officeDocument/2006/relationships/hyperlink" Target="https://www.theculturefactor.com/country-comparison-tool" TargetMode="External"/><Relationship Id="rId38" Type="http://schemas.openxmlformats.org/officeDocument/2006/relationships/hyperlink" Target="https://global.toyota/en/ir/library/sec/?utm_source=chat5.toolnestit.com" TargetMode="External"/><Relationship Id="rId46" Type="http://schemas.openxmlformats.org/officeDocument/2006/relationships/header" Target="header5.xml"/><Relationship Id="rId2" Type="http://schemas.microsoft.com/office/2007/relationships/stylesWithEffects" Target="stylesWithEffects.xml"/><Relationship Id="rId16" Type="http://schemas.openxmlformats.org/officeDocument/2006/relationships/image" Target="media/image4.png"/><Relationship Id="rId20" Type="http://schemas.openxmlformats.org/officeDocument/2006/relationships/hyperlink" Target="https://www.asa.org.uk/rulings/toyota--gb--plc-a23-1191673-toyota--gb--plc.html?utm_source=chat5.toolnestit.com" TargetMode="External"/><Relationship Id="rId29" Type="http://schemas.openxmlformats.org/officeDocument/2006/relationships/hyperlink" Target="https://www.meti.go.jp/english/press/2024/0524_002.html?utm_source=chat5.toolnestit.com" TargetMode="External"/><Relationship Id="rId41" Type="http://schemas.openxmlformats.org/officeDocument/2006/relationships/hyperlink" Target="https://media.toyota.co.uk/world-premiere-of-the-all-new-toyota-bz4x/?utm_source=chat5.toolnestit.com"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www.gov.uk/government/consultations/a-zero-emission-vehicle-zev-mandate-and-co2-emissions-regulation-for-new-cars-and-vans-in-the-uk/outcome/zero-emission-vehicle-zev-mandate-consultation-summary-of-responses-and-joint-government-response?utm_source=chat5.toolnestit.com" TargetMode="External"/><Relationship Id="rId32" Type="http://schemas.openxmlformats.org/officeDocument/2006/relationships/hyperlink" Target="https://www.stat.go.jp/english/data/jinsui/2024np/index.html?utm_source=chat5.toolnestit.com" TargetMode="External"/><Relationship Id="rId37" Type="http://schemas.openxmlformats.org/officeDocument/2006/relationships/hyperlink" Target="https://global.toyota/en/newsroom/toyota/42369120.html?utm_source=chat5.toolnestit.com" TargetMode="External"/><Relationship Id="rId40" Type="http://schemas.openxmlformats.org/officeDocument/2006/relationships/hyperlink" Target="https://www.toyotauk.com/toyota-in-the-uk/overview-of-toyota-in-the-uk?utm_source=chat5.toolnestit.com" TargetMode="External"/><Relationship Id="rId45" Type="http://schemas.openxmlformats.org/officeDocument/2006/relationships/header" Target="header4.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gov.uk/government/publications/electric-vehicle-charging-market-study-final-report/final-report?utm_source=chat5.toolnestit.com" TargetMode="External"/><Relationship Id="rId28" Type="http://schemas.openxmlformats.org/officeDocument/2006/relationships/hyperlink" Target="https://www.meti.go.jp/english/press/2023/1018_002.html?utm_source=chat5.toolnestit.com" TargetMode="External"/><Relationship Id="rId36" Type="http://schemas.openxmlformats.org/officeDocument/2006/relationships/hyperlink" Target="https://global.toyota/en/newsroom/corporate/41363981.html?utm_source=chat5.toolnestit.com" TargetMode="External"/><Relationship Id="rId49" Type="http://schemas.openxmlformats.org/officeDocument/2006/relationships/header" Target="header6.xml"/><Relationship Id="rId10" Type="http://schemas.openxmlformats.org/officeDocument/2006/relationships/footer" Target="footer1.xml"/><Relationship Id="rId19" Type="http://schemas.openxmlformats.org/officeDocument/2006/relationships/image" Target="media/image7.jpeg"/><Relationship Id="rId31" Type="http://schemas.openxmlformats.org/officeDocument/2006/relationships/hyperlink" Target="https://www.stat.go.jp/english/data/jinsui/2024np/index.html?utm_source=chat5.toolnestit.com" TargetMode="External"/><Relationship Id="rId44" Type="http://schemas.openxmlformats.org/officeDocument/2006/relationships/hyperlink" Target="https://unctad.org/publication/world-investment-report-2023"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eg"/><Relationship Id="rId22" Type="http://schemas.openxmlformats.org/officeDocument/2006/relationships/hyperlink" Target="https://www.theccc.org.uk/publication/progress-in-reducing-emissions-2024-report-to-parliament/?utm_source=chat5.toolnestit.com" TargetMode="External"/><Relationship Id="rId27" Type="http://schemas.openxmlformats.org/officeDocument/2006/relationships/hyperlink" Target="https://www.imf.org/en/publications/cr/issues/2024/05/13/japan-2024-article-iv-consultation-press-release-staff-report-and-statement-by-the-548845?utm_source=chat5.toolnestit.com" TargetMode="External"/><Relationship Id="rId30" Type="http://schemas.openxmlformats.org/officeDocument/2006/relationships/hyperlink" Target="https://www.ons.gov.uk/economy/inflationandpriceindices/bulletins/consumerpriceinflation/december2024" TargetMode="External"/><Relationship Id="rId35" Type="http://schemas.openxmlformats.org/officeDocument/2006/relationships/hyperlink" Target="https://www.toyota.co.uk/personal-finance?utm_source=chat5.toolnestit.com" TargetMode="External"/><Relationship Id="rId43" Type="http://schemas.openxmlformats.org/officeDocument/2006/relationships/hyperlink" Target="https://www.legislation.gov.uk/ukpga/2024/13/contents" TargetMode="External"/><Relationship Id="rId48" Type="http://schemas.openxmlformats.org/officeDocument/2006/relationships/footer" Target="footer5.xml"/><Relationship Id="rId8" Type="http://schemas.openxmlformats.org/officeDocument/2006/relationships/header" Target="header1.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32</Pages>
  <Words>7659</Words>
  <Characters>43660</Characters>
  <Application>Microsoft Office Word</Application>
  <DocSecurity>0</DocSecurity>
  <Lines>363</Lines>
  <Paragraphs>102</Paragraphs>
  <ScaleCrop>false</ScaleCrop>
  <Company/>
  <LinksUpToDate>false</LinksUpToDate>
  <CharactersWithSpaces>51217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2026-08-12T07:37:00Z</dcterms:created>
  <dcterms:modified xsi:type="dcterms:W3CDTF">2026-08-12T07:37:00Z</dcterms:modified>
</cp:coreProperties>
</file>