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A0E41" w14:textId="77777777" w:rsidR="00C26578" w:rsidRDefault="00C26578" w:rsidP="00506D9E">
      <w:pPr>
        <w:spacing w:line="276" w:lineRule="auto"/>
        <w:jc w:val="both"/>
        <w:rPr>
          <w:rFonts w:ascii="Times New Roman" w:hAnsi="Times New Roman" w:cs="Times New Roman"/>
          <w:b/>
          <w:bCs/>
          <w:sz w:val="28"/>
          <w:szCs w:val="28"/>
          <w:lang w:val="en-US"/>
        </w:rPr>
      </w:pPr>
    </w:p>
    <w:p w14:paraId="4975B93C" w14:textId="77777777" w:rsidR="00BF15CE" w:rsidRDefault="00BF15CE" w:rsidP="003A318D">
      <w:pPr>
        <w:spacing w:line="276" w:lineRule="auto"/>
        <w:jc w:val="center"/>
        <w:rPr>
          <w:rFonts w:ascii="Times New Roman" w:hAnsi="Times New Roman" w:cs="Times New Roman"/>
          <w:b/>
          <w:bCs/>
          <w:sz w:val="28"/>
          <w:szCs w:val="28"/>
          <w:lang w:val="en-US"/>
        </w:rPr>
      </w:pPr>
    </w:p>
    <w:p w14:paraId="3E482811" w14:textId="795B9526" w:rsidR="00C26578" w:rsidRDefault="003A318D" w:rsidP="003A318D">
      <w:pPr>
        <w:spacing w:line="276" w:lineRule="auto"/>
        <w:jc w:val="center"/>
        <w:rPr>
          <w:rFonts w:ascii="Times New Roman" w:hAnsi="Times New Roman" w:cs="Times New Roman"/>
          <w:b/>
          <w:bCs/>
          <w:sz w:val="28"/>
          <w:szCs w:val="28"/>
          <w:lang w:val="en-US"/>
        </w:rPr>
      </w:pPr>
      <w:r w:rsidRPr="00084BA6">
        <w:rPr>
          <w:noProof/>
          <w:color w:val="000000" w:themeColor="text1"/>
        </w:rPr>
        <w:drawing>
          <wp:inline distT="0" distB="0" distL="0" distR="0" wp14:anchorId="17AF600F" wp14:editId="3E04E67B">
            <wp:extent cx="3002280" cy="1287649"/>
            <wp:effectExtent l="0" t="0" r="7620" b="8255"/>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f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96467" cy="1328045"/>
                    </a:xfrm>
                    <a:prstGeom prst="rect">
                      <a:avLst/>
                    </a:prstGeom>
                  </pic:spPr>
                </pic:pic>
              </a:graphicData>
            </a:graphic>
          </wp:inline>
        </w:drawing>
      </w:r>
    </w:p>
    <w:p w14:paraId="2683BB54" w14:textId="77777777" w:rsidR="00D704BD" w:rsidRDefault="00D704BD" w:rsidP="003A318D">
      <w:pPr>
        <w:spacing w:line="276" w:lineRule="auto"/>
        <w:jc w:val="center"/>
        <w:rPr>
          <w:rFonts w:ascii="Times New Roman" w:hAnsi="Times New Roman" w:cs="Times New Roman"/>
          <w:b/>
          <w:bCs/>
          <w:sz w:val="28"/>
          <w:szCs w:val="28"/>
          <w:lang w:val="en-US"/>
        </w:rPr>
      </w:pPr>
    </w:p>
    <w:p w14:paraId="3AC8D683" w14:textId="77777777" w:rsidR="00D704BD" w:rsidRDefault="00D704BD" w:rsidP="003A318D">
      <w:pPr>
        <w:spacing w:line="276" w:lineRule="auto"/>
        <w:jc w:val="center"/>
        <w:rPr>
          <w:rFonts w:ascii="Times New Roman" w:hAnsi="Times New Roman" w:cs="Times New Roman"/>
          <w:b/>
          <w:bCs/>
          <w:sz w:val="28"/>
          <w:szCs w:val="28"/>
          <w:lang w:val="en-US"/>
        </w:rPr>
      </w:pPr>
    </w:p>
    <w:p w14:paraId="228B3BD1" w14:textId="77777777" w:rsidR="00FA234F" w:rsidRDefault="00FA234F" w:rsidP="003A318D">
      <w:pPr>
        <w:spacing w:line="276" w:lineRule="auto"/>
        <w:jc w:val="center"/>
        <w:rPr>
          <w:rFonts w:ascii="Times New Roman" w:hAnsi="Times New Roman" w:cs="Times New Roman"/>
          <w:b/>
          <w:bCs/>
          <w:sz w:val="28"/>
          <w:szCs w:val="28"/>
          <w:lang w:val="en-US"/>
        </w:rPr>
      </w:pPr>
    </w:p>
    <w:p w14:paraId="744D8758" w14:textId="77777777" w:rsidR="00FA234F" w:rsidRDefault="00FA234F" w:rsidP="003A318D">
      <w:pPr>
        <w:spacing w:line="276" w:lineRule="auto"/>
        <w:jc w:val="center"/>
        <w:rPr>
          <w:rFonts w:ascii="Times New Roman" w:hAnsi="Times New Roman" w:cs="Times New Roman"/>
          <w:b/>
          <w:bCs/>
          <w:sz w:val="28"/>
          <w:szCs w:val="28"/>
          <w:lang w:val="en-US"/>
        </w:rPr>
      </w:pPr>
    </w:p>
    <w:p w14:paraId="064D4437" w14:textId="77777777" w:rsidR="00836A8C" w:rsidRDefault="00836A8C" w:rsidP="003A318D">
      <w:pPr>
        <w:spacing w:line="276" w:lineRule="auto"/>
        <w:jc w:val="center"/>
        <w:rPr>
          <w:rFonts w:ascii="Times New Roman" w:hAnsi="Times New Roman" w:cs="Times New Roman"/>
          <w:b/>
          <w:bCs/>
          <w:sz w:val="28"/>
          <w:szCs w:val="28"/>
          <w:lang w:val="en-US"/>
        </w:rPr>
      </w:pPr>
    </w:p>
    <w:p w14:paraId="46EB5059" w14:textId="77777777" w:rsidR="00836A8C" w:rsidRDefault="00836A8C" w:rsidP="003A318D">
      <w:pPr>
        <w:spacing w:line="276" w:lineRule="auto"/>
        <w:jc w:val="center"/>
        <w:rPr>
          <w:rFonts w:ascii="Times New Roman" w:hAnsi="Times New Roman" w:cs="Times New Roman"/>
          <w:b/>
          <w:bCs/>
          <w:sz w:val="28"/>
          <w:szCs w:val="28"/>
          <w:lang w:val="en-US"/>
        </w:rPr>
      </w:pPr>
    </w:p>
    <w:p w14:paraId="5D4AA01E" w14:textId="129576BD" w:rsidR="00D704BD" w:rsidRPr="00BD4034" w:rsidRDefault="00D704BD" w:rsidP="003A318D">
      <w:pPr>
        <w:spacing w:line="276" w:lineRule="auto"/>
        <w:jc w:val="center"/>
        <w:rPr>
          <w:rFonts w:ascii="Times New Roman" w:hAnsi="Times New Roman" w:cs="Times New Roman"/>
          <w:sz w:val="32"/>
          <w:szCs w:val="32"/>
          <w:lang w:val="en-US"/>
        </w:rPr>
      </w:pPr>
      <w:r w:rsidRPr="00BD4034">
        <w:rPr>
          <w:rFonts w:ascii="Times New Roman" w:hAnsi="Times New Roman" w:cs="Times New Roman"/>
          <w:sz w:val="32"/>
          <w:szCs w:val="32"/>
          <w:lang w:val="en-US"/>
        </w:rPr>
        <w:t>Banking Financial Management and Financial Markets</w:t>
      </w:r>
      <w:r w:rsidR="00DB59A9" w:rsidRPr="00BD4034">
        <w:rPr>
          <w:rFonts w:ascii="Times New Roman" w:hAnsi="Times New Roman" w:cs="Times New Roman"/>
          <w:sz w:val="32"/>
          <w:szCs w:val="32"/>
          <w:lang w:val="en-US"/>
        </w:rPr>
        <w:t xml:space="preserve"> (LCMB7012)</w:t>
      </w:r>
    </w:p>
    <w:p w14:paraId="7ABFD6D0" w14:textId="77777777" w:rsidR="00BD4034" w:rsidRPr="00BD4034" w:rsidRDefault="00BD4034" w:rsidP="00BD4034">
      <w:pPr>
        <w:jc w:val="center"/>
        <w:rPr>
          <w:rFonts w:ascii="Times New Roman" w:hAnsi="Times New Roman" w:cs="Times New Roman"/>
          <w:color w:val="000000" w:themeColor="text1"/>
          <w:sz w:val="32"/>
          <w:szCs w:val="32"/>
        </w:rPr>
      </w:pPr>
      <w:r w:rsidRPr="00BD4034">
        <w:rPr>
          <w:rFonts w:ascii="Times New Roman" w:hAnsi="Times New Roman" w:cs="Times New Roman"/>
          <w:color w:val="000000" w:themeColor="text1"/>
          <w:sz w:val="32"/>
          <w:szCs w:val="32"/>
        </w:rPr>
        <w:t>MBA – Master of Business Administration</w:t>
      </w:r>
    </w:p>
    <w:p w14:paraId="6E562B16" w14:textId="77777777" w:rsidR="00BD4034" w:rsidRDefault="00BD4034" w:rsidP="003A318D">
      <w:pPr>
        <w:spacing w:line="276" w:lineRule="auto"/>
        <w:jc w:val="center"/>
        <w:rPr>
          <w:rFonts w:ascii="Times New Roman" w:hAnsi="Times New Roman" w:cs="Times New Roman"/>
          <w:b/>
          <w:bCs/>
          <w:sz w:val="28"/>
          <w:szCs w:val="28"/>
          <w:lang w:val="en-US"/>
        </w:rPr>
      </w:pPr>
    </w:p>
    <w:p w14:paraId="1D2BB309" w14:textId="77777777" w:rsidR="00FA234F" w:rsidRDefault="00FA234F" w:rsidP="003A318D">
      <w:pPr>
        <w:spacing w:line="276" w:lineRule="auto"/>
        <w:jc w:val="center"/>
        <w:rPr>
          <w:rFonts w:ascii="Times New Roman" w:hAnsi="Times New Roman" w:cs="Times New Roman"/>
          <w:b/>
          <w:bCs/>
          <w:sz w:val="28"/>
          <w:szCs w:val="28"/>
          <w:lang w:val="en-US"/>
        </w:rPr>
      </w:pPr>
    </w:p>
    <w:p w14:paraId="3FBB52F1" w14:textId="77777777" w:rsidR="00FA234F" w:rsidRDefault="00FA234F" w:rsidP="003A318D">
      <w:pPr>
        <w:spacing w:line="276" w:lineRule="auto"/>
        <w:jc w:val="center"/>
        <w:rPr>
          <w:rFonts w:ascii="Times New Roman" w:hAnsi="Times New Roman" w:cs="Times New Roman"/>
          <w:b/>
          <w:bCs/>
          <w:sz w:val="28"/>
          <w:szCs w:val="28"/>
          <w:lang w:val="en-US"/>
        </w:rPr>
      </w:pPr>
    </w:p>
    <w:p w14:paraId="4515C086" w14:textId="77777777" w:rsidR="00FA234F" w:rsidRDefault="00FA234F" w:rsidP="003A318D">
      <w:pPr>
        <w:spacing w:line="276" w:lineRule="auto"/>
        <w:jc w:val="center"/>
        <w:rPr>
          <w:rFonts w:ascii="Times New Roman" w:hAnsi="Times New Roman" w:cs="Times New Roman"/>
          <w:b/>
          <w:bCs/>
          <w:sz w:val="28"/>
          <w:szCs w:val="28"/>
          <w:lang w:val="en-US"/>
        </w:rPr>
      </w:pPr>
    </w:p>
    <w:p w14:paraId="283EA1DE" w14:textId="77777777" w:rsidR="006C78A0" w:rsidRPr="00762D7C" w:rsidRDefault="006C78A0" w:rsidP="00FA234F">
      <w:pPr>
        <w:spacing w:line="276" w:lineRule="auto"/>
        <w:rPr>
          <w:rFonts w:ascii="Times New Roman" w:hAnsi="Times New Roman" w:cs="Times New Roman"/>
          <w:b/>
          <w:bCs/>
          <w:sz w:val="28"/>
          <w:szCs w:val="28"/>
        </w:rPr>
      </w:pPr>
    </w:p>
    <w:p w14:paraId="43BD915D" w14:textId="77777777" w:rsidR="006C78A0" w:rsidRPr="00762D7C" w:rsidRDefault="006C78A0" w:rsidP="00FA234F">
      <w:pPr>
        <w:spacing w:line="276" w:lineRule="auto"/>
        <w:rPr>
          <w:rFonts w:ascii="Times New Roman" w:hAnsi="Times New Roman" w:cs="Times New Roman"/>
          <w:b/>
          <w:bCs/>
          <w:sz w:val="28"/>
          <w:szCs w:val="28"/>
        </w:rPr>
      </w:pPr>
    </w:p>
    <w:p w14:paraId="1F867BC4" w14:textId="77777777" w:rsidR="00836A8C" w:rsidRPr="00762D7C" w:rsidRDefault="00836A8C" w:rsidP="00FA234F">
      <w:pPr>
        <w:spacing w:line="276" w:lineRule="auto"/>
        <w:rPr>
          <w:rFonts w:ascii="Times New Roman" w:hAnsi="Times New Roman" w:cs="Times New Roman"/>
          <w:b/>
          <w:bCs/>
          <w:sz w:val="28"/>
          <w:szCs w:val="28"/>
        </w:rPr>
      </w:pPr>
    </w:p>
    <w:p w14:paraId="4CC5E2BB" w14:textId="05D47C9F" w:rsidR="00FA234F" w:rsidRPr="00762D7C" w:rsidRDefault="00E233AE" w:rsidP="00FA234F">
      <w:pPr>
        <w:spacing w:line="276" w:lineRule="auto"/>
        <w:rPr>
          <w:rFonts w:ascii="Times New Roman" w:hAnsi="Times New Roman" w:cs="Times New Roman"/>
          <w:sz w:val="28"/>
          <w:szCs w:val="28"/>
        </w:rPr>
      </w:pPr>
      <w:r w:rsidRPr="00762D7C">
        <w:rPr>
          <w:rFonts w:ascii="Times New Roman" w:hAnsi="Times New Roman" w:cs="Times New Roman"/>
          <w:sz w:val="28"/>
          <w:szCs w:val="28"/>
        </w:rPr>
        <w:t xml:space="preserve">Student Name: </w:t>
      </w:r>
      <w:r w:rsidR="00224507" w:rsidRPr="00762D7C">
        <w:rPr>
          <w:rFonts w:ascii="Times New Roman" w:hAnsi="Times New Roman" w:cs="Times New Roman"/>
          <w:sz w:val="28"/>
          <w:szCs w:val="28"/>
        </w:rPr>
        <w:t xml:space="preserve">Jitendra </w:t>
      </w:r>
      <w:proofErr w:type="spellStart"/>
      <w:r w:rsidR="00224507" w:rsidRPr="00762D7C">
        <w:rPr>
          <w:rFonts w:ascii="Times New Roman" w:hAnsi="Times New Roman" w:cs="Times New Roman"/>
          <w:sz w:val="28"/>
          <w:szCs w:val="28"/>
        </w:rPr>
        <w:t>Tulsibhai</w:t>
      </w:r>
      <w:proofErr w:type="spellEnd"/>
      <w:r w:rsidR="00224507" w:rsidRPr="00762D7C">
        <w:rPr>
          <w:rFonts w:ascii="Times New Roman" w:hAnsi="Times New Roman" w:cs="Times New Roman"/>
          <w:sz w:val="28"/>
          <w:szCs w:val="28"/>
        </w:rPr>
        <w:t xml:space="preserve"> Gohel</w:t>
      </w:r>
    </w:p>
    <w:p w14:paraId="282461E0" w14:textId="01601A3B" w:rsidR="00224507" w:rsidRPr="00762D7C" w:rsidRDefault="000C66CA" w:rsidP="00FA234F">
      <w:pPr>
        <w:spacing w:line="276" w:lineRule="auto"/>
        <w:rPr>
          <w:rFonts w:ascii="Times New Roman" w:hAnsi="Times New Roman" w:cs="Times New Roman"/>
          <w:sz w:val="28"/>
          <w:szCs w:val="28"/>
        </w:rPr>
      </w:pPr>
      <w:r w:rsidRPr="00762D7C">
        <w:rPr>
          <w:rFonts w:ascii="Times New Roman" w:hAnsi="Times New Roman" w:cs="Times New Roman"/>
          <w:sz w:val="28"/>
          <w:szCs w:val="28"/>
        </w:rPr>
        <w:t>S</w:t>
      </w:r>
      <w:r w:rsidR="00D47664" w:rsidRPr="00762D7C">
        <w:rPr>
          <w:rFonts w:ascii="Times New Roman" w:hAnsi="Times New Roman" w:cs="Times New Roman"/>
          <w:sz w:val="28"/>
          <w:szCs w:val="28"/>
        </w:rPr>
        <w:t>tud</w:t>
      </w:r>
      <w:r w:rsidR="0075103E" w:rsidRPr="00762D7C">
        <w:rPr>
          <w:rFonts w:ascii="Times New Roman" w:hAnsi="Times New Roman" w:cs="Times New Roman"/>
          <w:sz w:val="28"/>
          <w:szCs w:val="28"/>
        </w:rPr>
        <w:t xml:space="preserve">ent </w:t>
      </w:r>
      <w:r w:rsidR="003C6999" w:rsidRPr="00762D7C">
        <w:rPr>
          <w:rFonts w:ascii="Times New Roman" w:hAnsi="Times New Roman" w:cs="Times New Roman"/>
          <w:sz w:val="28"/>
          <w:szCs w:val="28"/>
        </w:rPr>
        <w:t>N</w:t>
      </w:r>
      <w:r w:rsidR="00B313E1" w:rsidRPr="00762D7C">
        <w:rPr>
          <w:rFonts w:ascii="Times New Roman" w:hAnsi="Times New Roman" w:cs="Times New Roman"/>
          <w:sz w:val="28"/>
          <w:szCs w:val="28"/>
        </w:rPr>
        <w:t>um</w:t>
      </w:r>
      <w:r w:rsidR="006766C1" w:rsidRPr="00762D7C">
        <w:rPr>
          <w:rFonts w:ascii="Times New Roman" w:hAnsi="Times New Roman" w:cs="Times New Roman"/>
          <w:sz w:val="28"/>
          <w:szCs w:val="28"/>
        </w:rPr>
        <w:t>ber: 2242698</w:t>
      </w:r>
    </w:p>
    <w:p w14:paraId="13503ADF" w14:textId="0199D75F" w:rsidR="006766C1" w:rsidRPr="006C78A0" w:rsidRDefault="00BE55E4" w:rsidP="00FA234F">
      <w:pPr>
        <w:spacing w:line="276" w:lineRule="auto"/>
        <w:rPr>
          <w:rFonts w:ascii="Times New Roman" w:hAnsi="Times New Roman" w:cs="Times New Roman"/>
          <w:sz w:val="28"/>
          <w:szCs w:val="28"/>
          <w:lang w:val="en-US"/>
        </w:rPr>
      </w:pPr>
      <w:r w:rsidRPr="006C78A0">
        <w:rPr>
          <w:rFonts w:ascii="Times New Roman" w:hAnsi="Times New Roman" w:cs="Times New Roman"/>
          <w:sz w:val="28"/>
          <w:szCs w:val="28"/>
          <w:lang w:val="en-US"/>
        </w:rPr>
        <w:t xml:space="preserve">Lecturer: </w:t>
      </w:r>
      <w:r w:rsidR="00A60685" w:rsidRPr="006C78A0">
        <w:rPr>
          <w:rFonts w:ascii="Times New Roman" w:hAnsi="Times New Roman" w:cs="Times New Roman"/>
          <w:sz w:val="28"/>
          <w:szCs w:val="28"/>
          <w:lang w:val="en-US"/>
        </w:rPr>
        <w:t>David Coker</w:t>
      </w:r>
    </w:p>
    <w:p w14:paraId="4203D981" w14:textId="060BFEDC" w:rsidR="006C78A0" w:rsidRDefault="006C78A0" w:rsidP="00FA234F">
      <w:pPr>
        <w:spacing w:line="276" w:lineRule="auto"/>
        <w:rPr>
          <w:rFonts w:ascii="Times New Roman" w:hAnsi="Times New Roman" w:cs="Times New Roman"/>
          <w:b/>
          <w:bCs/>
          <w:sz w:val="28"/>
          <w:szCs w:val="28"/>
          <w:lang w:val="en-US"/>
        </w:rPr>
      </w:pPr>
    </w:p>
    <w:p w14:paraId="67E582FA" w14:textId="77777777" w:rsidR="00FA234F" w:rsidRDefault="00FA234F" w:rsidP="003A318D">
      <w:pPr>
        <w:spacing w:line="276" w:lineRule="auto"/>
        <w:jc w:val="center"/>
        <w:rPr>
          <w:rFonts w:ascii="Times New Roman" w:hAnsi="Times New Roman" w:cs="Times New Roman"/>
          <w:b/>
          <w:bCs/>
          <w:sz w:val="28"/>
          <w:szCs w:val="28"/>
          <w:lang w:val="en-US"/>
        </w:rPr>
      </w:pPr>
    </w:p>
    <w:p w14:paraId="58C799D7" w14:textId="77777777" w:rsidR="00FA234F" w:rsidRDefault="00FA234F" w:rsidP="00525705">
      <w:pPr>
        <w:spacing w:line="276" w:lineRule="auto"/>
        <w:rPr>
          <w:rFonts w:ascii="Times New Roman" w:hAnsi="Times New Roman" w:cs="Times New Roman"/>
          <w:b/>
          <w:bCs/>
          <w:sz w:val="28"/>
          <w:szCs w:val="28"/>
          <w:lang w:val="en-US"/>
        </w:rPr>
      </w:pPr>
    </w:p>
    <w:sdt>
      <w:sdtPr>
        <w:rPr>
          <w:rFonts w:asciiTheme="minorHAnsi" w:eastAsiaTheme="minorHAnsi" w:hAnsiTheme="minorHAnsi" w:cstheme="minorBidi"/>
          <w:color w:val="auto"/>
          <w:kern w:val="2"/>
          <w:sz w:val="22"/>
          <w:szCs w:val="22"/>
          <w:lang w:val="en-GB"/>
          <w14:ligatures w14:val="standardContextual"/>
        </w:rPr>
        <w:id w:val="-150983865"/>
        <w:docPartObj>
          <w:docPartGallery w:val="Table of Contents"/>
          <w:docPartUnique/>
        </w:docPartObj>
      </w:sdtPr>
      <w:sdtEndPr>
        <w:rPr>
          <w:b/>
          <w:bCs/>
          <w:noProof/>
        </w:rPr>
      </w:sdtEndPr>
      <w:sdtContent>
        <w:p w14:paraId="648B3B9F" w14:textId="23868A9F" w:rsidR="00525705" w:rsidRPr="005F10D2" w:rsidRDefault="00525705">
          <w:pPr>
            <w:pStyle w:val="TOCHeading"/>
            <w:rPr>
              <w:b/>
              <w:bCs/>
              <w:color w:val="4472C4" w:themeColor="accent1"/>
            </w:rPr>
          </w:pPr>
          <w:r w:rsidRPr="005F10D2">
            <w:rPr>
              <w:b/>
              <w:bCs/>
              <w:color w:val="4472C4" w:themeColor="accent1"/>
            </w:rPr>
            <w:t>Table of Contents</w:t>
          </w:r>
        </w:p>
        <w:p w14:paraId="52BF5BF3" w14:textId="77777777" w:rsidR="007C7A74" w:rsidRPr="007C7A74" w:rsidRDefault="007C7A74" w:rsidP="007C7A74">
          <w:pPr>
            <w:rPr>
              <w:lang w:val="en-US"/>
            </w:rPr>
          </w:pPr>
        </w:p>
        <w:p w14:paraId="6F8F0D76" w14:textId="42225DD3" w:rsidR="00F678B6" w:rsidRDefault="00525705">
          <w:pPr>
            <w:pStyle w:val="TOC1"/>
            <w:tabs>
              <w:tab w:val="right" w:leader="dot" w:pos="9016"/>
            </w:tabs>
            <w:rPr>
              <w:rFonts w:eastAsiaTheme="minorEastAsia"/>
              <w:noProof/>
              <w:lang w:eastAsia="zh-CN"/>
            </w:rPr>
          </w:pPr>
          <w:r>
            <w:fldChar w:fldCharType="begin"/>
          </w:r>
          <w:r>
            <w:instrText xml:space="preserve"> TOC \o "1-3" \h \z \u </w:instrText>
          </w:r>
          <w:r>
            <w:fldChar w:fldCharType="separate"/>
          </w:r>
          <w:hyperlink w:anchor="_Toc155313183" w:history="1">
            <w:r w:rsidR="00F678B6" w:rsidRPr="00A3024F">
              <w:rPr>
                <w:rStyle w:val="Hyperlink"/>
                <w:noProof/>
              </w:rPr>
              <w:t>US Financial Reform Laws and Regulations Enacted after Global Financial Crisis 2008</w:t>
            </w:r>
            <w:r w:rsidR="00F678B6">
              <w:rPr>
                <w:noProof/>
                <w:webHidden/>
              </w:rPr>
              <w:tab/>
            </w:r>
            <w:r w:rsidR="00F678B6">
              <w:rPr>
                <w:noProof/>
                <w:webHidden/>
              </w:rPr>
              <w:fldChar w:fldCharType="begin"/>
            </w:r>
            <w:r w:rsidR="00F678B6">
              <w:rPr>
                <w:noProof/>
                <w:webHidden/>
              </w:rPr>
              <w:instrText xml:space="preserve"> PAGEREF _Toc155313183 \h </w:instrText>
            </w:r>
            <w:r w:rsidR="00F678B6">
              <w:rPr>
                <w:noProof/>
                <w:webHidden/>
              </w:rPr>
            </w:r>
            <w:r w:rsidR="00F678B6">
              <w:rPr>
                <w:noProof/>
                <w:webHidden/>
              </w:rPr>
              <w:fldChar w:fldCharType="separate"/>
            </w:r>
            <w:r w:rsidR="00280198">
              <w:rPr>
                <w:noProof/>
                <w:webHidden/>
              </w:rPr>
              <w:t>4</w:t>
            </w:r>
            <w:r w:rsidR="00F678B6">
              <w:rPr>
                <w:noProof/>
                <w:webHidden/>
              </w:rPr>
              <w:fldChar w:fldCharType="end"/>
            </w:r>
          </w:hyperlink>
        </w:p>
        <w:p w14:paraId="5E044AFF" w14:textId="1548AFD7" w:rsidR="00F678B6" w:rsidRDefault="00000000">
          <w:pPr>
            <w:pStyle w:val="TOC1"/>
            <w:tabs>
              <w:tab w:val="right" w:leader="dot" w:pos="9016"/>
            </w:tabs>
            <w:rPr>
              <w:rFonts w:eastAsiaTheme="minorEastAsia"/>
              <w:noProof/>
              <w:lang w:eastAsia="zh-CN"/>
            </w:rPr>
          </w:pPr>
          <w:hyperlink w:anchor="_Toc155313184" w:history="1">
            <w:r w:rsidR="00F678B6" w:rsidRPr="00A3024F">
              <w:rPr>
                <w:rStyle w:val="Hyperlink"/>
                <w:noProof/>
              </w:rPr>
              <w:t>European Union’s (EU) Regulatory Response to Stabilise its Financial System after Global Financial Crises 2008.</w:t>
            </w:r>
            <w:r w:rsidR="00F678B6">
              <w:rPr>
                <w:noProof/>
                <w:webHidden/>
              </w:rPr>
              <w:tab/>
            </w:r>
            <w:r w:rsidR="00F678B6">
              <w:rPr>
                <w:noProof/>
                <w:webHidden/>
              </w:rPr>
              <w:fldChar w:fldCharType="begin"/>
            </w:r>
            <w:r w:rsidR="00F678B6">
              <w:rPr>
                <w:noProof/>
                <w:webHidden/>
              </w:rPr>
              <w:instrText xml:space="preserve"> PAGEREF _Toc155313184 \h </w:instrText>
            </w:r>
            <w:r w:rsidR="00F678B6">
              <w:rPr>
                <w:noProof/>
                <w:webHidden/>
              </w:rPr>
            </w:r>
            <w:r w:rsidR="00F678B6">
              <w:rPr>
                <w:noProof/>
                <w:webHidden/>
              </w:rPr>
              <w:fldChar w:fldCharType="separate"/>
            </w:r>
            <w:r w:rsidR="00280198">
              <w:rPr>
                <w:noProof/>
                <w:webHidden/>
              </w:rPr>
              <w:t>8</w:t>
            </w:r>
            <w:r w:rsidR="00F678B6">
              <w:rPr>
                <w:noProof/>
                <w:webHidden/>
              </w:rPr>
              <w:fldChar w:fldCharType="end"/>
            </w:r>
          </w:hyperlink>
        </w:p>
        <w:p w14:paraId="65BDFE76" w14:textId="1EB4FCE6" w:rsidR="00F678B6" w:rsidRDefault="00000000">
          <w:pPr>
            <w:pStyle w:val="TOC1"/>
            <w:tabs>
              <w:tab w:val="right" w:leader="dot" w:pos="9016"/>
            </w:tabs>
            <w:rPr>
              <w:rFonts w:eastAsiaTheme="minorEastAsia"/>
              <w:noProof/>
              <w:lang w:eastAsia="zh-CN"/>
            </w:rPr>
          </w:pPr>
          <w:hyperlink w:anchor="_Toc155313185" w:history="1">
            <w:r w:rsidR="00F678B6" w:rsidRPr="00A3024F">
              <w:rPr>
                <w:rStyle w:val="Hyperlink"/>
                <w:noProof/>
              </w:rPr>
              <w:t>A critical review and the impacts of the above reforms' on the financial system and various banking institutions following the 2008 crisis.</w:t>
            </w:r>
            <w:r w:rsidR="00F678B6">
              <w:rPr>
                <w:noProof/>
                <w:webHidden/>
              </w:rPr>
              <w:tab/>
            </w:r>
            <w:r w:rsidR="00F678B6">
              <w:rPr>
                <w:noProof/>
                <w:webHidden/>
              </w:rPr>
              <w:fldChar w:fldCharType="begin"/>
            </w:r>
            <w:r w:rsidR="00F678B6">
              <w:rPr>
                <w:noProof/>
                <w:webHidden/>
              </w:rPr>
              <w:instrText xml:space="preserve"> PAGEREF _Toc155313185 \h </w:instrText>
            </w:r>
            <w:r w:rsidR="00F678B6">
              <w:rPr>
                <w:noProof/>
                <w:webHidden/>
              </w:rPr>
            </w:r>
            <w:r w:rsidR="00F678B6">
              <w:rPr>
                <w:noProof/>
                <w:webHidden/>
              </w:rPr>
              <w:fldChar w:fldCharType="separate"/>
            </w:r>
            <w:r w:rsidR="00280198">
              <w:rPr>
                <w:noProof/>
                <w:webHidden/>
              </w:rPr>
              <w:t>11</w:t>
            </w:r>
            <w:r w:rsidR="00F678B6">
              <w:rPr>
                <w:noProof/>
                <w:webHidden/>
              </w:rPr>
              <w:fldChar w:fldCharType="end"/>
            </w:r>
          </w:hyperlink>
        </w:p>
        <w:p w14:paraId="44D7EF4D" w14:textId="1279878D" w:rsidR="00F678B6" w:rsidRDefault="00000000">
          <w:pPr>
            <w:pStyle w:val="TOC1"/>
            <w:tabs>
              <w:tab w:val="right" w:leader="dot" w:pos="9016"/>
            </w:tabs>
            <w:rPr>
              <w:rFonts w:eastAsiaTheme="minorEastAsia"/>
              <w:noProof/>
              <w:lang w:eastAsia="zh-CN"/>
            </w:rPr>
          </w:pPr>
          <w:hyperlink w:anchor="_Toc155313186" w:history="1">
            <w:r w:rsidR="00F678B6" w:rsidRPr="00A3024F">
              <w:rPr>
                <w:rStyle w:val="Hyperlink"/>
                <w:noProof/>
              </w:rPr>
              <w:t>Impacts of the Post-2008 Crises Reforms on the Business Model of JPMorgan Chase &amp; Co.</w:t>
            </w:r>
            <w:r w:rsidR="00F678B6">
              <w:rPr>
                <w:noProof/>
                <w:webHidden/>
              </w:rPr>
              <w:tab/>
            </w:r>
            <w:r w:rsidR="00F678B6">
              <w:rPr>
                <w:noProof/>
                <w:webHidden/>
              </w:rPr>
              <w:fldChar w:fldCharType="begin"/>
            </w:r>
            <w:r w:rsidR="00F678B6">
              <w:rPr>
                <w:noProof/>
                <w:webHidden/>
              </w:rPr>
              <w:instrText xml:space="preserve"> PAGEREF _Toc155313186 \h </w:instrText>
            </w:r>
            <w:r w:rsidR="00F678B6">
              <w:rPr>
                <w:noProof/>
                <w:webHidden/>
              </w:rPr>
            </w:r>
            <w:r w:rsidR="00F678B6">
              <w:rPr>
                <w:noProof/>
                <w:webHidden/>
              </w:rPr>
              <w:fldChar w:fldCharType="separate"/>
            </w:r>
            <w:r w:rsidR="00280198">
              <w:rPr>
                <w:noProof/>
                <w:webHidden/>
              </w:rPr>
              <w:t>15</w:t>
            </w:r>
            <w:r w:rsidR="00F678B6">
              <w:rPr>
                <w:noProof/>
                <w:webHidden/>
              </w:rPr>
              <w:fldChar w:fldCharType="end"/>
            </w:r>
          </w:hyperlink>
        </w:p>
        <w:p w14:paraId="2B042F2C" w14:textId="52842875" w:rsidR="00F678B6" w:rsidRDefault="00000000">
          <w:pPr>
            <w:pStyle w:val="TOC1"/>
            <w:tabs>
              <w:tab w:val="right" w:leader="dot" w:pos="9016"/>
            </w:tabs>
            <w:rPr>
              <w:rFonts w:eastAsiaTheme="minorEastAsia"/>
              <w:noProof/>
              <w:lang w:eastAsia="zh-CN"/>
            </w:rPr>
          </w:pPr>
          <w:hyperlink w:anchor="_Toc155313187" w:history="1">
            <w:r w:rsidR="00F678B6" w:rsidRPr="00A3024F">
              <w:rPr>
                <w:rStyle w:val="Hyperlink"/>
                <w:noProof/>
              </w:rPr>
              <w:t>References</w:t>
            </w:r>
            <w:r w:rsidR="00F678B6">
              <w:rPr>
                <w:noProof/>
                <w:webHidden/>
              </w:rPr>
              <w:tab/>
            </w:r>
            <w:r w:rsidR="00F678B6">
              <w:rPr>
                <w:noProof/>
                <w:webHidden/>
              </w:rPr>
              <w:fldChar w:fldCharType="begin"/>
            </w:r>
            <w:r w:rsidR="00F678B6">
              <w:rPr>
                <w:noProof/>
                <w:webHidden/>
              </w:rPr>
              <w:instrText xml:space="preserve"> PAGEREF _Toc155313187 \h </w:instrText>
            </w:r>
            <w:r w:rsidR="00F678B6">
              <w:rPr>
                <w:noProof/>
                <w:webHidden/>
              </w:rPr>
            </w:r>
            <w:r w:rsidR="00F678B6">
              <w:rPr>
                <w:noProof/>
                <w:webHidden/>
              </w:rPr>
              <w:fldChar w:fldCharType="separate"/>
            </w:r>
            <w:r w:rsidR="00280198">
              <w:rPr>
                <w:noProof/>
                <w:webHidden/>
              </w:rPr>
              <w:t>17</w:t>
            </w:r>
            <w:r w:rsidR="00F678B6">
              <w:rPr>
                <w:noProof/>
                <w:webHidden/>
              </w:rPr>
              <w:fldChar w:fldCharType="end"/>
            </w:r>
          </w:hyperlink>
        </w:p>
        <w:p w14:paraId="4C7B3999" w14:textId="5A92686D" w:rsidR="00525705" w:rsidRDefault="00525705">
          <w:r>
            <w:rPr>
              <w:b/>
              <w:bCs/>
              <w:noProof/>
            </w:rPr>
            <w:fldChar w:fldCharType="end"/>
          </w:r>
        </w:p>
      </w:sdtContent>
    </w:sdt>
    <w:p w14:paraId="137761B0" w14:textId="77777777" w:rsidR="00525705" w:rsidRDefault="00525705" w:rsidP="00525705">
      <w:pPr>
        <w:spacing w:line="276" w:lineRule="auto"/>
        <w:rPr>
          <w:rFonts w:ascii="Times New Roman" w:hAnsi="Times New Roman" w:cs="Times New Roman"/>
          <w:b/>
          <w:bCs/>
          <w:sz w:val="28"/>
          <w:szCs w:val="28"/>
          <w:lang w:val="en-US"/>
        </w:rPr>
      </w:pPr>
    </w:p>
    <w:p w14:paraId="656BA4EF" w14:textId="77777777" w:rsidR="00FA234F" w:rsidRDefault="00FA234F" w:rsidP="003A318D">
      <w:pPr>
        <w:spacing w:line="276" w:lineRule="auto"/>
        <w:jc w:val="center"/>
        <w:rPr>
          <w:rFonts w:ascii="Times New Roman" w:hAnsi="Times New Roman" w:cs="Times New Roman"/>
          <w:b/>
          <w:bCs/>
          <w:sz w:val="28"/>
          <w:szCs w:val="28"/>
          <w:lang w:val="en-US"/>
        </w:rPr>
      </w:pPr>
    </w:p>
    <w:p w14:paraId="2DB5AE41" w14:textId="77777777" w:rsidR="00FA234F" w:rsidRDefault="00FA234F" w:rsidP="003A318D">
      <w:pPr>
        <w:spacing w:line="276" w:lineRule="auto"/>
        <w:jc w:val="center"/>
        <w:rPr>
          <w:rFonts w:ascii="Times New Roman" w:hAnsi="Times New Roman" w:cs="Times New Roman"/>
          <w:b/>
          <w:bCs/>
          <w:sz w:val="28"/>
          <w:szCs w:val="28"/>
          <w:lang w:val="en-US"/>
        </w:rPr>
      </w:pPr>
    </w:p>
    <w:p w14:paraId="236B4071" w14:textId="77777777" w:rsidR="00D704BD" w:rsidRDefault="00D704BD" w:rsidP="003A318D">
      <w:pPr>
        <w:spacing w:line="276" w:lineRule="auto"/>
        <w:jc w:val="center"/>
        <w:rPr>
          <w:rFonts w:ascii="Times New Roman" w:hAnsi="Times New Roman" w:cs="Times New Roman"/>
          <w:b/>
          <w:bCs/>
          <w:sz w:val="28"/>
          <w:szCs w:val="28"/>
          <w:lang w:val="en-US"/>
        </w:rPr>
      </w:pPr>
    </w:p>
    <w:p w14:paraId="3DADF8FA" w14:textId="77777777" w:rsidR="00C26578" w:rsidRDefault="00C26578" w:rsidP="00506D9E">
      <w:pPr>
        <w:spacing w:line="276" w:lineRule="auto"/>
        <w:jc w:val="both"/>
        <w:rPr>
          <w:rFonts w:ascii="Times New Roman" w:hAnsi="Times New Roman" w:cs="Times New Roman"/>
          <w:b/>
          <w:bCs/>
          <w:sz w:val="28"/>
          <w:szCs w:val="28"/>
          <w:lang w:val="en-US"/>
        </w:rPr>
      </w:pPr>
    </w:p>
    <w:p w14:paraId="5B449E52" w14:textId="77777777" w:rsidR="00C26578" w:rsidRDefault="00C26578" w:rsidP="00506D9E">
      <w:pPr>
        <w:spacing w:line="276" w:lineRule="auto"/>
        <w:jc w:val="both"/>
        <w:rPr>
          <w:rFonts w:ascii="Times New Roman" w:hAnsi="Times New Roman" w:cs="Times New Roman"/>
          <w:b/>
          <w:bCs/>
          <w:sz w:val="28"/>
          <w:szCs w:val="28"/>
          <w:lang w:val="en-US"/>
        </w:rPr>
      </w:pPr>
    </w:p>
    <w:p w14:paraId="66430604" w14:textId="77777777" w:rsidR="00C26578" w:rsidRDefault="00C26578" w:rsidP="00506D9E">
      <w:pPr>
        <w:spacing w:line="276" w:lineRule="auto"/>
        <w:jc w:val="both"/>
        <w:rPr>
          <w:rFonts w:ascii="Times New Roman" w:hAnsi="Times New Roman" w:cs="Times New Roman"/>
          <w:b/>
          <w:bCs/>
          <w:sz w:val="28"/>
          <w:szCs w:val="28"/>
          <w:lang w:val="en-US"/>
        </w:rPr>
      </w:pPr>
    </w:p>
    <w:p w14:paraId="2F17808A" w14:textId="77777777" w:rsidR="00C26578" w:rsidRDefault="00C26578" w:rsidP="00506D9E">
      <w:pPr>
        <w:spacing w:line="276" w:lineRule="auto"/>
        <w:jc w:val="both"/>
        <w:rPr>
          <w:rFonts w:ascii="Times New Roman" w:hAnsi="Times New Roman" w:cs="Times New Roman"/>
          <w:b/>
          <w:bCs/>
          <w:sz w:val="28"/>
          <w:szCs w:val="28"/>
          <w:lang w:val="en-US"/>
        </w:rPr>
      </w:pPr>
    </w:p>
    <w:p w14:paraId="40B18BE9" w14:textId="77777777" w:rsidR="00C26578" w:rsidRDefault="00C26578" w:rsidP="00506D9E">
      <w:pPr>
        <w:spacing w:line="276" w:lineRule="auto"/>
        <w:jc w:val="both"/>
        <w:rPr>
          <w:rFonts w:ascii="Times New Roman" w:hAnsi="Times New Roman" w:cs="Times New Roman"/>
          <w:b/>
          <w:bCs/>
          <w:sz w:val="28"/>
          <w:szCs w:val="28"/>
          <w:lang w:val="en-US"/>
        </w:rPr>
      </w:pPr>
    </w:p>
    <w:p w14:paraId="24075B35" w14:textId="77777777" w:rsidR="00C26578" w:rsidRDefault="00C26578" w:rsidP="00506D9E">
      <w:pPr>
        <w:spacing w:line="276" w:lineRule="auto"/>
        <w:jc w:val="both"/>
        <w:rPr>
          <w:rFonts w:ascii="Times New Roman" w:hAnsi="Times New Roman" w:cs="Times New Roman"/>
          <w:b/>
          <w:bCs/>
          <w:sz w:val="28"/>
          <w:szCs w:val="28"/>
          <w:lang w:val="en-US"/>
        </w:rPr>
      </w:pPr>
    </w:p>
    <w:p w14:paraId="21BEBE89" w14:textId="77777777" w:rsidR="00C26578" w:rsidRDefault="00C26578" w:rsidP="00506D9E">
      <w:pPr>
        <w:spacing w:line="276" w:lineRule="auto"/>
        <w:jc w:val="both"/>
        <w:rPr>
          <w:rFonts w:ascii="Times New Roman" w:hAnsi="Times New Roman" w:cs="Times New Roman"/>
          <w:b/>
          <w:bCs/>
          <w:sz w:val="28"/>
          <w:szCs w:val="28"/>
          <w:lang w:val="en-US"/>
        </w:rPr>
      </w:pPr>
    </w:p>
    <w:p w14:paraId="79F38889" w14:textId="77777777" w:rsidR="00C26578" w:rsidRDefault="00C26578" w:rsidP="00506D9E">
      <w:pPr>
        <w:spacing w:line="276" w:lineRule="auto"/>
        <w:jc w:val="both"/>
        <w:rPr>
          <w:rFonts w:ascii="Times New Roman" w:hAnsi="Times New Roman" w:cs="Times New Roman"/>
          <w:b/>
          <w:bCs/>
          <w:sz w:val="28"/>
          <w:szCs w:val="28"/>
          <w:lang w:val="en-US"/>
        </w:rPr>
      </w:pPr>
    </w:p>
    <w:p w14:paraId="73447DFF" w14:textId="77777777" w:rsidR="00C26578" w:rsidRDefault="00C26578" w:rsidP="00506D9E">
      <w:pPr>
        <w:spacing w:line="276" w:lineRule="auto"/>
        <w:jc w:val="both"/>
        <w:rPr>
          <w:rFonts w:ascii="Times New Roman" w:hAnsi="Times New Roman" w:cs="Times New Roman"/>
          <w:b/>
          <w:bCs/>
          <w:sz w:val="28"/>
          <w:szCs w:val="28"/>
          <w:lang w:val="en-US"/>
        </w:rPr>
      </w:pPr>
    </w:p>
    <w:p w14:paraId="67D58FB7" w14:textId="77777777" w:rsidR="00C26578" w:rsidRDefault="00C26578" w:rsidP="00506D9E">
      <w:pPr>
        <w:spacing w:line="276" w:lineRule="auto"/>
        <w:jc w:val="both"/>
        <w:rPr>
          <w:rFonts w:ascii="Times New Roman" w:hAnsi="Times New Roman" w:cs="Times New Roman"/>
          <w:b/>
          <w:bCs/>
          <w:sz w:val="28"/>
          <w:szCs w:val="28"/>
          <w:lang w:val="en-US"/>
        </w:rPr>
      </w:pPr>
    </w:p>
    <w:p w14:paraId="56CBE009" w14:textId="77777777" w:rsidR="00C26578" w:rsidRDefault="00C26578" w:rsidP="00506D9E">
      <w:pPr>
        <w:spacing w:line="276" w:lineRule="auto"/>
        <w:jc w:val="both"/>
        <w:rPr>
          <w:rFonts w:ascii="Times New Roman" w:hAnsi="Times New Roman" w:cs="Times New Roman"/>
          <w:b/>
          <w:bCs/>
          <w:sz w:val="28"/>
          <w:szCs w:val="28"/>
          <w:lang w:val="en-US"/>
        </w:rPr>
      </w:pPr>
    </w:p>
    <w:p w14:paraId="573B33F4" w14:textId="77777777" w:rsidR="00C26578" w:rsidRDefault="00C26578" w:rsidP="00506D9E">
      <w:pPr>
        <w:spacing w:line="276" w:lineRule="auto"/>
        <w:jc w:val="both"/>
        <w:rPr>
          <w:rFonts w:ascii="Times New Roman" w:hAnsi="Times New Roman" w:cs="Times New Roman"/>
          <w:b/>
          <w:bCs/>
          <w:sz w:val="28"/>
          <w:szCs w:val="28"/>
          <w:lang w:val="en-US"/>
        </w:rPr>
      </w:pPr>
    </w:p>
    <w:p w14:paraId="10CB6F0A" w14:textId="77777777" w:rsidR="00C26578" w:rsidRDefault="00C26578" w:rsidP="00506D9E">
      <w:pPr>
        <w:spacing w:line="276" w:lineRule="auto"/>
        <w:jc w:val="both"/>
        <w:rPr>
          <w:rFonts w:ascii="Times New Roman" w:hAnsi="Times New Roman" w:cs="Times New Roman"/>
          <w:b/>
          <w:bCs/>
          <w:sz w:val="28"/>
          <w:szCs w:val="28"/>
          <w:lang w:val="en-US"/>
        </w:rPr>
      </w:pPr>
    </w:p>
    <w:p w14:paraId="3EAEF85E" w14:textId="77777777" w:rsidR="00C26578" w:rsidRDefault="00C26578" w:rsidP="00506D9E">
      <w:pPr>
        <w:spacing w:line="276" w:lineRule="auto"/>
        <w:jc w:val="both"/>
        <w:rPr>
          <w:rFonts w:ascii="Times New Roman" w:hAnsi="Times New Roman" w:cs="Times New Roman"/>
          <w:b/>
          <w:bCs/>
          <w:sz w:val="28"/>
          <w:szCs w:val="28"/>
          <w:lang w:val="en-US"/>
        </w:rPr>
      </w:pPr>
    </w:p>
    <w:p w14:paraId="184237C0" w14:textId="2904B398" w:rsidR="00704C7B" w:rsidRPr="005F10D2" w:rsidRDefault="00704C7B" w:rsidP="00506D9E">
      <w:pPr>
        <w:spacing w:line="276" w:lineRule="auto"/>
        <w:jc w:val="both"/>
        <w:rPr>
          <w:rFonts w:ascii="Times New Roman" w:hAnsi="Times New Roman" w:cs="Times New Roman"/>
          <w:b/>
          <w:bCs/>
          <w:color w:val="4472C4" w:themeColor="accent1"/>
          <w:sz w:val="28"/>
          <w:szCs w:val="28"/>
          <w:lang w:val="en-US"/>
        </w:rPr>
      </w:pPr>
      <w:r w:rsidRPr="005F10D2">
        <w:rPr>
          <w:rFonts w:ascii="Times New Roman" w:hAnsi="Times New Roman" w:cs="Times New Roman"/>
          <w:b/>
          <w:bCs/>
          <w:color w:val="4472C4" w:themeColor="accent1"/>
          <w:sz w:val="28"/>
          <w:szCs w:val="28"/>
          <w:lang w:val="en-US"/>
        </w:rPr>
        <w:lastRenderedPageBreak/>
        <w:t>List of Tables:</w:t>
      </w:r>
    </w:p>
    <w:p w14:paraId="210144F2" w14:textId="2D0D77EE" w:rsidR="00704C7B" w:rsidRPr="00B47341" w:rsidRDefault="00704C7B">
      <w:pPr>
        <w:pStyle w:val="TableofFigures"/>
        <w:tabs>
          <w:tab w:val="right" w:leader="dot" w:pos="9016"/>
        </w:tabs>
        <w:rPr>
          <w:rFonts w:ascii="Times New Roman" w:hAnsi="Times New Roman" w:cs="Times New Roman"/>
          <w:noProof/>
          <w:sz w:val="24"/>
          <w:szCs w:val="24"/>
        </w:rPr>
      </w:pPr>
      <w:r>
        <w:rPr>
          <w:rFonts w:ascii="Times New Roman" w:hAnsi="Times New Roman" w:cs="Times New Roman"/>
          <w:b/>
          <w:bCs/>
          <w:sz w:val="28"/>
          <w:szCs w:val="28"/>
          <w:lang w:val="en-US"/>
        </w:rPr>
        <w:fldChar w:fldCharType="begin"/>
      </w:r>
      <w:r>
        <w:rPr>
          <w:rFonts w:ascii="Times New Roman" w:hAnsi="Times New Roman" w:cs="Times New Roman"/>
          <w:b/>
          <w:bCs/>
          <w:sz w:val="28"/>
          <w:szCs w:val="28"/>
          <w:lang w:val="en-US"/>
        </w:rPr>
        <w:instrText xml:space="preserve"> TOC \h \z \c "Table" </w:instrText>
      </w:r>
      <w:r>
        <w:rPr>
          <w:rFonts w:ascii="Times New Roman" w:hAnsi="Times New Roman" w:cs="Times New Roman"/>
          <w:b/>
          <w:bCs/>
          <w:sz w:val="28"/>
          <w:szCs w:val="28"/>
          <w:lang w:val="en-US"/>
        </w:rPr>
        <w:fldChar w:fldCharType="separate"/>
      </w:r>
      <w:hyperlink w:anchor="_Toc155301575" w:history="1">
        <w:r w:rsidRPr="00B47341">
          <w:rPr>
            <w:rStyle w:val="Hyperlink"/>
            <w:rFonts w:ascii="Times New Roman" w:hAnsi="Times New Roman" w:cs="Times New Roman"/>
            <w:noProof/>
            <w:sz w:val="24"/>
            <w:szCs w:val="24"/>
          </w:rPr>
          <w:t>Table 1: Key reform in the Dodd-Frank Act</w:t>
        </w:r>
        <w:r w:rsidRPr="00B47341">
          <w:rPr>
            <w:rFonts w:ascii="Times New Roman" w:hAnsi="Times New Roman" w:cs="Times New Roman"/>
            <w:noProof/>
            <w:webHidden/>
            <w:sz w:val="24"/>
            <w:szCs w:val="24"/>
          </w:rPr>
          <w:tab/>
        </w:r>
        <w:r w:rsidRPr="00B47341">
          <w:rPr>
            <w:rFonts w:ascii="Times New Roman" w:hAnsi="Times New Roman" w:cs="Times New Roman"/>
            <w:noProof/>
            <w:webHidden/>
            <w:sz w:val="24"/>
            <w:szCs w:val="24"/>
          </w:rPr>
          <w:fldChar w:fldCharType="begin"/>
        </w:r>
        <w:r w:rsidRPr="00B47341">
          <w:rPr>
            <w:rFonts w:ascii="Times New Roman" w:hAnsi="Times New Roman" w:cs="Times New Roman"/>
            <w:noProof/>
            <w:webHidden/>
            <w:sz w:val="24"/>
            <w:szCs w:val="24"/>
          </w:rPr>
          <w:instrText xml:space="preserve"> PAGEREF _Toc155301575 \h </w:instrText>
        </w:r>
        <w:r w:rsidRPr="00B47341">
          <w:rPr>
            <w:rFonts w:ascii="Times New Roman" w:hAnsi="Times New Roman" w:cs="Times New Roman"/>
            <w:noProof/>
            <w:webHidden/>
            <w:sz w:val="24"/>
            <w:szCs w:val="24"/>
          </w:rPr>
        </w:r>
        <w:r w:rsidRPr="00B47341">
          <w:rPr>
            <w:rFonts w:ascii="Times New Roman" w:hAnsi="Times New Roman" w:cs="Times New Roman"/>
            <w:noProof/>
            <w:webHidden/>
            <w:sz w:val="24"/>
            <w:szCs w:val="24"/>
          </w:rPr>
          <w:fldChar w:fldCharType="separate"/>
        </w:r>
        <w:r w:rsidR="006F0C4F">
          <w:rPr>
            <w:rFonts w:ascii="Times New Roman" w:hAnsi="Times New Roman" w:cs="Times New Roman"/>
            <w:noProof/>
            <w:webHidden/>
            <w:sz w:val="24"/>
            <w:szCs w:val="24"/>
          </w:rPr>
          <w:t>5</w:t>
        </w:r>
        <w:r w:rsidRPr="00B47341">
          <w:rPr>
            <w:rFonts w:ascii="Times New Roman" w:hAnsi="Times New Roman" w:cs="Times New Roman"/>
            <w:noProof/>
            <w:webHidden/>
            <w:sz w:val="24"/>
            <w:szCs w:val="24"/>
          </w:rPr>
          <w:fldChar w:fldCharType="end"/>
        </w:r>
      </w:hyperlink>
    </w:p>
    <w:p w14:paraId="240EFE14" w14:textId="48BEBB33" w:rsidR="00704C7B" w:rsidRDefault="00704C7B" w:rsidP="00506D9E">
      <w:pPr>
        <w:spacing w:line="276" w:lineRule="auto"/>
        <w:jc w:val="both"/>
        <w:rPr>
          <w:rFonts w:ascii="Times New Roman" w:hAnsi="Times New Roman" w:cs="Times New Roman"/>
          <w:b/>
          <w:bCs/>
          <w:sz w:val="28"/>
          <w:szCs w:val="28"/>
          <w:lang w:val="en-US"/>
        </w:rPr>
      </w:pPr>
      <w:r>
        <w:rPr>
          <w:rFonts w:ascii="Times New Roman" w:hAnsi="Times New Roman" w:cs="Times New Roman"/>
          <w:b/>
          <w:bCs/>
          <w:sz w:val="28"/>
          <w:szCs w:val="28"/>
          <w:lang w:val="en-US"/>
        </w:rPr>
        <w:fldChar w:fldCharType="end"/>
      </w:r>
    </w:p>
    <w:p w14:paraId="5EEE7217" w14:textId="77777777" w:rsidR="00C26578" w:rsidRDefault="00C26578" w:rsidP="00506D9E">
      <w:pPr>
        <w:spacing w:line="276" w:lineRule="auto"/>
        <w:jc w:val="both"/>
        <w:rPr>
          <w:rFonts w:ascii="Times New Roman" w:hAnsi="Times New Roman" w:cs="Times New Roman"/>
          <w:b/>
          <w:bCs/>
          <w:sz w:val="28"/>
          <w:szCs w:val="28"/>
          <w:lang w:val="en-US"/>
        </w:rPr>
      </w:pPr>
    </w:p>
    <w:p w14:paraId="7FD1297E" w14:textId="195DEC07" w:rsidR="00C26578" w:rsidRPr="005F10D2" w:rsidRDefault="005F10D2" w:rsidP="00506D9E">
      <w:pPr>
        <w:spacing w:line="276" w:lineRule="auto"/>
        <w:jc w:val="both"/>
        <w:rPr>
          <w:rFonts w:ascii="Times New Roman" w:hAnsi="Times New Roman" w:cs="Times New Roman"/>
          <w:b/>
          <w:bCs/>
          <w:color w:val="4472C4" w:themeColor="accent1"/>
          <w:sz w:val="28"/>
          <w:szCs w:val="28"/>
          <w:lang w:val="en-US"/>
        </w:rPr>
      </w:pPr>
      <w:r w:rsidRPr="005F10D2">
        <w:rPr>
          <w:rFonts w:ascii="Times New Roman" w:hAnsi="Times New Roman" w:cs="Times New Roman"/>
          <w:b/>
          <w:bCs/>
          <w:color w:val="4472C4" w:themeColor="accent1"/>
          <w:sz w:val="28"/>
          <w:szCs w:val="28"/>
          <w:lang w:val="en-US"/>
        </w:rPr>
        <w:t>List of Figures:</w:t>
      </w:r>
    </w:p>
    <w:p w14:paraId="0794FAEC" w14:textId="53425E26" w:rsidR="005F10D2" w:rsidRPr="00B47341" w:rsidRDefault="005F10D2">
      <w:pPr>
        <w:pStyle w:val="TableofFigures"/>
        <w:tabs>
          <w:tab w:val="right" w:leader="dot" w:pos="9016"/>
        </w:tabs>
        <w:rPr>
          <w:rFonts w:ascii="Times New Roman" w:eastAsiaTheme="minorEastAsia" w:hAnsi="Times New Roman" w:cs="Times New Roman"/>
          <w:noProof/>
          <w:sz w:val="24"/>
          <w:szCs w:val="24"/>
          <w:lang w:eastAsia="zh-CN"/>
        </w:rPr>
      </w:pPr>
      <w:r w:rsidRPr="00B47341">
        <w:rPr>
          <w:rFonts w:ascii="Times New Roman" w:hAnsi="Times New Roman" w:cs="Times New Roman"/>
          <w:b/>
          <w:bCs/>
          <w:sz w:val="24"/>
          <w:szCs w:val="24"/>
          <w:lang w:val="en-US"/>
        </w:rPr>
        <w:fldChar w:fldCharType="begin"/>
      </w:r>
      <w:r w:rsidRPr="00B47341">
        <w:rPr>
          <w:rFonts w:ascii="Times New Roman" w:hAnsi="Times New Roman" w:cs="Times New Roman"/>
          <w:b/>
          <w:bCs/>
          <w:sz w:val="24"/>
          <w:szCs w:val="24"/>
          <w:lang w:val="en-US"/>
        </w:rPr>
        <w:instrText xml:space="preserve"> TOC \h \z \c "Figure" </w:instrText>
      </w:r>
      <w:r w:rsidRPr="00B47341">
        <w:rPr>
          <w:rFonts w:ascii="Times New Roman" w:hAnsi="Times New Roman" w:cs="Times New Roman"/>
          <w:b/>
          <w:bCs/>
          <w:sz w:val="24"/>
          <w:szCs w:val="24"/>
          <w:lang w:val="en-US"/>
        </w:rPr>
        <w:fldChar w:fldCharType="separate"/>
      </w:r>
      <w:hyperlink w:anchor="_Toc155301635" w:history="1">
        <w:r w:rsidRPr="00B47341">
          <w:rPr>
            <w:rStyle w:val="Hyperlink"/>
            <w:rFonts w:ascii="Times New Roman" w:hAnsi="Times New Roman" w:cs="Times New Roman"/>
            <w:noProof/>
            <w:sz w:val="24"/>
            <w:szCs w:val="24"/>
          </w:rPr>
          <w:t>Figure 1: Three Pillars of Banking Union</w:t>
        </w:r>
        <w:r w:rsidRPr="00B47341">
          <w:rPr>
            <w:rFonts w:ascii="Times New Roman" w:hAnsi="Times New Roman" w:cs="Times New Roman"/>
            <w:noProof/>
            <w:webHidden/>
            <w:sz w:val="24"/>
            <w:szCs w:val="24"/>
          </w:rPr>
          <w:tab/>
        </w:r>
        <w:r w:rsidRPr="00B47341">
          <w:rPr>
            <w:rFonts w:ascii="Times New Roman" w:hAnsi="Times New Roman" w:cs="Times New Roman"/>
            <w:noProof/>
            <w:webHidden/>
            <w:sz w:val="24"/>
            <w:szCs w:val="24"/>
          </w:rPr>
          <w:fldChar w:fldCharType="begin"/>
        </w:r>
        <w:r w:rsidRPr="00B47341">
          <w:rPr>
            <w:rFonts w:ascii="Times New Roman" w:hAnsi="Times New Roman" w:cs="Times New Roman"/>
            <w:noProof/>
            <w:webHidden/>
            <w:sz w:val="24"/>
            <w:szCs w:val="24"/>
          </w:rPr>
          <w:instrText xml:space="preserve"> PAGEREF _Toc155301635 \h </w:instrText>
        </w:r>
        <w:r w:rsidRPr="00B47341">
          <w:rPr>
            <w:rFonts w:ascii="Times New Roman" w:hAnsi="Times New Roman" w:cs="Times New Roman"/>
            <w:noProof/>
            <w:webHidden/>
            <w:sz w:val="24"/>
            <w:szCs w:val="24"/>
          </w:rPr>
        </w:r>
        <w:r w:rsidRPr="00B47341">
          <w:rPr>
            <w:rFonts w:ascii="Times New Roman" w:hAnsi="Times New Roman" w:cs="Times New Roman"/>
            <w:noProof/>
            <w:webHidden/>
            <w:sz w:val="24"/>
            <w:szCs w:val="24"/>
          </w:rPr>
          <w:fldChar w:fldCharType="separate"/>
        </w:r>
        <w:r w:rsidR="006F0C4F">
          <w:rPr>
            <w:rFonts w:ascii="Times New Roman" w:hAnsi="Times New Roman" w:cs="Times New Roman"/>
            <w:noProof/>
            <w:webHidden/>
            <w:sz w:val="24"/>
            <w:szCs w:val="24"/>
          </w:rPr>
          <w:t>8</w:t>
        </w:r>
        <w:r w:rsidRPr="00B47341">
          <w:rPr>
            <w:rFonts w:ascii="Times New Roman" w:hAnsi="Times New Roman" w:cs="Times New Roman"/>
            <w:noProof/>
            <w:webHidden/>
            <w:sz w:val="24"/>
            <w:szCs w:val="24"/>
          </w:rPr>
          <w:fldChar w:fldCharType="end"/>
        </w:r>
      </w:hyperlink>
    </w:p>
    <w:p w14:paraId="796AEF45" w14:textId="2B144C74" w:rsidR="005F10D2" w:rsidRPr="00B47341" w:rsidRDefault="00000000">
      <w:pPr>
        <w:pStyle w:val="TableofFigures"/>
        <w:tabs>
          <w:tab w:val="right" w:leader="dot" w:pos="9016"/>
        </w:tabs>
        <w:rPr>
          <w:rFonts w:ascii="Times New Roman" w:eastAsiaTheme="minorEastAsia" w:hAnsi="Times New Roman" w:cs="Times New Roman"/>
          <w:noProof/>
          <w:sz w:val="24"/>
          <w:szCs w:val="24"/>
          <w:lang w:eastAsia="zh-CN"/>
        </w:rPr>
      </w:pPr>
      <w:hyperlink w:anchor="_Toc155301636" w:history="1">
        <w:r w:rsidR="005F10D2" w:rsidRPr="00B47341">
          <w:rPr>
            <w:rStyle w:val="Hyperlink"/>
            <w:rFonts w:ascii="Times New Roman" w:hAnsi="Times New Roman" w:cs="Times New Roman"/>
            <w:noProof/>
            <w:sz w:val="24"/>
            <w:szCs w:val="24"/>
          </w:rPr>
          <w:t>Figure 2: The European System of Financial Supervision (ESFS)</w:t>
        </w:r>
        <w:r w:rsidR="005F10D2" w:rsidRPr="00B47341">
          <w:rPr>
            <w:rFonts w:ascii="Times New Roman" w:hAnsi="Times New Roman" w:cs="Times New Roman"/>
            <w:noProof/>
            <w:webHidden/>
            <w:sz w:val="24"/>
            <w:szCs w:val="24"/>
          </w:rPr>
          <w:tab/>
        </w:r>
        <w:r w:rsidR="005F10D2" w:rsidRPr="00B47341">
          <w:rPr>
            <w:rFonts w:ascii="Times New Roman" w:hAnsi="Times New Roman" w:cs="Times New Roman"/>
            <w:noProof/>
            <w:webHidden/>
            <w:sz w:val="24"/>
            <w:szCs w:val="24"/>
          </w:rPr>
          <w:fldChar w:fldCharType="begin"/>
        </w:r>
        <w:r w:rsidR="005F10D2" w:rsidRPr="00B47341">
          <w:rPr>
            <w:rFonts w:ascii="Times New Roman" w:hAnsi="Times New Roman" w:cs="Times New Roman"/>
            <w:noProof/>
            <w:webHidden/>
            <w:sz w:val="24"/>
            <w:szCs w:val="24"/>
          </w:rPr>
          <w:instrText xml:space="preserve"> PAGEREF _Toc155301636 \h </w:instrText>
        </w:r>
        <w:r w:rsidR="005F10D2" w:rsidRPr="00B47341">
          <w:rPr>
            <w:rFonts w:ascii="Times New Roman" w:hAnsi="Times New Roman" w:cs="Times New Roman"/>
            <w:noProof/>
            <w:webHidden/>
            <w:sz w:val="24"/>
            <w:szCs w:val="24"/>
          </w:rPr>
        </w:r>
        <w:r w:rsidR="005F10D2" w:rsidRPr="00B47341">
          <w:rPr>
            <w:rFonts w:ascii="Times New Roman" w:hAnsi="Times New Roman" w:cs="Times New Roman"/>
            <w:noProof/>
            <w:webHidden/>
            <w:sz w:val="24"/>
            <w:szCs w:val="24"/>
          </w:rPr>
          <w:fldChar w:fldCharType="separate"/>
        </w:r>
        <w:r w:rsidR="006F0C4F">
          <w:rPr>
            <w:rFonts w:ascii="Times New Roman" w:hAnsi="Times New Roman" w:cs="Times New Roman"/>
            <w:noProof/>
            <w:webHidden/>
            <w:sz w:val="24"/>
            <w:szCs w:val="24"/>
          </w:rPr>
          <w:t>10</w:t>
        </w:r>
        <w:r w:rsidR="005F10D2" w:rsidRPr="00B47341">
          <w:rPr>
            <w:rFonts w:ascii="Times New Roman" w:hAnsi="Times New Roman" w:cs="Times New Roman"/>
            <w:noProof/>
            <w:webHidden/>
            <w:sz w:val="24"/>
            <w:szCs w:val="24"/>
          </w:rPr>
          <w:fldChar w:fldCharType="end"/>
        </w:r>
      </w:hyperlink>
    </w:p>
    <w:p w14:paraId="0D8BC381" w14:textId="166A2B78" w:rsidR="00C26578" w:rsidRDefault="005F10D2" w:rsidP="00506D9E">
      <w:pPr>
        <w:spacing w:line="276" w:lineRule="auto"/>
        <w:jc w:val="both"/>
        <w:rPr>
          <w:rFonts w:ascii="Times New Roman" w:hAnsi="Times New Roman" w:cs="Times New Roman"/>
          <w:b/>
          <w:bCs/>
          <w:sz w:val="28"/>
          <w:szCs w:val="28"/>
          <w:lang w:val="en-US"/>
        </w:rPr>
      </w:pPr>
      <w:r w:rsidRPr="00B47341">
        <w:rPr>
          <w:rFonts w:ascii="Times New Roman" w:hAnsi="Times New Roman" w:cs="Times New Roman"/>
          <w:b/>
          <w:bCs/>
          <w:sz w:val="24"/>
          <w:szCs w:val="24"/>
          <w:lang w:val="en-US"/>
        </w:rPr>
        <w:fldChar w:fldCharType="end"/>
      </w:r>
    </w:p>
    <w:p w14:paraId="051E841A" w14:textId="77777777" w:rsidR="00C26578" w:rsidRDefault="00C26578" w:rsidP="00506D9E">
      <w:pPr>
        <w:spacing w:line="276" w:lineRule="auto"/>
        <w:jc w:val="both"/>
        <w:rPr>
          <w:rFonts w:ascii="Times New Roman" w:hAnsi="Times New Roman" w:cs="Times New Roman"/>
          <w:b/>
          <w:bCs/>
          <w:sz w:val="28"/>
          <w:szCs w:val="28"/>
          <w:lang w:val="en-US"/>
        </w:rPr>
      </w:pPr>
    </w:p>
    <w:p w14:paraId="6E2B772C" w14:textId="77777777" w:rsidR="00C26578" w:rsidRDefault="00C26578" w:rsidP="00506D9E">
      <w:pPr>
        <w:spacing w:line="276" w:lineRule="auto"/>
        <w:jc w:val="both"/>
        <w:rPr>
          <w:rFonts w:ascii="Times New Roman" w:hAnsi="Times New Roman" w:cs="Times New Roman"/>
          <w:b/>
          <w:bCs/>
          <w:sz w:val="28"/>
          <w:szCs w:val="28"/>
          <w:lang w:val="en-US"/>
        </w:rPr>
      </w:pPr>
    </w:p>
    <w:p w14:paraId="3864B9B4" w14:textId="77777777" w:rsidR="00C26578" w:rsidRDefault="00C26578" w:rsidP="00506D9E">
      <w:pPr>
        <w:spacing w:line="276" w:lineRule="auto"/>
        <w:jc w:val="both"/>
        <w:rPr>
          <w:rFonts w:ascii="Times New Roman" w:hAnsi="Times New Roman" w:cs="Times New Roman"/>
          <w:b/>
          <w:bCs/>
          <w:sz w:val="28"/>
          <w:szCs w:val="28"/>
          <w:lang w:val="en-US"/>
        </w:rPr>
      </w:pPr>
    </w:p>
    <w:p w14:paraId="0CE2AD1A" w14:textId="77777777" w:rsidR="00C26578" w:rsidRDefault="00C26578" w:rsidP="00506D9E">
      <w:pPr>
        <w:spacing w:line="276" w:lineRule="auto"/>
        <w:jc w:val="both"/>
        <w:rPr>
          <w:rFonts w:ascii="Times New Roman" w:hAnsi="Times New Roman" w:cs="Times New Roman"/>
          <w:b/>
          <w:bCs/>
          <w:sz w:val="28"/>
          <w:szCs w:val="28"/>
          <w:lang w:val="en-US"/>
        </w:rPr>
      </w:pPr>
    </w:p>
    <w:p w14:paraId="6F833309" w14:textId="77777777" w:rsidR="00C26578" w:rsidRDefault="00C26578" w:rsidP="00506D9E">
      <w:pPr>
        <w:spacing w:line="276" w:lineRule="auto"/>
        <w:jc w:val="both"/>
        <w:rPr>
          <w:rFonts w:ascii="Times New Roman" w:hAnsi="Times New Roman" w:cs="Times New Roman"/>
          <w:b/>
          <w:bCs/>
          <w:sz w:val="28"/>
          <w:szCs w:val="28"/>
          <w:lang w:val="en-US"/>
        </w:rPr>
      </w:pPr>
    </w:p>
    <w:p w14:paraId="06FEE1AD" w14:textId="77777777" w:rsidR="00C26578" w:rsidRDefault="00C26578" w:rsidP="00506D9E">
      <w:pPr>
        <w:spacing w:line="276" w:lineRule="auto"/>
        <w:jc w:val="both"/>
        <w:rPr>
          <w:rFonts w:ascii="Times New Roman" w:hAnsi="Times New Roman" w:cs="Times New Roman"/>
          <w:b/>
          <w:bCs/>
          <w:sz w:val="28"/>
          <w:szCs w:val="28"/>
          <w:lang w:val="en-US"/>
        </w:rPr>
      </w:pPr>
    </w:p>
    <w:p w14:paraId="3BCCB9F5" w14:textId="77777777" w:rsidR="00C26578" w:rsidRDefault="00C26578" w:rsidP="00506D9E">
      <w:pPr>
        <w:spacing w:line="276" w:lineRule="auto"/>
        <w:jc w:val="both"/>
        <w:rPr>
          <w:rFonts w:ascii="Times New Roman" w:hAnsi="Times New Roman" w:cs="Times New Roman"/>
          <w:b/>
          <w:bCs/>
          <w:sz w:val="28"/>
          <w:szCs w:val="28"/>
          <w:lang w:val="en-US"/>
        </w:rPr>
      </w:pPr>
    </w:p>
    <w:p w14:paraId="00890B13" w14:textId="77777777" w:rsidR="00C26578" w:rsidRDefault="00C26578" w:rsidP="00506D9E">
      <w:pPr>
        <w:spacing w:line="276" w:lineRule="auto"/>
        <w:jc w:val="both"/>
        <w:rPr>
          <w:rFonts w:ascii="Times New Roman" w:hAnsi="Times New Roman" w:cs="Times New Roman"/>
          <w:b/>
          <w:bCs/>
          <w:sz w:val="28"/>
          <w:szCs w:val="28"/>
          <w:lang w:val="en-US"/>
        </w:rPr>
      </w:pPr>
    </w:p>
    <w:p w14:paraId="09BB1703" w14:textId="77777777" w:rsidR="00C26578" w:rsidRDefault="00C26578" w:rsidP="00506D9E">
      <w:pPr>
        <w:spacing w:line="276" w:lineRule="auto"/>
        <w:jc w:val="both"/>
        <w:rPr>
          <w:rFonts w:ascii="Times New Roman" w:hAnsi="Times New Roman" w:cs="Times New Roman"/>
          <w:b/>
          <w:bCs/>
          <w:sz w:val="28"/>
          <w:szCs w:val="28"/>
          <w:lang w:val="en-US"/>
        </w:rPr>
      </w:pPr>
    </w:p>
    <w:p w14:paraId="520F7B05" w14:textId="77777777" w:rsidR="00C26578" w:rsidRDefault="00C26578" w:rsidP="00506D9E">
      <w:pPr>
        <w:spacing w:line="276" w:lineRule="auto"/>
        <w:jc w:val="both"/>
        <w:rPr>
          <w:rFonts w:ascii="Times New Roman" w:hAnsi="Times New Roman" w:cs="Times New Roman"/>
          <w:b/>
          <w:bCs/>
          <w:sz w:val="28"/>
          <w:szCs w:val="28"/>
          <w:lang w:val="en-US"/>
        </w:rPr>
      </w:pPr>
    </w:p>
    <w:p w14:paraId="167AF2EB" w14:textId="77777777" w:rsidR="00C26578" w:rsidRDefault="00C26578" w:rsidP="00506D9E">
      <w:pPr>
        <w:spacing w:line="276" w:lineRule="auto"/>
        <w:jc w:val="both"/>
        <w:rPr>
          <w:rFonts w:ascii="Times New Roman" w:hAnsi="Times New Roman" w:cs="Times New Roman"/>
          <w:b/>
          <w:bCs/>
          <w:sz w:val="28"/>
          <w:szCs w:val="28"/>
          <w:lang w:val="en-US"/>
        </w:rPr>
      </w:pPr>
    </w:p>
    <w:p w14:paraId="14B0D5E8" w14:textId="77777777" w:rsidR="00C26578" w:rsidRDefault="00C26578" w:rsidP="00506D9E">
      <w:pPr>
        <w:spacing w:line="276" w:lineRule="auto"/>
        <w:jc w:val="both"/>
        <w:rPr>
          <w:rFonts w:ascii="Times New Roman" w:hAnsi="Times New Roman" w:cs="Times New Roman"/>
          <w:b/>
          <w:bCs/>
          <w:sz w:val="28"/>
          <w:szCs w:val="28"/>
          <w:lang w:val="en-US"/>
        </w:rPr>
      </w:pPr>
    </w:p>
    <w:p w14:paraId="418B9539" w14:textId="77777777" w:rsidR="00C26578" w:rsidRDefault="00C26578" w:rsidP="00506D9E">
      <w:pPr>
        <w:spacing w:line="276" w:lineRule="auto"/>
        <w:jc w:val="both"/>
        <w:rPr>
          <w:rFonts w:ascii="Times New Roman" w:hAnsi="Times New Roman" w:cs="Times New Roman"/>
          <w:b/>
          <w:bCs/>
          <w:sz w:val="28"/>
          <w:szCs w:val="28"/>
          <w:lang w:val="en-US"/>
        </w:rPr>
      </w:pPr>
    </w:p>
    <w:p w14:paraId="4B5B546C" w14:textId="77777777" w:rsidR="00C26578" w:rsidRDefault="00C26578" w:rsidP="00506D9E">
      <w:pPr>
        <w:spacing w:line="276" w:lineRule="auto"/>
        <w:jc w:val="both"/>
        <w:rPr>
          <w:rFonts w:ascii="Times New Roman" w:hAnsi="Times New Roman" w:cs="Times New Roman"/>
          <w:b/>
          <w:bCs/>
          <w:sz w:val="28"/>
          <w:szCs w:val="28"/>
          <w:lang w:val="en-US"/>
        </w:rPr>
      </w:pPr>
    </w:p>
    <w:p w14:paraId="07ADC373" w14:textId="77777777" w:rsidR="00C26578" w:rsidRDefault="00C26578" w:rsidP="00506D9E">
      <w:pPr>
        <w:spacing w:line="276" w:lineRule="auto"/>
        <w:jc w:val="both"/>
        <w:rPr>
          <w:rFonts w:ascii="Times New Roman" w:hAnsi="Times New Roman" w:cs="Times New Roman"/>
          <w:b/>
          <w:bCs/>
          <w:sz w:val="28"/>
          <w:szCs w:val="28"/>
          <w:lang w:val="en-US"/>
        </w:rPr>
      </w:pPr>
    </w:p>
    <w:p w14:paraId="3326252D" w14:textId="77777777" w:rsidR="00C26578" w:rsidRDefault="00C26578" w:rsidP="00506D9E">
      <w:pPr>
        <w:spacing w:line="276" w:lineRule="auto"/>
        <w:jc w:val="both"/>
        <w:rPr>
          <w:rFonts w:ascii="Times New Roman" w:hAnsi="Times New Roman" w:cs="Times New Roman"/>
          <w:b/>
          <w:bCs/>
          <w:sz w:val="28"/>
          <w:szCs w:val="28"/>
          <w:lang w:val="en-US"/>
        </w:rPr>
      </w:pPr>
    </w:p>
    <w:p w14:paraId="4462C680" w14:textId="77777777" w:rsidR="00C26578" w:rsidRDefault="00C26578" w:rsidP="00506D9E">
      <w:pPr>
        <w:spacing w:line="276" w:lineRule="auto"/>
        <w:jc w:val="both"/>
        <w:rPr>
          <w:rFonts w:ascii="Times New Roman" w:hAnsi="Times New Roman" w:cs="Times New Roman"/>
          <w:b/>
          <w:bCs/>
          <w:sz w:val="28"/>
          <w:szCs w:val="28"/>
          <w:lang w:val="en-US"/>
        </w:rPr>
      </w:pPr>
    </w:p>
    <w:p w14:paraId="0FFE49E4" w14:textId="77777777" w:rsidR="00C26578" w:rsidRDefault="00C26578" w:rsidP="00506D9E">
      <w:pPr>
        <w:spacing w:line="276" w:lineRule="auto"/>
        <w:jc w:val="both"/>
        <w:rPr>
          <w:rFonts w:ascii="Times New Roman" w:hAnsi="Times New Roman" w:cs="Times New Roman"/>
          <w:b/>
          <w:bCs/>
          <w:sz w:val="28"/>
          <w:szCs w:val="28"/>
          <w:lang w:val="en-US"/>
        </w:rPr>
      </w:pPr>
    </w:p>
    <w:p w14:paraId="07A7A2C9" w14:textId="77777777" w:rsidR="00C26578" w:rsidRDefault="00C26578" w:rsidP="00506D9E">
      <w:pPr>
        <w:spacing w:line="276" w:lineRule="auto"/>
        <w:jc w:val="both"/>
        <w:rPr>
          <w:rFonts w:ascii="Times New Roman" w:hAnsi="Times New Roman" w:cs="Times New Roman"/>
          <w:b/>
          <w:bCs/>
          <w:sz w:val="28"/>
          <w:szCs w:val="28"/>
          <w:lang w:val="en-US"/>
        </w:rPr>
      </w:pPr>
    </w:p>
    <w:p w14:paraId="7FDD258B" w14:textId="77777777" w:rsidR="00C26578" w:rsidRDefault="00C26578" w:rsidP="00506D9E">
      <w:pPr>
        <w:spacing w:line="276" w:lineRule="auto"/>
        <w:jc w:val="both"/>
        <w:rPr>
          <w:rFonts w:ascii="Times New Roman" w:hAnsi="Times New Roman" w:cs="Times New Roman"/>
          <w:b/>
          <w:bCs/>
          <w:sz w:val="28"/>
          <w:szCs w:val="28"/>
          <w:lang w:val="en-US"/>
        </w:rPr>
      </w:pPr>
    </w:p>
    <w:p w14:paraId="6E2C901F" w14:textId="01246F22" w:rsidR="00910C8F" w:rsidRPr="00526D87" w:rsidRDefault="00762D7C" w:rsidP="0013494B">
      <w:pPr>
        <w:pStyle w:val="Heading1"/>
        <w:rPr>
          <w:color w:val="000000" w:themeColor="text1"/>
        </w:rPr>
      </w:pPr>
      <w:bookmarkStart w:id="0" w:name="_Toc155313183"/>
      <w:r w:rsidRPr="00526D87">
        <w:rPr>
          <w:color w:val="000000" w:themeColor="text1"/>
        </w:rPr>
        <w:lastRenderedPageBreak/>
        <w:t>US Financial Reform Laws and Regulations Enacted after Global Financial Crisis 2008</w:t>
      </w:r>
      <w:bookmarkEnd w:id="0"/>
    </w:p>
    <w:p w14:paraId="3EA46B39" w14:textId="4AEF94ED" w:rsidR="007159C5" w:rsidRPr="00526D87" w:rsidRDefault="008D5F16" w:rsidP="00C01C5B">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Amid the economic collapse of 2008</w:t>
      </w:r>
      <w:r w:rsidR="0003208F" w:rsidRPr="00526D87">
        <w:rPr>
          <w:rFonts w:ascii="Times New Roman" w:hAnsi="Times New Roman" w:cs="Times New Roman"/>
          <w:color w:val="000000" w:themeColor="text1"/>
          <w:sz w:val="24"/>
          <w:szCs w:val="24"/>
        </w:rPr>
        <w:t xml:space="preserve">, the United States saw a critical reform of regulatory requirements. These witnessed their presence in the domains of many critical legislation, regulations, and reforms that focused on addressing various sorts of risks in the area of finance to prevent future difficulties and comparable emergencies. The "Dodd-Frank Wall Street Reform" and the "Consumer Protection Act" were two </w:t>
      </w:r>
      <w:r w:rsidRPr="00526D87">
        <w:rPr>
          <w:rFonts w:ascii="Times New Roman" w:hAnsi="Times New Roman" w:cs="Times New Roman"/>
          <w:color w:val="000000" w:themeColor="text1"/>
          <w:sz w:val="24"/>
          <w:szCs w:val="24"/>
        </w:rPr>
        <w:t>substantial</w:t>
      </w:r>
      <w:r w:rsidR="0003208F" w:rsidRPr="00526D87">
        <w:rPr>
          <w:rFonts w:ascii="Times New Roman" w:hAnsi="Times New Roman" w:cs="Times New Roman"/>
          <w:color w:val="000000" w:themeColor="text1"/>
          <w:sz w:val="24"/>
          <w:szCs w:val="24"/>
        </w:rPr>
        <w:t xml:space="preserve"> pieces of </w:t>
      </w:r>
      <w:r w:rsidRPr="00526D87">
        <w:rPr>
          <w:rFonts w:ascii="Times New Roman" w:hAnsi="Times New Roman" w:cs="Times New Roman"/>
          <w:color w:val="000000" w:themeColor="text1"/>
          <w:sz w:val="24"/>
          <w:szCs w:val="24"/>
        </w:rPr>
        <w:t xml:space="preserve">reform </w:t>
      </w:r>
      <w:r w:rsidR="0003208F" w:rsidRPr="00526D87">
        <w:rPr>
          <w:rFonts w:ascii="Times New Roman" w:hAnsi="Times New Roman" w:cs="Times New Roman"/>
          <w:color w:val="000000" w:themeColor="text1"/>
          <w:sz w:val="24"/>
          <w:szCs w:val="24"/>
        </w:rPr>
        <w:t>legislation enacted during this period</w:t>
      </w:r>
      <w:r w:rsidR="007159C5"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87798294"/>
          <w:citation/>
        </w:sdtPr>
        <w:sdtContent>
          <w:r w:rsidR="007159C5" w:rsidRPr="00526D87">
            <w:rPr>
              <w:rFonts w:ascii="Times New Roman" w:hAnsi="Times New Roman" w:cs="Times New Roman"/>
              <w:color w:val="000000" w:themeColor="text1"/>
              <w:sz w:val="24"/>
              <w:szCs w:val="24"/>
            </w:rPr>
            <w:fldChar w:fldCharType="begin"/>
          </w:r>
          <w:r w:rsidR="007159C5" w:rsidRPr="00526D87">
            <w:rPr>
              <w:rFonts w:ascii="Times New Roman" w:hAnsi="Times New Roman" w:cs="Times New Roman"/>
              <w:color w:val="000000" w:themeColor="text1"/>
              <w:sz w:val="24"/>
              <w:szCs w:val="24"/>
              <w:lang w:val="en-US"/>
            </w:rPr>
            <w:instrText xml:space="preserve"> CITATION Sch12 \l 1033 </w:instrText>
          </w:r>
          <w:r w:rsidR="007159C5"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(Schapiro, 2012)</w:t>
          </w:r>
          <w:r w:rsidR="007159C5" w:rsidRPr="00526D87">
            <w:rPr>
              <w:rFonts w:ascii="Times New Roman" w:hAnsi="Times New Roman" w:cs="Times New Roman"/>
              <w:color w:val="000000" w:themeColor="text1"/>
              <w:sz w:val="24"/>
              <w:szCs w:val="24"/>
            </w:rPr>
            <w:fldChar w:fldCharType="end"/>
          </w:r>
        </w:sdtContent>
      </w:sdt>
      <w:r w:rsidR="007159C5" w:rsidRPr="00526D87">
        <w:rPr>
          <w:rFonts w:ascii="Times New Roman" w:hAnsi="Times New Roman" w:cs="Times New Roman"/>
          <w:color w:val="000000" w:themeColor="text1"/>
          <w:sz w:val="24"/>
          <w:szCs w:val="24"/>
        </w:rPr>
        <w:t xml:space="preserve">. </w:t>
      </w:r>
    </w:p>
    <w:p w14:paraId="40C120B9" w14:textId="0F189F50" w:rsidR="0032414D" w:rsidRPr="00526D87" w:rsidRDefault="0032414D" w:rsidP="00C01C5B">
      <w:pPr>
        <w:spacing w:line="360" w:lineRule="auto"/>
        <w:jc w:val="both"/>
        <w:rPr>
          <w:rFonts w:ascii="Times New Roman" w:hAnsi="Times New Roman" w:cs="Times New Roman"/>
          <w:b/>
          <w:bCs/>
          <w:i/>
          <w:iCs/>
          <w:color w:val="000000" w:themeColor="text1"/>
          <w:sz w:val="28"/>
          <w:szCs w:val="28"/>
          <w:lang w:val="en-US"/>
        </w:rPr>
      </w:pPr>
      <w:r w:rsidRPr="00526D87">
        <w:rPr>
          <w:rFonts w:ascii="Times New Roman" w:hAnsi="Times New Roman" w:cs="Times New Roman"/>
          <w:b/>
          <w:bCs/>
          <w:i/>
          <w:iCs/>
          <w:color w:val="000000" w:themeColor="text1"/>
          <w:sz w:val="24"/>
          <w:szCs w:val="24"/>
        </w:rPr>
        <w:t>The Dodd-Frank Wall Street Reform and Consumer Protection Act</w:t>
      </w:r>
    </w:p>
    <w:p w14:paraId="33CC1844" w14:textId="3678DC17" w:rsidR="00EA4136" w:rsidRPr="00526D87" w:rsidRDefault="006504A8" w:rsidP="00C01C5B">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The Wall Street Reform and Consumer Protection Act, commonly known as the Dodd-Frank Act, is a thorough financial reform law passed in 2010 in the United States. Its implementation was prompted by the 2007–2008 financial crisis, which severely impacted the American economy, resulting in the loss of trillions of dollars and millions of jobs for the American people.</w:t>
      </w:r>
      <w:r w:rsidR="008B3EFB" w:rsidRPr="00526D87">
        <w:rPr>
          <w:rFonts w:ascii="Times New Roman" w:hAnsi="Times New Roman" w:cs="Times New Roman"/>
          <w:color w:val="000000" w:themeColor="text1"/>
          <w:sz w:val="24"/>
          <w:szCs w:val="24"/>
        </w:rPr>
        <w:t xml:space="preserve"> </w:t>
      </w:r>
      <w:r w:rsidR="00F47E43" w:rsidRPr="00526D87">
        <w:rPr>
          <w:rFonts w:ascii="Times New Roman" w:hAnsi="Times New Roman" w:cs="Times New Roman"/>
          <w:color w:val="000000" w:themeColor="text1"/>
          <w:sz w:val="24"/>
          <w:szCs w:val="24"/>
        </w:rPr>
        <w:t>I</w:t>
      </w:r>
      <w:r w:rsidR="008B3EFB" w:rsidRPr="00526D87">
        <w:rPr>
          <w:rFonts w:ascii="Times New Roman" w:hAnsi="Times New Roman" w:cs="Times New Roman"/>
          <w:color w:val="000000" w:themeColor="text1"/>
          <w:sz w:val="24"/>
          <w:szCs w:val="24"/>
        </w:rPr>
        <w:t>ts primary objectives are to fortify financial stability, augment transparency and accountability within the financial apparatus, and curtail the concept of institutions deemed "too big to fail"</w:t>
      </w:r>
      <w:r w:rsidR="00F47E43"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032762926"/>
          <w:citation/>
        </w:sdtPr>
        <w:sdtContent>
          <w:r w:rsidR="00F47E43" w:rsidRPr="00526D87">
            <w:rPr>
              <w:rFonts w:ascii="Times New Roman" w:hAnsi="Times New Roman" w:cs="Times New Roman"/>
              <w:color w:val="000000" w:themeColor="text1"/>
              <w:sz w:val="24"/>
              <w:szCs w:val="24"/>
            </w:rPr>
            <w:fldChar w:fldCharType="begin"/>
          </w:r>
          <w:r w:rsidR="00F47E43" w:rsidRPr="00526D87">
            <w:rPr>
              <w:rFonts w:ascii="Times New Roman" w:hAnsi="Times New Roman" w:cs="Times New Roman"/>
              <w:color w:val="000000" w:themeColor="text1"/>
              <w:sz w:val="24"/>
              <w:szCs w:val="24"/>
              <w:lang w:val="en-US"/>
            </w:rPr>
            <w:instrText xml:space="preserve"> CITATION Sch12 \l 1033 </w:instrText>
          </w:r>
          <w:r w:rsidR="00F47E43"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(Schapiro, 2012)</w:t>
          </w:r>
          <w:r w:rsidR="00F47E43" w:rsidRPr="00526D87">
            <w:rPr>
              <w:rFonts w:ascii="Times New Roman" w:hAnsi="Times New Roman" w:cs="Times New Roman"/>
              <w:color w:val="000000" w:themeColor="text1"/>
              <w:sz w:val="24"/>
              <w:szCs w:val="24"/>
            </w:rPr>
            <w:fldChar w:fldCharType="end"/>
          </w:r>
        </w:sdtContent>
      </w:sdt>
      <w:r w:rsidR="00F47E43" w:rsidRPr="00526D87">
        <w:rPr>
          <w:rFonts w:ascii="Times New Roman" w:hAnsi="Times New Roman" w:cs="Times New Roman"/>
          <w:color w:val="000000" w:themeColor="text1"/>
          <w:sz w:val="24"/>
          <w:szCs w:val="24"/>
        </w:rPr>
        <w:t>.</w:t>
      </w:r>
      <w:r w:rsidR="00B13147" w:rsidRPr="00526D87">
        <w:rPr>
          <w:rFonts w:ascii="Times New Roman" w:hAnsi="Times New Roman" w:cs="Times New Roman"/>
          <w:color w:val="000000" w:themeColor="text1"/>
          <w:sz w:val="24"/>
          <w:szCs w:val="24"/>
        </w:rPr>
        <w:t xml:space="preserve"> The Dodd-Frank Act is a</w:t>
      </w:r>
      <w:r w:rsidR="008D5F16" w:rsidRPr="00526D87">
        <w:rPr>
          <w:rFonts w:ascii="Times New Roman" w:hAnsi="Times New Roman" w:cs="Times New Roman"/>
          <w:color w:val="000000" w:themeColor="text1"/>
          <w:sz w:val="24"/>
          <w:szCs w:val="24"/>
        </w:rPr>
        <w:t>n</w:t>
      </w:r>
      <w:r w:rsidR="00B13147" w:rsidRPr="00526D87">
        <w:rPr>
          <w:rFonts w:ascii="Times New Roman" w:hAnsi="Times New Roman" w:cs="Times New Roman"/>
          <w:color w:val="000000" w:themeColor="text1"/>
          <w:sz w:val="24"/>
          <w:szCs w:val="24"/>
        </w:rPr>
        <w:t xml:space="preserve"> </w:t>
      </w:r>
      <w:r w:rsidR="008D5F16" w:rsidRPr="00526D87">
        <w:rPr>
          <w:rFonts w:ascii="Times New Roman" w:hAnsi="Times New Roman" w:cs="Times New Roman"/>
          <w:color w:val="000000" w:themeColor="text1"/>
          <w:sz w:val="24"/>
          <w:szCs w:val="24"/>
        </w:rPr>
        <w:t>aspect of</w:t>
      </w:r>
      <w:r w:rsidR="00B13147" w:rsidRPr="00526D87">
        <w:rPr>
          <w:rFonts w:ascii="Times New Roman" w:hAnsi="Times New Roman" w:cs="Times New Roman"/>
          <w:color w:val="000000" w:themeColor="text1"/>
          <w:sz w:val="24"/>
          <w:szCs w:val="24"/>
        </w:rPr>
        <w:t xml:space="preserve"> </w:t>
      </w:r>
      <w:r w:rsidR="008D5F16" w:rsidRPr="00526D87">
        <w:rPr>
          <w:rFonts w:ascii="Times New Roman" w:hAnsi="Times New Roman" w:cs="Times New Roman"/>
          <w:color w:val="000000" w:themeColor="text1"/>
          <w:sz w:val="24"/>
          <w:szCs w:val="24"/>
        </w:rPr>
        <w:t>significant</w:t>
      </w:r>
      <w:r w:rsidR="00B13147" w:rsidRPr="00526D87">
        <w:rPr>
          <w:rFonts w:ascii="Times New Roman" w:hAnsi="Times New Roman" w:cs="Times New Roman"/>
          <w:color w:val="000000" w:themeColor="text1"/>
          <w:sz w:val="24"/>
          <w:szCs w:val="24"/>
        </w:rPr>
        <w:t xml:space="preserve"> legislation with numerous provisions aimed at promoting financial stability, protecting consumers, and reforming </w:t>
      </w:r>
      <w:r w:rsidR="00A03C71" w:rsidRPr="00526D87">
        <w:rPr>
          <w:rFonts w:ascii="Times New Roman" w:hAnsi="Times New Roman" w:cs="Times New Roman"/>
          <w:color w:val="000000" w:themeColor="text1"/>
          <w:sz w:val="24"/>
          <w:szCs w:val="24"/>
        </w:rPr>
        <w:t>distinct elements of the economy</w:t>
      </w:r>
      <w:r w:rsidR="00B13147" w:rsidRPr="00526D87">
        <w:rPr>
          <w:rFonts w:ascii="Times New Roman" w:hAnsi="Times New Roman" w:cs="Times New Roman"/>
          <w:color w:val="000000" w:themeColor="text1"/>
          <w:sz w:val="24"/>
          <w:szCs w:val="24"/>
        </w:rPr>
        <w:t>.</w:t>
      </w:r>
      <w:r w:rsidR="00714310" w:rsidRPr="00526D87">
        <w:rPr>
          <w:rFonts w:ascii="Times New Roman" w:hAnsi="Times New Roman" w:cs="Times New Roman"/>
          <w:color w:val="000000" w:themeColor="text1"/>
          <w:sz w:val="24"/>
          <w:szCs w:val="24"/>
        </w:rPr>
        <w:t xml:space="preserve"> </w:t>
      </w:r>
      <w:r w:rsidR="003A035F" w:rsidRPr="00526D87">
        <w:rPr>
          <w:rFonts w:ascii="Times New Roman" w:hAnsi="Times New Roman" w:cs="Times New Roman"/>
          <w:color w:val="000000" w:themeColor="text1"/>
          <w:sz w:val="24"/>
          <w:szCs w:val="24"/>
        </w:rPr>
        <w:t>The Dodd-Frank Wall Street Reform and Consumer Protection Act consists of 16 titles, each addressing specific aspects of financial regulation, consumer protection, and systemic risk.</w:t>
      </w:r>
      <w:r w:rsidR="00035118" w:rsidRPr="00526D87">
        <w:rPr>
          <w:rFonts w:ascii="Times New Roman" w:hAnsi="Times New Roman" w:cs="Times New Roman"/>
          <w:color w:val="000000" w:themeColor="text1"/>
          <w:sz w:val="24"/>
          <w:szCs w:val="24"/>
        </w:rPr>
        <w:t xml:space="preserve"> </w:t>
      </w:r>
    </w:p>
    <w:p w14:paraId="43773B66" w14:textId="018C7660" w:rsidR="008B3EFB" w:rsidRPr="00526D87" w:rsidRDefault="00EA4136" w:rsidP="00C01C5B">
      <w:pPr>
        <w:spacing w:line="360" w:lineRule="auto"/>
        <w:jc w:val="both"/>
        <w:rPr>
          <w:rFonts w:ascii="Times New Roman" w:hAnsi="Times New Roman" w:cs="Times New Roman"/>
          <w:color w:val="000000" w:themeColor="text1"/>
          <w:sz w:val="28"/>
          <w:szCs w:val="28"/>
        </w:rPr>
      </w:pPr>
      <w:r w:rsidRPr="00526D87">
        <w:rPr>
          <w:rFonts w:ascii="Times New Roman" w:hAnsi="Times New Roman" w:cs="Times New Roman"/>
          <w:color w:val="000000" w:themeColor="text1"/>
          <w:sz w:val="24"/>
          <w:szCs w:val="24"/>
        </w:rPr>
        <w:t>The Dodd-Frank Act encompasses four principal domains of reform, delineating critical measures to address vulnerabilities in the financial system. Firstly, regulatory reforms are instituted with the explicit objective of enhancing the oversight and management of systemic risk. This encompasses mechanisms and protocols geared towards identifying, monitoring, and mitigating risks that could potentially undermine the stability of the financial system.</w:t>
      </w:r>
      <w:r w:rsidRPr="00526D87">
        <w:rPr>
          <w:rFonts w:ascii="Times New Roman" w:hAnsi="Times New Roman" w:cs="Times New Roman"/>
          <w:color w:val="000000" w:themeColor="text1"/>
        </w:rPr>
        <w:t xml:space="preserve"> </w:t>
      </w:r>
      <w:r w:rsidRPr="00526D87">
        <w:rPr>
          <w:rFonts w:ascii="Times New Roman" w:hAnsi="Times New Roman" w:cs="Times New Roman"/>
          <w:color w:val="000000" w:themeColor="text1"/>
          <w:sz w:val="24"/>
          <w:szCs w:val="24"/>
        </w:rPr>
        <w:t xml:space="preserve">Secondly, the legislation introduces a novel federal resolution authority, strategically designed to facilitate the orderly winding down of systemically important firms. This resolution framework seeks to mitigate the adverse effects of the failure of such entities, thereby averting systemic contagion and preserving financial stability. The third key facet of reform within the Dodd-Frank Act pertains to the establishment of a comprehensive regulatory framework targeting hitherto under-regulated segments of the financial landscape, colloquially referred to as "shadow banking" markets. This regulatory ambit extends to components such as derivatives and </w:t>
      </w:r>
      <w:r w:rsidRPr="00526D87">
        <w:rPr>
          <w:rFonts w:ascii="Times New Roman" w:hAnsi="Times New Roman" w:cs="Times New Roman"/>
          <w:color w:val="000000" w:themeColor="text1"/>
          <w:sz w:val="24"/>
          <w:szCs w:val="24"/>
        </w:rPr>
        <w:lastRenderedPageBreak/>
        <w:t>repurchase agreements ("repos"), aiming to bring these elements within the purview of effective oversight, thereby curtailing potential sources of systemic risk. Lastly, the Dodd-Frank Act incorporates a significant reform in the form of a newly instituted consumer financial protection agency. This agency is specifically designed to safeguard the interests of consumers in the financial marketplace, ensuring transparency, fairness, and protection against predatory practices</w:t>
      </w:r>
      <w:sdt>
        <w:sdtPr>
          <w:rPr>
            <w:rFonts w:ascii="Times New Roman" w:hAnsi="Times New Roman" w:cs="Times New Roman"/>
            <w:color w:val="000000" w:themeColor="text1"/>
            <w:sz w:val="24"/>
            <w:szCs w:val="24"/>
          </w:rPr>
          <w:id w:val="-474526354"/>
          <w:citation/>
        </w:sdtPr>
        <w:sdtContent>
          <w:r w:rsidRPr="00526D87">
            <w:rPr>
              <w:rFonts w:ascii="Times New Roman" w:hAnsi="Times New Roman" w:cs="Times New Roman"/>
              <w:color w:val="000000" w:themeColor="text1"/>
              <w:sz w:val="24"/>
              <w:szCs w:val="24"/>
            </w:rPr>
            <w:fldChar w:fldCharType="begin"/>
          </w:r>
          <w:r w:rsidRPr="00526D87">
            <w:rPr>
              <w:rFonts w:ascii="Times New Roman" w:hAnsi="Times New Roman" w:cs="Times New Roman"/>
              <w:color w:val="000000" w:themeColor="text1"/>
              <w:sz w:val="24"/>
              <w:szCs w:val="24"/>
            </w:rPr>
            <w:instrText xml:space="preserve"> CITATION Bar12 \l 2057 </w:instrText>
          </w:r>
          <w:r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(Barr, 2012)</w:t>
          </w:r>
          <w:r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r w:rsidRPr="00526D87">
        <w:rPr>
          <w:rFonts w:ascii="Times New Roman" w:hAnsi="Times New Roman" w:cs="Times New Roman"/>
          <w:color w:val="000000" w:themeColor="text1"/>
          <w:sz w:val="28"/>
          <w:szCs w:val="28"/>
        </w:rPr>
        <w:t xml:space="preserve"> </w:t>
      </w:r>
      <w:r w:rsidR="00035118" w:rsidRPr="00526D87">
        <w:rPr>
          <w:rFonts w:ascii="Times New Roman" w:hAnsi="Times New Roman" w:cs="Times New Roman"/>
          <w:color w:val="000000" w:themeColor="text1"/>
          <w:sz w:val="24"/>
          <w:szCs w:val="24"/>
        </w:rPr>
        <w:t>Key Provisions of the Dodd-Frank Act are as follows;</w:t>
      </w:r>
    </w:p>
    <w:p w14:paraId="55C0EE4D" w14:textId="38FE93EB" w:rsidR="003A035F" w:rsidRPr="00526D87" w:rsidRDefault="003A035F" w:rsidP="00D15493">
      <w:pPr>
        <w:spacing w:line="360" w:lineRule="auto"/>
        <w:jc w:val="center"/>
        <w:rPr>
          <w:rFonts w:ascii="Times New Roman" w:hAnsi="Times New Roman" w:cs="Times New Roman"/>
          <w:color w:val="000000" w:themeColor="text1"/>
          <w:sz w:val="24"/>
          <w:szCs w:val="24"/>
        </w:rPr>
      </w:pPr>
      <w:r w:rsidRPr="00526D87">
        <w:rPr>
          <w:rFonts w:ascii="Times New Roman" w:hAnsi="Times New Roman" w:cs="Times New Roman"/>
          <w:noProof/>
          <w:color w:val="000000" w:themeColor="text1"/>
        </w:rPr>
        <w:drawing>
          <wp:inline distT="0" distB="0" distL="0" distR="0" wp14:anchorId="39F61BBF" wp14:editId="46DA4C65">
            <wp:extent cx="5314950" cy="3364210"/>
            <wp:effectExtent l="0" t="0" r="0" b="8255"/>
            <wp:docPr id="1168851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4754" cy="3376745"/>
                    </a:xfrm>
                    <a:prstGeom prst="rect">
                      <a:avLst/>
                    </a:prstGeom>
                    <a:noFill/>
                    <a:ln>
                      <a:noFill/>
                    </a:ln>
                  </pic:spPr>
                </pic:pic>
              </a:graphicData>
            </a:graphic>
          </wp:inline>
        </w:drawing>
      </w:r>
    </w:p>
    <w:p w14:paraId="10F12817" w14:textId="1188884C" w:rsidR="000D4148" w:rsidRPr="00526D87" w:rsidRDefault="000D4148" w:rsidP="000D4148">
      <w:pPr>
        <w:pStyle w:val="Caption"/>
        <w:jc w:val="center"/>
        <w:rPr>
          <w:rFonts w:ascii="Times New Roman" w:hAnsi="Times New Roman" w:cs="Times New Roman"/>
          <w:color w:val="000000" w:themeColor="text1"/>
          <w:sz w:val="20"/>
          <w:szCs w:val="20"/>
        </w:rPr>
      </w:pPr>
      <w:bookmarkStart w:id="1" w:name="_Toc155301575"/>
      <w:r w:rsidRPr="00526D87">
        <w:rPr>
          <w:rFonts w:ascii="Times New Roman" w:hAnsi="Times New Roman" w:cs="Times New Roman"/>
          <w:color w:val="000000" w:themeColor="text1"/>
          <w:sz w:val="20"/>
          <w:szCs w:val="20"/>
        </w:rPr>
        <w:t xml:space="preserve">Table </w:t>
      </w:r>
      <w:r w:rsidRPr="00526D87">
        <w:rPr>
          <w:rFonts w:ascii="Times New Roman" w:hAnsi="Times New Roman" w:cs="Times New Roman"/>
          <w:color w:val="000000" w:themeColor="text1"/>
          <w:sz w:val="20"/>
          <w:szCs w:val="20"/>
        </w:rPr>
        <w:fldChar w:fldCharType="begin"/>
      </w:r>
      <w:r w:rsidRPr="00526D87">
        <w:rPr>
          <w:rFonts w:ascii="Times New Roman" w:hAnsi="Times New Roman" w:cs="Times New Roman"/>
          <w:color w:val="000000" w:themeColor="text1"/>
          <w:sz w:val="20"/>
          <w:szCs w:val="20"/>
        </w:rPr>
        <w:instrText xml:space="preserve"> SEQ Table \* ARABIC </w:instrText>
      </w:r>
      <w:r w:rsidRPr="00526D87">
        <w:rPr>
          <w:rFonts w:ascii="Times New Roman" w:hAnsi="Times New Roman" w:cs="Times New Roman"/>
          <w:color w:val="000000" w:themeColor="text1"/>
          <w:sz w:val="20"/>
          <w:szCs w:val="20"/>
        </w:rPr>
        <w:fldChar w:fldCharType="separate"/>
      </w:r>
      <w:r w:rsidRPr="00526D87">
        <w:rPr>
          <w:rFonts w:ascii="Times New Roman" w:hAnsi="Times New Roman" w:cs="Times New Roman"/>
          <w:noProof/>
          <w:color w:val="000000" w:themeColor="text1"/>
          <w:sz w:val="20"/>
          <w:szCs w:val="20"/>
        </w:rPr>
        <w:t>1</w:t>
      </w:r>
      <w:r w:rsidRPr="00526D87">
        <w:rPr>
          <w:rFonts w:ascii="Times New Roman" w:hAnsi="Times New Roman" w:cs="Times New Roman"/>
          <w:color w:val="000000" w:themeColor="text1"/>
          <w:sz w:val="20"/>
          <w:szCs w:val="20"/>
        </w:rPr>
        <w:fldChar w:fldCharType="end"/>
      </w:r>
      <w:r w:rsidRPr="00526D87">
        <w:rPr>
          <w:rFonts w:ascii="Times New Roman" w:hAnsi="Times New Roman" w:cs="Times New Roman"/>
          <w:color w:val="000000" w:themeColor="text1"/>
          <w:sz w:val="20"/>
          <w:szCs w:val="20"/>
        </w:rPr>
        <w:t>: Key reform in the Dodd-Frank Act</w:t>
      </w:r>
      <w:bookmarkEnd w:id="1"/>
    </w:p>
    <w:p w14:paraId="5F8F88F5" w14:textId="19071BA4" w:rsidR="00035118" w:rsidRPr="00526D87" w:rsidRDefault="003A035F" w:rsidP="00D15493">
      <w:pPr>
        <w:spacing w:line="360" w:lineRule="auto"/>
        <w:jc w:val="center"/>
        <w:rPr>
          <w:rFonts w:ascii="Times New Roman" w:hAnsi="Times New Roman" w:cs="Times New Roman"/>
          <w:color w:val="000000" w:themeColor="text1"/>
          <w:sz w:val="20"/>
          <w:szCs w:val="20"/>
        </w:rPr>
      </w:pPr>
      <w:r w:rsidRPr="00526D87">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245313698"/>
          <w:citation/>
        </w:sdtPr>
        <w:sdtContent>
          <w:r w:rsidRPr="00526D87">
            <w:rPr>
              <w:rFonts w:ascii="Times New Roman" w:hAnsi="Times New Roman" w:cs="Times New Roman"/>
              <w:color w:val="000000" w:themeColor="text1"/>
              <w:sz w:val="20"/>
              <w:szCs w:val="20"/>
            </w:rPr>
            <w:fldChar w:fldCharType="begin"/>
          </w:r>
          <w:r w:rsidRPr="00526D87">
            <w:rPr>
              <w:rFonts w:ascii="Times New Roman" w:hAnsi="Times New Roman" w:cs="Times New Roman"/>
              <w:color w:val="000000" w:themeColor="text1"/>
              <w:sz w:val="20"/>
              <w:szCs w:val="20"/>
              <w:lang w:val="en-US"/>
            </w:rPr>
            <w:instrText xml:space="preserve"> CITATION Guy10 \l 1033 </w:instrText>
          </w:r>
          <w:r w:rsidRPr="00526D87">
            <w:rPr>
              <w:rFonts w:ascii="Times New Roman" w:hAnsi="Times New Roman" w:cs="Times New Roman"/>
              <w:color w:val="000000" w:themeColor="text1"/>
              <w:sz w:val="20"/>
              <w:szCs w:val="20"/>
            </w:rPr>
            <w:fldChar w:fldCharType="separate"/>
          </w:r>
          <w:r w:rsidR="00BF15CE" w:rsidRPr="00526D87">
            <w:rPr>
              <w:rFonts w:ascii="Times New Roman" w:hAnsi="Times New Roman" w:cs="Times New Roman"/>
              <w:noProof/>
              <w:color w:val="000000" w:themeColor="text1"/>
              <w:sz w:val="20"/>
              <w:szCs w:val="20"/>
              <w:lang w:val="en-US"/>
            </w:rPr>
            <w:t>(Guynn, 2010)</w:t>
          </w:r>
          <w:r w:rsidRPr="00526D87">
            <w:rPr>
              <w:rFonts w:ascii="Times New Roman" w:hAnsi="Times New Roman" w:cs="Times New Roman"/>
              <w:color w:val="000000" w:themeColor="text1"/>
              <w:sz w:val="20"/>
              <w:szCs w:val="20"/>
            </w:rPr>
            <w:fldChar w:fldCharType="end"/>
          </w:r>
        </w:sdtContent>
      </w:sdt>
      <w:r w:rsidRPr="00526D87">
        <w:rPr>
          <w:rFonts w:ascii="Times New Roman" w:hAnsi="Times New Roman" w:cs="Times New Roman"/>
          <w:color w:val="000000" w:themeColor="text1"/>
          <w:sz w:val="20"/>
          <w:szCs w:val="20"/>
        </w:rPr>
        <w:t>)</w:t>
      </w:r>
    </w:p>
    <w:p w14:paraId="4F1E22D6" w14:textId="243565C8" w:rsidR="00035118" w:rsidRPr="00526D87" w:rsidRDefault="003D6C83" w:rsidP="00035118">
      <w:pPr>
        <w:spacing w:line="360" w:lineRule="auto"/>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Financial Stability Oversight Council (FSOC) Act</w:t>
      </w:r>
    </w:p>
    <w:p w14:paraId="03FDA706" w14:textId="57D1FC34" w:rsidR="000946C8" w:rsidRPr="00526D87" w:rsidRDefault="00890D7B" w:rsidP="006B5C67">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Following the 2008 financial crisis, the Financial Stability Oversight Council (FSOC) was formed in 2010. Its goals include examining possible threats to financial stability in the United States, focusing on important, interconnected bank holding companies and nonbank financial organisations, supporting market discipline, and resolving developing concerns. FSOC is not a distinct regulator, but rather a council of regulatory organisations that is required by law to convene on a regular basis. Its responsibilities include detecting regulatory gaps, developing supervisory priorities, closely monitoring local and international financial regulatory initiatives, conducting in-depth research and reporting on significant topics, and supervising financial markets. It also regulates non-bank financial companies and financial enterprises, </w:t>
      </w:r>
      <w:r w:rsidRPr="00526D87">
        <w:rPr>
          <w:rFonts w:ascii="Times New Roman" w:hAnsi="Times New Roman" w:cs="Times New Roman"/>
          <w:color w:val="000000" w:themeColor="text1"/>
          <w:sz w:val="24"/>
          <w:szCs w:val="24"/>
        </w:rPr>
        <w:lastRenderedPageBreak/>
        <w:t xml:space="preserve">identifying systemically essential financial market commodities and payment, settlement, and delivery operations. </w:t>
      </w:r>
      <w:r w:rsidR="006B5C67"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71528454"/>
          <w:citation/>
        </w:sdtPr>
        <w:sdtContent>
          <w:r w:rsidR="006B5C67" w:rsidRPr="00526D87">
            <w:rPr>
              <w:rFonts w:ascii="Times New Roman" w:hAnsi="Times New Roman" w:cs="Times New Roman"/>
              <w:color w:val="000000" w:themeColor="text1"/>
              <w:sz w:val="24"/>
              <w:szCs w:val="24"/>
            </w:rPr>
            <w:fldChar w:fldCharType="begin"/>
          </w:r>
          <w:r w:rsidR="006B5C67" w:rsidRPr="00526D87">
            <w:rPr>
              <w:rFonts w:ascii="Times New Roman" w:hAnsi="Times New Roman" w:cs="Times New Roman"/>
              <w:color w:val="000000" w:themeColor="text1"/>
              <w:sz w:val="24"/>
              <w:szCs w:val="24"/>
              <w:lang w:val="en-US"/>
            </w:rPr>
            <w:instrText xml:space="preserve"> CITATION Pol12 \l 1033 </w:instrText>
          </w:r>
          <w:r w:rsidR="006B5C67"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(Polski &amp; Elbarasse, 2012)</w:t>
          </w:r>
          <w:r w:rsidR="006B5C67" w:rsidRPr="00526D87">
            <w:rPr>
              <w:rFonts w:ascii="Times New Roman" w:hAnsi="Times New Roman" w:cs="Times New Roman"/>
              <w:color w:val="000000" w:themeColor="text1"/>
              <w:sz w:val="24"/>
              <w:szCs w:val="24"/>
            </w:rPr>
            <w:fldChar w:fldCharType="end"/>
          </w:r>
        </w:sdtContent>
      </w:sdt>
      <w:r w:rsidR="006B5C67" w:rsidRPr="00526D87">
        <w:rPr>
          <w:rFonts w:ascii="Times New Roman" w:hAnsi="Times New Roman" w:cs="Times New Roman"/>
          <w:color w:val="000000" w:themeColor="text1"/>
        </w:rPr>
        <w:t>.</w:t>
      </w:r>
    </w:p>
    <w:p w14:paraId="743CA752" w14:textId="5B4D8FD5" w:rsidR="000946C8" w:rsidRPr="00526D87" w:rsidRDefault="000946C8" w:rsidP="006B5C67">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Volcker Rule</w:t>
      </w:r>
    </w:p>
    <w:p w14:paraId="39D4B118" w14:textId="14C039D6" w:rsidR="000D4148" w:rsidRPr="00526D87" w:rsidRDefault="00F70FC5" w:rsidP="006B5C67">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The term "Volcker Rule" pertains to a particular provision within the Dodd-Frank Wall Street Reform and Consumer Protection Act, legislated in response to the 2008 financial crisis. The primary aim of this rule is to mitigate the potential for a recurring economic downturn by curbing the propensity of financial institutions to undertake undue risks. Specifically, the Volcker Rule imposes restrictions on banks, limiting their capacity to invest in or sponsor hedge funds and private equity firms, and precluding them from participating in proprietary trading activities</w:t>
      </w:r>
      <w:r w:rsidR="003E6061"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175562744"/>
          <w:citation/>
        </w:sdtPr>
        <w:sdtContent>
          <w:r w:rsidR="003E6061" w:rsidRPr="00526D87">
            <w:rPr>
              <w:rFonts w:ascii="Times New Roman" w:hAnsi="Times New Roman" w:cs="Times New Roman"/>
              <w:color w:val="000000" w:themeColor="text1"/>
              <w:sz w:val="24"/>
              <w:szCs w:val="24"/>
            </w:rPr>
            <w:fldChar w:fldCharType="begin"/>
          </w:r>
          <w:r w:rsidR="003E6061" w:rsidRPr="00526D87">
            <w:rPr>
              <w:rFonts w:ascii="Times New Roman" w:hAnsi="Times New Roman" w:cs="Times New Roman"/>
              <w:color w:val="000000" w:themeColor="text1"/>
              <w:sz w:val="24"/>
              <w:szCs w:val="24"/>
              <w:lang w:val="en-IN"/>
            </w:rPr>
            <w:instrText xml:space="preserve"> CITATION Man13 \l 16393 </w:instrText>
          </w:r>
          <w:r w:rsidR="003E6061"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IN"/>
            </w:rPr>
            <w:t>(Manasfi, 2013)</w:t>
          </w:r>
          <w:r w:rsidR="003E6061" w:rsidRPr="00526D87">
            <w:rPr>
              <w:rFonts w:ascii="Times New Roman" w:hAnsi="Times New Roman" w:cs="Times New Roman"/>
              <w:color w:val="000000" w:themeColor="text1"/>
              <w:sz w:val="24"/>
              <w:szCs w:val="24"/>
            </w:rPr>
            <w:fldChar w:fldCharType="end"/>
          </w:r>
        </w:sdtContent>
      </w:sdt>
      <w:r w:rsidR="003E6061" w:rsidRPr="00526D87">
        <w:rPr>
          <w:rFonts w:ascii="Times New Roman" w:hAnsi="Times New Roman" w:cs="Times New Roman"/>
          <w:color w:val="000000" w:themeColor="text1"/>
          <w:sz w:val="24"/>
          <w:szCs w:val="24"/>
        </w:rPr>
        <w:t>.</w:t>
      </w:r>
    </w:p>
    <w:p w14:paraId="238007FE" w14:textId="0F96251A" w:rsidR="0006062E" w:rsidRPr="00526D87" w:rsidRDefault="0006062E" w:rsidP="006B5C67">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Basel III</w:t>
      </w:r>
    </w:p>
    <w:p w14:paraId="3264C7B7" w14:textId="77777777" w:rsidR="005A6E28" w:rsidRPr="00526D87" w:rsidRDefault="005A6E28" w:rsidP="0006062E">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In accordance with Howard (2014), Basel III, an international regulatory framework crafted by the Basel Committee on Banking Supervision, primarily </w:t>
      </w:r>
      <w:proofErr w:type="spellStart"/>
      <w:r w:rsidRPr="00526D87">
        <w:rPr>
          <w:rFonts w:ascii="Times New Roman" w:hAnsi="Times New Roman" w:cs="Times New Roman"/>
          <w:color w:val="000000" w:themeColor="text1"/>
          <w:sz w:val="24"/>
          <w:szCs w:val="24"/>
        </w:rPr>
        <w:t>endeavors</w:t>
      </w:r>
      <w:proofErr w:type="spellEnd"/>
      <w:r w:rsidRPr="00526D87">
        <w:rPr>
          <w:rFonts w:ascii="Times New Roman" w:hAnsi="Times New Roman" w:cs="Times New Roman"/>
          <w:color w:val="000000" w:themeColor="text1"/>
          <w:sz w:val="24"/>
          <w:szCs w:val="24"/>
        </w:rPr>
        <w:t xml:space="preserve"> to enhance the stability and resilience of the global financial system. The pivotal aim of Basel III lies in the imposition of additional constraints designed to forestall the insolvency of financial institutions amidst periods characterized by liquidity crises. Although the Basel III banking regulations were meticulously formulated by the Basel Committee on Banking Supervision as an extensive framework addressing the adequacy of bank capital on a worldwide scale, it is imperative to acknowledge their potential far-reaching implications on corporate governance.</w:t>
      </w:r>
    </w:p>
    <w:p w14:paraId="37E483D1" w14:textId="1666C7EC" w:rsidR="0006062E" w:rsidRPr="00526D87" w:rsidRDefault="005A6E28" w:rsidP="0006062E">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Basel III fortifies the existing banking regulatory framework by employing two fundamental mechanisms. Firstly, it entails an augmentation in the quantum of common equity that a bank is obligated to retain in proportion to its risk-weighted assets (RWAs). Secondly, it mandates an elevation in Tier 1 capital ratios</w:t>
      </w:r>
      <w:r w:rsidR="0006062E" w:rsidRPr="00526D87">
        <w:rPr>
          <w:rFonts w:ascii="Times New Roman" w:hAnsi="Times New Roman" w:cs="Times New Roman"/>
          <w:color w:val="000000" w:themeColor="text1"/>
          <w:sz w:val="28"/>
          <w:szCs w:val="28"/>
        </w:rPr>
        <w:t xml:space="preserve"> </w:t>
      </w:r>
      <w:sdt>
        <w:sdtPr>
          <w:rPr>
            <w:rFonts w:ascii="Times New Roman" w:hAnsi="Times New Roman" w:cs="Times New Roman"/>
            <w:color w:val="000000" w:themeColor="text1"/>
            <w:sz w:val="24"/>
            <w:szCs w:val="24"/>
          </w:rPr>
          <w:id w:val="-1832205925"/>
          <w:citation/>
        </w:sdtPr>
        <w:sdtContent>
          <w:r w:rsidR="00843285" w:rsidRPr="00526D87">
            <w:rPr>
              <w:rFonts w:ascii="Times New Roman" w:hAnsi="Times New Roman" w:cs="Times New Roman"/>
              <w:color w:val="000000" w:themeColor="text1"/>
              <w:sz w:val="24"/>
              <w:szCs w:val="24"/>
            </w:rPr>
            <w:fldChar w:fldCharType="begin"/>
          </w:r>
          <w:r w:rsidR="00843285" w:rsidRPr="00526D87">
            <w:rPr>
              <w:rFonts w:ascii="Times New Roman" w:hAnsi="Times New Roman" w:cs="Times New Roman"/>
              <w:color w:val="000000" w:themeColor="text1"/>
              <w:sz w:val="24"/>
              <w:szCs w:val="24"/>
              <w:lang w:val="en-IN"/>
            </w:rPr>
            <w:instrText xml:space="preserve"> CITATION How14 \l 16393 </w:instrText>
          </w:r>
          <w:r w:rsidR="00843285"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IN"/>
            </w:rPr>
            <w:t>(Howard, 2014)</w:t>
          </w:r>
          <w:r w:rsidR="00843285" w:rsidRPr="00526D87">
            <w:rPr>
              <w:rFonts w:ascii="Times New Roman" w:hAnsi="Times New Roman" w:cs="Times New Roman"/>
              <w:color w:val="000000" w:themeColor="text1"/>
              <w:sz w:val="24"/>
              <w:szCs w:val="24"/>
            </w:rPr>
            <w:fldChar w:fldCharType="end"/>
          </w:r>
        </w:sdtContent>
      </w:sdt>
      <w:r w:rsidR="00843285" w:rsidRPr="00526D87">
        <w:rPr>
          <w:rFonts w:ascii="Times New Roman" w:hAnsi="Times New Roman" w:cs="Times New Roman"/>
          <w:color w:val="000000" w:themeColor="text1"/>
          <w:sz w:val="24"/>
          <w:szCs w:val="24"/>
        </w:rPr>
        <w:t>.</w:t>
      </w:r>
    </w:p>
    <w:p w14:paraId="2D6B30D5" w14:textId="19B65EA1" w:rsidR="00D108C9" w:rsidRPr="00526D87" w:rsidRDefault="00D108C9" w:rsidP="0006062E">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Emergency Economic Stabilization Act (EESA)</w:t>
      </w:r>
    </w:p>
    <w:p w14:paraId="5AC7B5B6" w14:textId="52E36736" w:rsidR="00D13CD7" w:rsidRPr="00526D87" w:rsidRDefault="00D13CD7" w:rsidP="00D108C9">
      <w:pPr>
        <w:spacing w:line="360" w:lineRule="auto"/>
        <w:jc w:val="both"/>
        <w:rPr>
          <w:rFonts w:ascii="Times New Roman" w:hAnsi="Times New Roman" w:cs="Times New Roman"/>
          <w:color w:val="000000" w:themeColor="text1"/>
          <w:sz w:val="28"/>
          <w:szCs w:val="28"/>
        </w:rPr>
      </w:pPr>
      <w:r w:rsidRPr="00526D87">
        <w:rPr>
          <w:rFonts w:ascii="Times New Roman" w:hAnsi="Times New Roman" w:cs="Times New Roman"/>
          <w:color w:val="000000" w:themeColor="text1"/>
          <w:sz w:val="24"/>
          <w:szCs w:val="24"/>
        </w:rPr>
        <w:t>A</w:t>
      </w:r>
      <w:r w:rsidR="00CC2225" w:rsidRPr="00526D87">
        <w:rPr>
          <w:rFonts w:ascii="Times New Roman" w:hAnsi="Times New Roman" w:cs="Times New Roman"/>
          <w:color w:val="000000" w:themeColor="text1"/>
          <w:sz w:val="24"/>
          <w:szCs w:val="24"/>
        </w:rPr>
        <w:t>ccording to</w:t>
      </w:r>
      <w:r w:rsidRPr="00526D87">
        <w:rPr>
          <w:rFonts w:ascii="Times New Roman" w:hAnsi="Times New Roman" w:cs="Times New Roman"/>
          <w:color w:val="000000" w:themeColor="text1"/>
          <w:sz w:val="24"/>
          <w:szCs w:val="24"/>
        </w:rPr>
        <w:t xml:space="preserve"> Copeland (2008), the Emergency Economic Stabilisation Act (EESA) of 2008 emerged as a pivotal legislative response by the United States Congress to the profound financial crisis of that year. Enacted on October 3, 2008, under the nomenclature of the Troubled Asset Relief Programme (TARP), this measure aims to safeguard property values, college funds, retirement funds, and life savings. Additionally, its objectives encompass the preservation of homeownership, promotion of job creation and economic growth, maximization of taxpayer returns, and assurance of public accountability.</w:t>
      </w:r>
      <w:r w:rsidRPr="00526D87">
        <w:rPr>
          <w:rFonts w:ascii="Times New Roman" w:hAnsi="Times New Roman" w:cs="Times New Roman"/>
          <w:color w:val="000000" w:themeColor="text1"/>
          <w:sz w:val="28"/>
          <w:szCs w:val="28"/>
        </w:rPr>
        <w:t xml:space="preserve"> </w:t>
      </w:r>
    </w:p>
    <w:p w14:paraId="0831499C" w14:textId="0D4A36EB" w:rsidR="0006062E" w:rsidRPr="00526D87" w:rsidRDefault="00D13CD7"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lastRenderedPageBreak/>
        <w:t>The EESA established two entities, namely the Financial Stability Oversight Board and the Congressional Oversight Panel, entrusted with the comprehensive oversight of the stability program.</w:t>
      </w:r>
      <w:r w:rsidRPr="00526D87">
        <w:rPr>
          <w:rFonts w:ascii="Times New Roman" w:hAnsi="Times New Roman" w:cs="Times New Roman"/>
          <w:color w:val="000000" w:themeColor="text1"/>
          <w:sz w:val="28"/>
          <w:szCs w:val="28"/>
        </w:rPr>
        <w:t xml:space="preserve"> </w:t>
      </w:r>
      <w:r w:rsidRPr="00526D87">
        <w:rPr>
          <w:rFonts w:ascii="Times New Roman" w:hAnsi="Times New Roman" w:cs="Times New Roman"/>
          <w:color w:val="000000" w:themeColor="text1"/>
          <w:sz w:val="24"/>
          <w:szCs w:val="24"/>
        </w:rPr>
        <w:t>The Troubled Asset Relief Programme served as the primary mechanism through which the EESA was operationalized, involving capital injections to stabilize financial institutions and providing assistance to homeowners with the aim of reducing mortgage default rates</w:t>
      </w:r>
      <w:r w:rsidRPr="00526D87">
        <w:rPr>
          <w:rFonts w:ascii="Times New Roman" w:hAnsi="Times New Roman" w:cs="Times New Roman"/>
          <w:color w:val="000000" w:themeColor="text1"/>
        </w:rPr>
        <w:t xml:space="preserve"> </w:t>
      </w:r>
      <w:sdt>
        <w:sdtPr>
          <w:rPr>
            <w:rFonts w:ascii="Times New Roman" w:hAnsi="Times New Roman" w:cs="Times New Roman"/>
            <w:color w:val="000000" w:themeColor="text1"/>
            <w:sz w:val="24"/>
            <w:szCs w:val="24"/>
          </w:rPr>
          <w:id w:val="1837411115"/>
          <w:citation/>
        </w:sdtPr>
        <w:sdtContent>
          <w:r w:rsidR="00B6180C" w:rsidRPr="00526D87">
            <w:rPr>
              <w:rFonts w:ascii="Times New Roman" w:hAnsi="Times New Roman" w:cs="Times New Roman"/>
              <w:color w:val="000000" w:themeColor="text1"/>
              <w:sz w:val="24"/>
              <w:szCs w:val="24"/>
            </w:rPr>
            <w:fldChar w:fldCharType="begin"/>
          </w:r>
          <w:r w:rsidR="00B6180C" w:rsidRPr="00526D87">
            <w:rPr>
              <w:rFonts w:ascii="Times New Roman" w:hAnsi="Times New Roman" w:cs="Times New Roman"/>
              <w:color w:val="000000" w:themeColor="text1"/>
              <w:sz w:val="24"/>
              <w:szCs w:val="24"/>
              <w:lang w:val="en-US"/>
            </w:rPr>
            <w:instrText xml:space="preserve"> CITATION Cop08 \l 1033 </w:instrText>
          </w:r>
          <w:r w:rsidR="00B6180C"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(Copeland, 2008)</w:t>
          </w:r>
          <w:r w:rsidR="00B6180C" w:rsidRPr="00526D87">
            <w:rPr>
              <w:rFonts w:ascii="Times New Roman" w:hAnsi="Times New Roman" w:cs="Times New Roman"/>
              <w:color w:val="000000" w:themeColor="text1"/>
              <w:sz w:val="24"/>
              <w:szCs w:val="24"/>
            </w:rPr>
            <w:fldChar w:fldCharType="end"/>
          </w:r>
        </w:sdtContent>
      </w:sdt>
      <w:r w:rsidR="00B6180C" w:rsidRPr="00526D87">
        <w:rPr>
          <w:rFonts w:ascii="Times New Roman" w:hAnsi="Times New Roman" w:cs="Times New Roman"/>
          <w:color w:val="000000" w:themeColor="text1"/>
          <w:sz w:val="24"/>
          <w:szCs w:val="24"/>
        </w:rPr>
        <w:t>.</w:t>
      </w:r>
      <w:r w:rsidR="00F1688F" w:rsidRPr="00526D87">
        <w:rPr>
          <w:rFonts w:ascii="Times New Roman" w:hAnsi="Times New Roman" w:cs="Times New Roman"/>
          <w:color w:val="000000" w:themeColor="text1"/>
          <w:sz w:val="24"/>
          <w:szCs w:val="24"/>
        </w:rPr>
        <w:t xml:space="preserve"> </w:t>
      </w:r>
      <w:r w:rsidR="000E6CE0" w:rsidRPr="00526D87">
        <w:rPr>
          <w:rFonts w:ascii="Times New Roman" w:hAnsi="Times New Roman" w:cs="Times New Roman"/>
          <w:color w:val="000000" w:themeColor="text1"/>
          <w:sz w:val="24"/>
          <w:szCs w:val="24"/>
        </w:rPr>
        <w:t>The Act includes measures to encourage problematic debt refinancing in order to avoid seizures and stabilise the housing market.</w:t>
      </w:r>
      <w:r w:rsidR="00B01E19" w:rsidRPr="00526D87">
        <w:rPr>
          <w:rFonts w:ascii="Times New Roman" w:hAnsi="Times New Roman" w:cs="Times New Roman"/>
          <w:color w:val="000000" w:themeColor="text1"/>
        </w:rPr>
        <w:t xml:space="preserve"> </w:t>
      </w:r>
      <w:r w:rsidR="00B01E19" w:rsidRPr="00526D87">
        <w:rPr>
          <w:rFonts w:ascii="Times New Roman" w:hAnsi="Times New Roman" w:cs="Times New Roman"/>
          <w:color w:val="000000" w:themeColor="text1"/>
          <w:sz w:val="24"/>
          <w:szCs w:val="24"/>
        </w:rPr>
        <w:t>However, this Act was a significant measure of the post-2008 financial meltdown</w:t>
      </w:r>
      <w:r w:rsidR="00F1688F" w:rsidRPr="00526D87">
        <w:rPr>
          <w:rFonts w:ascii="Times New Roman" w:hAnsi="Times New Roman" w:cs="Times New Roman"/>
          <w:color w:val="000000" w:themeColor="text1"/>
          <w:sz w:val="24"/>
          <w:szCs w:val="24"/>
        </w:rPr>
        <w:t>, attempting to restore financial system confidence and stability through the purchase of distressed assets and the deployment of TARP.</w:t>
      </w:r>
    </w:p>
    <w:p w14:paraId="30BB21E7" w14:textId="5263CBAF" w:rsidR="00F27EF0" w:rsidRPr="00526D87" w:rsidRDefault="00F27EF0" w:rsidP="00D108C9">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Mortgage Market Reforms</w:t>
      </w:r>
    </w:p>
    <w:p w14:paraId="171AC107" w14:textId="28A58799" w:rsidR="00F27EF0" w:rsidRPr="00526D87" w:rsidRDefault="004349E9" w:rsidP="00D108C9">
      <w:pPr>
        <w:spacing w:line="360" w:lineRule="auto"/>
        <w:jc w:val="both"/>
        <w:rPr>
          <w:rFonts w:ascii="Times New Roman" w:hAnsi="Times New Roman" w:cs="Times New Roman"/>
          <w:color w:val="000000" w:themeColor="text1"/>
          <w:sz w:val="24"/>
          <w:szCs w:val="24"/>
          <w:shd w:val="clear" w:color="auto" w:fill="FCFCF9"/>
        </w:rPr>
      </w:pPr>
      <w:r w:rsidRPr="00526D87">
        <w:rPr>
          <w:rFonts w:ascii="Times New Roman" w:hAnsi="Times New Roman" w:cs="Times New Roman"/>
          <w:color w:val="000000" w:themeColor="text1"/>
          <w:sz w:val="24"/>
          <w:szCs w:val="24"/>
        </w:rPr>
        <w:t xml:space="preserve">The Dodd-Frank Act, enacted in response to the financial crisis of 2007-2008, encompasses provisions directed at reforming residential mortgage lending and securitization practices. The legislation introduces liability protection for lenders engaged in the origination of mortgages meeting nine specified criteria, known as Qualified Mortgages, which pertain to the </w:t>
      </w:r>
      <w:r w:rsidR="00154F6E" w:rsidRPr="00526D87">
        <w:rPr>
          <w:rFonts w:ascii="Times New Roman" w:hAnsi="Times New Roman" w:cs="Times New Roman"/>
          <w:color w:val="000000" w:themeColor="text1"/>
          <w:sz w:val="24"/>
          <w:szCs w:val="24"/>
        </w:rPr>
        <w:t>debtor</w:t>
      </w:r>
      <w:r w:rsidRPr="00526D87">
        <w:rPr>
          <w:rFonts w:ascii="Times New Roman" w:hAnsi="Times New Roman" w:cs="Times New Roman"/>
          <w:color w:val="000000" w:themeColor="text1"/>
          <w:sz w:val="24"/>
          <w:szCs w:val="24"/>
        </w:rPr>
        <w:t xml:space="preserve">'s </w:t>
      </w:r>
      <w:r w:rsidR="00154F6E" w:rsidRPr="00526D87">
        <w:rPr>
          <w:rFonts w:ascii="Times New Roman" w:hAnsi="Times New Roman" w:cs="Times New Roman"/>
          <w:color w:val="000000" w:themeColor="text1"/>
          <w:sz w:val="24"/>
          <w:szCs w:val="24"/>
        </w:rPr>
        <w:t>capacity</w:t>
      </w:r>
      <w:r w:rsidRPr="00526D87">
        <w:rPr>
          <w:rFonts w:ascii="Times New Roman" w:hAnsi="Times New Roman" w:cs="Times New Roman"/>
          <w:color w:val="000000" w:themeColor="text1"/>
          <w:sz w:val="24"/>
          <w:szCs w:val="24"/>
        </w:rPr>
        <w:t xml:space="preserve"> to </w:t>
      </w:r>
      <w:r w:rsidR="00154F6E" w:rsidRPr="00526D87">
        <w:rPr>
          <w:rFonts w:ascii="Times New Roman" w:hAnsi="Times New Roman" w:cs="Times New Roman"/>
          <w:color w:val="000000" w:themeColor="text1"/>
          <w:sz w:val="24"/>
          <w:szCs w:val="24"/>
        </w:rPr>
        <w:t>make payments</w:t>
      </w:r>
      <w:r w:rsidRPr="00526D87">
        <w:rPr>
          <w:rFonts w:ascii="Times New Roman" w:hAnsi="Times New Roman" w:cs="Times New Roman"/>
          <w:color w:val="000000" w:themeColor="text1"/>
          <w:sz w:val="24"/>
          <w:szCs w:val="24"/>
        </w:rPr>
        <w:t xml:space="preserve">. Furthermore, the Dodd-Frank Act mandates that securities linked to mortgages failing to meet specific criteria associated with lower default risk must retain a minimum of 5 per cent of the credit risk. However, the exact percentage may be subject to variation by federal rulemaking agencies. </w:t>
      </w:r>
      <w:r w:rsidR="00F27EF0" w:rsidRPr="00526D87">
        <w:rPr>
          <w:rFonts w:ascii="Times New Roman" w:hAnsi="Times New Roman" w:cs="Times New Roman"/>
          <w:color w:val="000000" w:themeColor="text1"/>
          <w:sz w:val="24"/>
          <w:szCs w:val="24"/>
          <w:shd w:val="clear" w:color="auto" w:fill="FCFCF9"/>
        </w:rPr>
        <w:t>Some of the key provisions related to mortgage market reform in the Dodd-Frank Act are:</w:t>
      </w:r>
    </w:p>
    <w:p w14:paraId="57939864" w14:textId="1FAD28F5" w:rsidR="00F27EF0" w:rsidRPr="00526D87" w:rsidRDefault="00F27EF0" w:rsidP="00F27EF0">
      <w:pPr>
        <w:pStyle w:val="ListParagraph"/>
        <w:numPr>
          <w:ilvl w:val="0"/>
          <w:numId w:val="3"/>
        </w:numPr>
        <w:spacing w:line="360" w:lineRule="auto"/>
        <w:jc w:val="both"/>
        <w:rPr>
          <w:rFonts w:ascii="Times New Roman" w:hAnsi="Times New Roman" w:cs="Times New Roman"/>
          <w:color w:val="000000" w:themeColor="text1"/>
          <w:sz w:val="24"/>
          <w:szCs w:val="24"/>
          <w:shd w:val="clear" w:color="auto" w:fill="FCFCF9"/>
        </w:rPr>
      </w:pPr>
      <w:r w:rsidRPr="00526D87">
        <w:rPr>
          <w:rFonts w:ascii="Times New Roman" w:hAnsi="Times New Roman" w:cs="Times New Roman"/>
          <w:b/>
          <w:bCs/>
          <w:i/>
          <w:iCs/>
          <w:color w:val="000000" w:themeColor="text1"/>
          <w:sz w:val="24"/>
          <w:szCs w:val="24"/>
          <w:shd w:val="clear" w:color="auto" w:fill="FCFCF9"/>
        </w:rPr>
        <w:t>Qualified Mortgage Criteria:</w:t>
      </w:r>
      <w:r w:rsidRPr="00526D87">
        <w:rPr>
          <w:rFonts w:ascii="Times New Roman" w:hAnsi="Times New Roman" w:cs="Times New Roman"/>
          <w:color w:val="000000" w:themeColor="text1"/>
          <w:sz w:val="24"/>
          <w:szCs w:val="24"/>
          <w:shd w:val="clear" w:color="auto" w:fill="FCFCF9"/>
        </w:rPr>
        <w:t xml:space="preserve"> </w:t>
      </w:r>
      <w:r w:rsidR="004349E9" w:rsidRPr="00526D87">
        <w:rPr>
          <w:rFonts w:ascii="Times New Roman" w:hAnsi="Times New Roman" w:cs="Times New Roman"/>
          <w:color w:val="000000" w:themeColor="text1"/>
          <w:sz w:val="24"/>
          <w:szCs w:val="24"/>
        </w:rPr>
        <w:t xml:space="preserve">The Act provides debt protection for </w:t>
      </w:r>
      <w:r w:rsidR="00154F6E" w:rsidRPr="00526D87">
        <w:rPr>
          <w:rFonts w:ascii="Times New Roman" w:hAnsi="Times New Roman" w:cs="Times New Roman"/>
          <w:color w:val="000000" w:themeColor="text1"/>
          <w:sz w:val="24"/>
          <w:szCs w:val="24"/>
        </w:rPr>
        <w:t>debtor</w:t>
      </w:r>
      <w:r w:rsidR="004349E9" w:rsidRPr="00526D87">
        <w:rPr>
          <w:rFonts w:ascii="Times New Roman" w:hAnsi="Times New Roman" w:cs="Times New Roman"/>
          <w:color w:val="000000" w:themeColor="text1"/>
          <w:sz w:val="24"/>
          <w:szCs w:val="24"/>
        </w:rPr>
        <w:t xml:space="preserve">s in relation to mortgages that meet certain requirements related to the </w:t>
      </w:r>
      <w:r w:rsidR="00154F6E" w:rsidRPr="00526D87">
        <w:rPr>
          <w:rFonts w:ascii="Times New Roman" w:hAnsi="Times New Roman" w:cs="Times New Roman"/>
          <w:color w:val="000000" w:themeColor="text1"/>
          <w:sz w:val="24"/>
          <w:szCs w:val="24"/>
        </w:rPr>
        <w:t>debtor</w:t>
      </w:r>
      <w:r w:rsidR="004349E9" w:rsidRPr="00526D87">
        <w:rPr>
          <w:rFonts w:ascii="Times New Roman" w:hAnsi="Times New Roman" w:cs="Times New Roman"/>
          <w:color w:val="000000" w:themeColor="text1"/>
          <w:sz w:val="24"/>
          <w:szCs w:val="24"/>
        </w:rPr>
        <w:t xml:space="preserve">'s </w:t>
      </w:r>
      <w:r w:rsidR="00154F6E" w:rsidRPr="00526D87">
        <w:rPr>
          <w:rFonts w:ascii="Times New Roman" w:hAnsi="Times New Roman" w:cs="Times New Roman"/>
          <w:color w:val="000000" w:themeColor="text1"/>
          <w:sz w:val="24"/>
          <w:szCs w:val="24"/>
        </w:rPr>
        <w:t>capacity</w:t>
      </w:r>
      <w:r w:rsidR="004349E9" w:rsidRPr="00526D87">
        <w:rPr>
          <w:rFonts w:ascii="Times New Roman" w:hAnsi="Times New Roman" w:cs="Times New Roman"/>
          <w:color w:val="000000" w:themeColor="text1"/>
          <w:sz w:val="24"/>
          <w:szCs w:val="24"/>
        </w:rPr>
        <w:t xml:space="preserve"> to</w:t>
      </w:r>
      <w:r w:rsidR="00154F6E" w:rsidRPr="00526D87">
        <w:rPr>
          <w:rFonts w:ascii="Times New Roman" w:hAnsi="Times New Roman" w:cs="Times New Roman"/>
          <w:color w:val="000000" w:themeColor="text1"/>
          <w:sz w:val="24"/>
          <w:szCs w:val="24"/>
        </w:rPr>
        <w:t xml:space="preserve"> make payments</w:t>
      </w:r>
      <w:r w:rsidR="004349E9" w:rsidRPr="00526D87">
        <w:rPr>
          <w:rFonts w:ascii="Times New Roman" w:hAnsi="Times New Roman" w:cs="Times New Roman"/>
          <w:color w:val="000000" w:themeColor="text1"/>
          <w:sz w:val="24"/>
          <w:szCs w:val="24"/>
        </w:rPr>
        <w:t xml:space="preserve">; these mortgages </w:t>
      </w:r>
      <w:r w:rsidR="00154F6E" w:rsidRPr="00526D87">
        <w:rPr>
          <w:rFonts w:ascii="Times New Roman" w:hAnsi="Times New Roman" w:cs="Times New Roman"/>
          <w:color w:val="000000" w:themeColor="text1"/>
          <w:sz w:val="24"/>
          <w:szCs w:val="24"/>
        </w:rPr>
        <w:t>defined</w:t>
      </w:r>
      <w:r w:rsidR="004349E9" w:rsidRPr="00526D87">
        <w:rPr>
          <w:rFonts w:ascii="Times New Roman" w:hAnsi="Times New Roman" w:cs="Times New Roman"/>
          <w:color w:val="000000" w:themeColor="text1"/>
          <w:sz w:val="24"/>
          <w:szCs w:val="24"/>
        </w:rPr>
        <w:t xml:space="preserve"> as "qualified mortgages."</w:t>
      </w:r>
    </w:p>
    <w:p w14:paraId="6010FC4C" w14:textId="4ADFD78B" w:rsidR="00C060B0" w:rsidRPr="00526D87" w:rsidRDefault="00D2395A" w:rsidP="00657B7D">
      <w:pPr>
        <w:pStyle w:val="ListParagraph"/>
        <w:numPr>
          <w:ilvl w:val="0"/>
          <w:numId w:val="3"/>
        </w:numPr>
        <w:spacing w:line="360" w:lineRule="auto"/>
        <w:jc w:val="both"/>
        <w:rPr>
          <w:rFonts w:ascii="Times New Roman" w:hAnsi="Times New Roman" w:cs="Times New Roman"/>
          <w:b/>
          <w:bCs/>
          <w:color w:val="000000" w:themeColor="text1"/>
          <w:sz w:val="28"/>
          <w:szCs w:val="28"/>
          <w:shd w:val="clear" w:color="auto" w:fill="FCFCF9"/>
        </w:rPr>
      </w:pPr>
      <w:r w:rsidRPr="00526D87">
        <w:rPr>
          <w:rFonts w:ascii="Times New Roman" w:hAnsi="Times New Roman" w:cs="Times New Roman"/>
          <w:b/>
          <w:bCs/>
          <w:i/>
          <w:iCs/>
          <w:color w:val="000000" w:themeColor="text1"/>
          <w:sz w:val="24"/>
          <w:szCs w:val="24"/>
          <w:shd w:val="clear" w:color="auto" w:fill="FCFCF9"/>
        </w:rPr>
        <w:t>Credit Risk Retention Requirements:</w:t>
      </w:r>
      <w:r w:rsidRPr="00526D87">
        <w:rPr>
          <w:rFonts w:ascii="Times New Roman" w:hAnsi="Times New Roman" w:cs="Times New Roman"/>
          <w:color w:val="000000" w:themeColor="text1"/>
          <w:sz w:val="24"/>
          <w:szCs w:val="24"/>
          <w:shd w:val="clear" w:color="auto" w:fill="FCFCF9"/>
        </w:rPr>
        <w:t xml:space="preserve"> </w:t>
      </w:r>
      <w:r w:rsidR="00C060B0" w:rsidRPr="00526D87">
        <w:rPr>
          <w:rFonts w:ascii="Times New Roman" w:hAnsi="Times New Roman" w:cs="Times New Roman"/>
          <w:color w:val="000000" w:themeColor="text1"/>
          <w:sz w:val="24"/>
          <w:szCs w:val="24"/>
        </w:rPr>
        <w:t xml:space="preserve">The Act mandates that entities engaged in the securitization of mortgages retain a portion, at least </w:t>
      </w:r>
      <w:r w:rsidR="00154F6E" w:rsidRPr="00526D87">
        <w:rPr>
          <w:rFonts w:ascii="Times New Roman" w:hAnsi="Times New Roman" w:cs="Times New Roman"/>
          <w:color w:val="000000" w:themeColor="text1"/>
          <w:sz w:val="24"/>
          <w:szCs w:val="24"/>
        </w:rPr>
        <w:t>five</w:t>
      </w:r>
      <w:r w:rsidR="00C060B0" w:rsidRPr="00526D87">
        <w:rPr>
          <w:rFonts w:ascii="Times New Roman" w:hAnsi="Times New Roman" w:cs="Times New Roman"/>
          <w:color w:val="000000" w:themeColor="text1"/>
          <w:sz w:val="24"/>
          <w:szCs w:val="24"/>
        </w:rPr>
        <w:t xml:space="preserve"> per cent, of the credit risk associated with the securitized mortgages. However, the precise percentage may be subject to variation by federal rulemaking agencies.</w:t>
      </w:r>
    </w:p>
    <w:p w14:paraId="23209B3E" w14:textId="77777777" w:rsidR="00703C29" w:rsidRPr="00526D87" w:rsidRDefault="00D2395A" w:rsidP="006B75A3">
      <w:pPr>
        <w:pStyle w:val="ListParagraph"/>
        <w:numPr>
          <w:ilvl w:val="0"/>
          <w:numId w:val="3"/>
        </w:numPr>
        <w:spacing w:line="360" w:lineRule="auto"/>
        <w:jc w:val="both"/>
        <w:rPr>
          <w:rFonts w:ascii="Times New Roman" w:hAnsi="Times New Roman" w:cs="Times New Roman"/>
          <w:b/>
          <w:bCs/>
          <w:color w:val="000000" w:themeColor="text1"/>
          <w:sz w:val="32"/>
          <w:szCs w:val="32"/>
          <w:shd w:val="clear" w:color="auto" w:fill="FCFCF9"/>
        </w:rPr>
      </w:pPr>
      <w:r w:rsidRPr="00526D87">
        <w:rPr>
          <w:rFonts w:ascii="Times New Roman" w:hAnsi="Times New Roman" w:cs="Times New Roman"/>
          <w:b/>
          <w:bCs/>
          <w:i/>
          <w:iCs/>
          <w:color w:val="000000" w:themeColor="text1"/>
          <w:sz w:val="24"/>
          <w:szCs w:val="24"/>
          <w:shd w:val="clear" w:color="auto" w:fill="FCFCF9"/>
        </w:rPr>
        <w:t>Homeownership Counselling and</w:t>
      </w:r>
      <w:r w:rsidR="004349E9" w:rsidRPr="00526D87">
        <w:rPr>
          <w:rFonts w:ascii="Times New Roman" w:hAnsi="Times New Roman" w:cs="Times New Roman"/>
          <w:b/>
          <w:bCs/>
          <w:i/>
          <w:iCs/>
          <w:color w:val="000000" w:themeColor="text1"/>
          <w:sz w:val="24"/>
          <w:szCs w:val="24"/>
          <w:shd w:val="clear" w:color="auto" w:fill="FCFCF9"/>
        </w:rPr>
        <w:t xml:space="preserve"> </w:t>
      </w:r>
      <w:r w:rsidRPr="00526D87">
        <w:rPr>
          <w:rFonts w:ascii="Times New Roman" w:hAnsi="Times New Roman" w:cs="Times New Roman"/>
          <w:b/>
          <w:bCs/>
          <w:i/>
          <w:iCs/>
          <w:color w:val="000000" w:themeColor="text1"/>
          <w:sz w:val="24"/>
          <w:szCs w:val="24"/>
          <w:shd w:val="clear" w:color="auto" w:fill="FCFCF9"/>
        </w:rPr>
        <w:t>Cos</w:t>
      </w:r>
      <w:r w:rsidR="004349E9" w:rsidRPr="00526D87">
        <w:rPr>
          <w:rFonts w:ascii="Times New Roman" w:hAnsi="Times New Roman" w:cs="Times New Roman"/>
          <w:b/>
          <w:bCs/>
          <w:i/>
          <w:iCs/>
          <w:color w:val="000000" w:themeColor="text1"/>
          <w:sz w:val="24"/>
          <w:szCs w:val="24"/>
          <w:shd w:val="clear" w:color="auto" w:fill="FCFCF9"/>
        </w:rPr>
        <w:t>t-prohibitive Debt Regulations</w:t>
      </w:r>
      <w:r w:rsidRPr="00526D87">
        <w:rPr>
          <w:rFonts w:ascii="Times New Roman" w:hAnsi="Times New Roman" w:cs="Times New Roman"/>
          <w:b/>
          <w:bCs/>
          <w:i/>
          <w:iCs/>
          <w:color w:val="000000" w:themeColor="text1"/>
          <w:sz w:val="24"/>
          <w:szCs w:val="24"/>
          <w:shd w:val="clear" w:color="auto" w:fill="FCFCF9"/>
        </w:rPr>
        <w:t>:</w:t>
      </w:r>
      <w:r w:rsidRPr="00526D87">
        <w:rPr>
          <w:rFonts w:ascii="Times New Roman" w:hAnsi="Times New Roman" w:cs="Times New Roman"/>
          <w:b/>
          <w:bCs/>
          <w:color w:val="000000" w:themeColor="text1"/>
          <w:sz w:val="24"/>
          <w:szCs w:val="24"/>
          <w:shd w:val="clear" w:color="auto" w:fill="FCFCF9"/>
        </w:rPr>
        <w:t xml:space="preserve"> </w:t>
      </w:r>
      <w:r w:rsidR="00703C29" w:rsidRPr="00526D87">
        <w:rPr>
          <w:rFonts w:ascii="Times New Roman" w:hAnsi="Times New Roman" w:cs="Times New Roman"/>
          <w:color w:val="000000" w:themeColor="text1"/>
          <w:sz w:val="24"/>
          <w:szCs w:val="24"/>
        </w:rPr>
        <w:t>The Act's objectives are to strengthen consumer protection and encourage ethical lending practices. It includes provisions pertaining to both homeownership counselling and cost-prohibitive debt management.</w:t>
      </w:r>
    </w:p>
    <w:p w14:paraId="654C1C53" w14:textId="27322746" w:rsidR="00F27EF0" w:rsidRPr="00526D87" w:rsidRDefault="00C060B0" w:rsidP="00703C29">
      <w:pPr>
        <w:spacing w:line="360" w:lineRule="auto"/>
        <w:ind w:left="360"/>
        <w:jc w:val="both"/>
        <w:rPr>
          <w:rFonts w:ascii="Times New Roman" w:hAnsi="Times New Roman" w:cs="Times New Roman"/>
          <w:b/>
          <w:bCs/>
          <w:color w:val="000000" w:themeColor="text1"/>
          <w:sz w:val="32"/>
          <w:szCs w:val="32"/>
          <w:shd w:val="clear" w:color="auto" w:fill="FCFCF9"/>
        </w:rPr>
      </w:pPr>
      <w:r w:rsidRPr="00526D87">
        <w:rPr>
          <w:rFonts w:ascii="Times New Roman" w:hAnsi="Times New Roman" w:cs="Times New Roman"/>
          <w:color w:val="000000" w:themeColor="text1"/>
          <w:sz w:val="24"/>
          <w:szCs w:val="24"/>
        </w:rPr>
        <w:t>These legislative measures were designed to rectify issues that</w:t>
      </w:r>
      <w:r w:rsidR="00154F6E" w:rsidRPr="00526D87">
        <w:rPr>
          <w:rFonts w:ascii="Times New Roman" w:hAnsi="Times New Roman" w:cs="Times New Roman"/>
          <w:color w:val="000000" w:themeColor="text1"/>
          <w:sz w:val="24"/>
          <w:szCs w:val="24"/>
        </w:rPr>
        <w:t xml:space="preserve"> prompted</w:t>
      </w:r>
      <w:r w:rsidRPr="00526D87">
        <w:rPr>
          <w:rFonts w:ascii="Times New Roman" w:hAnsi="Times New Roman" w:cs="Times New Roman"/>
          <w:color w:val="000000" w:themeColor="text1"/>
          <w:sz w:val="24"/>
          <w:szCs w:val="24"/>
        </w:rPr>
        <w:t xml:space="preserve"> to the </w:t>
      </w:r>
      <w:r w:rsidR="00154F6E" w:rsidRPr="00526D87">
        <w:rPr>
          <w:rFonts w:ascii="Times New Roman" w:hAnsi="Times New Roman" w:cs="Times New Roman"/>
          <w:color w:val="000000" w:themeColor="text1"/>
          <w:sz w:val="24"/>
          <w:szCs w:val="24"/>
        </w:rPr>
        <w:t>economic downturn</w:t>
      </w:r>
      <w:r w:rsidRPr="00526D87">
        <w:rPr>
          <w:rFonts w:ascii="Times New Roman" w:hAnsi="Times New Roman" w:cs="Times New Roman"/>
          <w:color w:val="000000" w:themeColor="text1"/>
          <w:sz w:val="24"/>
          <w:szCs w:val="24"/>
        </w:rPr>
        <w:t xml:space="preserve">, including imprudent lending practices and the securitization of precarious </w:t>
      </w:r>
      <w:r w:rsidRPr="00526D87">
        <w:rPr>
          <w:rFonts w:ascii="Times New Roman" w:hAnsi="Times New Roman" w:cs="Times New Roman"/>
          <w:color w:val="000000" w:themeColor="text1"/>
          <w:sz w:val="24"/>
          <w:szCs w:val="24"/>
        </w:rPr>
        <w:lastRenderedPageBreak/>
        <w:t>mortgages. By establishing rigorous lending standards and endorsing responsible lending practices, the Dodd-Frank Act aspired to instil stability and enhance consumer protection within the mortgage market</w:t>
      </w:r>
      <w:r w:rsidR="00D2395A" w:rsidRPr="00526D87">
        <w:rPr>
          <w:rFonts w:ascii="Times New Roman" w:hAnsi="Times New Roman" w:cs="Times New Roman"/>
          <w:color w:val="000000" w:themeColor="text1"/>
          <w:sz w:val="28"/>
          <w:szCs w:val="28"/>
          <w:shd w:val="clear" w:color="auto" w:fill="FCFCF9"/>
        </w:rPr>
        <w:t xml:space="preserve"> </w:t>
      </w:r>
      <w:sdt>
        <w:sdtPr>
          <w:rPr>
            <w:rFonts w:ascii="Times New Roman" w:hAnsi="Times New Roman" w:cs="Times New Roman"/>
            <w:color w:val="000000" w:themeColor="text1"/>
            <w:shd w:val="clear" w:color="auto" w:fill="FCFCF9"/>
          </w:rPr>
          <w:id w:val="-380327946"/>
          <w:citation/>
        </w:sdtPr>
        <w:sdtContent>
          <w:r w:rsidR="00D2395A" w:rsidRPr="00526D87">
            <w:rPr>
              <w:rFonts w:ascii="Times New Roman" w:hAnsi="Times New Roman" w:cs="Times New Roman"/>
              <w:color w:val="000000" w:themeColor="text1"/>
              <w:sz w:val="24"/>
              <w:szCs w:val="24"/>
              <w:shd w:val="clear" w:color="auto" w:fill="FCFCF9"/>
            </w:rPr>
            <w:fldChar w:fldCharType="begin"/>
          </w:r>
          <w:r w:rsidR="00D2395A" w:rsidRPr="00526D87">
            <w:rPr>
              <w:rFonts w:ascii="Times New Roman" w:hAnsi="Times New Roman" w:cs="Times New Roman"/>
              <w:color w:val="000000" w:themeColor="text1"/>
              <w:sz w:val="24"/>
              <w:szCs w:val="24"/>
              <w:shd w:val="clear" w:color="auto" w:fill="FCFCF9"/>
            </w:rPr>
            <w:instrText xml:space="preserve">CITATION Uni11 \l 2057 </w:instrText>
          </w:r>
          <w:r w:rsidR="00D2395A" w:rsidRPr="00526D87">
            <w:rPr>
              <w:rFonts w:ascii="Times New Roman" w:hAnsi="Times New Roman" w:cs="Times New Roman"/>
              <w:color w:val="000000" w:themeColor="text1"/>
              <w:sz w:val="24"/>
              <w:szCs w:val="24"/>
              <w:shd w:val="clear" w:color="auto" w:fill="FCFCF9"/>
            </w:rPr>
            <w:fldChar w:fldCharType="separate"/>
          </w:r>
          <w:r w:rsidR="00BF15CE" w:rsidRPr="00526D87">
            <w:rPr>
              <w:rFonts w:ascii="Times New Roman" w:hAnsi="Times New Roman" w:cs="Times New Roman"/>
              <w:noProof/>
              <w:color w:val="000000" w:themeColor="text1"/>
              <w:sz w:val="24"/>
              <w:szCs w:val="24"/>
              <w:shd w:val="clear" w:color="auto" w:fill="FCFCF9"/>
            </w:rPr>
            <w:t>(U.S. Government Accountability Office, 2011)</w:t>
          </w:r>
          <w:r w:rsidR="00D2395A" w:rsidRPr="00526D87">
            <w:rPr>
              <w:rFonts w:ascii="Times New Roman" w:hAnsi="Times New Roman" w:cs="Times New Roman"/>
              <w:color w:val="000000" w:themeColor="text1"/>
              <w:sz w:val="24"/>
              <w:szCs w:val="24"/>
              <w:shd w:val="clear" w:color="auto" w:fill="FCFCF9"/>
            </w:rPr>
            <w:fldChar w:fldCharType="end"/>
          </w:r>
        </w:sdtContent>
      </w:sdt>
    </w:p>
    <w:p w14:paraId="08C8771E" w14:textId="6E773A0B" w:rsidR="00506D9E" w:rsidRPr="00526D87" w:rsidRDefault="00762D7C" w:rsidP="0013494B">
      <w:pPr>
        <w:pStyle w:val="Heading1"/>
        <w:rPr>
          <w:color w:val="000000" w:themeColor="text1"/>
        </w:rPr>
      </w:pPr>
      <w:bookmarkStart w:id="2" w:name="_Toc155313184"/>
      <w:r w:rsidRPr="00526D87">
        <w:rPr>
          <w:color w:val="000000" w:themeColor="text1"/>
        </w:rPr>
        <w:t>European Union’s</w:t>
      </w:r>
      <w:r w:rsidR="00871B37" w:rsidRPr="00526D87">
        <w:rPr>
          <w:color w:val="000000" w:themeColor="text1"/>
        </w:rPr>
        <w:t xml:space="preserve"> (EU)</w:t>
      </w:r>
      <w:r w:rsidRPr="00526D87">
        <w:rPr>
          <w:color w:val="000000" w:themeColor="text1"/>
        </w:rPr>
        <w:t xml:space="preserve"> Regulatory Response to Stabilise its Financial System after Global Financial Crises 2008.</w:t>
      </w:r>
      <w:bookmarkEnd w:id="2"/>
    </w:p>
    <w:p w14:paraId="362A4266" w14:textId="7FFEF167" w:rsidR="00290A69" w:rsidRPr="00526D87" w:rsidRDefault="00CC2225"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Following the economic collapse of 2008</w:t>
      </w:r>
      <w:r w:rsidR="00703C29" w:rsidRPr="00526D87">
        <w:rPr>
          <w:rFonts w:ascii="Times New Roman" w:hAnsi="Times New Roman" w:cs="Times New Roman"/>
          <w:color w:val="000000" w:themeColor="text1"/>
          <w:sz w:val="24"/>
          <w:szCs w:val="24"/>
        </w:rPr>
        <w:t>, the E</w:t>
      </w:r>
      <w:r w:rsidRPr="00526D87">
        <w:rPr>
          <w:rFonts w:ascii="Times New Roman" w:hAnsi="Times New Roman" w:cs="Times New Roman"/>
          <w:color w:val="000000" w:themeColor="text1"/>
          <w:sz w:val="24"/>
          <w:szCs w:val="24"/>
        </w:rPr>
        <w:t>U</w:t>
      </w:r>
      <w:r w:rsidR="00703C29" w:rsidRPr="00526D87">
        <w:rPr>
          <w:rFonts w:ascii="Times New Roman" w:hAnsi="Times New Roman" w:cs="Times New Roman"/>
          <w:color w:val="000000" w:themeColor="text1"/>
          <w:sz w:val="24"/>
          <w:szCs w:val="24"/>
        </w:rPr>
        <w:t xml:space="preserve"> </w:t>
      </w:r>
      <w:r w:rsidRPr="00526D87">
        <w:rPr>
          <w:rFonts w:ascii="Times New Roman" w:hAnsi="Times New Roman" w:cs="Times New Roman"/>
          <w:color w:val="000000" w:themeColor="text1"/>
          <w:sz w:val="24"/>
          <w:szCs w:val="24"/>
        </w:rPr>
        <w:t>assumed an essential position as an international leader</w:t>
      </w:r>
      <w:r w:rsidR="00703C29" w:rsidRPr="00526D87">
        <w:rPr>
          <w:rFonts w:ascii="Times New Roman" w:hAnsi="Times New Roman" w:cs="Times New Roman"/>
          <w:color w:val="000000" w:themeColor="text1"/>
          <w:sz w:val="24"/>
          <w:szCs w:val="24"/>
        </w:rPr>
        <w:t>. To tackle the shortcomings in its financial system, the European Union (EU) put in place a wide range of legislative, regulatory, and contractual measures. The EU's comprehensive reforms played a pivotal role in bringing stability back to the banking industry in the area. Furthermore, they wielded substantial influence over the global financial regulatory discourse and played a pivotal role in reshaping the international economic landscape</w:t>
      </w:r>
      <w:r w:rsidR="009821C8" w:rsidRPr="00526D87">
        <w:rPr>
          <w:rFonts w:ascii="Times New Roman" w:hAnsi="Times New Roman" w:cs="Times New Roman"/>
          <w:color w:val="000000" w:themeColor="text1"/>
          <w:sz w:val="24"/>
          <w:szCs w:val="24"/>
        </w:rPr>
        <w:t>. The principal legal and regulatory measures instituted by the EU in the aftermath of the 2008 financial crisis include:</w:t>
      </w:r>
    </w:p>
    <w:p w14:paraId="65A4B1CB" w14:textId="2642B0A5" w:rsidR="00923362" w:rsidRPr="00526D87" w:rsidRDefault="00923362" w:rsidP="00D108C9">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Banking Union (BU)</w:t>
      </w:r>
      <w:r w:rsidR="00C31EA0" w:rsidRPr="00526D87">
        <w:rPr>
          <w:rFonts w:ascii="Times New Roman" w:hAnsi="Times New Roman" w:cs="Times New Roman"/>
          <w:b/>
          <w:bCs/>
          <w:i/>
          <w:iCs/>
          <w:color w:val="000000" w:themeColor="text1"/>
          <w:sz w:val="24"/>
          <w:szCs w:val="24"/>
        </w:rPr>
        <w:t>:</w:t>
      </w:r>
    </w:p>
    <w:p w14:paraId="75B60825" w14:textId="300F32B3" w:rsidR="001114FE" w:rsidRPr="00526D87" w:rsidRDefault="001114FE" w:rsidP="00D108C9">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noProof/>
          <w:color w:val="000000" w:themeColor="text1"/>
        </w:rPr>
        <w:drawing>
          <wp:inline distT="0" distB="0" distL="0" distR="0" wp14:anchorId="381A51AE" wp14:editId="3F70FF5A">
            <wp:extent cx="5731510" cy="2453640"/>
            <wp:effectExtent l="0" t="0" r="2540" b="3810"/>
            <wp:docPr id="220926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53640"/>
                    </a:xfrm>
                    <a:prstGeom prst="rect">
                      <a:avLst/>
                    </a:prstGeom>
                    <a:noFill/>
                    <a:ln>
                      <a:noFill/>
                    </a:ln>
                  </pic:spPr>
                </pic:pic>
              </a:graphicData>
            </a:graphic>
          </wp:inline>
        </w:drawing>
      </w:r>
    </w:p>
    <w:p w14:paraId="3078E6C3" w14:textId="7AA870F4" w:rsidR="000D4148" w:rsidRPr="00526D87" w:rsidRDefault="000D4148" w:rsidP="000D4148">
      <w:pPr>
        <w:pStyle w:val="Caption"/>
        <w:jc w:val="center"/>
        <w:rPr>
          <w:rFonts w:ascii="Times New Roman" w:hAnsi="Times New Roman" w:cs="Times New Roman"/>
          <w:color w:val="000000" w:themeColor="text1"/>
          <w:sz w:val="20"/>
          <w:szCs w:val="20"/>
        </w:rPr>
      </w:pPr>
      <w:bookmarkStart w:id="3" w:name="_Toc155301635"/>
      <w:r w:rsidRPr="00526D87">
        <w:rPr>
          <w:rFonts w:ascii="Times New Roman" w:hAnsi="Times New Roman" w:cs="Times New Roman"/>
          <w:color w:val="000000" w:themeColor="text1"/>
          <w:sz w:val="20"/>
          <w:szCs w:val="20"/>
        </w:rPr>
        <w:t xml:space="preserve">Figure </w:t>
      </w:r>
      <w:r w:rsidRPr="00526D87">
        <w:rPr>
          <w:rFonts w:ascii="Times New Roman" w:hAnsi="Times New Roman" w:cs="Times New Roman"/>
          <w:color w:val="000000" w:themeColor="text1"/>
          <w:sz w:val="20"/>
          <w:szCs w:val="20"/>
        </w:rPr>
        <w:fldChar w:fldCharType="begin"/>
      </w:r>
      <w:r w:rsidRPr="00526D87">
        <w:rPr>
          <w:rFonts w:ascii="Times New Roman" w:hAnsi="Times New Roman" w:cs="Times New Roman"/>
          <w:color w:val="000000" w:themeColor="text1"/>
          <w:sz w:val="20"/>
          <w:szCs w:val="20"/>
        </w:rPr>
        <w:instrText xml:space="preserve"> SEQ Figure \* ARABIC </w:instrText>
      </w:r>
      <w:r w:rsidRPr="00526D87">
        <w:rPr>
          <w:rFonts w:ascii="Times New Roman" w:hAnsi="Times New Roman" w:cs="Times New Roman"/>
          <w:color w:val="000000" w:themeColor="text1"/>
          <w:sz w:val="20"/>
          <w:szCs w:val="20"/>
        </w:rPr>
        <w:fldChar w:fldCharType="separate"/>
      </w:r>
      <w:r w:rsidRPr="00526D87">
        <w:rPr>
          <w:rFonts w:ascii="Times New Roman" w:hAnsi="Times New Roman" w:cs="Times New Roman"/>
          <w:noProof/>
          <w:color w:val="000000" w:themeColor="text1"/>
          <w:sz w:val="20"/>
          <w:szCs w:val="20"/>
        </w:rPr>
        <w:t>1</w:t>
      </w:r>
      <w:r w:rsidRPr="00526D87">
        <w:rPr>
          <w:rFonts w:ascii="Times New Roman" w:hAnsi="Times New Roman" w:cs="Times New Roman"/>
          <w:color w:val="000000" w:themeColor="text1"/>
          <w:sz w:val="20"/>
          <w:szCs w:val="20"/>
        </w:rPr>
        <w:fldChar w:fldCharType="end"/>
      </w:r>
      <w:r w:rsidRPr="00526D87">
        <w:rPr>
          <w:rFonts w:ascii="Times New Roman" w:hAnsi="Times New Roman" w:cs="Times New Roman"/>
          <w:color w:val="000000" w:themeColor="text1"/>
          <w:sz w:val="20"/>
          <w:szCs w:val="20"/>
        </w:rPr>
        <w:t>: Three Pillars of Banking Union</w:t>
      </w:r>
      <w:bookmarkEnd w:id="3"/>
    </w:p>
    <w:p w14:paraId="5B80D69A" w14:textId="561001CB" w:rsidR="001114FE" w:rsidRPr="00526D87" w:rsidRDefault="001114FE" w:rsidP="000D4148">
      <w:pPr>
        <w:spacing w:line="360" w:lineRule="auto"/>
        <w:ind w:left="2880" w:firstLine="720"/>
        <w:rPr>
          <w:rFonts w:ascii="Times New Roman" w:hAnsi="Times New Roman" w:cs="Times New Roman"/>
          <w:color w:val="000000" w:themeColor="text1"/>
          <w:sz w:val="20"/>
          <w:szCs w:val="20"/>
        </w:rPr>
      </w:pPr>
      <w:r w:rsidRPr="00526D87">
        <w:rPr>
          <w:rFonts w:ascii="Times New Roman" w:hAnsi="Times New Roman" w:cs="Times New Roman"/>
          <w:color w:val="000000" w:themeColor="text1"/>
          <w:sz w:val="20"/>
          <w:szCs w:val="20"/>
        </w:rPr>
        <w:t>Source:</w:t>
      </w:r>
      <w:sdt>
        <w:sdtPr>
          <w:rPr>
            <w:rFonts w:ascii="Times New Roman" w:hAnsi="Times New Roman" w:cs="Times New Roman"/>
            <w:color w:val="000000" w:themeColor="text1"/>
            <w:sz w:val="20"/>
            <w:szCs w:val="20"/>
          </w:rPr>
          <w:id w:val="1495302913"/>
          <w:citation/>
        </w:sdtPr>
        <w:sdtContent>
          <w:r w:rsidRPr="00526D87">
            <w:rPr>
              <w:rFonts w:ascii="Times New Roman" w:hAnsi="Times New Roman" w:cs="Times New Roman"/>
              <w:color w:val="000000" w:themeColor="text1"/>
              <w:sz w:val="20"/>
              <w:szCs w:val="20"/>
            </w:rPr>
            <w:fldChar w:fldCharType="begin"/>
          </w:r>
          <w:r w:rsidRPr="00526D87">
            <w:rPr>
              <w:rFonts w:ascii="Times New Roman" w:hAnsi="Times New Roman" w:cs="Times New Roman"/>
              <w:color w:val="000000" w:themeColor="text1"/>
              <w:sz w:val="20"/>
              <w:szCs w:val="20"/>
              <w:lang w:val="en-US"/>
            </w:rPr>
            <w:instrText xml:space="preserve"> CITATION ECA20 \l 1033 </w:instrText>
          </w:r>
          <w:r w:rsidRPr="00526D87">
            <w:rPr>
              <w:rFonts w:ascii="Times New Roman" w:hAnsi="Times New Roman" w:cs="Times New Roman"/>
              <w:color w:val="000000" w:themeColor="text1"/>
              <w:sz w:val="20"/>
              <w:szCs w:val="20"/>
            </w:rPr>
            <w:fldChar w:fldCharType="separate"/>
          </w:r>
          <w:r w:rsidR="00BF15CE" w:rsidRPr="00526D87">
            <w:rPr>
              <w:rFonts w:ascii="Times New Roman" w:hAnsi="Times New Roman" w:cs="Times New Roman"/>
              <w:noProof/>
              <w:color w:val="000000" w:themeColor="text1"/>
              <w:sz w:val="20"/>
              <w:szCs w:val="20"/>
              <w:lang w:val="en-US"/>
            </w:rPr>
            <w:t xml:space="preserve"> (ECA, 2020)</w:t>
          </w:r>
          <w:r w:rsidRPr="00526D87">
            <w:rPr>
              <w:rFonts w:ascii="Times New Roman" w:hAnsi="Times New Roman" w:cs="Times New Roman"/>
              <w:color w:val="000000" w:themeColor="text1"/>
              <w:sz w:val="20"/>
              <w:szCs w:val="20"/>
            </w:rPr>
            <w:fldChar w:fldCharType="end"/>
          </w:r>
        </w:sdtContent>
      </w:sdt>
    </w:p>
    <w:p w14:paraId="77C3C440" w14:textId="6DCD6774" w:rsidR="00543081" w:rsidRPr="00526D87" w:rsidRDefault="00543081"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As per the European Court of Auditors (ECA) in 2020, the primary objective of the Banking Union is to ascertain the resilience of banks, ensuring their ability to withstand potential future financial crises. This goal aims to prevent scenarios wherein public funds, specifically taxpayers' money, are utilized to rescue failing banks. Additionally, the BU seeks to diminish market fragmentation by harmonizing regulatory frameworks within the financial sector. The </w:t>
      </w:r>
      <w:r w:rsidRPr="00526D87">
        <w:rPr>
          <w:rFonts w:ascii="Times New Roman" w:hAnsi="Times New Roman" w:cs="Times New Roman"/>
          <w:color w:val="000000" w:themeColor="text1"/>
          <w:sz w:val="24"/>
          <w:szCs w:val="24"/>
        </w:rPr>
        <w:lastRenderedPageBreak/>
        <w:t xml:space="preserve">overarching aim is to fortify financial stability not only in the eurozone but also across the entirety of the European Union. The Banking Union comprises three fundamental </w:t>
      </w:r>
      <w:r w:rsidR="0071548F" w:rsidRPr="00526D87">
        <w:rPr>
          <w:rFonts w:ascii="Times New Roman" w:hAnsi="Times New Roman" w:cs="Times New Roman"/>
          <w:color w:val="000000" w:themeColor="text1"/>
          <w:sz w:val="24"/>
          <w:szCs w:val="24"/>
        </w:rPr>
        <w:t>elements</w:t>
      </w:r>
      <w:r w:rsidRPr="00526D87">
        <w:rPr>
          <w:rFonts w:ascii="Times New Roman" w:hAnsi="Times New Roman" w:cs="Times New Roman"/>
          <w:color w:val="000000" w:themeColor="text1"/>
          <w:sz w:val="24"/>
          <w:szCs w:val="24"/>
        </w:rPr>
        <w:t>: the Single Supervisory Mechanism, tasked with centralized banking supervision; the Single Resolution Mechanism, designed to facilitate the orderly resolution of failing banks; and the European Deposit Insurance Scheme, aimed at establishing a harmonized system for deposit insurance across the EU.</w:t>
      </w:r>
    </w:p>
    <w:p w14:paraId="5989EC84" w14:textId="1165513C" w:rsidR="006162B3" w:rsidRPr="00526D87" w:rsidRDefault="006162B3"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b/>
          <w:bCs/>
          <w:color w:val="000000" w:themeColor="text1"/>
          <w:sz w:val="24"/>
          <w:szCs w:val="24"/>
        </w:rPr>
        <w:t>Single Supervisory Mechanism:</w:t>
      </w:r>
      <w:r w:rsidRPr="00526D87">
        <w:rPr>
          <w:rFonts w:ascii="Times New Roman" w:hAnsi="Times New Roman" w:cs="Times New Roman"/>
          <w:color w:val="000000" w:themeColor="text1"/>
          <w:sz w:val="24"/>
          <w:szCs w:val="24"/>
        </w:rPr>
        <w:t xml:space="preserve"> </w:t>
      </w:r>
      <w:r w:rsidR="00543081" w:rsidRPr="00526D87">
        <w:rPr>
          <w:rFonts w:ascii="Times New Roman" w:hAnsi="Times New Roman" w:cs="Times New Roman"/>
          <w:color w:val="000000" w:themeColor="text1"/>
          <w:sz w:val="24"/>
          <w:szCs w:val="24"/>
        </w:rPr>
        <w:t>As part of the EU's Banking Union, the Single Supervisory Mechanism is the supranational bank supervisory body with the goals of enhancing financial integration, guaranteeing uniform supervision, and ensuring the stability and security of Europe's financial sector</w:t>
      </w:r>
      <w:sdt>
        <w:sdtPr>
          <w:rPr>
            <w:rFonts w:ascii="Times New Roman" w:hAnsi="Times New Roman" w:cs="Times New Roman"/>
            <w:color w:val="000000" w:themeColor="text1"/>
            <w:sz w:val="24"/>
            <w:szCs w:val="24"/>
          </w:rPr>
          <w:id w:val="358485742"/>
          <w:citation/>
        </w:sdtPr>
        <w:sdtContent>
          <w:r w:rsidRPr="00526D87">
            <w:rPr>
              <w:rFonts w:ascii="Times New Roman" w:hAnsi="Times New Roman" w:cs="Times New Roman"/>
              <w:color w:val="000000" w:themeColor="text1"/>
              <w:sz w:val="24"/>
              <w:szCs w:val="24"/>
            </w:rPr>
            <w:fldChar w:fldCharType="begin"/>
          </w:r>
          <w:r w:rsidRPr="00526D87">
            <w:rPr>
              <w:rFonts w:ascii="Times New Roman" w:hAnsi="Times New Roman" w:cs="Times New Roman"/>
              <w:color w:val="000000" w:themeColor="text1"/>
              <w:sz w:val="24"/>
              <w:szCs w:val="24"/>
              <w:lang w:val="en-US"/>
            </w:rPr>
            <w:instrText xml:space="preserve"> CITATION ECA20 \l 1033 </w:instrText>
          </w:r>
          <w:r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 xml:space="preserve"> (ECA, 2020)</w:t>
          </w:r>
          <w:r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r w:rsidR="0071548F" w:rsidRPr="00526D87">
        <w:rPr>
          <w:rFonts w:ascii="Times New Roman" w:hAnsi="Times New Roman" w:cs="Times New Roman"/>
          <w:color w:val="000000" w:themeColor="text1"/>
          <w:sz w:val="24"/>
          <w:szCs w:val="24"/>
        </w:rPr>
        <w:t xml:space="preserve"> It is an integral step towards wider economic convergence and banking managing standardisation throughout the Eurozone.</w:t>
      </w:r>
    </w:p>
    <w:p w14:paraId="5786448E" w14:textId="3C8E9C6C" w:rsidR="00D15493" w:rsidRPr="00526D87" w:rsidRDefault="00854DD6"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b/>
          <w:bCs/>
          <w:color w:val="000000" w:themeColor="text1"/>
          <w:sz w:val="24"/>
          <w:szCs w:val="24"/>
        </w:rPr>
        <w:t xml:space="preserve">Single Resolution Mechanism: </w:t>
      </w:r>
      <w:r w:rsidR="00D84A72" w:rsidRPr="00526D87">
        <w:rPr>
          <w:rFonts w:ascii="Times New Roman" w:hAnsi="Times New Roman" w:cs="Times New Roman"/>
          <w:color w:val="000000" w:themeColor="text1"/>
          <w:sz w:val="24"/>
          <w:szCs w:val="24"/>
        </w:rPr>
        <w:t>A key element of the EU's Banking Union is the Single Resolution Mechanism, which aims to resolve failing banks at the lowest possible cost to the economy and taxpayers. It consists of the Single Resolution Fund, the Single Resolution Board, and national resolution agencies. The main body in charge of winding up all banks monitored by the ECB is the SRB. The SRM works to safeguard taxpayers and financial stability by anticipating and managing bank failures. Resolution costs are paid for by the banking industry-funded Single Resolution Fund. It is a significant step towards an entirely unified European Union for banking services, which went online on January 1, 2016.</w:t>
      </w:r>
      <w:sdt>
        <w:sdtPr>
          <w:rPr>
            <w:rFonts w:ascii="Times New Roman" w:hAnsi="Times New Roman" w:cs="Times New Roman"/>
            <w:color w:val="000000" w:themeColor="text1"/>
            <w:sz w:val="24"/>
            <w:szCs w:val="24"/>
          </w:rPr>
          <w:id w:val="-1281479897"/>
          <w:citation/>
        </w:sdtPr>
        <w:sdtContent>
          <w:r w:rsidRPr="00526D87">
            <w:rPr>
              <w:rFonts w:ascii="Times New Roman" w:hAnsi="Times New Roman" w:cs="Times New Roman"/>
              <w:color w:val="000000" w:themeColor="text1"/>
              <w:sz w:val="24"/>
              <w:szCs w:val="24"/>
            </w:rPr>
            <w:fldChar w:fldCharType="begin"/>
          </w:r>
          <w:r w:rsidRPr="00526D87">
            <w:rPr>
              <w:rFonts w:ascii="Times New Roman" w:hAnsi="Times New Roman" w:cs="Times New Roman"/>
              <w:color w:val="000000" w:themeColor="text1"/>
              <w:sz w:val="24"/>
              <w:szCs w:val="24"/>
              <w:lang w:val="en-US"/>
            </w:rPr>
            <w:instrText xml:space="preserve"> CITATION ECA20 \l 1033 </w:instrText>
          </w:r>
          <w:r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 xml:space="preserve"> (ECA, 2020)</w:t>
          </w:r>
          <w:r w:rsidRPr="00526D87">
            <w:rPr>
              <w:rFonts w:ascii="Times New Roman" w:hAnsi="Times New Roman" w:cs="Times New Roman"/>
              <w:color w:val="000000" w:themeColor="text1"/>
              <w:sz w:val="24"/>
              <w:szCs w:val="24"/>
            </w:rPr>
            <w:fldChar w:fldCharType="end"/>
          </w:r>
        </w:sdtContent>
      </w:sdt>
      <w:r w:rsidR="004C5B8B" w:rsidRPr="00526D87">
        <w:rPr>
          <w:rFonts w:ascii="Times New Roman" w:hAnsi="Times New Roman" w:cs="Times New Roman"/>
          <w:color w:val="000000" w:themeColor="text1"/>
          <w:sz w:val="24"/>
          <w:szCs w:val="24"/>
        </w:rPr>
        <w:t>.</w:t>
      </w:r>
    </w:p>
    <w:p w14:paraId="4129EAFF" w14:textId="28B3E6ED" w:rsidR="004C5B8B" w:rsidRPr="00526D87" w:rsidRDefault="004C5B8B" w:rsidP="00D108C9">
      <w:pPr>
        <w:spacing w:line="360" w:lineRule="auto"/>
        <w:jc w:val="both"/>
        <w:rPr>
          <w:rFonts w:ascii="Times New Roman" w:hAnsi="Times New Roman" w:cs="Times New Roman"/>
          <w:b/>
          <w:bCs/>
          <w:color w:val="000000" w:themeColor="text1"/>
          <w:sz w:val="24"/>
          <w:szCs w:val="24"/>
        </w:rPr>
      </w:pPr>
      <w:r w:rsidRPr="00526D87">
        <w:rPr>
          <w:rFonts w:ascii="Times New Roman" w:hAnsi="Times New Roman" w:cs="Times New Roman"/>
          <w:b/>
          <w:bCs/>
          <w:color w:val="000000" w:themeColor="text1"/>
          <w:sz w:val="24"/>
          <w:szCs w:val="24"/>
        </w:rPr>
        <w:t>European Deposit Insurance Scheme (EDIS):</w:t>
      </w:r>
    </w:p>
    <w:p w14:paraId="783BFC96" w14:textId="732461BC" w:rsidR="00EC4BBB" w:rsidRPr="00526D87" w:rsidRDefault="004C5B8B"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The European Deposit Insurance programme is a programme that has been proposed to cover retail deposits in the banking union. It is the third </w:t>
      </w:r>
      <w:r w:rsidR="00D84A72" w:rsidRPr="00526D87">
        <w:rPr>
          <w:rFonts w:ascii="Times New Roman" w:hAnsi="Times New Roman" w:cs="Times New Roman"/>
          <w:color w:val="000000" w:themeColor="text1"/>
          <w:sz w:val="24"/>
          <w:szCs w:val="24"/>
        </w:rPr>
        <w:t>element</w:t>
      </w:r>
      <w:r w:rsidRPr="00526D87">
        <w:rPr>
          <w:rFonts w:ascii="Times New Roman" w:hAnsi="Times New Roman" w:cs="Times New Roman"/>
          <w:color w:val="000000" w:themeColor="text1"/>
          <w:sz w:val="24"/>
          <w:szCs w:val="24"/>
        </w:rPr>
        <w:t xml:space="preserve"> of banking unity and is intended to </w:t>
      </w:r>
      <w:r w:rsidR="00D84A72" w:rsidRPr="00526D87">
        <w:rPr>
          <w:rFonts w:ascii="Times New Roman" w:hAnsi="Times New Roman" w:cs="Times New Roman"/>
          <w:color w:val="000000" w:themeColor="text1"/>
          <w:sz w:val="24"/>
          <w:szCs w:val="24"/>
        </w:rPr>
        <w:t>offer a more robust and consistent degree of insurance</w:t>
      </w:r>
      <w:r w:rsidRPr="00526D87">
        <w:rPr>
          <w:rFonts w:ascii="Times New Roman" w:hAnsi="Times New Roman" w:cs="Times New Roman"/>
          <w:color w:val="000000" w:themeColor="text1"/>
          <w:sz w:val="24"/>
          <w:szCs w:val="24"/>
        </w:rPr>
        <w:t xml:space="preserve"> coverage within the eurozone</w:t>
      </w:r>
      <w:sdt>
        <w:sdtPr>
          <w:rPr>
            <w:rFonts w:ascii="Times New Roman" w:hAnsi="Times New Roman" w:cs="Times New Roman"/>
            <w:color w:val="000000" w:themeColor="text1"/>
            <w:sz w:val="24"/>
            <w:szCs w:val="24"/>
          </w:rPr>
          <w:id w:val="1010796693"/>
          <w:citation/>
        </w:sdtPr>
        <w:sdtContent>
          <w:r w:rsidRPr="00526D87">
            <w:rPr>
              <w:rFonts w:ascii="Times New Roman" w:hAnsi="Times New Roman" w:cs="Times New Roman"/>
              <w:color w:val="000000" w:themeColor="text1"/>
              <w:sz w:val="24"/>
              <w:szCs w:val="24"/>
            </w:rPr>
            <w:fldChar w:fldCharType="begin"/>
          </w:r>
          <w:r w:rsidRPr="00526D87">
            <w:rPr>
              <w:rFonts w:ascii="Times New Roman" w:hAnsi="Times New Roman" w:cs="Times New Roman"/>
              <w:color w:val="000000" w:themeColor="text1"/>
              <w:sz w:val="24"/>
              <w:szCs w:val="24"/>
              <w:lang w:val="en-US"/>
            </w:rPr>
            <w:instrText xml:space="preserve"> CITATION ECA20 \l 1033 </w:instrText>
          </w:r>
          <w:r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lang w:val="en-US"/>
            </w:rPr>
            <w:t xml:space="preserve"> (ECA, 2020)</w:t>
          </w:r>
          <w:r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p>
    <w:p w14:paraId="1F0A5827" w14:textId="041915CF" w:rsidR="005D224C" w:rsidRPr="00526D87" w:rsidRDefault="005D224C" w:rsidP="00D108C9">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European System of Financial Supervision (ESFS)</w:t>
      </w:r>
    </w:p>
    <w:p w14:paraId="3371BF37" w14:textId="3B38CABF" w:rsidR="00BB26A4" w:rsidRPr="00526D87" w:rsidRDefault="00AA5453"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According to ECA (2020), </w:t>
      </w:r>
      <w:r w:rsidR="00FE6B89" w:rsidRPr="00526D87">
        <w:rPr>
          <w:rFonts w:ascii="Times New Roman" w:hAnsi="Times New Roman" w:cs="Times New Roman"/>
          <w:color w:val="000000" w:themeColor="text1"/>
          <w:sz w:val="24"/>
          <w:szCs w:val="24"/>
        </w:rPr>
        <w:t>The European Union developed the European System of Financial Supervision in 2010 as a revolutionary supervisory system in response to the crisis. The ESFS is a multi-tiered framework that includes both micro and macroprudential institutions, with the overriding purpose of maintaining uniform and coherent financial supervision throughout the EU. Its components include the European Systemic Risk Board, the European Supervisory Authorities, national and supervisory competent entities, and the Joint Committee of the ESAs.</w:t>
      </w:r>
    </w:p>
    <w:p w14:paraId="76700631" w14:textId="77777777" w:rsidR="00FE6B89" w:rsidRPr="00526D87" w:rsidRDefault="00FE6B89" w:rsidP="00FE6B8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lastRenderedPageBreak/>
        <w:t>The ESRB is responsible for systemic risk, which refers to issues inside the financial system that have significant ramifications for the EU's economy and the operation of its internal market. The European Systemic Risk Committee is entrusted with identifying and suggesting mitigation or reduction actions for such risks. Its responsibilities include identifying and prioritising risks, issuing warnings and recommendations, tracking how governments and national authorities address these concerns, providing opinions on the appropriateness of macroprudential policy measures, and initiating and coordinating EU-wide stress tests in collaboration with the European Securities and Markets Authority.</w:t>
      </w:r>
    </w:p>
    <w:p w14:paraId="3330EE0C" w14:textId="09E961AF" w:rsidR="00FE6B89" w:rsidRPr="00526D87" w:rsidRDefault="00FE6B89" w:rsidP="00FE6B8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The European Banking Authority, the European Insurance and Occupational Pensions Authority, and the European Securities and Markets Authority are the three ESAs that were founded in 2011. This entity's primary duty is to guarantee that rules are consistently applied by EU national competent authorities and to assist with the European Parliament's work on supplemental legislation for securities laws.</w:t>
      </w:r>
    </w:p>
    <w:p w14:paraId="01744218" w14:textId="0950A8FF" w:rsidR="00DE0022" w:rsidRPr="00526D87" w:rsidRDefault="00DE0022" w:rsidP="00FE6B89">
      <w:pPr>
        <w:spacing w:line="360" w:lineRule="auto"/>
        <w:jc w:val="center"/>
        <w:rPr>
          <w:rFonts w:ascii="Times New Roman" w:hAnsi="Times New Roman" w:cs="Times New Roman"/>
          <w:color w:val="000000" w:themeColor="text1"/>
          <w:sz w:val="24"/>
          <w:szCs w:val="24"/>
        </w:rPr>
      </w:pPr>
      <w:r w:rsidRPr="00526D87">
        <w:rPr>
          <w:rFonts w:ascii="Times New Roman" w:hAnsi="Times New Roman" w:cs="Times New Roman"/>
          <w:noProof/>
          <w:color w:val="000000" w:themeColor="text1"/>
        </w:rPr>
        <w:drawing>
          <wp:inline distT="0" distB="0" distL="0" distR="0" wp14:anchorId="31541B32" wp14:editId="182454C7">
            <wp:extent cx="4439920" cy="2616064"/>
            <wp:effectExtent l="0" t="0" r="0" b="0"/>
            <wp:docPr id="15970711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92510" cy="2647051"/>
                    </a:xfrm>
                    <a:prstGeom prst="rect">
                      <a:avLst/>
                    </a:prstGeom>
                    <a:noFill/>
                    <a:ln>
                      <a:noFill/>
                    </a:ln>
                  </pic:spPr>
                </pic:pic>
              </a:graphicData>
            </a:graphic>
          </wp:inline>
        </w:drawing>
      </w:r>
    </w:p>
    <w:p w14:paraId="3DFE240E" w14:textId="1C0AD04E" w:rsidR="000D4148" w:rsidRPr="00526D87" w:rsidRDefault="000D4148" w:rsidP="000D4148">
      <w:pPr>
        <w:pStyle w:val="Caption"/>
        <w:jc w:val="center"/>
        <w:rPr>
          <w:rFonts w:ascii="Times New Roman" w:hAnsi="Times New Roman" w:cs="Times New Roman"/>
          <w:color w:val="000000" w:themeColor="text1"/>
          <w:sz w:val="28"/>
          <w:szCs w:val="28"/>
        </w:rPr>
      </w:pPr>
      <w:bookmarkStart w:id="4" w:name="_Toc155301636"/>
      <w:r w:rsidRPr="00526D87">
        <w:rPr>
          <w:rFonts w:ascii="Times New Roman" w:hAnsi="Times New Roman" w:cs="Times New Roman"/>
          <w:color w:val="000000" w:themeColor="text1"/>
          <w:sz w:val="20"/>
          <w:szCs w:val="20"/>
        </w:rPr>
        <w:t xml:space="preserve">Figure </w:t>
      </w:r>
      <w:r w:rsidRPr="00526D87">
        <w:rPr>
          <w:rFonts w:ascii="Times New Roman" w:hAnsi="Times New Roman" w:cs="Times New Roman"/>
          <w:color w:val="000000" w:themeColor="text1"/>
          <w:sz w:val="20"/>
          <w:szCs w:val="20"/>
        </w:rPr>
        <w:fldChar w:fldCharType="begin"/>
      </w:r>
      <w:r w:rsidRPr="00526D87">
        <w:rPr>
          <w:rFonts w:ascii="Times New Roman" w:hAnsi="Times New Roman" w:cs="Times New Roman"/>
          <w:color w:val="000000" w:themeColor="text1"/>
          <w:sz w:val="20"/>
          <w:szCs w:val="20"/>
        </w:rPr>
        <w:instrText xml:space="preserve"> SEQ Figure \* ARABIC </w:instrText>
      </w:r>
      <w:r w:rsidRPr="00526D87">
        <w:rPr>
          <w:rFonts w:ascii="Times New Roman" w:hAnsi="Times New Roman" w:cs="Times New Roman"/>
          <w:color w:val="000000" w:themeColor="text1"/>
          <w:sz w:val="20"/>
          <w:szCs w:val="20"/>
        </w:rPr>
        <w:fldChar w:fldCharType="separate"/>
      </w:r>
      <w:r w:rsidRPr="00526D87">
        <w:rPr>
          <w:rFonts w:ascii="Times New Roman" w:hAnsi="Times New Roman" w:cs="Times New Roman"/>
          <w:noProof/>
          <w:color w:val="000000" w:themeColor="text1"/>
          <w:sz w:val="20"/>
          <w:szCs w:val="20"/>
        </w:rPr>
        <w:t>2</w:t>
      </w:r>
      <w:r w:rsidRPr="00526D87">
        <w:rPr>
          <w:rFonts w:ascii="Times New Roman" w:hAnsi="Times New Roman" w:cs="Times New Roman"/>
          <w:color w:val="000000" w:themeColor="text1"/>
          <w:sz w:val="20"/>
          <w:szCs w:val="20"/>
        </w:rPr>
        <w:fldChar w:fldCharType="end"/>
      </w:r>
      <w:r w:rsidRPr="00526D87">
        <w:rPr>
          <w:rFonts w:ascii="Times New Roman" w:hAnsi="Times New Roman" w:cs="Times New Roman"/>
          <w:color w:val="000000" w:themeColor="text1"/>
          <w:sz w:val="20"/>
          <w:szCs w:val="20"/>
        </w:rPr>
        <w:t>: The European System of Financial Supervision (ESFS)</w:t>
      </w:r>
      <w:bookmarkEnd w:id="4"/>
    </w:p>
    <w:p w14:paraId="03F03D1A" w14:textId="32D050EB" w:rsidR="00DE0022" w:rsidRPr="00526D87" w:rsidRDefault="00DE0022" w:rsidP="000D4148">
      <w:pPr>
        <w:spacing w:line="360" w:lineRule="auto"/>
        <w:ind w:left="2880" w:firstLine="720"/>
        <w:jc w:val="both"/>
        <w:rPr>
          <w:rFonts w:ascii="Times New Roman" w:hAnsi="Times New Roman" w:cs="Times New Roman"/>
          <w:color w:val="000000" w:themeColor="text1"/>
          <w:sz w:val="20"/>
          <w:szCs w:val="20"/>
        </w:rPr>
      </w:pPr>
      <w:r w:rsidRPr="00526D87">
        <w:rPr>
          <w:rFonts w:ascii="Times New Roman" w:hAnsi="Times New Roman" w:cs="Times New Roman"/>
          <w:color w:val="000000" w:themeColor="text1"/>
          <w:sz w:val="20"/>
          <w:szCs w:val="20"/>
        </w:rPr>
        <w:t xml:space="preserve">Source: </w:t>
      </w:r>
      <w:sdt>
        <w:sdtPr>
          <w:rPr>
            <w:rFonts w:ascii="Times New Roman" w:hAnsi="Times New Roman" w:cs="Times New Roman"/>
            <w:color w:val="000000" w:themeColor="text1"/>
            <w:sz w:val="20"/>
            <w:szCs w:val="20"/>
          </w:rPr>
          <w:id w:val="-2048216040"/>
          <w:citation/>
        </w:sdtPr>
        <w:sdtContent>
          <w:r w:rsidRPr="00526D87">
            <w:rPr>
              <w:rFonts w:ascii="Times New Roman" w:hAnsi="Times New Roman" w:cs="Times New Roman"/>
              <w:color w:val="000000" w:themeColor="text1"/>
              <w:sz w:val="20"/>
              <w:szCs w:val="20"/>
            </w:rPr>
            <w:fldChar w:fldCharType="begin"/>
          </w:r>
          <w:r w:rsidRPr="00526D87">
            <w:rPr>
              <w:rFonts w:ascii="Times New Roman" w:hAnsi="Times New Roman" w:cs="Times New Roman"/>
              <w:color w:val="000000" w:themeColor="text1"/>
              <w:sz w:val="20"/>
              <w:szCs w:val="20"/>
              <w:lang w:val="en-IN"/>
            </w:rPr>
            <w:instrText xml:space="preserve"> CITATION ECA20 \l 16393 </w:instrText>
          </w:r>
          <w:r w:rsidRPr="00526D87">
            <w:rPr>
              <w:rFonts w:ascii="Times New Roman" w:hAnsi="Times New Roman" w:cs="Times New Roman"/>
              <w:color w:val="000000" w:themeColor="text1"/>
              <w:sz w:val="20"/>
              <w:szCs w:val="20"/>
            </w:rPr>
            <w:fldChar w:fldCharType="separate"/>
          </w:r>
          <w:r w:rsidR="00BF15CE" w:rsidRPr="00526D87">
            <w:rPr>
              <w:rFonts w:ascii="Times New Roman" w:hAnsi="Times New Roman" w:cs="Times New Roman"/>
              <w:noProof/>
              <w:color w:val="000000" w:themeColor="text1"/>
              <w:sz w:val="20"/>
              <w:szCs w:val="20"/>
              <w:lang w:val="en-IN"/>
            </w:rPr>
            <w:t>(ECA, 2020)</w:t>
          </w:r>
          <w:r w:rsidRPr="00526D87">
            <w:rPr>
              <w:rFonts w:ascii="Times New Roman" w:hAnsi="Times New Roman" w:cs="Times New Roman"/>
              <w:color w:val="000000" w:themeColor="text1"/>
              <w:sz w:val="20"/>
              <w:szCs w:val="20"/>
            </w:rPr>
            <w:fldChar w:fldCharType="end"/>
          </w:r>
        </w:sdtContent>
      </w:sdt>
    </w:p>
    <w:p w14:paraId="0D528276" w14:textId="1CC31BC7" w:rsidR="0003200F" w:rsidRPr="00526D87" w:rsidRDefault="0003200F"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The European Banking Authority is responsible for regulating banks, ensuring consistency and integrity, and promoting supervisory convergence. It contributes to </w:t>
      </w:r>
      <w:r w:rsidR="007159C5" w:rsidRPr="00526D87">
        <w:rPr>
          <w:rFonts w:ascii="Times New Roman" w:hAnsi="Times New Roman" w:cs="Times New Roman"/>
          <w:color w:val="000000" w:themeColor="text1"/>
          <w:sz w:val="24"/>
          <w:szCs w:val="24"/>
        </w:rPr>
        <w:t>developing</w:t>
      </w:r>
      <w:r w:rsidRPr="00526D87">
        <w:rPr>
          <w:rFonts w:ascii="Times New Roman" w:hAnsi="Times New Roman" w:cs="Times New Roman"/>
          <w:color w:val="000000" w:themeColor="text1"/>
          <w:sz w:val="24"/>
          <w:szCs w:val="24"/>
        </w:rPr>
        <w:t xml:space="preserve"> the European Single Rulebook, monitors risks, and coordinates anti-money laundering supervision since 2020.</w:t>
      </w:r>
    </w:p>
    <w:p w14:paraId="0BE73165" w14:textId="36FA913B" w:rsidR="00FE6B89" w:rsidRPr="00526D87" w:rsidRDefault="00FE6B89"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Through efficient regulation and supervision, the European Insurance and Occupational Pensions Authority controls coverage and occupational pension providers, monitoring cross-</w:t>
      </w:r>
      <w:r w:rsidRPr="00526D87">
        <w:rPr>
          <w:rFonts w:ascii="Times New Roman" w:hAnsi="Times New Roman" w:cs="Times New Roman"/>
          <w:color w:val="000000" w:themeColor="text1"/>
          <w:sz w:val="24"/>
          <w:szCs w:val="24"/>
        </w:rPr>
        <w:lastRenderedPageBreak/>
        <w:t>border insurance companies, safeguarding customers, and establishing confidence in the system of finance.</w:t>
      </w:r>
    </w:p>
    <w:p w14:paraId="0E376658" w14:textId="3CD18383" w:rsidR="0023598E" w:rsidRPr="00526D87" w:rsidRDefault="00837FF1"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The European Securities and Markets Authority regulates the EU's financial markets, assuring investor protection and market stability. It supervises rating organisations, transactional repositories, and third-country central vendors, conducts risk assessments, discovers EU law violations, and improves regulatory coherence.</w:t>
      </w:r>
    </w:p>
    <w:p w14:paraId="24E60BE0" w14:textId="2AB4761A" w:rsidR="00B80E3C" w:rsidRPr="00526D87" w:rsidRDefault="00B80E3C" w:rsidP="00D108C9">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Regulation on Credit Rating Agencies (CRAs)</w:t>
      </w:r>
    </w:p>
    <w:p w14:paraId="721A427C" w14:textId="7BA43689" w:rsidR="00B80E3C" w:rsidRPr="00526D87" w:rsidRDefault="00B80E3C"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In September 2009, the European Union enacted Regulation (EC) No 1060/2009 concerning credit rating agencies in response to the global financial crisis of 2008. This regulation was implemented with the objective of supervising and curbing potential misconduct within the operations of CRAs, thereby ensuring the autonomy and</w:t>
      </w:r>
      <w:r w:rsidR="00837FF1" w:rsidRPr="00526D87">
        <w:rPr>
          <w:rFonts w:ascii="Times New Roman" w:hAnsi="Times New Roman" w:cs="Times New Roman"/>
          <w:color w:val="000000" w:themeColor="text1"/>
          <w:sz w:val="24"/>
          <w:szCs w:val="24"/>
        </w:rPr>
        <w:t xml:space="preserve"> credibility of the credit evaluation system.</w:t>
      </w:r>
      <w:r w:rsidRPr="00526D87">
        <w:rPr>
          <w:rFonts w:ascii="Times New Roman" w:hAnsi="Times New Roman" w:cs="Times New Roman"/>
          <w:color w:val="000000" w:themeColor="text1"/>
          <w:sz w:val="24"/>
          <w:szCs w:val="24"/>
        </w:rPr>
        <w:t xml:space="preserve"> The primary aim was to safeguard the interests of </w:t>
      </w:r>
      <w:r w:rsidR="00837FF1" w:rsidRPr="00526D87">
        <w:rPr>
          <w:rFonts w:ascii="Times New Roman" w:hAnsi="Times New Roman" w:cs="Times New Roman"/>
          <w:color w:val="000000" w:themeColor="text1"/>
          <w:sz w:val="24"/>
          <w:szCs w:val="24"/>
        </w:rPr>
        <w:t>shareholders</w:t>
      </w:r>
      <w:r w:rsidRPr="00526D87">
        <w:rPr>
          <w:rFonts w:ascii="Times New Roman" w:hAnsi="Times New Roman" w:cs="Times New Roman"/>
          <w:color w:val="000000" w:themeColor="text1"/>
          <w:sz w:val="24"/>
          <w:szCs w:val="24"/>
        </w:rPr>
        <w:t xml:space="preserve"> and </w:t>
      </w:r>
      <w:r w:rsidR="00837FF1" w:rsidRPr="00526D87">
        <w:rPr>
          <w:rFonts w:ascii="Times New Roman" w:hAnsi="Times New Roman" w:cs="Times New Roman"/>
          <w:color w:val="000000" w:themeColor="text1"/>
          <w:sz w:val="24"/>
          <w:szCs w:val="24"/>
        </w:rPr>
        <w:t>keep stable economy</w:t>
      </w:r>
      <w:r w:rsidRPr="00526D87">
        <w:rPr>
          <w:rFonts w:ascii="Times New Roman" w:hAnsi="Times New Roman" w:cs="Times New Roman"/>
          <w:color w:val="000000" w:themeColor="text1"/>
          <w:sz w:val="24"/>
          <w:szCs w:val="24"/>
        </w:rPr>
        <w:t xml:space="preserve">. The regulation outlined specific guidelines governing the structure and </w:t>
      </w:r>
      <w:r w:rsidR="003A6C1C" w:rsidRPr="00526D87">
        <w:rPr>
          <w:rFonts w:ascii="Times New Roman" w:hAnsi="Times New Roman" w:cs="Times New Roman"/>
          <w:color w:val="000000" w:themeColor="text1"/>
          <w:sz w:val="24"/>
          <w:szCs w:val="24"/>
        </w:rPr>
        <w:t>credibility of an organisation</w:t>
      </w:r>
      <w:r w:rsidRPr="00526D87">
        <w:rPr>
          <w:rFonts w:ascii="Times New Roman" w:hAnsi="Times New Roman" w:cs="Times New Roman"/>
          <w:color w:val="000000" w:themeColor="text1"/>
          <w:sz w:val="24"/>
          <w:szCs w:val="24"/>
        </w:rPr>
        <w:t xml:space="preserve">, including standards for their registration and oversight. Furthermore, it delineated the conditions under which credit ratings could be issued. In addition to these provisions, the legislation imposed stringent codes of conduct on CRAs. These codes were designed to forestall conflicts of interest, ensure the delivery of high-quality ratings, and foster transparency in both the rating process and the resultant ratings </w:t>
      </w:r>
      <w:sdt>
        <w:sdtPr>
          <w:rPr>
            <w:rFonts w:ascii="Times New Roman" w:hAnsi="Times New Roman" w:cs="Times New Roman"/>
            <w:color w:val="000000" w:themeColor="text1"/>
            <w:sz w:val="24"/>
            <w:szCs w:val="24"/>
          </w:rPr>
          <w:id w:val="-804388809"/>
          <w:citation/>
        </w:sdtPr>
        <w:sdtContent>
          <w:r w:rsidRPr="00526D87">
            <w:rPr>
              <w:rFonts w:ascii="Times New Roman" w:hAnsi="Times New Roman" w:cs="Times New Roman"/>
              <w:color w:val="000000" w:themeColor="text1"/>
              <w:sz w:val="24"/>
              <w:szCs w:val="24"/>
            </w:rPr>
            <w:fldChar w:fldCharType="begin"/>
          </w:r>
          <w:r w:rsidRPr="00526D87">
            <w:rPr>
              <w:rFonts w:ascii="Times New Roman" w:hAnsi="Times New Roman" w:cs="Times New Roman"/>
              <w:color w:val="000000" w:themeColor="text1"/>
              <w:sz w:val="24"/>
              <w:szCs w:val="24"/>
            </w:rPr>
            <w:instrText xml:space="preserve"> CITATION EUR09 \l 2057 </w:instrText>
          </w:r>
          <w:r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(EUR-Lex, 2009)</w:t>
          </w:r>
          <w:r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p>
    <w:p w14:paraId="46228394" w14:textId="18D09A47" w:rsidR="009821C8" w:rsidRPr="00526D87" w:rsidRDefault="00925A29" w:rsidP="00D108C9">
      <w:pPr>
        <w:spacing w:line="360" w:lineRule="auto"/>
        <w:jc w:val="both"/>
        <w:rPr>
          <w:rFonts w:ascii="Times New Roman" w:hAnsi="Times New Roman" w:cs="Times New Roman"/>
          <w:b/>
          <w:bCs/>
          <w:color w:val="000000" w:themeColor="text1"/>
          <w:sz w:val="24"/>
          <w:szCs w:val="24"/>
        </w:rPr>
      </w:pPr>
      <w:r w:rsidRPr="00526D87">
        <w:rPr>
          <w:rFonts w:ascii="Times New Roman" w:hAnsi="Times New Roman" w:cs="Times New Roman"/>
          <w:b/>
          <w:bCs/>
          <w:color w:val="000000" w:themeColor="text1"/>
          <w:sz w:val="24"/>
          <w:szCs w:val="24"/>
        </w:rPr>
        <w:t>The rationale</w:t>
      </w:r>
      <w:r w:rsidR="009821C8" w:rsidRPr="00526D87">
        <w:rPr>
          <w:rFonts w:ascii="Times New Roman" w:hAnsi="Times New Roman" w:cs="Times New Roman"/>
          <w:b/>
          <w:bCs/>
          <w:color w:val="000000" w:themeColor="text1"/>
          <w:sz w:val="24"/>
          <w:szCs w:val="24"/>
        </w:rPr>
        <w:t xml:space="preserve"> for </w:t>
      </w:r>
      <w:r w:rsidRPr="00526D87">
        <w:rPr>
          <w:rFonts w:ascii="Times New Roman" w:hAnsi="Times New Roman" w:cs="Times New Roman"/>
          <w:b/>
          <w:bCs/>
          <w:color w:val="000000" w:themeColor="text1"/>
          <w:sz w:val="24"/>
          <w:szCs w:val="24"/>
        </w:rPr>
        <w:t xml:space="preserve">the </w:t>
      </w:r>
      <w:r w:rsidR="009821C8" w:rsidRPr="00526D87">
        <w:rPr>
          <w:rFonts w:ascii="Times New Roman" w:hAnsi="Times New Roman" w:cs="Times New Roman"/>
          <w:b/>
          <w:bCs/>
          <w:color w:val="000000" w:themeColor="text1"/>
          <w:sz w:val="24"/>
          <w:szCs w:val="24"/>
        </w:rPr>
        <w:t xml:space="preserve">selection </w:t>
      </w:r>
      <w:r w:rsidRPr="00526D87">
        <w:rPr>
          <w:rFonts w:ascii="Times New Roman" w:hAnsi="Times New Roman" w:cs="Times New Roman"/>
          <w:b/>
          <w:bCs/>
          <w:color w:val="000000" w:themeColor="text1"/>
          <w:sz w:val="24"/>
          <w:szCs w:val="24"/>
        </w:rPr>
        <w:t>of the European Union (EU) nation</w:t>
      </w:r>
    </w:p>
    <w:p w14:paraId="4F8BEF3D" w14:textId="1CED780A" w:rsidR="00925A29" w:rsidRPr="00526D87" w:rsidRDefault="00925A29"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The examination of the European Union's reaction to the global financial crisis constitutes a crucial research focus for three primary reasons. Firstly, the EU has undertaken substantial initiatives towards the establishment of a unified European financial market. Secondly, it serves as a framework for facilitating and influencing national regulatory adjustments. Thirdly, the EU, being one of the world's largest jurisdictions, actively participates in shaping global financial regulations.</w:t>
      </w:r>
    </w:p>
    <w:p w14:paraId="54146887" w14:textId="62209143" w:rsidR="00BB4F46" w:rsidRPr="00526D87" w:rsidRDefault="00BB4F46" w:rsidP="0013494B">
      <w:pPr>
        <w:pStyle w:val="Heading1"/>
        <w:rPr>
          <w:color w:val="000000" w:themeColor="text1"/>
        </w:rPr>
      </w:pPr>
      <w:bookmarkStart w:id="5" w:name="_Toc155313185"/>
      <w:r w:rsidRPr="00526D87">
        <w:rPr>
          <w:color w:val="000000" w:themeColor="text1"/>
        </w:rPr>
        <w:t xml:space="preserve">A critical review </w:t>
      </w:r>
      <w:r w:rsidR="00871B37" w:rsidRPr="00526D87">
        <w:rPr>
          <w:color w:val="000000" w:themeColor="text1"/>
        </w:rPr>
        <w:t xml:space="preserve">and the impacts </w:t>
      </w:r>
      <w:r w:rsidRPr="00526D87">
        <w:rPr>
          <w:color w:val="000000" w:themeColor="text1"/>
        </w:rPr>
        <w:t xml:space="preserve">of the above reforms' </w:t>
      </w:r>
      <w:r w:rsidR="00871B37" w:rsidRPr="00526D87">
        <w:rPr>
          <w:color w:val="000000" w:themeColor="text1"/>
        </w:rPr>
        <w:t xml:space="preserve">on </w:t>
      </w:r>
      <w:r w:rsidRPr="00526D87">
        <w:rPr>
          <w:color w:val="000000" w:themeColor="text1"/>
        </w:rPr>
        <w:t xml:space="preserve">the financial system and </w:t>
      </w:r>
      <w:r w:rsidR="00871B37" w:rsidRPr="00526D87">
        <w:rPr>
          <w:color w:val="000000" w:themeColor="text1"/>
        </w:rPr>
        <w:t>various</w:t>
      </w:r>
      <w:r w:rsidRPr="00526D87">
        <w:rPr>
          <w:color w:val="000000" w:themeColor="text1"/>
        </w:rPr>
        <w:t xml:space="preserve"> banking institutions </w:t>
      </w:r>
      <w:r w:rsidR="00871B37" w:rsidRPr="00526D87">
        <w:rPr>
          <w:color w:val="000000" w:themeColor="text1"/>
        </w:rPr>
        <w:t>following</w:t>
      </w:r>
      <w:r w:rsidRPr="00526D87">
        <w:rPr>
          <w:color w:val="000000" w:themeColor="text1"/>
        </w:rPr>
        <w:t xml:space="preserve"> the 2008 crisis.</w:t>
      </w:r>
      <w:bookmarkEnd w:id="5"/>
      <w:r w:rsidRPr="00526D87">
        <w:rPr>
          <w:color w:val="000000" w:themeColor="text1"/>
        </w:rPr>
        <w:t xml:space="preserve"> </w:t>
      </w:r>
    </w:p>
    <w:p w14:paraId="55D84DF6" w14:textId="0FAB81F7" w:rsidR="009A3B9D" w:rsidRPr="00526D87" w:rsidRDefault="00AD735D"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b/>
          <w:bCs/>
          <w:i/>
          <w:iCs/>
          <w:color w:val="000000" w:themeColor="text1"/>
          <w:sz w:val="24"/>
          <w:szCs w:val="24"/>
        </w:rPr>
        <w:t>The Dodd-Frank Wall Street Reform and Consumer Protection Act</w:t>
      </w:r>
      <w:r w:rsidRPr="00526D87">
        <w:rPr>
          <w:rFonts w:ascii="Times New Roman" w:hAnsi="Times New Roman" w:cs="Times New Roman"/>
          <w:color w:val="000000" w:themeColor="text1"/>
          <w:sz w:val="24"/>
          <w:szCs w:val="24"/>
        </w:rPr>
        <w:t xml:space="preserve">, enacted in 2010, sought to restore stability to the financial system and fortify banking institutions </w:t>
      </w:r>
      <w:r w:rsidR="00E32DD1" w:rsidRPr="00526D87">
        <w:rPr>
          <w:rFonts w:ascii="Times New Roman" w:hAnsi="Times New Roman" w:cs="Times New Roman"/>
          <w:color w:val="000000" w:themeColor="text1"/>
          <w:sz w:val="24"/>
          <w:szCs w:val="24"/>
        </w:rPr>
        <w:t>Post-</w:t>
      </w:r>
      <w:r w:rsidRPr="00526D87">
        <w:rPr>
          <w:rFonts w:ascii="Times New Roman" w:hAnsi="Times New Roman" w:cs="Times New Roman"/>
          <w:color w:val="000000" w:themeColor="text1"/>
          <w:sz w:val="24"/>
          <w:szCs w:val="24"/>
        </w:rPr>
        <w:t xml:space="preserve">2008 crisis by enacting several pivotal provisions. Specifically targeting sectors implicated in the crisis, such as banks, insurance entities, and investment firms, the legislation ushered in the establishment </w:t>
      </w:r>
      <w:r w:rsidRPr="00526D87">
        <w:rPr>
          <w:rFonts w:ascii="Times New Roman" w:hAnsi="Times New Roman" w:cs="Times New Roman"/>
          <w:color w:val="000000" w:themeColor="text1"/>
          <w:sz w:val="24"/>
          <w:szCs w:val="24"/>
        </w:rPr>
        <w:lastRenderedPageBreak/>
        <w:t xml:space="preserve">of novel government agencies tasked with overseeing diverse facets of the financial system. Concurrently, it introduced measures geared towards enhancing the safety of the U.S. financial system for both </w:t>
      </w:r>
      <w:r w:rsidR="00E32DD1" w:rsidRPr="00526D87">
        <w:rPr>
          <w:rFonts w:ascii="Times New Roman" w:hAnsi="Times New Roman" w:cs="Times New Roman"/>
          <w:color w:val="000000" w:themeColor="text1"/>
          <w:sz w:val="24"/>
          <w:szCs w:val="24"/>
        </w:rPr>
        <w:t>individuals</w:t>
      </w:r>
      <w:r w:rsidRPr="00526D87">
        <w:rPr>
          <w:rFonts w:ascii="Times New Roman" w:hAnsi="Times New Roman" w:cs="Times New Roman"/>
          <w:color w:val="000000" w:themeColor="text1"/>
          <w:sz w:val="24"/>
          <w:szCs w:val="24"/>
        </w:rPr>
        <w:t xml:space="preserve"> and payers</w:t>
      </w:r>
      <w:r w:rsidR="00E32DD1" w:rsidRPr="00526D87">
        <w:rPr>
          <w:rFonts w:ascii="Times New Roman" w:hAnsi="Times New Roman" w:cs="Times New Roman"/>
          <w:color w:val="000000" w:themeColor="text1"/>
          <w:sz w:val="24"/>
          <w:szCs w:val="24"/>
        </w:rPr>
        <w:t xml:space="preserve"> of tax</w:t>
      </w:r>
      <w:r w:rsidRPr="00526D87">
        <w:rPr>
          <w:rFonts w:ascii="Times New Roman" w:hAnsi="Times New Roman" w:cs="Times New Roman"/>
          <w:color w:val="000000" w:themeColor="text1"/>
          <w:sz w:val="24"/>
          <w:szCs w:val="24"/>
        </w:rPr>
        <w:t>. Addressing the precipitating factors of the crisis, notably precarious lending practices and the necessity for public bailouts of financial institutions, the Dodd-Frank Act ushered in a comprehensive suite of regulations and regulatory bodies. This multifaceted approach aimed to instil heightened vigilance over both consumer affairs and financial markets, thereby mitigating the likelihood of a recurrence of market tumult in the future. The overarching objective was to institute a robust framework that would preclude the need for extensive government interventions and bailouts, fostering resilience within the financial sector and safeguarding the interests of consumers and taxpayers alike</w:t>
      </w:r>
      <w:r w:rsidR="006979DE"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shd w:val="clear" w:color="auto" w:fill="FCFCF9"/>
          </w:rPr>
          <w:id w:val="1978881478"/>
          <w:citation/>
        </w:sdtPr>
        <w:sdtContent>
          <w:r w:rsidRPr="00526D87">
            <w:rPr>
              <w:rFonts w:ascii="Times New Roman" w:hAnsi="Times New Roman" w:cs="Times New Roman"/>
              <w:color w:val="000000" w:themeColor="text1"/>
              <w:sz w:val="24"/>
              <w:szCs w:val="24"/>
              <w:shd w:val="clear" w:color="auto" w:fill="FCFCF9"/>
            </w:rPr>
            <w:fldChar w:fldCharType="begin"/>
          </w:r>
          <w:r w:rsidRPr="00526D87">
            <w:rPr>
              <w:rFonts w:ascii="Times New Roman" w:hAnsi="Times New Roman" w:cs="Times New Roman"/>
              <w:color w:val="000000" w:themeColor="text1"/>
              <w:sz w:val="24"/>
              <w:szCs w:val="24"/>
              <w:shd w:val="clear" w:color="auto" w:fill="FCFCF9"/>
            </w:rPr>
            <w:instrText xml:space="preserve"> CITATION Con17 \l 2057 </w:instrText>
          </w:r>
          <w:r w:rsidRPr="00526D87">
            <w:rPr>
              <w:rFonts w:ascii="Times New Roman" w:hAnsi="Times New Roman" w:cs="Times New Roman"/>
              <w:color w:val="000000" w:themeColor="text1"/>
              <w:sz w:val="24"/>
              <w:szCs w:val="24"/>
              <w:shd w:val="clear" w:color="auto" w:fill="FCFCF9"/>
            </w:rPr>
            <w:fldChar w:fldCharType="separate"/>
          </w:r>
          <w:r w:rsidR="00BF15CE" w:rsidRPr="00526D87">
            <w:rPr>
              <w:rFonts w:ascii="Times New Roman" w:hAnsi="Times New Roman" w:cs="Times New Roman"/>
              <w:noProof/>
              <w:color w:val="000000" w:themeColor="text1"/>
              <w:sz w:val="24"/>
              <w:szCs w:val="24"/>
              <w:shd w:val="clear" w:color="auto" w:fill="FCFCF9"/>
            </w:rPr>
            <w:t>(Congressional Research Service, 2017)</w:t>
          </w:r>
          <w:r w:rsidRPr="00526D87">
            <w:rPr>
              <w:rFonts w:ascii="Times New Roman" w:hAnsi="Times New Roman" w:cs="Times New Roman"/>
              <w:color w:val="000000" w:themeColor="text1"/>
              <w:sz w:val="24"/>
              <w:szCs w:val="24"/>
              <w:shd w:val="clear" w:color="auto" w:fill="FCFCF9"/>
            </w:rPr>
            <w:fldChar w:fldCharType="end"/>
          </w:r>
        </w:sdtContent>
      </w:sdt>
      <w:r w:rsidRPr="00526D87">
        <w:rPr>
          <w:rFonts w:ascii="Times New Roman" w:hAnsi="Times New Roman" w:cs="Times New Roman"/>
          <w:color w:val="000000" w:themeColor="text1"/>
          <w:sz w:val="24"/>
          <w:szCs w:val="24"/>
          <w:shd w:val="clear" w:color="auto" w:fill="FCFCF9"/>
        </w:rPr>
        <w:t>.</w:t>
      </w:r>
      <w:r w:rsidR="00E362AA" w:rsidRPr="00526D87">
        <w:rPr>
          <w:rFonts w:ascii="Times New Roman" w:hAnsi="Times New Roman" w:cs="Times New Roman"/>
          <w:color w:val="000000" w:themeColor="text1"/>
          <w:sz w:val="24"/>
          <w:szCs w:val="24"/>
          <w:shd w:val="clear" w:color="auto" w:fill="FCFCF9"/>
        </w:rPr>
        <w:t xml:space="preserve"> </w:t>
      </w:r>
      <w:r w:rsidR="00D235D1" w:rsidRPr="00526D87">
        <w:rPr>
          <w:rFonts w:ascii="Times New Roman" w:hAnsi="Times New Roman" w:cs="Times New Roman"/>
          <w:color w:val="000000" w:themeColor="text1"/>
          <w:sz w:val="24"/>
          <w:szCs w:val="24"/>
        </w:rPr>
        <w:t>Notwithstanding its intended objectives, th</w:t>
      </w:r>
      <w:r w:rsidR="009C5923" w:rsidRPr="00526D87">
        <w:rPr>
          <w:rFonts w:ascii="Times New Roman" w:hAnsi="Times New Roman" w:cs="Times New Roman"/>
          <w:color w:val="000000" w:themeColor="text1"/>
          <w:sz w:val="24"/>
          <w:szCs w:val="24"/>
        </w:rPr>
        <w:t xml:space="preserve">is </w:t>
      </w:r>
      <w:r w:rsidR="00D235D1" w:rsidRPr="00526D87">
        <w:rPr>
          <w:rFonts w:ascii="Times New Roman" w:hAnsi="Times New Roman" w:cs="Times New Roman"/>
          <w:color w:val="000000" w:themeColor="text1"/>
          <w:sz w:val="24"/>
          <w:szCs w:val="24"/>
        </w:rPr>
        <w:t xml:space="preserve">Act has been subject to criticism across various dimensions. Detractors have articulated concerns, particularly focusing on the perceived regulatory burden emanating from the legislation. This critique contends that the Act may render U.S. firms less competitive on the global stage </w:t>
      </w:r>
      <w:r w:rsidR="00B93A89" w:rsidRPr="00526D87">
        <w:rPr>
          <w:rFonts w:ascii="Times New Roman" w:hAnsi="Times New Roman" w:cs="Times New Roman"/>
          <w:color w:val="000000" w:themeColor="text1"/>
          <w:sz w:val="24"/>
          <w:szCs w:val="24"/>
        </w:rPr>
        <w:t>as opposed to their international rivals</w:t>
      </w:r>
      <w:r w:rsidR="00D235D1" w:rsidRPr="00526D87">
        <w:rPr>
          <w:rFonts w:ascii="Times New Roman" w:hAnsi="Times New Roman" w:cs="Times New Roman"/>
          <w:color w:val="000000" w:themeColor="text1"/>
          <w:sz w:val="24"/>
          <w:szCs w:val="24"/>
        </w:rPr>
        <w:t>, thereby influencing the overall competitiveness of domestic financial entities</w:t>
      </w:r>
      <w:sdt>
        <w:sdtPr>
          <w:rPr>
            <w:rFonts w:ascii="Times New Roman" w:hAnsi="Times New Roman" w:cs="Times New Roman"/>
            <w:color w:val="000000" w:themeColor="text1"/>
            <w:sz w:val="24"/>
            <w:szCs w:val="24"/>
          </w:rPr>
          <w:id w:val="192192182"/>
          <w:citation/>
        </w:sdtPr>
        <w:sdtContent>
          <w:r w:rsidR="00D235D1" w:rsidRPr="00526D87">
            <w:rPr>
              <w:rFonts w:ascii="Times New Roman" w:hAnsi="Times New Roman" w:cs="Times New Roman"/>
              <w:color w:val="000000" w:themeColor="text1"/>
              <w:sz w:val="24"/>
              <w:szCs w:val="24"/>
            </w:rPr>
            <w:fldChar w:fldCharType="begin"/>
          </w:r>
          <w:r w:rsidR="00D235D1" w:rsidRPr="00526D87">
            <w:rPr>
              <w:rFonts w:ascii="Times New Roman" w:hAnsi="Times New Roman" w:cs="Times New Roman"/>
              <w:color w:val="000000" w:themeColor="text1"/>
              <w:sz w:val="24"/>
              <w:szCs w:val="24"/>
            </w:rPr>
            <w:instrText xml:space="preserve"> CITATION Inv23 \l 2057 </w:instrText>
          </w:r>
          <w:r w:rsidR="00D235D1"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(Investopedia, 2023)</w:t>
          </w:r>
          <w:r w:rsidR="00D235D1" w:rsidRPr="00526D87">
            <w:rPr>
              <w:rFonts w:ascii="Times New Roman" w:hAnsi="Times New Roman" w:cs="Times New Roman"/>
              <w:color w:val="000000" w:themeColor="text1"/>
              <w:sz w:val="24"/>
              <w:szCs w:val="24"/>
            </w:rPr>
            <w:fldChar w:fldCharType="end"/>
          </w:r>
        </w:sdtContent>
      </w:sdt>
      <w:r w:rsidR="00D235D1" w:rsidRPr="00526D87">
        <w:rPr>
          <w:rFonts w:ascii="Times New Roman" w:hAnsi="Times New Roman" w:cs="Times New Roman"/>
          <w:color w:val="000000" w:themeColor="text1"/>
          <w:sz w:val="24"/>
          <w:szCs w:val="24"/>
        </w:rPr>
        <w:t>.</w:t>
      </w:r>
      <w:r w:rsidR="006360C1" w:rsidRPr="00526D87">
        <w:rPr>
          <w:rFonts w:ascii="Times New Roman" w:hAnsi="Times New Roman" w:cs="Times New Roman"/>
          <w:color w:val="000000" w:themeColor="text1"/>
          <w:sz w:val="24"/>
          <w:szCs w:val="24"/>
        </w:rPr>
        <w:t xml:space="preserve"> Another area of scrutiny pertains to the impact on smaller banks, as critics express reservations regarding the potential disproportionate effect of compliance with the Act's requirements on these financial institutions. There are apprehensions that the regulatory framework may place a heavier burden on smaller entities within the financial sector, potentially impeding their operational flexibility and competitiveness. Furthermore, the Act has become a focal point of debate regarding its potential economic repercussions. Assertions have been made that the legislation contributed to heightened bank fees and, in turn, reduced consumer access to specific financial services. This aspect of the criticism underscores concerns about unintended consequences and adverse effects on consumers, raising questions about the balance between regulatory measures and maintaining accessibility and affordability of financial services for the public</w:t>
      </w:r>
      <w:sdt>
        <w:sdtPr>
          <w:rPr>
            <w:rFonts w:ascii="Times New Roman" w:hAnsi="Times New Roman" w:cs="Times New Roman"/>
            <w:color w:val="000000" w:themeColor="text1"/>
            <w:sz w:val="24"/>
            <w:szCs w:val="24"/>
          </w:rPr>
          <w:id w:val="-1337759301"/>
          <w:citation/>
        </w:sdtPr>
        <w:sdtContent>
          <w:r w:rsidR="006360C1" w:rsidRPr="00526D87">
            <w:rPr>
              <w:rFonts w:ascii="Times New Roman" w:hAnsi="Times New Roman" w:cs="Times New Roman"/>
              <w:color w:val="000000" w:themeColor="text1"/>
              <w:sz w:val="24"/>
              <w:szCs w:val="24"/>
            </w:rPr>
            <w:fldChar w:fldCharType="begin"/>
          </w:r>
          <w:r w:rsidR="006360C1" w:rsidRPr="00526D87">
            <w:rPr>
              <w:rFonts w:ascii="Times New Roman" w:hAnsi="Times New Roman" w:cs="Times New Roman"/>
              <w:color w:val="000000" w:themeColor="text1"/>
              <w:sz w:val="24"/>
              <w:szCs w:val="24"/>
            </w:rPr>
            <w:instrText xml:space="preserve"> CITATION Fin \l 2057 </w:instrText>
          </w:r>
          <w:r w:rsidR="006360C1"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(Financial Service Committee, n.d.)</w:t>
          </w:r>
          <w:r w:rsidR="006360C1" w:rsidRPr="00526D87">
            <w:rPr>
              <w:rFonts w:ascii="Times New Roman" w:hAnsi="Times New Roman" w:cs="Times New Roman"/>
              <w:color w:val="000000" w:themeColor="text1"/>
              <w:sz w:val="24"/>
              <w:szCs w:val="24"/>
            </w:rPr>
            <w:fldChar w:fldCharType="end"/>
          </w:r>
        </w:sdtContent>
      </w:sdt>
      <w:r w:rsidR="006360C1" w:rsidRPr="00526D87">
        <w:rPr>
          <w:rFonts w:ascii="Times New Roman" w:hAnsi="Times New Roman" w:cs="Times New Roman"/>
          <w:color w:val="000000" w:themeColor="text1"/>
          <w:sz w:val="24"/>
          <w:szCs w:val="24"/>
        </w:rPr>
        <w:t>.</w:t>
      </w:r>
    </w:p>
    <w:p w14:paraId="4512B5F6" w14:textId="5701EBE6" w:rsidR="00FE18FC" w:rsidRPr="00526D87" w:rsidRDefault="00E37973"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b/>
          <w:bCs/>
          <w:i/>
          <w:iCs/>
          <w:color w:val="000000" w:themeColor="text1"/>
          <w:sz w:val="24"/>
          <w:szCs w:val="24"/>
        </w:rPr>
        <w:t>The Volcker Rule</w:t>
      </w:r>
      <w:r w:rsidRPr="00526D87">
        <w:rPr>
          <w:rFonts w:ascii="Times New Roman" w:hAnsi="Times New Roman" w:cs="Times New Roman"/>
          <w:color w:val="000000" w:themeColor="text1"/>
          <w:sz w:val="24"/>
          <w:szCs w:val="24"/>
        </w:rPr>
        <w:t xml:space="preserve">, a component of the Dodd-Frank Act, played a pivotal </w:t>
      </w:r>
      <w:r w:rsidR="00DA3151" w:rsidRPr="00526D87">
        <w:rPr>
          <w:rFonts w:ascii="Times New Roman" w:hAnsi="Times New Roman" w:cs="Times New Roman"/>
          <w:color w:val="000000" w:themeColor="text1"/>
          <w:sz w:val="24"/>
          <w:szCs w:val="24"/>
        </w:rPr>
        <w:t>part</w:t>
      </w:r>
      <w:r w:rsidRPr="00526D87">
        <w:rPr>
          <w:rFonts w:ascii="Times New Roman" w:hAnsi="Times New Roman" w:cs="Times New Roman"/>
          <w:color w:val="000000" w:themeColor="text1"/>
          <w:sz w:val="24"/>
          <w:szCs w:val="24"/>
        </w:rPr>
        <w:t xml:space="preserve"> in fostering stability within the financial system and banking institutions during the 2008 crisis. By segregating risk activities from lending practices, restricting speculative investments, and augmenting systemic resilience, the rule undertook critical measures to fortify the sector. A primary strength of the Volcker Rule lies in its strategic separation of investment banking, private equity activities, and proprietary trading from the core function of lending. This segregation mitigates the potential perils associated with high-risk speculation, providing a </w:t>
      </w:r>
      <w:r w:rsidRPr="00526D87">
        <w:rPr>
          <w:rFonts w:ascii="Times New Roman" w:hAnsi="Times New Roman" w:cs="Times New Roman"/>
          <w:color w:val="000000" w:themeColor="text1"/>
          <w:sz w:val="24"/>
          <w:szCs w:val="24"/>
        </w:rPr>
        <w:lastRenderedPageBreak/>
        <w:t xml:space="preserve">buffer against the destabilizing consequences of excessive risk-taking within financial institutions. The rule, furthermore, instituted a </w:t>
      </w:r>
      <w:r w:rsidR="00DA3151" w:rsidRPr="00526D87">
        <w:rPr>
          <w:rFonts w:ascii="Times New Roman" w:hAnsi="Times New Roman" w:cs="Times New Roman"/>
          <w:color w:val="000000" w:themeColor="text1"/>
          <w:sz w:val="24"/>
          <w:szCs w:val="24"/>
        </w:rPr>
        <w:t>restricted</w:t>
      </w:r>
      <w:r w:rsidRPr="00526D87">
        <w:rPr>
          <w:rFonts w:ascii="Times New Roman" w:hAnsi="Times New Roman" w:cs="Times New Roman"/>
          <w:color w:val="000000" w:themeColor="text1"/>
          <w:sz w:val="24"/>
          <w:szCs w:val="24"/>
        </w:rPr>
        <w:t xml:space="preserve"> on pr</w:t>
      </w:r>
      <w:r w:rsidR="00DA3151" w:rsidRPr="00526D87">
        <w:rPr>
          <w:rFonts w:ascii="Times New Roman" w:hAnsi="Times New Roman" w:cs="Times New Roman"/>
          <w:color w:val="000000" w:themeColor="text1"/>
          <w:sz w:val="24"/>
          <w:szCs w:val="24"/>
        </w:rPr>
        <w:t>ivate</w:t>
      </w:r>
      <w:r w:rsidRPr="00526D87">
        <w:rPr>
          <w:rFonts w:ascii="Times New Roman" w:hAnsi="Times New Roman" w:cs="Times New Roman"/>
          <w:color w:val="000000" w:themeColor="text1"/>
          <w:sz w:val="24"/>
          <w:szCs w:val="24"/>
        </w:rPr>
        <w:t xml:space="preserve"> trading by deposit</w:t>
      </w:r>
      <w:r w:rsidR="00DA3151" w:rsidRPr="00526D87">
        <w:rPr>
          <w:rFonts w:ascii="Times New Roman" w:hAnsi="Times New Roman" w:cs="Times New Roman"/>
          <w:color w:val="000000" w:themeColor="text1"/>
          <w:sz w:val="24"/>
          <w:szCs w:val="24"/>
        </w:rPr>
        <w:t>ory organisations</w:t>
      </w:r>
      <w:r w:rsidRPr="00526D87">
        <w:rPr>
          <w:rFonts w:ascii="Times New Roman" w:hAnsi="Times New Roman" w:cs="Times New Roman"/>
          <w:color w:val="000000" w:themeColor="text1"/>
          <w:sz w:val="24"/>
          <w:szCs w:val="24"/>
        </w:rPr>
        <w:t xml:space="preserve"> and curtailed the t</w:t>
      </w:r>
      <w:r w:rsidR="00106D81" w:rsidRPr="00526D87">
        <w:rPr>
          <w:rFonts w:ascii="Times New Roman" w:hAnsi="Times New Roman" w:cs="Times New Roman"/>
          <w:color w:val="000000" w:themeColor="text1"/>
          <w:sz w:val="24"/>
          <w:szCs w:val="24"/>
        </w:rPr>
        <w:t>ransaction</w:t>
      </w:r>
      <w:r w:rsidRPr="00526D87">
        <w:rPr>
          <w:rFonts w:ascii="Times New Roman" w:hAnsi="Times New Roman" w:cs="Times New Roman"/>
          <w:color w:val="000000" w:themeColor="text1"/>
          <w:sz w:val="24"/>
          <w:szCs w:val="24"/>
        </w:rPr>
        <w:t xml:space="preserve"> rights of p</w:t>
      </w:r>
      <w:r w:rsidR="00106D81" w:rsidRPr="00526D87">
        <w:rPr>
          <w:rFonts w:ascii="Times New Roman" w:hAnsi="Times New Roman" w:cs="Times New Roman"/>
          <w:color w:val="000000" w:themeColor="text1"/>
          <w:sz w:val="24"/>
          <w:szCs w:val="24"/>
        </w:rPr>
        <w:t>rivate</w:t>
      </w:r>
      <w:r w:rsidRPr="00526D87">
        <w:rPr>
          <w:rFonts w:ascii="Times New Roman" w:hAnsi="Times New Roman" w:cs="Times New Roman"/>
          <w:color w:val="000000" w:themeColor="text1"/>
          <w:sz w:val="24"/>
          <w:szCs w:val="24"/>
        </w:rPr>
        <w:t xml:space="preserve"> traders at other large financial entities, effectively mitigating the likelihood of high-risk financial speculation. These measures collectively contributed to rendering the financial system safer and more stable, thereby diminishing the prospect of a recurrence of a crisis akin to the one witnessed in 2008. The rule, by addressing the interconnectedness of risky activities with core banking functions, fortified the sector against systemic risks. However, the Volcker Rule has not been immune to criticism. Detractors point to concerns regarding its impact on market liquidity, asserting that restrictions on proprietary trading may hinder the ability of banks to provide essential liquidity in financial markets. Additionally, the rule has been criticized for its perceived complexity, leading to substantial compliance costs for financial institutions. The intricate nature of the rule raises challenges in implementation and monitoring, particularly for larger banks with multifaceted operations.</w:t>
      </w:r>
      <w:sdt>
        <w:sdtPr>
          <w:rPr>
            <w:rFonts w:ascii="Times New Roman" w:hAnsi="Times New Roman" w:cs="Times New Roman"/>
            <w:color w:val="000000" w:themeColor="text1"/>
            <w:sz w:val="24"/>
            <w:szCs w:val="24"/>
          </w:rPr>
          <w:id w:val="-1135786094"/>
          <w:citation/>
        </w:sdtPr>
        <w:sdtContent>
          <w:r w:rsidR="00B01945" w:rsidRPr="00526D87">
            <w:rPr>
              <w:rFonts w:ascii="Times New Roman" w:hAnsi="Times New Roman" w:cs="Times New Roman"/>
              <w:color w:val="000000" w:themeColor="text1"/>
              <w:sz w:val="24"/>
              <w:szCs w:val="24"/>
            </w:rPr>
            <w:fldChar w:fldCharType="begin"/>
          </w:r>
          <w:r w:rsidR="00B01945" w:rsidRPr="00526D87">
            <w:rPr>
              <w:rFonts w:ascii="Times New Roman" w:hAnsi="Times New Roman" w:cs="Times New Roman"/>
              <w:color w:val="000000" w:themeColor="text1"/>
              <w:sz w:val="24"/>
              <w:szCs w:val="24"/>
            </w:rPr>
            <w:instrText xml:space="preserve"> CITATION Cad10 \l 2057 </w:instrText>
          </w:r>
          <w:r w:rsidR="00B01945"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(Cadwalader, 2010)</w:t>
          </w:r>
          <w:r w:rsidR="00B01945" w:rsidRPr="00526D87">
            <w:rPr>
              <w:rFonts w:ascii="Times New Roman" w:hAnsi="Times New Roman" w:cs="Times New Roman"/>
              <w:color w:val="000000" w:themeColor="text1"/>
              <w:sz w:val="24"/>
              <w:szCs w:val="24"/>
            </w:rPr>
            <w:fldChar w:fldCharType="end"/>
          </w:r>
        </w:sdtContent>
      </w:sdt>
      <w:r w:rsidR="00016BA5" w:rsidRPr="00526D87">
        <w:rPr>
          <w:rFonts w:ascii="Times New Roman" w:hAnsi="Times New Roman" w:cs="Times New Roman"/>
          <w:color w:val="000000" w:themeColor="text1"/>
          <w:sz w:val="24"/>
          <w:szCs w:val="24"/>
        </w:rPr>
        <w:t>.</w:t>
      </w:r>
    </w:p>
    <w:p w14:paraId="299C6A72" w14:textId="5AAEE77C" w:rsidR="00702834" w:rsidRPr="00526D87" w:rsidRDefault="00FE62F7" w:rsidP="00D108C9">
      <w:pPr>
        <w:spacing w:line="360" w:lineRule="auto"/>
        <w:jc w:val="both"/>
        <w:rPr>
          <w:rFonts w:ascii="Times New Roman" w:hAnsi="Times New Roman" w:cs="Times New Roman"/>
          <w:color w:val="000000" w:themeColor="text1"/>
        </w:rPr>
      </w:pPr>
      <w:r w:rsidRPr="00526D87">
        <w:rPr>
          <w:rFonts w:ascii="Times New Roman" w:hAnsi="Times New Roman" w:cs="Times New Roman"/>
          <w:b/>
          <w:bCs/>
          <w:i/>
          <w:iCs/>
          <w:color w:val="000000" w:themeColor="text1"/>
          <w:sz w:val="24"/>
          <w:szCs w:val="24"/>
        </w:rPr>
        <w:t>The Basel III</w:t>
      </w:r>
      <w:r w:rsidRPr="00526D87">
        <w:rPr>
          <w:rFonts w:ascii="Times New Roman" w:hAnsi="Times New Roman" w:cs="Times New Roman"/>
          <w:color w:val="000000" w:themeColor="text1"/>
          <w:sz w:val="24"/>
          <w:szCs w:val="24"/>
        </w:rPr>
        <w:t xml:space="preserve"> reforms have played a substantial role in stabilizing the financial system and various banking institutions in the aftermath of the 2008 crisis. These reforms were designed to fortify the </w:t>
      </w:r>
      <w:r w:rsidR="00CB0954" w:rsidRPr="00526D87">
        <w:rPr>
          <w:rFonts w:ascii="Times New Roman" w:hAnsi="Times New Roman" w:cs="Times New Roman"/>
          <w:color w:val="000000" w:themeColor="text1"/>
          <w:sz w:val="24"/>
          <w:szCs w:val="24"/>
        </w:rPr>
        <w:t>governance</w:t>
      </w:r>
      <w:r w:rsidRPr="00526D87">
        <w:rPr>
          <w:rFonts w:ascii="Times New Roman" w:hAnsi="Times New Roman" w:cs="Times New Roman"/>
          <w:color w:val="000000" w:themeColor="text1"/>
          <w:sz w:val="24"/>
          <w:szCs w:val="24"/>
        </w:rPr>
        <w:t xml:space="preserve">, </w:t>
      </w:r>
      <w:r w:rsidR="00CB0954" w:rsidRPr="00526D87">
        <w:rPr>
          <w:rFonts w:ascii="Times New Roman" w:hAnsi="Times New Roman" w:cs="Times New Roman"/>
          <w:color w:val="000000" w:themeColor="text1"/>
          <w:sz w:val="24"/>
          <w:szCs w:val="24"/>
        </w:rPr>
        <w:t>leadership</w:t>
      </w:r>
      <w:r w:rsidRPr="00526D87">
        <w:rPr>
          <w:rFonts w:ascii="Times New Roman" w:hAnsi="Times New Roman" w:cs="Times New Roman"/>
          <w:color w:val="000000" w:themeColor="text1"/>
          <w:sz w:val="24"/>
          <w:szCs w:val="24"/>
        </w:rPr>
        <w:t xml:space="preserve">, and risk </w:t>
      </w:r>
      <w:r w:rsidR="00CB0954" w:rsidRPr="00526D87">
        <w:rPr>
          <w:rFonts w:ascii="Times New Roman" w:hAnsi="Times New Roman" w:cs="Times New Roman"/>
          <w:color w:val="000000" w:themeColor="text1"/>
          <w:sz w:val="24"/>
          <w:szCs w:val="24"/>
        </w:rPr>
        <w:t>mitigation technique</w:t>
      </w:r>
      <w:r w:rsidRPr="00526D87">
        <w:rPr>
          <w:rFonts w:ascii="Times New Roman" w:hAnsi="Times New Roman" w:cs="Times New Roman"/>
          <w:color w:val="000000" w:themeColor="text1"/>
          <w:sz w:val="24"/>
          <w:szCs w:val="24"/>
        </w:rPr>
        <w:t xml:space="preserve"> practices within the banking sector, ultimately enhancing its resilience and capacity to withstand shocks originating from financial and economic stresses. Addressing the inadequacies of the pre-crisis regulatory framework, Basel III laid the groundwork for a more robust banking system, thereby diminishing the risk of adverse spillovers from the financial </w:t>
      </w:r>
      <w:r w:rsidR="00CB0954" w:rsidRPr="00526D87">
        <w:rPr>
          <w:rFonts w:ascii="Times New Roman" w:hAnsi="Times New Roman" w:cs="Times New Roman"/>
          <w:color w:val="000000" w:themeColor="text1"/>
          <w:sz w:val="24"/>
          <w:szCs w:val="24"/>
        </w:rPr>
        <w:t>industry</w:t>
      </w:r>
      <w:r w:rsidRPr="00526D87">
        <w:rPr>
          <w:rFonts w:ascii="Times New Roman" w:hAnsi="Times New Roman" w:cs="Times New Roman"/>
          <w:color w:val="000000" w:themeColor="text1"/>
          <w:sz w:val="24"/>
          <w:szCs w:val="24"/>
        </w:rPr>
        <w:t xml:space="preserve"> into the </w:t>
      </w:r>
      <w:r w:rsidR="00CB0954" w:rsidRPr="00526D87">
        <w:rPr>
          <w:rFonts w:ascii="Times New Roman" w:hAnsi="Times New Roman" w:cs="Times New Roman"/>
          <w:color w:val="000000" w:themeColor="text1"/>
          <w:sz w:val="24"/>
          <w:szCs w:val="24"/>
        </w:rPr>
        <w:t>overall</w:t>
      </w:r>
      <w:r w:rsidRPr="00526D87">
        <w:rPr>
          <w:rFonts w:ascii="Times New Roman" w:hAnsi="Times New Roman" w:cs="Times New Roman"/>
          <w:color w:val="000000" w:themeColor="text1"/>
          <w:sz w:val="24"/>
          <w:szCs w:val="24"/>
        </w:rPr>
        <w:t xml:space="preserve"> economy</w:t>
      </w:r>
      <w:r w:rsidR="00684C2B" w:rsidRPr="00526D87">
        <w:rPr>
          <w:rFonts w:ascii="Times New Roman" w:hAnsi="Times New Roman" w:cs="Times New Roman"/>
          <w:color w:val="000000" w:themeColor="text1"/>
          <w:sz w:val="28"/>
          <w:szCs w:val="28"/>
          <w:shd w:val="clear" w:color="auto" w:fill="FCFCF9"/>
        </w:rPr>
        <w:t xml:space="preserve"> </w:t>
      </w:r>
      <w:sdt>
        <w:sdtPr>
          <w:rPr>
            <w:rFonts w:ascii="Times New Roman" w:hAnsi="Times New Roman" w:cs="Times New Roman"/>
            <w:color w:val="000000" w:themeColor="text1"/>
            <w:sz w:val="24"/>
            <w:szCs w:val="24"/>
            <w:shd w:val="clear" w:color="auto" w:fill="FCFCF9"/>
          </w:rPr>
          <w:id w:val="1824467749"/>
          <w:citation/>
        </w:sdtPr>
        <w:sdtContent>
          <w:r w:rsidR="00684C2B" w:rsidRPr="00526D87">
            <w:rPr>
              <w:rFonts w:ascii="Times New Roman" w:hAnsi="Times New Roman" w:cs="Times New Roman"/>
              <w:color w:val="000000" w:themeColor="text1"/>
              <w:sz w:val="24"/>
              <w:szCs w:val="24"/>
              <w:shd w:val="clear" w:color="auto" w:fill="FCFCF9"/>
            </w:rPr>
            <w:fldChar w:fldCharType="begin"/>
          </w:r>
          <w:r w:rsidR="00684C2B" w:rsidRPr="00526D87">
            <w:rPr>
              <w:rFonts w:ascii="Times New Roman" w:hAnsi="Times New Roman" w:cs="Times New Roman"/>
              <w:color w:val="000000" w:themeColor="text1"/>
              <w:sz w:val="24"/>
              <w:szCs w:val="24"/>
              <w:shd w:val="clear" w:color="auto" w:fill="FCFCF9"/>
            </w:rPr>
            <w:instrText xml:space="preserve"> CITATION BIS23 \l 2057 </w:instrText>
          </w:r>
          <w:r w:rsidR="00684C2B" w:rsidRPr="00526D87">
            <w:rPr>
              <w:rFonts w:ascii="Times New Roman" w:hAnsi="Times New Roman" w:cs="Times New Roman"/>
              <w:color w:val="000000" w:themeColor="text1"/>
              <w:sz w:val="24"/>
              <w:szCs w:val="24"/>
              <w:shd w:val="clear" w:color="auto" w:fill="FCFCF9"/>
            </w:rPr>
            <w:fldChar w:fldCharType="separate"/>
          </w:r>
          <w:r w:rsidR="00BF15CE" w:rsidRPr="00526D87">
            <w:rPr>
              <w:rFonts w:ascii="Times New Roman" w:hAnsi="Times New Roman" w:cs="Times New Roman"/>
              <w:noProof/>
              <w:color w:val="000000" w:themeColor="text1"/>
              <w:sz w:val="24"/>
              <w:szCs w:val="24"/>
              <w:shd w:val="clear" w:color="auto" w:fill="FCFCF9"/>
            </w:rPr>
            <w:t>(BIS, 2023)</w:t>
          </w:r>
          <w:r w:rsidR="00684C2B" w:rsidRPr="00526D87">
            <w:rPr>
              <w:rFonts w:ascii="Times New Roman" w:hAnsi="Times New Roman" w:cs="Times New Roman"/>
              <w:color w:val="000000" w:themeColor="text1"/>
              <w:sz w:val="24"/>
              <w:szCs w:val="24"/>
              <w:shd w:val="clear" w:color="auto" w:fill="FCFCF9"/>
            </w:rPr>
            <w:fldChar w:fldCharType="end"/>
          </w:r>
        </w:sdtContent>
      </w:sdt>
      <w:r w:rsidR="0093797E" w:rsidRPr="00526D87">
        <w:rPr>
          <w:rFonts w:ascii="Times New Roman" w:hAnsi="Times New Roman" w:cs="Times New Roman"/>
          <w:color w:val="000000" w:themeColor="text1"/>
          <w:sz w:val="24"/>
          <w:szCs w:val="24"/>
          <w:shd w:val="clear" w:color="auto" w:fill="FCFCF9"/>
        </w:rPr>
        <w:t>.</w:t>
      </w:r>
      <w:r w:rsidR="000B3F79" w:rsidRPr="00526D87">
        <w:rPr>
          <w:rFonts w:ascii="Times New Roman" w:hAnsi="Times New Roman" w:cs="Times New Roman"/>
          <w:color w:val="000000" w:themeColor="text1"/>
        </w:rPr>
        <w:t xml:space="preserve"> </w:t>
      </w:r>
    </w:p>
    <w:p w14:paraId="75D2C193" w14:textId="2D707C6E" w:rsidR="00FE18FC" w:rsidRPr="00526D87" w:rsidRDefault="00702834"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A key aspect of Basel III was the introduction of new liquidity standards to tackle liquidity risk. The Liquidity Coverage Ratio (LCR) mandates that banks maintain an adequate reserve of high-quality liquid assets to meet short-term liquidity needs. Concurrently, the Net Stable Funding Ratio (NSFR) focuses on ensuring the stability of a bank's funding sources over a more extended period. These measures serve to mitigate the risk of bank runs and contribute to an overall improvement in liquidity management practices. Furthermore, Basel III elevated the standards pertaining to the quality and quantity of capital that banks are obligated to retain. The emphasis on common equity as the primary form of capital, coupled with the imposition of higher capital buffers, has augmented the overall resilience of banks, fortifying their ability to withstand the impact of financial shocks</w:t>
      </w:r>
      <w:r w:rsidR="006B4CB0"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565979769"/>
          <w:citation/>
        </w:sdtPr>
        <w:sdtContent>
          <w:r w:rsidR="006B4CB0" w:rsidRPr="00526D87">
            <w:rPr>
              <w:rFonts w:ascii="Times New Roman" w:hAnsi="Times New Roman" w:cs="Times New Roman"/>
              <w:color w:val="000000" w:themeColor="text1"/>
              <w:sz w:val="24"/>
              <w:szCs w:val="24"/>
            </w:rPr>
            <w:fldChar w:fldCharType="begin"/>
          </w:r>
          <w:r w:rsidR="006B4CB0" w:rsidRPr="00526D87">
            <w:rPr>
              <w:rFonts w:ascii="Times New Roman" w:hAnsi="Times New Roman" w:cs="Times New Roman"/>
              <w:color w:val="000000" w:themeColor="text1"/>
              <w:sz w:val="24"/>
              <w:szCs w:val="24"/>
            </w:rPr>
            <w:instrText xml:space="preserve"> CITATION The15 \l 2057 </w:instrText>
          </w:r>
          <w:r w:rsidR="006B4CB0"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(The Global Treasurer, 2015)</w:t>
          </w:r>
          <w:r w:rsidR="006B4CB0" w:rsidRPr="00526D87">
            <w:rPr>
              <w:rFonts w:ascii="Times New Roman" w:hAnsi="Times New Roman" w:cs="Times New Roman"/>
              <w:color w:val="000000" w:themeColor="text1"/>
              <w:sz w:val="24"/>
              <w:szCs w:val="24"/>
            </w:rPr>
            <w:fldChar w:fldCharType="end"/>
          </w:r>
        </w:sdtContent>
      </w:sdt>
      <w:r w:rsidR="00F154A7" w:rsidRPr="00526D87">
        <w:rPr>
          <w:rFonts w:ascii="Times New Roman" w:hAnsi="Times New Roman" w:cs="Times New Roman"/>
          <w:color w:val="000000" w:themeColor="text1"/>
          <w:sz w:val="24"/>
          <w:szCs w:val="24"/>
        </w:rPr>
        <w:t>.</w:t>
      </w:r>
      <w:r w:rsidR="006938B2" w:rsidRPr="00526D87">
        <w:rPr>
          <w:rFonts w:ascii="Times New Roman" w:hAnsi="Times New Roman" w:cs="Times New Roman"/>
          <w:color w:val="000000" w:themeColor="text1"/>
          <w:sz w:val="24"/>
          <w:szCs w:val="24"/>
        </w:rPr>
        <w:t xml:space="preserve"> However, the Basel III reforms represent a pivotal response to the vulnerabilities exposed by the 2008 crisis. </w:t>
      </w:r>
      <w:r w:rsidR="006938B2" w:rsidRPr="00526D87">
        <w:rPr>
          <w:rFonts w:ascii="Times New Roman" w:hAnsi="Times New Roman" w:cs="Times New Roman"/>
          <w:color w:val="000000" w:themeColor="text1"/>
          <w:sz w:val="24"/>
          <w:szCs w:val="24"/>
        </w:rPr>
        <w:lastRenderedPageBreak/>
        <w:t>Through enhanced regulatory measures targeting liquidity risk, capital adequacy, and overall risk management, Basel III has significantly bolstered the stability of the financial system and the adaptive capacity of banking institutions in the face of economic uncertainties. The emphasis on fortifying foundational aspects of banking operations underscores the commitment to creating a more resilient and secure financial environment.</w:t>
      </w:r>
    </w:p>
    <w:p w14:paraId="67F8C64E" w14:textId="0149AF58" w:rsidR="00830058" w:rsidRPr="00526D87" w:rsidRDefault="000A677C"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b/>
          <w:bCs/>
          <w:i/>
          <w:iCs/>
          <w:color w:val="000000" w:themeColor="text1"/>
          <w:sz w:val="24"/>
          <w:szCs w:val="24"/>
        </w:rPr>
        <w:t>Bankin</w:t>
      </w:r>
      <w:r w:rsidR="003C3E2E" w:rsidRPr="00526D87">
        <w:rPr>
          <w:rFonts w:ascii="Times New Roman" w:hAnsi="Times New Roman" w:cs="Times New Roman"/>
          <w:b/>
          <w:bCs/>
          <w:i/>
          <w:iCs/>
          <w:color w:val="000000" w:themeColor="text1"/>
          <w:sz w:val="24"/>
          <w:szCs w:val="24"/>
        </w:rPr>
        <w:t>g Union (BU)</w:t>
      </w:r>
      <w:r w:rsidR="006F4E90" w:rsidRPr="00526D87">
        <w:rPr>
          <w:rFonts w:ascii="Times New Roman" w:hAnsi="Times New Roman" w:cs="Times New Roman"/>
          <w:b/>
          <w:bCs/>
          <w:i/>
          <w:iCs/>
          <w:color w:val="000000" w:themeColor="text1"/>
          <w:sz w:val="24"/>
          <w:szCs w:val="24"/>
        </w:rPr>
        <w:t xml:space="preserve">: </w:t>
      </w:r>
      <w:r w:rsidR="00F332EA" w:rsidRPr="00526D87">
        <w:rPr>
          <w:rFonts w:ascii="Times New Roman" w:hAnsi="Times New Roman" w:cs="Times New Roman"/>
          <w:color w:val="000000" w:themeColor="text1"/>
          <w:sz w:val="24"/>
          <w:szCs w:val="24"/>
        </w:rPr>
        <w:t>The Banking Union (BU) represents a significant reform initiative encompassing key provisions geared towards enhancing the resilience of banks operating within the European Union (EU) and fortifying the supervision of banks alongside their risk management practices. At its core, the BU aims to mitigate the bank-sovereign vicious circle, thereby augmenting the</w:t>
      </w:r>
      <w:r w:rsidR="00E55522" w:rsidRPr="00526D87">
        <w:rPr>
          <w:rFonts w:ascii="Times New Roman" w:hAnsi="Times New Roman" w:cs="Times New Roman"/>
          <w:color w:val="000000" w:themeColor="text1"/>
          <w:sz w:val="24"/>
          <w:szCs w:val="24"/>
        </w:rPr>
        <w:t xml:space="preserve"> overall security</w:t>
      </w:r>
      <w:r w:rsidR="00F332EA" w:rsidRPr="00526D87">
        <w:rPr>
          <w:rFonts w:ascii="Times New Roman" w:hAnsi="Times New Roman" w:cs="Times New Roman"/>
          <w:color w:val="000000" w:themeColor="text1"/>
          <w:sz w:val="24"/>
          <w:szCs w:val="24"/>
        </w:rPr>
        <w:t xml:space="preserve"> and s</w:t>
      </w:r>
      <w:r w:rsidR="00E55522" w:rsidRPr="00526D87">
        <w:rPr>
          <w:rFonts w:ascii="Times New Roman" w:hAnsi="Times New Roman" w:cs="Times New Roman"/>
          <w:color w:val="000000" w:themeColor="text1"/>
          <w:sz w:val="24"/>
          <w:szCs w:val="24"/>
        </w:rPr>
        <w:t>tability</w:t>
      </w:r>
      <w:r w:rsidR="00F332EA" w:rsidRPr="00526D87">
        <w:rPr>
          <w:rFonts w:ascii="Times New Roman" w:hAnsi="Times New Roman" w:cs="Times New Roman"/>
          <w:color w:val="000000" w:themeColor="text1"/>
          <w:sz w:val="24"/>
          <w:szCs w:val="24"/>
        </w:rPr>
        <w:t xml:space="preserve"> of the European </w:t>
      </w:r>
      <w:r w:rsidR="00E55522" w:rsidRPr="00526D87">
        <w:rPr>
          <w:rFonts w:ascii="Times New Roman" w:hAnsi="Times New Roman" w:cs="Times New Roman"/>
          <w:color w:val="000000" w:themeColor="text1"/>
          <w:sz w:val="24"/>
          <w:szCs w:val="24"/>
        </w:rPr>
        <w:t>financial</w:t>
      </w:r>
      <w:r w:rsidR="00F332EA" w:rsidRPr="00526D87">
        <w:rPr>
          <w:rFonts w:ascii="Times New Roman" w:hAnsi="Times New Roman" w:cs="Times New Roman"/>
          <w:color w:val="000000" w:themeColor="text1"/>
          <w:sz w:val="24"/>
          <w:szCs w:val="24"/>
        </w:rPr>
        <w:t xml:space="preserve"> s</w:t>
      </w:r>
      <w:r w:rsidR="00E55522" w:rsidRPr="00526D87">
        <w:rPr>
          <w:rFonts w:ascii="Times New Roman" w:hAnsi="Times New Roman" w:cs="Times New Roman"/>
          <w:color w:val="000000" w:themeColor="text1"/>
          <w:sz w:val="24"/>
          <w:szCs w:val="24"/>
        </w:rPr>
        <w:t>ector</w:t>
      </w:r>
      <w:r w:rsidR="00F332EA" w:rsidRPr="00526D87">
        <w:rPr>
          <w:rFonts w:ascii="Times New Roman" w:hAnsi="Times New Roman" w:cs="Times New Roman"/>
          <w:color w:val="000000" w:themeColor="text1"/>
          <w:sz w:val="24"/>
          <w:szCs w:val="24"/>
        </w:rPr>
        <w:t>. Two integral components comprise the BU: the Single Supervisory Mechanism and the Single Resolution Mechanism. The SSM entails the direct supervision of the largest banks operating in the Eurozone by the European Central Bank. This mechanism seeks to establish a uniform and rigorous oversight framework, contributing to the robust supervision of significant banks. Concurrently, the SRM was instituted with the primary objective of facilitating the orderly resolution of failing banks, thereby addressing the persistent challenge of the "too-big-to-fail" problem.</w:t>
      </w:r>
      <w:r w:rsidR="007249AA" w:rsidRPr="00526D87">
        <w:rPr>
          <w:rFonts w:ascii="Times New Roman" w:hAnsi="Times New Roman" w:cs="Times New Roman"/>
          <w:color w:val="000000" w:themeColor="text1"/>
          <w:sz w:val="24"/>
          <w:szCs w:val="24"/>
        </w:rPr>
        <w:t xml:space="preserve"> Furthermore, the overarching goals of the BU extend to the reinstatement of private liability within the banking sector. This strategic objective aims to reintroduce accountability and responsibility within the industry, aligning with broader efforts to cultivate a more transparent and responsible financial environment. Additionally, the BU aspires to propel the European banking sector towards a state of greater integration, fostering a harmonized and cohesive European single market in banking services</w:t>
      </w:r>
      <w:sdt>
        <w:sdtPr>
          <w:rPr>
            <w:rFonts w:ascii="Times New Roman" w:hAnsi="Times New Roman" w:cs="Times New Roman"/>
            <w:color w:val="000000" w:themeColor="text1"/>
            <w:sz w:val="24"/>
            <w:szCs w:val="24"/>
          </w:rPr>
          <w:id w:val="1767584367"/>
          <w:citation/>
        </w:sdtPr>
        <w:sdtContent>
          <w:r w:rsidR="00756927" w:rsidRPr="00526D87">
            <w:rPr>
              <w:rFonts w:ascii="Times New Roman" w:hAnsi="Times New Roman" w:cs="Times New Roman"/>
              <w:color w:val="000000" w:themeColor="text1"/>
              <w:sz w:val="24"/>
              <w:szCs w:val="24"/>
            </w:rPr>
            <w:fldChar w:fldCharType="begin"/>
          </w:r>
          <w:r w:rsidR="00756927" w:rsidRPr="00526D87">
            <w:rPr>
              <w:rFonts w:ascii="Times New Roman" w:hAnsi="Times New Roman" w:cs="Times New Roman"/>
              <w:color w:val="000000" w:themeColor="text1"/>
              <w:sz w:val="24"/>
              <w:szCs w:val="24"/>
            </w:rPr>
            <w:instrText xml:space="preserve"> CITATION Eur23 \l 2057 </w:instrText>
          </w:r>
          <w:r w:rsidR="00756927"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(European Council, 2023)</w:t>
          </w:r>
          <w:r w:rsidR="00756927" w:rsidRPr="00526D87">
            <w:rPr>
              <w:rFonts w:ascii="Times New Roman" w:hAnsi="Times New Roman" w:cs="Times New Roman"/>
              <w:color w:val="000000" w:themeColor="text1"/>
              <w:sz w:val="24"/>
              <w:szCs w:val="24"/>
            </w:rPr>
            <w:fldChar w:fldCharType="end"/>
          </w:r>
        </w:sdtContent>
      </w:sdt>
      <w:r w:rsidR="007249AA" w:rsidRPr="00526D87">
        <w:rPr>
          <w:rFonts w:ascii="Times New Roman" w:hAnsi="Times New Roman" w:cs="Times New Roman"/>
          <w:color w:val="000000" w:themeColor="text1"/>
          <w:sz w:val="24"/>
          <w:szCs w:val="24"/>
        </w:rPr>
        <w:t>.</w:t>
      </w:r>
      <w:r w:rsidR="00311BFB" w:rsidRPr="00526D87">
        <w:rPr>
          <w:rFonts w:ascii="Times New Roman" w:hAnsi="Times New Roman" w:cs="Times New Roman"/>
          <w:color w:val="000000" w:themeColor="text1"/>
          <w:sz w:val="24"/>
          <w:szCs w:val="24"/>
        </w:rPr>
        <w:t xml:space="preserve"> The Banking Union stands as a comprehensive reform initiative designed to fortify the resilience of EU banks, enhance supervisory frameworks, and tackle systemic issues within the European banking system. The incorporation of the SSM and SRM reflects a commitment to robust oversight and crisis management, while the broader objectives align with the principles of accountability, integration, and the creation of a unified banking market in Europe.</w:t>
      </w:r>
    </w:p>
    <w:p w14:paraId="7789DFF7" w14:textId="4143EBA7" w:rsidR="002C4E00" w:rsidRPr="00526D87" w:rsidRDefault="002C4E00" w:rsidP="002C4E00">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b/>
          <w:bCs/>
          <w:i/>
          <w:iCs/>
          <w:color w:val="000000" w:themeColor="text1"/>
          <w:sz w:val="24"/>
          <w:szCs w:val="24"/>
        </w:rPr>
        <w:t>European System of Financial Supervision (ESFS)</w:t>
      </w:r>
      <w:r w:rsidR="00870E7A" w:rsidRPr="00526D87">
        <w:rPr>
          <w:rFonts w:ascii="Times New Roman" w:hAnsi="Times New Roman" w:cs="Times New Roman"/>
          <w:b/>
          <w:bCs/>
          <w:i/>
          <w:iCs/>
          <w:color w:val="000000" w:themeColor="text1"/>
          <w:sz w:val="24"/>
          <w:szCs w:val="24"/>
        </w:rPr>
        <w:t>:</w:t>
      </w:r>
      <w:r w:rsidR="00870E7A" w:rsidRPr="00526D87">
        <w:rPr>
          <w:rFonts w:ascii="Times New Roman" w:hAnsi="Times New Roman" w:cs="Times New Roman"/>
          <w:color w:val="000000" w:themeColor="text1"/>
        </w:rPr>
        <w:t xml:space="preserve"> </w:t>
      </w:r>
      <w:r w:rsidR="00FB08CA" w:rsidRPr="00526D87">
        <w:rPr>
          <w:rFonts w:ascii="Times New Roman" w:hAnsi="Times New Roman" w:cs="Times New Roman"/>
          <w:color w:val="000000" w:themeColor="text1"/>
          <w:sz w:val="24"/>
          <w:szCs w:val="24"/>
        </w:rPr>
        <w:t xml:space="preserve">Following the 2008 financial crisis, the European System of Financial Supervision worked to stabilise the banking industry and the financial system by establishing the Single Supervisory Mechanism and the Single Resolution Mechanism. The SSM, which is focused on the European Central Bank, acts as the regulatory framework for the prudential supervision of banks in the eurozone. Its purpose is to strengthen bank supervision and regulation, which will increase the European banking industry's stability </w:t>
      </w:r>
      <w:r w:rsidR="00FB08CA" w:rsidRPr="00526D87">
        <w:rPr>
          <w:rFonts w:ascii="Times New Roman" w:hAnsi="Times New Roman" w:cs="Times New Roman"/>
          <w:color w:val="000000" w:themeColor="text1"/>
          <w:sz w:val="24"/>
          <w:szCs w:val="24"/>
        </w:rPr>
        <w:lastRenderedPageBreak/>
        <w:t xml:space="preserve">and resilience. The SRM, on the other hand, aims to end the "too-big-to-fail" problem by assuring the orderly resolution of failing banks. </w:t>
      </w:r>
      <w:r w:rsidR="00C80E72" w:rsidRPr="00526D87">
        <w:rPr>
          <w:rFonts w:ascii="Times New Roman" w:hAnsi="Times New Roman" w:cs="Times New Roman"/>
          <w:color w:val="000000" w:themeColor="text1"/>
          <w:sz w:val="24"/>
          <w:szCs w:val="24"/>
        </w:rPr>
        <w:t>By establishing in place these rules, the ESFS has enhanced bank supervision and resolution, lowering the likelihood of further financial crises and boosting system stability</w:t>
      </w:r>
      <w:sdt>
        <w:sdtPr>
          <w:rPr>
            <w:rFonts w:ascii="Times New Roman" w:hAnsi="Times New Roman" w:cs="Times New Roman"/>
            <w:color w:val="000000" w:themeColor="text1"/>
            <w:sz w:val="24"/>
            <w:szCs w:val="24"/>
          </w:rPr>
          <w:id w:val="1403724086"/>
          <w:citation/>
        </w:sdtPr>
        <w:sdtContent>
          <w:r w:rsidR="00C0200E" w:rsidRPr="00526D87">
            <w:rPr>
              <w:rFonts w:ascii="Times New Roman" w:hAnsi="Times New Roman" w:cs="Times New Roman"/>
              <w:color w:val="000000" w:themeColor="text1"/>
              <w:sz w:val="24"/>
              <w:szCs w:val="24"/>
            </w:rPr>
            <w:fldChar w:fldCharType="begin"/>
          </w:r>
          <w:r w:rsidR="00C0200E" w:rsidRPr="00526D87">
            <w:rPr>
              <w:rFonts w:ascii="Times New Roman" w:hAnsi="Times New Roman" w:cs="Times New Roman"/>
              <w:color w:val="000000" w:themeColor="text1"/>
              <w:sz w:val="24"/>
              <w:szCs w:val="24"/>
            </w:rPr>
            <w:instrText xml:space="preserve"> CITATION Hob23 \l 2057 </w:instrText>
          </w:r>
          <w:r w:rsidR="00C0200E"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(Hobelsberger, Kok, &amp; Mongelli, 2023)</w:t>
          </w:r>
          <w:r w:rsidR="00C0200E" w:rsidRPr="00526D87">
            <w:rPr>
              <w:rFonts w:ascii="Times New Roman" w:hAnsi="Times New Roman" w:cs="Times New Roman"/>
              <w:color w:val="000000" w:themeColor="text1"/>
              <w:sz w:val="24"/>
              <w:szCs w:val="24"/>
            </w:rPr>
            <w:fldChar w:fldCharType="end"/>
          </w:r>
        </w:sdtContent>
      </w:sdt>
      <w:r w:rsidR="00D05F85" w:rsidRPr="00526D87">
        <w:rPr>
          <w:rFonts w:ascii="Times New Roman" w:hAnsi="Times New Roman" w:cs="Times New Roman"/>
          <w:color w:val="000000" w:themeColor="text1"/>
          <w:sz w:val="24"/>
          <w:szCs w:val="24"/>
        </w:rPr>
        <w:t>.</w:t>
      </w:r>
    </w:p>
    <w:p w14:paraId="3E57B3A2" w14:textId="2A76E108" w:rsidR="007C7707" w:rsidRPr="00526D87" w:rsidRDefault="000162B0" w:rsidP="0013494B">
      <w:pPr>
        <w:pStyle w:val="Heading1"/>
        <w:rPr>
          <w:color w:val="000000" w:themeColor="text1"/>
        </w:rPr>
      </w:pPr>
      <w:bookmarkStart w:id="6" w:name="_Toc155313186"/>
      <w:r w:rsidRPr="00526D87">
        <w:rPr>
          <w:color w:val="000000" w:themeColor="text1"/>
        </w:rPr>
        <w:t xml:space="preserve">Impacts of </w:t>
      </w:r>
      <w:r w:rsidR="009A0E6F" w:rsidRPr="00526D87">
        <w:rPr>
          <w:color w:val="000000" w:themeColor="text1"/>
        </w:rPr>
        <w:t xml:space="preserve">the </w:t>
      </w:r>
      <w:r w:rsidR="003D56F0" w:rsidRPr="00526D87">
        <w:rPr>
          <w:color w:val="000000" w:themeColor="text1"/>
        </w:rPr>
        <w:t>Post-2008 Cris</w:t>
      </w:r>
      <w:r w:rsidR="00E351C6" w:rsidRPr="00526D87">
        <w:rPr>
          <w:color w:val="000000" w:themeColor="text1"/>
        </w:rPr>
        <w:t>e</w:t>
      </w:r>
      <w:r w:rsidR="003D56F0" w:rsidRPr="00526D87">
        <w:rPr>
          <w:color w:val="000000" w:themeColor="text1"/>
        </w:rPr>
        <w:t xml:space="preserve">s </w:t>
      </w:r>
      <w:r w:rsidR="007C7A74" w:rsidRPr="00526D87">
        <w:rPr>
          <w:color w:val="000000" w:themeColor="text1"/>
        </w:rPr>
        <w:t>R</w:t>
      </w:r>
      <w:r w:rsidR="00644714" w:rsidRPr="00526D87">
        <w:rPr>
          <w:color w:val="000000" w:themeColor="text1"/>
        </w:rPr>
        <w:t xml:space="preserve">eforms </w:t>
      </w:r>
      <w:r w:rsidR="009A0E6F" w:rsidRPr="00526D87">
        <w:rPr>
          <w:color w:val="000000" w:themeColor="text1"/>
        </w:rPr>
        <w:t xml:space="preserve">on the Business </w:t>
      </w:r>
      <w:r w:rsidR="001D61F1" w:rsidRPr="00526D87">
        <w:rPr>
          <w:color w:val="000000" w:themeColor="text1"/>
        </w:rPr>
        <w:t>Model</w:t>
      </w:r>
      <w:r w:rsidR="009A0E6F" w:rsidRPr="00526D87">
        <w:rPr>
          <w:color w:val="000000" w:themeColor="text1"/>
        </w:rPr>
        <w:t xml:space="preserve"> of JPMorgan</w:t>
      </w:r>
      <w:r w:rsidR="003E5C6B" w:rsidRPr="00526D87">
        <w:rPr>
          <w:color w:val="000000" w:themeColor="text1"/>
        </w:rPr>
        <w:t xml:space="preserve"> Chase &amp; Co.</w:t>
      </w:r>
      <w:bookmarkEnd w:id="6"/>
    </w:p>
    <w:p w14:paraId="14D574B5" w14:textId="62AB797B" w:rsidR="00FF5081" w:rsidRPr="00526D87" w:rsidRDefault="001709F0" w:rsidP="002C4E00">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The Dodd-Frank Act has exerted a substantial influence on the business paradigms of JPMorgan, particularly within the realms of financial restructuring and safeguarding consumer interests. Enacted as a comprehensive response to the tumultuous events of the 2008 financial crisis, this legislation introduced sweeping and transformative reforms within the financial industry. One specific facet of the Dodd-Frank Act that has left an indelible mark on JPMorgan's operations is the Volcker Rule, designed to eradicate "proprietary trading"</w:t>
      </w:r>
      <w:r w:rsidR="00962CEB"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19131032"/>
          <w:citation/>
        </w:sdtPr>
        <w:sdtContent>
          <w:r w:rsidR="00962CEB" w:rsidRPr="00526D87">
            <w:rPr>
              <w:rFonts w:ascii="Times New Roman" w:hAnsi="Times New Roman" w:cs="Times New Roman"/>
              <w:color w:val="000000" w:themeColor="text1"/>
              <w:sz w:val="24"/>
              <w:szCs w:val="24"/>
            </w:rPr>
            <w:fldChar w:fldCharType="begin"/>
          </w:r>
          <w:r w:rsidR="00BF15CE" w:rsidRPr="00526D87">
            <w:rPr>
              <w:rFonts w:ascii="Times New Roman" w:hAnsi="Times New Roman" w:cs="Times New Roman"/>
              <w:color w:val="000000" w:themeColor="text1"/>
              <w:sz w:val="24"/>
              <w:szCs w:val="24"/>
            </w:rPr>
            <w:instrText xml:space="preserve">CITATION All17 \l 2057 </w:instrText>
          </w:r>
          <w:r w:rsidR="00962CEB"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(Allayannis &amp; Risell, 2017)</w:t>
          </w:r>
          <w:r w:rsidR="00962CEB" w:rsidRPr="00526D87">
            <w:rPr>
              <w:rFonts w:ascii="Times New Roman" w:hAnsi="Times New Roman" w:cs="Times New Roman"/>
              <w:color w:val="000000" w:themeColor="text1"/>
              <w:sz w:val="24"/>
              <w:szCs w:val="24"/>
            </w:rPr>
            <w:fldChar w:fldCharType="end"/>
          </w:r>
        </w:sdtContent>
      </w:sdt>
      <w:r w:rsidR="00FF372A" w:rsidRPr="00526D87">
        <w:rPr>
          <w:rFonts w:ascii="Times New Roman" w:hAnsi="Times New Roman" w:cs="Times New Roman"/>
          <w:color w:val="000000" w:themeColor="text1"/>
          <w:sz w:val="24"/>
          <w:szCs w:val="24"/>
        </w:rPr>
        <w:t>. The announcement of a $2 billion trading loss by JPMorgan highlights the difficulties involved in implementing regulatory changes of this nature and provides an immediate example of the consequences of the Volcker Rule</w:t>
      </w:r>
      <w:r w:rsidR="003D636B"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66713922"/>
          <w:citation/>
        </w:sdtPr>
        <w:sdtContent>
          <w:r w:rsidR="003D636B" w:rsidRPr="00526D87">
            <w:rPr>
              <w:rFonts w:ascii="Times New Roman" w:hAnsi="Times New Roman" w:cs="Times New Roman"/>
              <w:color w:val="000000" w:themeColor="text1"/>
              <w:sz w:val="24"/>
              <w:szCs w:val="24"/>
            </w:rPr>
            <w:fldChar w:fldCharType="begin"/>
          </w:r>
          <w:r w:rsidR="003D636B" w:rsidRPr="00526D87">
            <w:rPr>
              <w:rFonts w:ascii="Times New Roman" w:hAnsi="Times New Roman" w:cs="Times New Roman"/>
              <w:color w:val="000000" w:themeColor="text1"/>
              <w:sz w:val="24"/>
              <w:szCs w:val="24"/>
            </w:rPr>
            <w:instrText xml:space="preserve"> CITATION Ell12 \l 2057 </w:instrText>
          </w:r>
          <w:r w:rsidR="003D636B"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(Elliott, 2012)</w:t>
          </w:r>
          <w:r w:rsidR="003D636B" w:rsidRPr="00526D87">
            <w:rPr>
              <w:rFonts w:ascii="Times New Roman" w:hAnsi="Times New Roman" w:cs="Times New Roman"/>
              <w:color w:val="000000" w:themeColor="text1"/>
              <w:sz w:val="24"/>
              <w:szCs w:val="24"/>
            </w:rPr>
            <w:fldChar w:fldCharType="end"/>
          </w:r>
        </w:sdtContent>
      </w:sdt>
      <w:r w:rsidR="00FF372A" w:rsidRPr="00526D87">
        <w:rPr>
          <w:rFonts w:ascii="Times New Roman" w:hAnsi="Times New Roman" w:cs="Times New Roman"/>
          <w:color w:val="000000" w:themeColor="text1"/>
          <w:sz w:val="24"/>
          <w:szCs w:val="24"/>
        </w:rPr>
        <w:t>.</w:t>
      </w:r>
      <w:r w:rsidR="0034057F" w:rsidRPr="00526D87">
        <w:rPr>
          <w:rFonts w:ascii="Times New Roman" w:hAnsi="Times New Roman" w:cs="Times New Roman"/>
          <w:color w:val="000000" w:themeColor="text1"/>
          <w:sz w:val="24"/>
          <w:szCs w:val="24"/>
        </w:rPr>
        <w:t xml:space="preserve"> </w:t>
      </w:r>
      <w:r w:rsidR="00FF5081" w:rsidRPr="00526D87">
        <w:rPr>
          <w:rFonts w:ascii="Times New Roman" w:hAnsi="Times New Roman" w:cs="Times New Roman"/>
          <w:color w:val="000000" w:themeColor="text1"/>
          <w:sz w:val="24"/>
          <w:szCs w:val="24"/>
        </w:rPr>
        <w:t>Moreover, JPMorgan is obligated to undertake annual stress tests in adherence to the provisions delineated in the Dodd-Frank Act. The disclosure of the 2023 Annual Dodd-Frank Act Stress Test Results encapsulates the outcomes derived from the said stress test, a mandatory undertaking for JPMorgan Chase &amp; Co. as stipulated by the regulatory framework established by the Board of Governors of the Federal Reserve</w:t>
      </w:r>
      <w:sdt>
        <w:sdtPr>
          <w:rPr>
            <w:rFonts w:ascii="Times New Roman" w:hAnsi="Times New Roman" w:cs="Times New Roman"/>
            <w:color w:val="000000" w:themeColor="text1"/>
            <w:sz w:val="24"/>
            <w:szCs w:val="24"/>
          </w:rPr>
          <w:id w:val="722716227"/>
          <w:citation/>
        </w:sdtPr>
        <w:sdtContent>
          <w:r w:rsidR="00FF5081" w:rsidRPr="00526D87">
            <w:rPr>
              <w:rFonts w:ascii="Times New Roman" w:hAnsi="Times New Roman" w:cs="Times New Roman"/>
              <w:color w:val="000000" w:themeColor="text1"/>
              <w:sz w:val="24"/>
              <w:szCs w:val="24"/>
            </w:rPr>
            <w:fldChar w:fldCharType="begin"/>
          </w:r>
          <w:r w:rsidR="00D04731" w:rsidRPr="00526D87">
            <w:rPr>
              <w:rFonts w:ascii="Times New Roman" w:hAnsi="Times New Roman" w:cs="Times New Roman"/>
              <w:color w:val="000000" w:themeColor="text1"/>
              <w:sz w:val="24"/>
              <w:szCs w:val="24"/>
            </w:rPr>
            <w:instrText xml:space="preserve">CITATION JPM23 \l 2057 </w:instrText>
          </w:r>
          <w:r w:rsidR="00FF5081"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(JPMorgan Chase &amp; Co., 2023)</w:t>
          </w:r>
          <w:r w:rsidR="00FF5081" w:rsidRPr="00526D87">
            <w:rPr>
              <w:rFonts w:ascii="Times New Roman" w:hAnsi="Times New Roman" w:cs="Times New Roman"/>
              <w:color w:val="000000" w:themeColor="text1"/>
              <w:sz w:val="24"/>
              <w:szCs w:val="24"/>
            </w:rPr>
            <w:fldChar w:fldCharType="end"/>
          </w:r>
        </w:sdtContent>
      </w:sdt>
      <w:r w:rsidR="00FF5081" w:rsidRPr="00526D87">
        <w:rPr>
          <w:rFonts w:ascii="Times New Roman" w:hAnsi="Times New Roman" w:cs="Times New Roman"/>
          <w:color w:val="000000" w:themeColor="text1"/>
          <w:sz w:val="24"/>
          <w:szCs w:val="24"/>
        </w:rPr>
        <w:t>.</w:t>
      </w:r>
    </w:p>
    <w:p w14:paraId="66535750" w14:textId="03D84B16" w:rsidR="002D403C" w:rsidRPr="00526D87" w:rsidRDefault="002D403C" w:rsidP="002C4E00">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In essence, the Dodd-Frank Act has </w:t>
      </w:r>
      <w:r w:rsidR="00B377F9" w:rsidRPr="00526D87">
        <w:rPr>
          <w:rFonts w:ascii="Times New Roman" w:hAnsi="Times New Roman" w:cs="Times New Roman"/>
          <w:color w:val="000000" w:themeColor="text1"/>
          <w:sz w:val="24"/>
          <w:szCs w:val="24"/>
        </w:rPr>
        <w:t>staged</w:t>
      </w:r>
      <w:r w:rsidRPr="00526D87">
        <w:rPr>
          <w:rFonts w:ascii="Times New Roman" w:hAnsi="Times New Roman" w:cs="Times New Roman"/>
          <w:color w:val="000000" w:themeColor="text1"/>
          <w:sz w:val="24"/>
          <w:szCs w:val="24"/>
        </w:rPr>
        <w:t xml:space="preserve"> a transformative impact on </w:t>
      </w:r>
      <w:r w:rsidR="007224C7" w:rsidRPr="00526D87">
        <w:rPr>
          <w:rFonts w:ascii="Times New Roman" w:hAnsi="Times New Roman" w:cs="Times New Roman"/>
          <w:color w:val="000000" w:themeColor="text1"/>
          <w:sz w:val="24"/>
          <w:szCs w:val="24"/>
        </w:rPr>
        <w:t xml:space="preserve">JPMorgan’s operating model </w:t>
      </w:r>
      <w:r w:rsidRPr="00526D87">
        <w:rPr>
          <w:rFonts w:ascii="Times New Roman" w:hAnsi="Times New Roman" w:cs="Times New Roman"/>
          <w:color w:val="000000" w:themeColor="text1"/>
          <w:sz w:val="24"/>
          <w:szCs w:val="24"/>
        </w:rPr>
        <w:t>through various regulatory measures, notably the Volcker Rule and the mandated annual stress tests. These regulatory imperatives have been strategically designed to fortify the stability and oversight mechanisms governing the financial landscape in the United States.</w:t>
      </w:r>
    </w:p>
    <w:p w14:paraId="4E3735DE" w14:textId="23A93710" w:rsidR="001B2EB7" w:rsidRPr="00526D87" w:rsidRDefault="000E0FFF" w:rsidP="002C4E00">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Pr</w:t>
      </w:r>
      <w:r w:rsidR="00BC524D" w:rsidRPr="00526D87">
        <w:rPr>
          <w:rFonts w:ascii="Times New Roman" w:hAnsi="Times New Roman" w:cs="Times New Roman"/>
          <w:b/>
          <w:bCs/>
          <w:i/>
          <w:iCs/>
          <w:color w:val="000000" w:themeColor="text1"/>
          <w:sz w:val="24"/>
          <w:szCs w:val="24"/>
        </w:rPr>
        <w:t>e-Global Financial Crises of JP Morgan Chase &amp; Co.</w:t>
      </w:r>
    </w:p>
    <w:p w14:paraId="7441BE48" w14:textId="6E97CD07" w:rsidR="00AB5C6D" w:rsidRPr="00526D87" w:rsidRDefault="004E03F5" w:rsidP="0020526A">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JPMorgan Chase &amp; Co., a financial institution with its headquarters situated in New York City, assumed a pivotal role in the period preceding the financial crisis of 2008. This epoch was characteri</w:t>
      </w:r>
      <w:r w:rsidR="00970B0C" w:rsidRPr="00526D87">
        <w:rPr>
          <w:rFonts w:ascii="Times New Roman" w:hAnsi="Times New Roman" w:cs="Times New Roman"/>
          <w:color w:val="000000" w:themeColor="text1"/>
          <w:sz w:val="24"/>
          <w:szCs w:val="24"/>
        </w:rPr>
        <w:t>s</w:t>
      </w:r>
      <w:r w:rsidRPr="00526D87">
        <w:rPr>
          <w:rFonts w:ascii="Times New Roman" w:hAnsi="Times New Roman" w:cs="Times New Roman"/>
          <w:color w:val="000000" w:themeColor="text1"/>
          <w:sz w:val="24"/>
          <w:szCs w:val="24"/>
        </w:rPr>
        <w:t>ed by the emergence of challenges that affected JPMorgan, akin to the experiences encountered by numerous other banks during the same turbulent period. The institution grappled with the multifaceted implications and consequences of the crises that unfolded in the financial landscape.</w:t>
      </w:r>
    </w:p>
    <w:p w14:paraId="40C3A4CE" w14:textId="31737851" w:rsidR="001210CB" w:rsidRPr="00526D87" w:rsidRDefault="001210CB" w:rsidP="0020526A">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lastRenderedPageBreak/>
        <w:t xml:space="preserve">In 2000, J.P. Morgan &amp; Co. merged with Chase Manhattan Corporation to form JPMorgan Chase &amp; Co. and in 2004, JPMorgan chase &amp; Co. merged with Bank one </w:t>
      </w:r>
      <w:sdt>
        <w:sdtPr>
          <w:rPr>
            <w:rFonts w:ascii="Times New Roman" w:hAnsi="Times New Roman" w:cs="Times New Roman"/>
            <w:color w:val="000000" w:themeColor="text1"/>
            <w:sz w:val="24"/>
            <w:szCs w:val="24"/>
          </w:rPr>
          <w:id w:val="834723411"/>
          <w:citation/>
        </w:sdtPr>
        <w:sdtContent>
          <w:r w:rsidRPr="00526D87">
            <w:rPr>
              <w:rFonts w:ascii="Times New Roman" w:hAnsi="Times New Roman" w:cs="Times New Roman"/>
              <w:color w:val="000000" w:themeColor="text1"/>
              <w:sz w:val="24"/>
              <w:szCs w:val="24"/>
            </w:rPr>
            <w:fldChar w:fldCharType="begin"/>
          </w:r>
          <w:r w:rsidRPr="00526D87">
            <w:rPr>
              <w:rFonts w:ascii="Times New Roman" w:hAnsi="Times New Roman" w:cs="Times New Roman"/>
              <w:color w:val="000000" w:themeColor="text1"/>
              <w:sz w:val="24"/>
              <w:szCs w:val="24"/>
            </w:rPr>
            <w:instrText xml:space="preserve"> CITATION JPM231 \l 2057 </w:instrText>
          </w:r>
          <w:r w:rsidRPr="00526D87">
            <w:rPr>
              <w:rFonts w:ascii="Times New Roman" w:hAnsi="Times New Roman" w:cs="Times New Roman"/>
              <w:color w:val="000000" w:themeColor="text1"/>
              <w:sz w:val="24"/>
              <w:szCs w:val="24"/>
            </w:rPr>
            <w:fldChar w:fldCharType="separate"/>
          </w:r>
          <w:r w:rsidRPr="00526D87">
            <w:rPr>
              <w:rFonts w:ascii="Times New Roman" w:hAnsi="Times New Roman" w:cs="Times New Roman"/>
              <w:noProof/>
              <w:color w:val="000000" w:themeColor="text1"/>
              <w:sz w:val="24"/>
              <w:szCs w:val="24"/>
            </w:rPr>
            <w:t>(JPMorgan Chase &amp; Co., 2023)</w:t>
          </w:r>
          <w:r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p>
    <w:p w14:paraId="0A5CEFF2" w14:textId="1B9F21AC" w:rsidR="006A7DF2" w:rsidRPr="00526D87" w:rsidRDefault="007223FE" w:rsidP="002C4E00">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In the years preceding the financial crisis, JPMorgan, alongside other major financial institutions, participated in precarious lending practices and the bundling of mortgage-backed securities. These practices played a contributory role in the inflation of the housing bubble and the subsequent destabilization of the subprime mortgage market.</w:t>
      </w:r>
    </w:p>
    <w:p w14:paraId="4C11BB64" w14:textId="13383E52" w:rsidR="00290A69" w:rsidRPr="00526D87" w:rsidRDefault="0040692C" w:rsidP="002C4E00">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A paramount occurrence involving JPMorgan prior to the financial crisis was its acquisition of Bear Stearns</w:t>
      </w:r>
      <w:r w:rsidR="00E55522" w:rsidRPr="00526D87">
        <w:rPr>
          <w:rFonts w:ascii="Times New Roman" w:hAnsi="Times New Roman" w:cs="Times New Roman"/>
          <w:color w:val="000000" w:themeColor="text1"/>
          <w:sz w:val="24"/>
          <w:szCs w:val="24"/>
        </w:rPr>
        <w:t xml:space="preserve"> </w:t>
      </w:r>
      <w:r w:rsidR="00617780" w:rsidRPr="00526D87">
        <w:rPr>
          <w:rFonts w:ascii="Times New Roman" w:hAnsi="Times New Roman" w:cs="Times New Roman"/>
          <w:color w:val="000000" w:themeColor="text1"/>
          <w:sz w:val="24"/>
          <w:szCs w:val="24"/>
        </w:rPr>
        <w:t>and</w:t>
      </w:r>
      <w:r w:rsidR="00677EA6" w:rsidRPr="00526D87">
        <w:rPr>
          <w:rFonts w:ascii="Times New Roman" w:hAnsi="Times New Roman" w:cs="Times New Roman"/>
          <w:color w:val="000000" w:themeColor="text1"/>
          <w:sz w:val="24"/>
          <w:szCs w:val="24"/>
        </w:rPr>
        <w:t xml:space="preserve"> </w:t>
      </w:r>
      <w:r w:rsidR="008728D9" w:rsidRPr="00526D87">
        <w:rPr>
          <w:rFonts w:ascii="Times New Roman" w:hAnsi="Times New Roman" w:cs="Times New Roman"/>
          <w:color w:val="000000" w:themeColor="text1"/>
          <w:sz w:val="24"/>
          <w:szCs w:val="24"/>
        </w:rPr>
        <w:t xml:space="preserve">Washington </w:t>
      </w:r>
      <w:r w:rsidR="006C4B3D" w:rsidRPr="00526D87">
        <w:rPr>
          <w:rFonts w:ascii="Times New Roman" w:hAnsi="Times New Roman" w:cs="Times New Roman"/>
          <w:color w:val="000000" w:themeColor="text1"/>
          <w:sz w:val="24"/>
          <w:szCs w:val="24"/>
        </w:rPr>
        <w:t>Mutual</w:t>
      </w:r>
      <w:r w:rsidR="00617780" w:rsidRPr="00526D87">
        <w:rPr>
          <w:rFonts w:ascii="Times New Roman" w:hAnsi="Times New Roman" w:cs="Times New Roman"/>
          <w:color w:val="000000" w:themeColor="text1"/>
          <w:sz w:val="24"/>
          <w:szCs w:val="24"/>
        </w:rPr>
        <w:t xml:space="preserve"> </w:t>
      </w:r>
      <w:r w:rsidRPr="00526D87">
        <w:rPr>
          <w:rFonts w:ascii="Times New Roman" w:hAnsi="Times New Roman" w:cs="Times New Roman"/>
          <w:color w:val="000000" w:themeColor="text1"/>
          <w:sz w:val="24"/>
          <w:szCs w:val="24"/>
        </w:rPr>
        <w:t xml:space="preserve"> in 2008. During this period, Bear Stearns encountered acute liquidity challenges attributed to its substantial exposure to subprime mortgages. JPMorgan intervened by entering into an agreement to acquire Bear Stearns, a transaction facilitated with backing from the Federal Reserve Bank</w:t>
      </w:r>
      <w:r w:rsidR="00672FBD" w:rsidRPr="00526D8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70920289"/>
          <w:citation/>
        </w:sdtPr>
        <w:sdtContent>
          <w:r w:rsidR="00672FBD" w:rsidRPr="00526D87">
            <w:rPr>
              <w:rFonts w:ascii="Times New Roman" w:hAnsi="Times New Roman" w:cs="Times New Roman"/>
              <w:color w:val="000000" w:themeColor="text1"/>
              <w:sz w:val="24"/>
              <w:szCs w:val="24"/>
            </w:rPr>
            <w:fldChar w:fldCharType="begin"/>
          </w:r>
          <w:r w:rsidR="00672FBD" w:rsidRPr="00526D87">
            <w:rPr>
              <w:rFonts w:ascii="Times New Roman" w:hAnsi="Times New Roman" w:cs="Times New Roman"/>
              <w:color w:val="000000" w:themeColor="text1"/>
              <w:sz w:val="24"/>
              <w:szCs w:val="24"/>
            </w:rPr>
            <w:instrText xml:space="preserve"> CITATION JPM231 \l 2057 </w:instrText>
          </w:r>
          <w:r w:rsidR="00672FBD"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(JPMorgan Chase &amp; Co., 2023)</w:t>
          </w:r>
          <w:r w:rsidR="00672FBD"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p>
    <w:p w14:paraId="0E1580CF" w14:textId="4C598F54" w:rsidR="0033324F" w:rsidRPr="00526D87" w:rsidRDefault="009C6EE3" w:rsidP="002C4E00">
      <w:pPr>
        <w:spacing w:line="360" w:lineRule="auto"/>
        <w:jc w:val="both"/>
        <w:rPr>
          <w:rFonts w:ascii="Times New Roman" w:hAnsi="Times New Roman" w:cs="Times New Roman"/>
          <w:b/>
          <w:bCs/>
          <w:i/>
          <w:iCs/>
          <w:color w:val="000000" w:themeColor="text1"/>
          <w:sz w:val="24"/>
          <w:szCs w:val="24"/>
        </w:rPr>
      </w:pPr>
      <w:r w:rsidRPr="00526D87">
        <w:rPr>
          <w:rFonts w:ascii="Times New Roman" w:hAnsi="Times New Roman" w:cs="Times New Roman"/>
          <w:b/>
          <w:bCs/>
          <w:i/>
          <w:iCs/>
          <w:color w:val="000000" w:themeColor="text1"/>
          <w:sz w:val="24"/>
          <w:szCs w:val="24"/>
        </w:rPr>
        <w:t>Post-Global Financial Crises of JP Morgan Chase &amp; Co.</w:t>
      </w:r>
    </w:p>
    <w:p w14:paraId="2ADAC763" w14:textId="28EFE13E" w:rsidR="003C5EE8" w:rsidRPr="00526D87" w:rsidRDefault="003C5EE8" w:rsidP="002C4E00">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Following the Global Financial Crisis of 2008, JPMorgan Chase underwent a transformative period marked by both challenges and strategic adaptations. The aftermath of the crisis saw significant shifts in regulatory frameworks, market dynamics, and public perception, all of which influenced JPMorgan's trajectory.</w:t>
      </w:r>
      <w:r w:rsidR="007A2233" w:rsidRPr="00526D87">
        <w:rPr>
          <w:rFonts w:ascii="Times New Roman" w:hAnsi="Times New Roman" w:cs="Times New Roman"/>
          <w:color w:val="000000" w:themeColor="text1"/>
          <w:sz w:val="24"/>
          <w:szCs w:val="24"/>
        </w:rPr>
        <w:t xml:space="preserve"> </w:t>
      </w:r>
      <w:r w:rsidR="00223401" w:rsidRPr="00526D87">
        <w:rPr>
          <w:rFonts w:ascii="Times New Roman" w:hAnsi="Times New Roman" w:cs="Times New Roman"/>
          <w:color w:val="000000" w:themeColor="text1"/>
          <w:sz w:val="24"/>
          <w:szCs w:val="24"/>
        </w:rPr>
        <w:t>The implementation of the Dodd-Frank Act resulted in significant modifications to the regulatory landscape.</w:t>
      </w:r>
      <w:r w:rsidR="007A2233" w:rsidRPr="00526D87">
        <w:rPr>
          <w:rFonts w:ascii="Times New Roman" w:hAnsi="Times New Roman" w:cs="Times New Roman"/>
          <w:color w:val="000000" w:themeColor="text1"/>
          <w:sz w:val="24"/>
          <w:szCs w:val="24"/>
        </w:rPr>
        <w:t xml:space="preserve"> JPMorgan, being a systemically important financial institution, became subject to rigorous stress testing and heightened regulatory scrutiny. Compliance with regulatory frameworks became a focal point, and the bank undertook measures to enhance risk management, transparency, and adherence to evolving regulatory standards.</w:t>
      </w:r>
    </w:p>
    <w:p w14:paraId="4F7DE09A" w14:textId="493BC398" w:rsidR="009E50B7" w:rsidRPr="00526D87" w:rsidRDefault="00175629" w:rsidP="00D108C9">
      <w:pPr>
        <w:spacing w:line="360" w:lineRule="auto"/>
        <w:jc w:val="both"/>
        <w:rPr>
          <w:rFonts w:ascii="Times New Roman" w:hAnsi="Times New Roman" w:cs="Times New Roman"/>
          <w:color w:val="000000" w:themeColor="text1"/>
          <w:sz w:val="24"/>
          <w:szCs w:val="24"/>
        </w:rPr>
      </w:pPr>
      <w:r w:rsidRPr="00526D87">
        <w:rPr>
          <w:rFonts w:ascii="Times New Roman" w:hAnsi="Times New Roman" w:cs="Times New Roman"/>
          <w:color w:val="000000" w:themeColor="text1"/>
          <w:sz w:val="24"/>
          <w:szCs w:val="24"/>
        </w:rPr>
        <w:t xml:space="preserve">The implementation of the Volcker Rule, a key provision of the Dodd-Frank Act, impacted JPMorgan's proprietary trading activities. </w:t>
      </w:r>
      <w:r w:rsidR="00A34359" w:rsidRPr="00526D87">
        <w:rPr>
          <w:rFonts w:ascii="Times New Roman" w:hAnsi="Times New Roman" w:cs="Times New Roman"/>
          <w:color w:val="000000" w:themeColor="text1"/>
          <w:sz w:val="24"/>
          <w:szCs w:val="24"/>
        </w:rPr>
        <w:t xml:space="preserve">The bank modified its business strategies to comply with the rule's requirements, which were designed to prevent huge banking groups from absorbing excessive hazards. </w:t>
      </w:r>
      <w:sdt>
        <w:sdtPr>
          <w:rPr>
            <w:rFonts w:ascii="Times New Roman" w:hAnsi="Times New Roman" w:cs="Times New Roman"/>
            <w:color w:val="000000" w:themeColor="text1"/>
            <w:sz w:val="24"/>
            <w:szCs w:val="24"/>
          </w:rPr>
          <w:id w:val="-852878036"/>
          <w:citation/>
        </w:sdtPr>
        <w:sdtContent>
          <w:r w:rsidR="00B51EDF" w:rsidRPr="00526D87">
            <w:rPr>
              <w:rFonts w:ascii="Times New Roman" w:hAnsi="Times New Roman" w:cs="Times New Roman"/>
              <w:color w:val="000000" w:themeColor="text1"/>
              <w:sz w:val="24"/>
              <w:szCs w:val="24"/>
            </w:rPr>
            <w:fldChar w:fldCharType="begin"/>
          </w:r>
          <w:r w:rsidR="00BF15CE" w:rsidRPr="00526D87">
            <w:rPr>
              <w:rFonts w:ascii="Times New Roman" w:hAnsi="Times New Roman" w:cs="Times New Roman"/>
              <w:color w:val="000000" w:themeColor="text1"/>
              <w:sz w:val="24"/>
              <w:szCs w:val="24"/>
            </w:rPr>
            <w:instrText xml:space="preserve">CITATION All17 \l 2057 </w:instrText>
          </w:r>
          <w:r w:rsidR="00B51EDF" w:rsidRPr="00526D87">
            <w:rPr>
              <w:rFonts w:ascii="Times New Roman" w:hAnsi="Times New Roman" w:cs="Times New Roman"/>
              <w:color w:val="000000" w:themeColor="text1"/>
              <w:sz w:val="24"/>
              <w:szCs w:val="24"/>
            </w:rPr>
            <w:fldChar w:fldCharType="separate"/>
          </w:r>
          <w:r w:rsidR="00BF15CE" w:rsidRPr="00526D87">
            <w:rPr>
              <w:rFonts w:ascii="Times New Roman" w:hAnsi="Times New Roman" w:cs="Times New Roman"/>
              <w:noProof/>
              <w:color w:val="000000" w:themeColor="text1"/>
              <w:sz w:val="24"/>
              <w:szCs w:val="24"/>
            </w:rPr>
            <w:t xml:space="preserve"> (Allayannis &amp; Risell, 2017)</w:t>
          </w:r>
          <w:r w:rsidR="00B51EDF" w:rsidRPr="00526D87">
            <w:rPr>
              <w:rFonts w:ascii="Times New Roman" w:hAnsi="Times New Roman" w:cs="Times New Roman"/>
              <w:color w:val="000000" w:themeColor="text1"/>
              <w:sz w:val="24"/>
              <w:szCs w:val="24"/>
            </w:rPr>
            <w:fldChar w:fldCharType="end"/>
          </w:r>
        </w:sdtContent>
      </w:sdt>
      <w:r w:rsidRPr="00526D87">
        <w:rPr>
          <w:rFonts w:ascii="Times New Roman" w:hAnsi="Times New Roman" w:cs="Times New Roman"/>
          <w:color w:val="000000" w:themeColor="text1"/>
          <w:sz w:val="24"/>
          <w:szCs w:val="24"/>
        </w:rPr>
        <w:t>.</w:t>
      </w:r>
      <w:r w:rsidR="00A54AF0" w:rsidRPr="00526D87">
        <w:rPr>
          <w:rFonts w:ascii="Times New Roman" w:hAnsi="Times New Roman" w:cs="Times New Roman"/>
          <w:color w:val="000000" w:themeColor="text1"/>
          <w:sz w:val="24"/>
          <w:szCs w:val="24"/>
        </w:rPr>
        <w:t xml:space="preserve"> </w:t>
      </w:r>
      <w:r w:rsidR="00A34359" w:rsidRPr="00526D87">
        <w:rPr>
          <w:rFonts w:ascii="Times New Roman" w:hAnsi="Times New Roman" w:cs="Times New Roman"/>
          <w:color w:val="000000" w:themeColor="text1"/>
          <w:sz w:val="24"/>
          <w:szCs w:val="24"/>
        </w:rPr>
        <w:t>JPMorgan was required by regulators to perform frequent stress tests to determine its ability to rebound in circumstances of negative economic conditions.</w:t>
      </w:r>
      <w:r w:rsidR="00A54AF0" w:rsidRPr="00526D87">
        <w:rPr>
          <w:rFonts w:ascii="Times New Roman" w:hAnsi="Times New Roman" w:cs="Times New Roman"/>
          <w:color w:val="000000" w:themeColor="text1"/>
          <w:sz w:val="24"/>
          <w:szCs w:val="24"/>
        </w:rPr>
        <w:t xml:space="preserve"> The bank bolstered its risk management practices, incorporating more robust stress-testing methodologies to ensure preparedness for potential economic downturns and financial uncertainties.</w:t>
      </w:r>
    </w:p>
    <w:p w14:paraId="2C93E8C9" w14:textId="77777777" w:rsidR="00293AE7" w:rsidRDefault="00293AE7" w:rsidP="00D108C9">
      <w:pPr>
        <w:spacing w:line="360" w:lineRule="auto"/>
        <w:jc w:val="both"/>
        <w:rPr>
          <w:rFonts w:ascii="Times New Roman" w:hAnsi="Times New Roman" w:cs="Times New Roman"/>
          <w:color w:val="000000" w:themeColor="text1"/>
          <w:sz w:val="24"/>
          <w:szCs w:val="24"/>
        </w:rPr>
      </w:pPr>
    </w:p>
    <w:p w14:paraId="23AFD8DB" w14:textId="77777777" w:rsidR="00293AE7" w:rsidRPr="00E959C3" w:rsidRDefault="00293AE7" w:rsidP="00D108C9">
      <w:pPr>
        <w:spacing w:line="360" w:lineRule="auto"/>
        <w:jc w:val="both"/>
        <w:rPr>
          <w:rFonts w:ascii="Times New Roman" w:hAnsi="Times New Roman" w:cs="Times New Roman"/>
          <w:b/>
          <w:bCs/>
          <w:i/>
          <w:iCs/>
          <w:color w:val="000000" w:themeColor="text1"/>
          <w:sz w:val="32"/>
          <w:szCs w:val="32"/>
        </w:rPr>
      </w:pPr>
    </w:p>
    <w:bookmarkStart w:id="7" w:name="_Toc155313187" w:displacedByCustomXml="next"/>
    <w:sdt>
      <w:sdtPr>
        <w:rPr>
          <w:rFonts w:asciiTheme="minorHAnsi" w:hAnsiTheme="minorHAnsi" w:cstheme="minorBidi"/>
          <w:b w:val="0"/>
          <w:bCs w:val="0"/>
          <w:sz w:val="22"/>
          <w:szCs w:val="22"/>
        </w:rPr>
        <w:id w:val="1998920679"/>
        <w:docPartObj>
          <w:docPartGallery w:val="Bibliographies"/>
          <w:docPartUnique/>
        </w:docPartObj>
      </w:sdtPr>
      <w:sdtContent>
        <w:p w14:paraId="016A851B" w14:textId="49682652" w:rsidR="00B51EDF" w:rsidRDefault="00B51EDF">
          <w:pPr>
            <w:pStyle w:val="Heading1"/>
          </w:pPr>
          <w:r>
            <w:t>References</w:t>
          </w:r>
          <w:bookmarkEnd w:id="7"/>
        </w:p>
        <w:sdt>
          <w:sdtPr>
            <w:id w:val="-573587230"/>
            <w:bibliography/>
          </w:sdtPr>
          <w:sdtContent>
            <w:p w14:paraId="0262D4CA" w14:textId="77777777" w:rsidR="00BF15CE" w:rsidRDefault="00B51EDF" w:rsidP="00BF15CE">
              <w:pPr>
                <w:pStyle w:val="Bibliography"/>
                <w:ind w:left="720" w:hanging="720"/>
                <w:rPr>
                  <w:noProof/>
                  <w:kern w:val="0"/>
                  <w:sz w:val="24"/>
                  <w:szCs w:val="24"/>
                  <w14:ligatures w14:val="none"/>
                </w:rPr>
              </w:pPr>
              <w:r>
                <w:fldChar w:fldCharType="begin"/>
              </w:r>
              <w:r>
                <w:instrText xml:space="preserve"> BIBLIOGRAPHY </w:instrText>
              </w:r>
              <w:r>
                <w:fldChar w:fldCharType="separate"/>
              </w:r>
              <w:r w:rsidR="00BF15CE">
                <w:rPr>
                  <w:noProof/>
                </w:rPr>
                <w:t xml:space="preserve">Allayannis, G., &amp; Risell, A. (2017). JPMorgan and the Dodd-Frank Act. </w:t>
              </w:r>
              <w:r w:rsidR="00BF15CE">
                <w:rPr>
                  <w:i/>
                  <w:iCs/>
                  <w:noProof/>
                </w:rPr>
                <w:t>Darden Business Publishing cases</w:t>
              </w:r>
              <w:r w:rsidR="00BF15CE">
                <w:rPr>
                  <w:noProof/>
                </w:rPr>
                <w:t>.</w:t>
              </w:r>
            </w:p>
            <w:p w14:paraId="2489F990" w14:textId="77777777" w:rsidR="00BF15CE" w:rsidRDefault="00BF15CE" w:rsidP="00BF15CE">
              <w:pPr>
                <w:pStyle w:val="Bibliography"/>
                <w:ind w:left="720" w:hanging="720"/>
                <w:rPr>
                  <w:noProof/>
                </w:rPr>
              </w:pPr>
              <w:r>
                <w:rPr>
                  <w:noProof/>
                </w:rPr>
                <w:t xml:space="preserve">Barr, M. S. (2012). The Financial Crisis and the Path of Reform. </w:t>
              </w:r>
              <w:r>
                <w:rPr>
                  <w:i/>
                  <w:iCs/>
                  <w:noProof/>
                </w:rPr>
                <w:t>Yale Journal on Regulation; New Haven Vol. 29, Iss. 1, (Winter 2012): 91-119, Scholarly Journal</w:t>
              </w:r>
              <w:r>
                <w:rPr>
                  <w:noProof/>
                </w:rPr>
                <w:t>.</w:t>
              </w:r>
            </w:p>
            <w:p w14:paraId="5C37DB49" w14:textId="77777777" w:rsidR="00BF15CE" w:rsidRDefault="00BF15CE" w:rsidP="00BF15CE">
              <w:pPr>
                <w:pStyle w:val="Bibliography"/>
                <w:ind w:left="720" w:hanging="720"/>
                <w:rPr>
                  <w:noProof/>
                </w:rPr>
              </w:pPr>
              <w:r>
                <w:rPr>
                  <w:noProof/>
                </w:rPr>
                <w:t xml:space="preserve">BIS. (2023). </w:t>
              </w:r>
              <w:r>
                <w:rPr>
                  <w:i/>
                  <w:iCs/>
                  <w:noProof/>
                </w:rPr>
                <w:t>Basel III: international regulatory framework for banks</w:t>
              </w:r>
              <w:r>
                <w:rPr>
                  <w:noProof/>
                </w:rPr>
                <w:t>. Retrieved from https://www.bis.org/: https://www.bis.org/bcbs/basel3.htm</w:t>
              </w:r>
            </w:p>
            <w:p w14:paraId="65E4656C" w14:textId="77777777" w:rsidR="00BF15CE" w:rsidRDefault="00BF15CE" w:rsidP="00BF15CE">
              <w:pPr>
                <w:pStyle w:val="Bibliography"/>
                <w:ind w:left="720" w:hanging="720"/>
                <w:rPr>
                  <w:noProof/>
                </w:rPr>
              </w:pPr>
              <w:r>
                <w:rPr>
                  <w:noProof/>
                </w:rPr>
                <w:t xml:space="preserve">Cadwalader. (2010, October 15). </w:t>
              </w:r>
              <w:r>
                <w:rPr>
                  <w:i/>
                  <w:iCs/>
                  <w:noProof/>
                </w:rPr>
                <w:t>An Analysis of the Dodd-Frank Act's Volcker Rule</w:t>
              </w:r>
              <w:r>
                <w:rPr>
                  <w:noProof/>
                </w:rPr>
                <w:t>. Retrieved from https://www.cadwalader.com/: https://www.cadwalader.com/resources/clients-friends-memos/an-analysis-of-the-dodd-frank-acts-volcker-rule</w:t>
              </w:r>
            </w:p>
            <w:p w14:paraId="0613BB47" w14:textId="77777777" w:rsidR="00BF15CE" w:rsidRDefault="00BF15CE" w:rsidP="00BF15CE">
              <w:pPr>
                <w:pStyle w:val="Bibliography"/>
                <w:ind w:left="720" w:hanging="720"/>
                <w:rPr>
                  <w:noProof/>
                </w:rPr>
              </w:pPr>
              <w:r>
                <w:rPr>
                  <w:noProof/>
                </w:rPr>
                <w:t xml:space="preserve">Congressional Research Service. (2017). </w:t>
              </w:r>
              <w:r>
                <w:rPr>
                  <w:i/>
                  <w:iCs/>
                  <w:noProof/>
                </w:rPr>
                <w:t>The Dodd-Frank Wall Street Reform and Consumer Protection Act: Background and Summary.</w:t>
              </w:r>
              <w:r>
                <w:rPr>
                  <w:noProof/>
                </w:rPr>
                <w:t xml:space="preserve"> </w:t>
              </w:r>
            </w:p>
            <w:p w14:paraId="3E043A81" w14:textId="77777777" w:rsidR="00BF15CE" w:rsidRDefault="00BF15CE" w:rsidP="00BF15CE">
              <w:pPr>
                <w:pStyle w:val="Bibliography"/>
                <w:ind w:left="720" w:hanging="720"/>
                <w:rPr>
                  <w:noProof/>
                </w:rPr>
              </w:pPr>
              <w:r>
                <w:rPr>
                  <w:noProof/>
                </w:rPr>
                <w:t xml:space="preserve">Copeland, C. W. (2008). Emergency Economic Stabilization Act: Preliminary Analysis of Oversight Provisions. </w:t>
              </w:r>
              <w:r>
                <w:rPr>
                  <w:i/>
                  <w:iCs/>
                  <w:noProof/>
                </w:rPr>
                <w:t>CSR Report for Congress, Order Code RL34713</w:t>
              </w:r>
              <w:r>
                <w:rPr>
                  <w:noProof/>
                </w:rPr>
                <w:t>.</w:t>
              </w:r>
            </w:p>
            <w:p w14:paraId="43454B0B" w14:textId="77777777" w:rsidR="00BF15CE" w:rsidRDefault="00BF15CE" w:rsidP="00BF15CE">
              <w:pPr>
                <w:pStyle w:val="Bibliography"/>
                <w:ind w:left="720" w:hanging="720"/>
                <w:rPr>
                  <w:noProof/>
                </w:rPr>
              </w:pPr>
              <w:r>
                <w:rPr>
                  <w:noProof/>
                </w:rPr>
                <w:t xml:space="preserve">ECA. (2020). How the EU took account of lessons learned from the 2008-2012 financial and sovereign debt crises. </w:t>
              </w:r>
              <w:r>
                <w:rPr>
                  <w:i/>
                  <w:iCs/>
                  <w:noProof/>
                </w:rPr>
                <w:t>European Court of Auditors (Curia Rationum)</w:t>
              </w:r>
              <w:r>
                <w:rPr>
                  <w:noProof/>
                </w:rPr>
                <w:t>.</w:t>
              </w:r>
            </w:p>
            <w:p w14:paraId="545CB937" w14:textId="77777777" w:rsidR="00BF15CE" w:rsidRDefault="00BF15CE" w:rsidP="00BF15CE">
              <w:pPr>
                <w:pStyle w:val="Bibliography"/>
                <w:ind w:left="720" w:hanging="720"/>
                <w:rPr>
                  <w:noProof/>
                </w:rPr>
              </w:pPr>
              <w:r>
                <w:rPr>
                  <w:noProof/>
                </w:rPr>
                <w:t xml:space="preserve">Elliott, D. J. (2012, May 14). </w:t>
              </w:r>
              <w:r>
                <w:rPr>
                  <w:i/>
                  <w:iCs/>
                  <w:noProof/>
                </w:rPr>
                <w:t>RESEARCH $2 Billion Later: Policy Implications of JP Morgan Chase’s Trading Loss</w:t>
              </w:r>
              <w:r>
                <w:rPr>
                  <w:noProof/>
                </w:rPr>
                <w:t>. Retrieved from https://www.brookings.edu/: https://www.brookings.edu/articles/2-billion-later-policy-implications-of-jp-morgan-chases-trading-loss/</w:t>
              </w:r>
            </w:p>
            <w:p w14:paraId="043A531E" w14:textId="77777777" w:rsidR="00BF15CE" w:rsidRDefault="00BF15CE" w:rsidP="00BF15CE">
              <w:pPr>
                <w:pStyle w:val="Bibliography"/>
                <w:ind w:left="720" w:hanging="720"/>
                <w:rPr>
                  <w:noProof/>
                </w:rPr>
              </w:pPr>
              <w:r>
                <w:rPr>
                  <w:noProof/>
                </w:rPr>
                <w:t xml:space="preserve">EUR-Lex. (2009, 11 17). </w:t>
              </w:r>
              <w:r>
                <w:rPr>
                  <w:i/>
                  <w:iCs/>
                  <w:noProof/>
                </w:rPr>
                <w:t>Regulation (EC) No 1060/2009 of the European Parliament and of the Council of 16 September 2009 on credit rating agencies (Text with EEA relevance)</w:t>
              </w:r>
              <w:r>
                <w:rPr>
                  <w:noProof/>
                </w:rPr>
                <w:t>. Retrieved from https://eur-lex.europa.eu/: https://eur-lex.europa.eu/legal-content/EN/TXT/?uri=celex%3A32009R1060</w:t>
              </w:r>
            </w:p>
            <w:p w14:paraId="4C935B19" w14:textId="77777777" w:rsidR="00BF15CE" w:rsidRDefault="00BF15CE" w:rsidP="00BF15CE">
              <w:pPr>
                <w:pStyle w:val="Bibliography"/>
                <w:ind w:left="720" w:hanging="720"/>
                <w:rPr>
                  <w:noProof/>
                </w:rPr>
              </w:pPr>
              <w:r>
                <w:rPr>
                  <w:noProof/>
                </w:rPr>
                <w:t xml:space="preserve">European Council. (2023, December 18). </w:t>
              </w:r>
              <w:r>
                <w:rPr>
                  <w:i/>
                  <w:iCs/>
                  <w:noProof/>
                </w:rPr>
                <w:t>Banking union</w:t>
              </w:r>
              <w:r>
                <w:rPr>
                  <w:noProof/>
                </w:rPr>
                <w:t>. Retrieved from https://www.consilium.europa.eu/: https://www.consilium.europa.eu/en/policies/banking-union/</w:t>
              </w:r>
            </w:p>
            <w:p w14:paraId="4C1AA692" w14:textId="77777777" w:rsidR="00BF15CE" w:rsidRDefault="00BF15CE" w:rsidP="00BF15CE">
              <w:pPr>
                <w:pStyle w:val="Bibliography"/>
                <w:ind w:left="720" w:hanging="720"/>
                <w:rPr>
                  <w:noProof/>
                </w:rPr>
              </w:pPr>
              <w:r>
                <w:rPr>
                  <w:noProof/>
                </w:rPr>
                <w:t xml:space="preserve">Financial Service Committee. (n.d.). </w:t>
              </w:r>
              <w:r>
                <w:rPr>
                  <w:i/>
                  <w:iCs/>
                  <w:noProof/>
                </w:rPr>
                <w:t>The Failures of Dodd-Frank</w:t>
              </w:r>
              <w:r>
                <w:rPr>
                  <w:noProof/>
                </w:rPr>
                <w:t>. Retrieved from https://financialservices.house.gov/: https://financialservices.house.gov/issueshome/issue/default.aspx?IssueID=57976</w:t>
              </w:r>
            </w:p>
            <w:p w14:paraId="35751CBC" w14:textId="77777777" w:rsidR="00BF15CE" w:rsidRDefault="00BF15CE" w:rsidP="00BF15CE">
              <w:pPr>
                <w:pStyle w:val="Bibliography"/>
                <w:ind w:left="720" w:hanging="720"/>
                <w:rPr>
                  <w:noProof/>
                </w:rPr>
              </w:pPr>
              <w:r>
                <w:rPr>
                  <w:noProof/>
                </w:rPr>
                <w:t xml:space="preserve">Guynn, R. D. (2010). The Financial Panic of 2008 and Financial Regulatory Reform. </w:t>
              </w:r>
              <w:r>
                <w:rPr>
                  <w:i/>
                  <w:iCs/>
                  <w:noProof/>
                </w:rPr>
                <w:t>Harvard Law School Forum on Corporate Governance</w:t>
              </w:r>
              <w:r>
                <w:rPr>
                  <w:noProof/>
                </w:rPr>
                <w:t>.</w:t>
              </w:r>
            </w:p>
            <w:p w14:paraId="68DC2F23" w14:textId="77777777" w:rsidR="00BF15CE" w:rsidRDefault="00BF15CE" w:rsidP="00BF15CE">
              <w:pPr>
                <w:pStyle w:val="Bibliography"/>
                <w:ind w:left="720" w:hanging="720"/>
                <w:rPr>
                  <w:noProof/>
                </w:rPr>
              </w:pPr>
              <w:r>
                <w:rPr>
                  <w:noProof/>
                </w:rPr>
                <w:t xml:space="preserve">Hobelsberger, K., Kok, C., &amp; Mongelli, F. P. (2023). </w:t>
              </w:r>
              <w:r>
                <w:rPr>
                  <w:i/>
                  <w:iCs/>
                  <w:noProof/>
                </w:rPr>
                <w:t>Occasional Paper Series, A tale of three crises: synergies between ECB tasks, No 305 / September 2022.</w:t>
              </w:r>
              <w:r>
                <w:rPr>
                  <w:noProof/>
                </w:rPr>
                <w:t xml:space="preserve"> ECB.</w:t>
              </w:r>
            </w:p>
            <w:p w14:paraId="62093F8F" w14:textId="77777777" w:rsidR="00BF15CE" w:rsidRDefault="00BF15CE" w:rsidP="00BF15CE">
              <w:pPr>
                <w:pStyle w:val="Bibliography"/>
                <w:ind w:left="720" w:hanging="720"/>
                <w:rPr>
                  <w:noProof/>
                </w:rPr>
              </w:pPr>
              <w:r>
                <w:rPr>
                  <w:noProof/>
                </w:rPr>
                <w:t xml:space="preserve">Howard, C. (2014). Basel III's Corporate Governance Impact: How Increased Banking Regulations Pose Simultaneously Furthering Stakeholder Objectives. </w:t>
              </w:r>
              <w:r>
                <w:rPr>
                  <w:i/>
                  <w:iCs/>
                  <w:noProof/>
                </w:rPr>
                <w:t>Journal of Law and Governance</w:t>
              </w:r>
              <w:r>
                <w:rPr>
                  <w:noProof/>
                </w:rPr>
                <w:t>.</w:t>
              </w:r>
            </w:p>
            <w:p w14:paraId="17D835BB" w14:textId="77777777" w:rsidR="00BF15CE" w:rsidRDefault="00BF15CE" w:rsidP="00BF15CE">
              <w:pPr>
                <w:pStyle w:val="Bibliography"/>
                <w:ind w:left="720" w:hanging="720"/>
                <w:rPr>
                  <w:noProof/>
                </w:rPr>
              </w:pPr>
              <w:r>
                <w:rPr>
                  <w:noProof/>
                </w:rPr>
                <w:lastRenderedPageBreak/>
                <w:t xml:space="preserve">Investopedia. (2023, August 02). </w:t>
              </w:r>
              <w:r>
                <w:rPr>
                  <w:i/>
                  <w:iCs/>
                  <w:noProof/>
                </w:rPr>
                <w:t>Dodd-Frank Act: What It Does, Major Components, and Criticisms</w:t>
              </w:r>
              <w:r>
                <w:rPr>
                  <w:noProof/>
                </w:rPr>
                <w:t>. Retrieved from https://www.investopedia.com/: https://www.investopedia.com/terms/d/dodd-frank-financial-regulatory-reform-bill.asp</w:t>
              </w:r>
            </w:p>
            <w:p w14:paraId="5C92062C" w14:textId="77777777" w:rsidR="00BF15CE" w:rsidRDefault="00BF15CE" w:rsidP="00BF15CE">
              <w:pPr>
                <w:pStyle w:val="Bibliography"/>
                <w:ind w:left="720" w:hanging="720"/>
                <w:rPr>
                  <w:noProof/>
                </w:rPr>
              </w:pPr>
              <w:r>
                <w:rPr>
                  <w:noProof/>
                </w:rPr>
                <w:t xml:space="preserve">JPMorgan Chase &amp; Co. (2023). </w:t>
              </w:r>
              <w:r>
                <w:rPr>
                  <w:i/>
                  <w:iCs/>
                  <w:noProof/>
                </w:rPr>
                <w:t>2023 Annual Dodd-Frank Act Stress Test Results Disclosure.</w:t>
              </w:r>
              <w:r>
                <w:rPr>
                  <w:noProof/>
                </w:rPr>
                <w:t xml:space="preserve"> </w:t>
              </w:r>
            </w:p>
            <w:p w14:paraId="6903AB83" w14:textId="77777777" w:rsidR="00BF15CE" w:rsidRDefault="00BF15CE" w:rsidP="00BF15CE">
              <w:pPr>
                <w:pStyle w:val="Bibliography"/>
                <w:ind w:left="720" w:hanging="720"/>
                <w:rPr>
                  <w:noProof/>
                </w:rPr>
              </w:pPr>
              <w:r>
                <w:rPr>
                  <w:noProof/>
                </w:rPr>
                <w:t xml:space="preserve">JPMorgan Chase &amp; Co. (2023, 12). </w:t>
              </w:r>
              <w:r>
                <w:rPr>
                  <w:i/>
                  <w:iCs/>
                  <w:noProof/>
                </w:rPr>
                <w:t>History of Our Firm</w:t>
              </w:r>
              <w:r>
                <w:rPr>
                  <w:noProof/>
                </w:rPr>
                <w:t>. Retrieved from https://www.jpmorganchase.com/: https://www.jpmorganchase.com/about/our-history</w:t>
              </w:r>
            </w:p>
            <w:p w14:paraId="4CD79F26" w14:textId="77777777" w:rsidR="00BF15CE" w:rsidRDefault="00BF15CE" w:rsidP="00BF15CE">
              <w:pPr>
                <w:pStyle w:val="Bibliography"/>
                <w:ind w:left="720" w:hanging="720"/>
                <w:rPr>
                  <w:noProof/>
                </w:rPr>
              </w:pPr>
              <w:r>
                <w:rPr>
                  <w:noProof/>
                </w:rPr>
                <w:t xml:space="preserve">Manasfi, J. A. (2013). Systemic Risk and Dodd-Frank's Volcker Rule. </w:t>
              </w:r>
              <w:r>
                <w:rPr>
                  <w:i/>
                  <w:iCs/>
                  <w:noProof/>
                </w:rPr>
                <w:t>William &amp; Mary Business Law Review, Volume 4 (2013), Issue 1, Article 6</w:t>
              </w:r>
              <w:r>
                <w:rPr>
                  <w:noProof/>
                </w:rPr>
                <w:t>.</w:t>
              </w:r>
            </w:p>
            <w:p w14:paraId="0701577D" w14:textId="77777777" w:rsidR="00BF15CE" w:rsidRDefault="00BF15CE" w:rsidP="00BF15CE">
              <w:pPr>
                <w:pStyle w:val="Bibliography"/>
                <w:ind w:left="720" w:hanging="720"/>
                <w:rPr>
                  <w:noProof/>
                </w:rPr>
              </w:pPr>
              <w:r>
                <w:rPr>
                  <w:noProof/>
                </w:rPr>
                <w:t xml:space="preserve">Polski, M. M., &amp; Elbarasse, M. (2012). The U.S. Financial Stability Oversight Council: Understanding Polycentric Governance. </w:t>
              </w:r>
              <w:r>
                <w:rPr>
                  <w:i/>
                  <w:iCs/>
                  <w:noProof/>
                </w:rPr>
                <w:t>Annual Conference of the International Society for New Institutional Economics at the University of Southern California Gould School of Law</w:t>
              </w:r>
              <w:r>
                <w:rPr>
                  <w:noProof/>
                </w:rPr>
                <w:t>.</w:t>
              </w:r>
            </w:p>
            <w:p w14:paraId="5986125A" w14:textId="77777777" w:rsidR="00BF15CE" w:rsidRDefault="00BF15CE" w:rsidP="00BF15CE">
              <w:pPr>
                <w:pStyle w:val="Bibliography"/>
                <w:ind w:left="720" w:hanging="720"/>
                <w:rPr>
                  <w:noProof/>
                </w:rPr>
              </w:pPr>
              <w:r>
                <w:rPr>
                  <w:noProof/>
                </w:rPr>
                <w:t xml:space="preserve">Schapiro, M. (2012). Dodd-Frank Principles and Provisions. </w:t>
              </w:r>
              <w:r>
                <w:rPr>
                  <w:i/>
                  <w:iCs/>
                  <w:noProof/>
                </w:rPr>
                <w:t>Harvard Law School Forum on Corporate Governance &amp; Financial Regulation</w:t>
              </w:r>
              <w:r>
                <w:rPr>
                  <w:noProof/>
                </w:rPr>
                <w:t>.</w:t>
              </w:r>
            </w:p>
            <w:p w14:paraId="077AEC87" w14:textId="77777777" w:rsidR="00BF15CE" w:rsidRDefault="00BF15CE" w:rsidP="00BF15CE">
              <w:pPr>
                <w:pStyle w:val="Bibliography"/>
                <w:ind w:left="720" w:hanging="720"/>
                <w:rPr>
                  <w:noProof/>
                </w:rPr>
              </w:pPr>
              <w:r>
                <w:rPr>
                  <w:noProof/>
                </w:rPr>
                <w:t xml:space="preserve">The Global Treasurer. (2015, April 13). </w:t>
              </w:r>
              <w:r>
                <w:rPr>
                  <w:i/>
                  <w:iCs/>
                  <w:noProof/>
                </w:rPr>
                <w:t>Benefits of Basel III regulation shown by recent adoption rates</w:t>
              </w:r>
              <w:r>
                <w:rPr>
                  <w:noProof/>
                </w:rPr>
                <w:t>. Retrieved from https://www.theglobaltreasurer.com/: https://www.theglobaltreasurer.com/2015/04/13/benefits-of-basel-iii-regulation-shown-by-recent-adoption-rates/</w:t>
              </w:r>
            </w:p>
            <w:p w14:paraId="11D0A4C1" w14:textId="77777777" w:rsidR="00BF15CE" w:rsidRDefault="00BF15CE" w:rsidP="00BF15CE">
              <w:pPr>
                <w:pStyle w:val="Bibliography"/>
                <w:ind w:left="720" w:hanging="720"/>
                <w:rPr>
                  <w:noProof/>
                </w:rPr>
              </w:pPr>
              <w:r>
                <w:rPr>
                  <w:noProof/>
                </w:rPr>
                <w:t xml:space="preserve">U.S. Government Accountability Office. (2011). </w:t>
              </w:r>
              <w:r>
                <w:rPr>
                  <w:i/>
                  <w:iCs/>
                  <w:noProof/>
                </w:rPr>
                <w:t>MORTGAGE REFORM: Potential Impacts of Provisions in the Dodd-Frank Act on Homebuyers and the Mortgage Market.</w:t>
              </w:r>
              <w:r>
                <w:rPr>
                  <w:noProof/>
                </w:rPr>
                <w:t xml:space="preserve"> </w:t>
              </w:r>
            </w:p>
            <w:p w14:paraId="6E80FEE6" w14:textId="7E602493" w:rsidR="00B51EDF" w:rsidRDefault="00B51EDF" w:rsidP="00BF15CE">
              <w:r>
                <w:rPr>
                  <w:b/>
                  <w:bCs/>
                  <w:noProof/>
                </w:rPr>
                <w:fldChar w:fldCharType="end"/>
              </w:r>
            </w:p>
          </w:sdtContent>
        </w:sdt>
      </w:sdtContent>
    </w:sdt>
    <w:p w14:paraId="71B2E256" w14:textId="77777777" w:rsidR="0013494B" w:rsidRPr="00311BFB" w:rsidRDefault="0013494B" w:rsidP="00D108C9">
      <w:pPr>
        <w:spacing w:line="360" w:lineRule="auto"/>
        <w:jc w:val="both"/>
        <w:rPr>
          <w:rFonts w:ascii="Times New Roman" w:hAnsi="Times New Roman" w:cs="Times New Roman"/>
          <w:b/>
          <w:bCs/>
          <w:color w:val="000000" w:themeColor="text1"/>
          <w:sz w:val="32"/>
          <w:szCs w:val="32"/>
        </w:rPr>
      </w:pPr>
    </w:p>
    <w:sectPr w:rsidR="0013494B" w:rsidRPr="00311BFB" w:rsidSect="00D236D6">
      <w:foot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42151B" w14:textId="77777777" w:rsidR="00D83026" w:rsidRDefault="00D83026" w:rsidP="00BF15CE">
      <w:pPr>
        <w:spacing w:after="0" w:line="240" w:lineRule="auto"/>
      </w:pPr>
      <w:r>
        <w:separator/>
      </w:r>
    </w:p>
  </w:endnote>
  <w:endnote w:type="continuationSeparator" w:id="0">
    <w:p w14:paraId="5A0C7299" w14:textId="77777777" w:rsidR="00D83026" w:rsidRDefault="00D83026" w:rsidP="00BF15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8013225"/>
      <w:docPartObj>
        <w:docPartGallery w:val="Page Numbers (Bottom of Page)"/>
        <w:docPartUnique/>
      </w:docPartObj>
    </w:sdtPr>
    <w:sdtEndPr>
      <w:rPr>
        <w:noProof/>
      </w:rPr>
    </w:sdtEndPr>
    <w:sdtContent>
      <w:p w14:paraId="5560D3F8" w14:textId="0082E4D3" w:rsidR="00BF15CE" w:rsidRDefault="00BF15C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533AB" w14:textId="77777777" w:rsidR="00BF15CE" w:rsidRDefault="00BF1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A9B0E" w14:textId="77777777" w:rsidR="00D83026" w:rsidRDefault="00D83026" w:rsidP="00BF15CE">
      <w:pPr>
        <w:spacing w:after="0" w:line="240" w:lineRule="auto"/>
      </w:pPr>
      <w:r>
        <w:separator/>
      </w:r>
    </w:p>
  </w:footnote>
  <w:footnote w:type="continuationSeparator" w:id="0">
    <w:p w14:paraId="06D9C10C" w14:textId="77777777" w:rsidR="00D83026" w:rsidRDefault="00D83026" w:rsidP="00BF15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577F4A"/>
    <w:multiLevelType w:val="hybridMultilevel"/>
    <w:tmpl w:val="15B2CB8C"/>
    <w:lvl w:ilvl="0" w:tplc="4009000B">
      <w:start w:val="1"/>
      <w:numFmt w:val="bullet"/>
      <w:lvlText w:val=""/>
      <w:lvlJc w:val="left"/>
      <w:pPr>
        <w:ind w:left="1440" w:hanging="360"/>
      </w:pPr>
      <w:rPr>
        <w:rFonts w:ascii="Wingdings" w:hAnsi="Wingdings"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1" w15:restartNumberingAfterBreak="0">
    <w:nsid w:val="394F41D2"/>
    <w:multiLevelType w:val="hybridMultilevel"/>
    <w:tmpl w:val="A8DA5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793AB8"/>
    <w:multiLevelType w:val="hybridMultilevel"/>
    <w:tmpl w:val="FD1CB53E"/>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590267">
    <w:abstractNumId w:val="2"/>
  </w:num>
  <w:num w:numId="2" w16cid:durableId="195780298">
    <w:abstractNumId w:val="0"/>
  </w:num>
  <w:num w:numId="3" w16cid:durableId="7345488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6AA"/>
    <w:rsid w:val="00011613"/>
    <w:rsid w:val="000162B0"/>
    <w:rsid w:val="00016BA5"/>
    <w:rsid w:val="0003200F"/>
    <w:rsid w:val="0003208F"/>
    <w:rsid w:val="000335CE"/>
    <w:rsid w:val="00035118"/>
    <w:rsid w:val="00056831"/>
    <w:rsid w:val="00060501"/>
    <w:rsid w:val="0006062E"/>
    <w:rsid w:val="000946C8"/>
    <w:rsid w:val="000A677C"/>
    <w:rsid w:val="000B3F79"/>
    <w:rsid w:val="000C66CA"/>
    <w:rsid w:val="000D4148"/>
    <w:rsid w:val="000E0FFF"/>
    <w:rsid w:val="000E3912"/>
    <w:rsid w:val="000E6CE0"/>
    <w:rsid w:val="00106D81"/>
    <w:rsid w:val="001114FE"/>
    <w:rsid w:val="001210CB"/>
    <w:rsid w:val="00122E08"/>
    <w:rsid w:val="0013494B"/>
    <w:rsid w:val="00142501"/>
    <w:rsid w:val="00154F6E"/>
    <w:rsid w:val="001572F1"/>
    <w:rsid w:val="00157EB4"/>
    <w:rsid w:val="001709F0"/>
    <w:rsid w:val="00175629"/>
    <w:rsid w:val="001805B0"/>
    <w:rsid w:val="001B2EB7"/>
    <w:rsid w:val="001D61F1"/>
    <w:rsid w:val="0020526A"/>
    <w:rsid w:val="00223401"/>
    <w:rsid w:val="00224507"/>
    <w:rsid w:val="00227637"/>
    <w:rsid w:val="00234CEA"/>
    <w:rsid w:val="0023598E"/>
    <w:rsid w:val="00240265"/>
    <w:rsid w:val="00245AC4"/>
    <w:rsid w:val="00255B7D"/>
    <w:rsid w:val="00280198"/>
    <w:rsid w:val="00290A69"/>
    <w:rsid w:val="00293AE7"/>
    <w:rsid w:val="002C4E00"/>
    <w:rsid w:val="002C5498"/>
    <w:rsid w:val="002D403C"/>
    <w:rsid w:val="00311BFB"/>
    <w:rsid w:val="003127D9"/>
    <w:rsid w:val="00320D33"/>
    <w:rsid w:val="0032414D"/>
    <w:rsid w:val="0033324F"/>
    <w:rsid w:val="0034057F"/>
    <w:rsid w:val="0035264D"/>
    <w:rsid w:val="00356410"/>
    <w:rsid w:val="00360A73"/>
    <w:rsid w:val="00395194"/>
    <w:rsid w:val="003A035F"/>
    <w:rsid w:val="003A318D"/>
    <w:rsid w:val="003A6C1C"/>
    <w:rsid w:val="003C3E2E"/>
    <w:rsid w:val="003C5D1A"/>
    <w:rsid w:val="003C5EE8"/>
    <w:rsid w:val="003C6999"/>
    <w:rsid w:val="003D2256"/>
    <w:rsid w:val="003D56F0"/>
    <w:rsid w:val="003D636B"/>
    <w:rsid w:val="003D6C83"/>
    <w:rsid w:val="003E5C6B"/>
    <w:rsid w:val="003E6061"/>
    <w:rsid w:val="003E7936"/>
    <w:rsid w:val="003F33D0"/>
    <w:rsid w:val="0040692C"/>
    <w:rsid w:val="004349E9"/>
    <w:rsid w:val="00440DB9"/>
    <w:rsid w:val="004856A9"/>
    <w:rsid w:val="0049437A"/>
    <w:rsid w:val="00495300"/>
    <w:rsid w:val="004B5681"/>
    <w:rsid w:val="004C5B8B"/>
    <w:rsid w:val="004E03F5"/>
    <w:rsid w:val="00506D9E"/>
    <w:rsid w:val="00525705"/>
    <w:rsid w:val="00526D87"/>
    <w:rsid w:val="00543081"/>
    <w:rsid w:val="005A6E28"/>
    <w:rsid w:val="005D224C"/>
    <w:rsid w:val="005F10D2"/>
    <w:rsid w:val="005F4D1E"/>
    <w:rsid w:val="00602447"/>
    <w:rsid w:val="00613F2D"/>
    <w:rsid w:val="006162B3"/>
    <w:rsid w:val="00617780"/>
    <w:rsid w:val="006360C1"/>
    <w:rsid w:val="00644714"/>
    <w:rsid w:val="006504A8"/>
    <w:rsid w:val="00655D76"/>
    <w:rsid w:val="0067188A"/>
    <w:rsid w:val="00672FBD"/>
    <w:rsid w:val="006766C1"/>
    <w:rsid w:val="00677EA6"/>
    <w:rsid w:val="00684C2B"/>
    <w:rsid w:val="006938B2"/>
    <w:rsid w:val="006979DE"/>
    <w:rsid w:val="006A54F8"/>
    <w:rsid w:val="006A7DF2"/>
    <w:rsid w:val="006B097A"/>
    <w:rsid w:val="006B4CB0"/>
    <w:rsid w:val="006B5C67"/>
    <w:rsid w:val="006C4B3D"/>
    <w:rsid w:val="006C78A0"/>
    <w:rsid w:val="006F0C4F"/>
    <w:rsid w:val="006F4E90"/>
    <w:rsid w:val="00702834"/>
    <w:rsid w:val="00703C29"/>
    <w:rsid w:val="00704C7B"/>
    <w:rsid w:val="00714310"/>
    <w:rsid w:val="0071548F"/>
    <w:rsid w:val="007159C5"/>
    <w:rsid w:val="007223FE"/>
    <w:rsid w:val="007224C7"/>
    <w:rsid w:val="007249AA"/>
    <w:rsid w:val="00743145"/>
    <w:rsid w:val="0075103E"/>
    <w:rsid w:val="00756927"/>
    <w:rsid w:val="00762D7C"/>
    <w:rsid w:val="00765380"/>
    <w:rsid w:val="007A2233"/>
    <w:rsid w:val="007B3930"/>
    <w:rsid w:val="007B48B4"/>
    <w:rsid w:val="007C39D8"/>
    <w:rsid w:val="007C7707"/>
    <w:rsid w:val="007C7A74"/>
    <w:rsid w:val="007D0BDC"/>
    <w:rsid w:val="007D2D2D"/>
    <w:rsid w:val="007F59C5"/>
    <w:rsid w:val="00830058"/>
    <w:rsid w:val="008369FD"/>
    <w:rsid w:val="00836A8C"/>
    <w:rsid w:val="00837FF1"/>
    <w:rsid w:val="00843285"/>
    <w:rsid w:val="00854DD6"/>
    <w:rsid w:val="00870E7A"/>
    <w:rsid w:val="00871B37"/>
    <w:rsid w:val="008728D9"/>
    <w:rsid w:val="00890D7B"/>
    <w:rsid w:val="008A6CBC"/>
    <w:rsid w:val="008B3EFB"/>
    <w:rsid w:val="008D5F16"/>
    <w:rsid w:val="008F3452"/>
    <w:rsid w:val="00910C8F"/>
    <w:rsid w:val="00910F57"/>
    <w:rsid w:val="00923362"/>
    <w:rsid w:val="00925A29"/>
    <w:rsid w:val="009347AB"/>
    <w:rsid w:val="0093797E"/>
    <w:rsid w:val="00962CEB"/>
    <w:rsid w:val="00963EA2"/>
    <w:rsid w:val="00970B0C"/>
    <w:rsid w:val="009821C8"/>
    <w:rsid w:val="009829D9"/>
    <w:rsid w:val="009868B8"/>
    <w:rsid w:val="009A0E6F"/>
    <w:rsid w:val="009A3B9D"/>
    <w:rsid w:val="009C5923"/>
    <w:rsid w:val="009C6EE3"/>
    <w:rsid w:val="009E50B7"/>
    <w:rsid w:val="00A03C71"/>
    <w:rsid w:val="00A040C2"/>
    <w:rsid w:val="00A06B0F"/>
    <w:rsid w:val="00A166AA"/>
    <w:rsid w:val="00A22F2D"/>
    <w:rsid w:val="00A245DA"/>
    <w:rsid w:val="00A34359"/>
    <w:rsid w:val="00A54AF0"/>
    <w:rsid w:val="00A60685"/>
    <w:rsid w:val="00A63C4C"/>
    <w:rsid w:val="00AA2ACE"/>
    <w:rsid w:val="00AA5453"/>
    <w:rsid w:val="00AB5C6D"/>
    <w:rsid w:val="00AC7D5E"/>
    <w:rsid w:val="00AD735D"/>
    <w:rsid w:val="00B01945"/>
    <w:rsid w:val="00B01E19"/>
    <w:rsid w:val="00B13147"/>
    <w:rsid w:val="00B313E1"/>
    <w:rsid w:val="00B377F9"/>
    <w:rsid w:val="00B449C8"/>
    <w:rsid w:val="00B47341"/>
    <w:rsid w:val="00B50C25"/>
    <w:rsid w:val="00B51EDF"/>
    <w:rsid w:val="00B52732"/>
    <w:rsid w:val="00B6180C"/>
    <w:rsid w:val="00B80E3C"/>
    <w:rsid w:val="00B81DF3"/>
    <w:rsid w:val="00B93A89"/>
    <w:rsid w:val="00BB26A4"/>
    <w:rsid w:val="00BB4F46"/>
    <w:rsid w:val="00BB6C00"/>
    <w:rsid w:val="00BC108D"/>
    <w:rsid w:val="00BC524D"/>
    <w:rsid w:val="00BD4034"/>
    <w:rsid w:val="00BE55E4"/>
    <w:rsid w:val="00BF15CE"/>
    <w:rsid w:val="00C01C5B"/>
    <w:rsid w:val="00C0200E"/>
    <w:rsid w:val="00C060B0"/>
    <w:rsid w:val="00C26578"/>
    <w:rsid w:val="00C31EA0"/>
    <w:rsid w:val="00C330A5"/>
    <w:rsid w:val="00C80E72"/>
    <w:rsid w:val="00C86693"/>
    <w:rsid w:val="00CB0954"/>
    <w:rsid w:val="00CC2225"/>
    <w:rsid w:val="00CD1DEA"/>
    <w:rsid w:val="00D02EAA"/>
    <w:rsid w:val="00D04731"/>
    <w:rsid w:val="00D05F85"/>
    <w:rsid w:val="00D07C1E"/>
    <w:rsid w:val="00D108C9"/>
    <w:rsid w:val="00D13CD7"/>
    <w:rsid w:val="00D15493"/>
    <w:rsid w:val="00D235D1"/>
    <w:rsid w:val="00D236D6"/>
    <w:rsid w:val="00D2395A"/>
    <w:rsid w:val="00D30525"/>
    <w:rsid w:val="00D45A58"/>
    <w:rsid w:val="00D47664"/>
    <w:rsid w:val="00D704BD"/>
    <w:rsid w:val="00D81347"/>
    <w:rsid w:val="00D83026"/>
    <w:rsid w:val="00D84A72"/>
    <w:rsid w:val="00DA3151"/>
    <w:rsid w:val="00DB4D1C"/>
    <w:rsid w:val="00DB59A9"/>
    <w:rsid w:val="00DE0022"/>
    <w:rsid w:val="00DF3580"/>
    <w:rsid w:val="00DF47AD"/>
    <w:rsid w:val="00E01A5A"/>
    <w:rsid w:val="00E10A28"/>
    <w:rsid w:val="00E20DC8"/>
    <w:rsid w:val="00E233AE"/>
    <w:rsid w:val="00E32DD1"/>
    <w:rsid w:val="00E351C6"/>
    <w:rsid w:val="00E362AA"/>
    <w:rsid w:val="00E37973"/>
    <w:rsid w:val="00E42ABC"/>
    <w:rsid w:val="00E55522"/>
    <w:rsid w:val="00E678F2"/>
    <w:rsid w:val="00E67C8B"/>
    <w:rsid w:val="00E959C3"/>
    <w:rsid w:val="00EA4136"/>
    <w:rsid w:val="00EA77FD"/>
    <w:rsid w:val="00EB60EA"/>
    <w:rsid w:val="00EC4BBB"/>
    <w:rsid w:val="00ED6404"/>
    <w:rsid w:val="00F154A7"/>
    <w:rsid w:val="00F1688F"/>
    <w:rsid w:val="00F27EF0"/>
    <w:rsid w:val="00F332EA"/>
    <w:rsid w:val="00F47E43"/>
    <w:rsid w:val="00F678B6"/>
    <w:rsid w:val="00F70FC5"/>
    <w:rsid w:val="00F924AA"/>
    <w:rsid w:val="00FA234F"/>
    <w:rsid w:val="00FB08CA"/>
    <w:rsid w:val="00FD19B3"/>
    <w:rsid w:val="00FE18FC"/>
    <w:rsid w:val="00FE1BFA"/>
    <w:rsid w:val="00FE62F7"/>
    <w:rsid w:val="00FE6B89"/>
    <w:rsid w:val="00FF26EC"/>
    <w:rsid w:val="00FF372A"/>
    <w:rsid w:val="00FF3AFF"/>
    <w:rsid w:val="00FF508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24A5D9"/>
  <w15:chartTrackingRefBased/>
  <w15:docId w15:val="{2B776F75-3A30-40E4-8917-2E4F37B2C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3494B"/>
    <w:pPr>
      <w:spacing w:line="360" w:lineRule="auto"/>
      <w:jc w:val="both"/>
      <w:outlineLvl w:val="0"/>
    </w:pPr>
    <w:rPr>
      <w:rFonts w:ascii="Times New Roman" w:hAnsi="Times New Roman" w:cs="Times New Roman"/>
      <w:b/>
      <w:bCs/>
      <w:sz w:val="28"/>
      <w:szCs w:val="28"/>
    </w:rPr>
  </w:style>
  <w:style w:type="paragraph" w:styleId="Heading4">
    <w:name w:val="heading 4"/>
    <w:basedOn w:val="Normal"/>
    <w:next w:val="Normal"/>
    <w:link w:val="Heading4Char"/>
    <w:uiPriority w:val="9"/>
    <w:semiHidden/>
    <w:unhideWhenUsed/>
    <w:qFormat/>
    <w:rsid w:val="001210C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3EFB"/>
    <w:pPr>
      <w:ind w:left="720"/>
      <w:contextualSpacing/>
    </w:pPr>
  </w:style>
  <w:style w:type="paragraph" w:styleId="Caption">
    <w:name w:val="caption"/>
    <w:basedOn w:val="Normal"/>
    <w:next w:val="Normal"/>
    <w:uiPriority w:val="35"/>
    <w:unhideWhenUsed/>
    <w:qFormat/>
    <w:rsid w:val="000D414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13494B"/>
    <w:rPr>
      <w:rFonts w:ascii="Times New Roman" w:hAnsi="Times New Roman" w:cs="Times New Roman"/>
      <w:b/>
      <w:bCs/>
      <w:sz w:val="28"/>
      <w:szCs w:val="28"/>
      <w:lang w:val="en-GB"/>
    </w:rPr>
  </w:style>
  <w:style w:type="paragraph" w:styleId="Bibliography">
    <w:name w:val="Bibliography"/>
    <w:basedOn w:val="Normal"/>
    <w:next w:val="Normal"/>
    <w:uiPriority w:val="37"/>
    <w:unhideWhenUsed/>
    <w:rsid w:val="0013494B"/>
  </w:style>
  <w:style w:type="paragraph" w:styleId="TOCHeading">
    <w:name w:val="TOC Heading"/>
    <w:basedOn w:val="Heading1"/>
    <w:next w:val="Normal"/>
    <w:uiPriority w:val="39"/>
    <w:unhideWhenUsed/>
    <w:qFormat/>
    <w:rsid w:val="00525705"/>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525705"/>
    <w:pPr>
      <w:spacing w:after="100"/>
    </w:pPr>
  </w:style>
  <w:style w:type="character" w:styleId="Hyperlink">
    <w:name w:val="Hyperlink"/>
    <w:basedOn w:val="DefaultParagraphFont"/>
    <w:uiPriority w:val="99"/>
    <w:unhideWhenUsed/>
    <w:rsid w:val="00525705"/>
    <w:rPr>
      <w:color w:val="0563C1" w:themeColor="hyperlink"/>
      <w:u w:val="single"/>
    </w:rPr>
  </w:style>
  <w:style w:type="paragraph" w:styleId="TableofFigures">
    <w:name w:val="table of figures"/>
    <w:basedOn w:val="Normal"/>
    <w:next w:val="Normal"/>
    <w:uiPriority w:val="99"/>
    <w:unhideWhenUsed/>
    <w:rsid w:val="00704C7B"/>
    <w:pPr>
      <w:spacing w:after="0"/>
    </w:pPr>
  </w:style>
  <w:style w:type="paragraph" w:styleId="Header">
    <w:name w:val="header"/>
    <w:basedOn w:val="Normal"/>
    <w:link w:val="HeaderChar"/>
    <w:uiPriority w:val="99"/>
    <w:unhideWhenUsed/>
    <w:rsid w:val="00BF15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5CE"/>
    <w:rPr>
      <w:lang w:val="en-GB"/>
    </w:rPr>
  </w:style>
  <w:style w:type="paragraph" w:styleId="Footer">
    <w:name w:val="footer"/>
    <w:basedOn w:val="Normal"/>
    <w:link w:val="FooterChar"/>
    <w:uiPriority w:val="99"/>
    <w:unhideWhenUsed/>
    <w:rsid w:val="00BF15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5CE"/>
    <w:rPr>
      <w:lang w:val="en-GB"/>
    </w:rPr>
  </w:style>
  <w:style w:type="character" w:customStyle="1" w:styleId="Heading4Char">
    <w:name w:val="Heading 4 Char"/>
    <w:basedOn w:val="DefaultParagraphFont"/>
    <w:link w:val="Heading4"/>
    <w:uiPriority w:val="9"/>
    <w:semiHidden/>
    <w:rsid w:val="001210CB"/>
    <w:rPr>
      <w:rFonts w:asciiTheme="majorHAnsi" w:eastAsiaTheme="majorEastAsia" w:hAnsiTheme="majorHAnsi" w:cstheme="majorBidi"/>
      <w:i/>
      <w:iCs/>
      <w:color w:val="2F5496"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09170">
      <w:bodyDiv w:val="1"/>
      <w:marLeft w:val="0"/>
      <w:marRight w:val="0"/>
      <w:marTop w:val="0"/>
      <w:marBottom w:val="0"/>
      <w:divBdr>
        <w:top w:val="none" w:sz="0" w:space="0" w:color="auto"/>
        <w:left w:val="none" w:sz="0" w:space="0" w:color="auto"/>
        <w:bottom w:val="none" w:sz="0" w:space="0" w:color="auto"/>
        <w:right w:val="none" w:sz="0" w:space="0" w:color="auto"/>
      </w:divBdr>
    </w:div>
    <w:div w:id="61294839">
      <w:bodyDiv w:val="1"/>
      <w:marLeft w:val="0"/>
      <w:marRight w:val="0"/>
      <w:marTop w:val="0"/>
      <w:marBottom w:val="0"/>
      <w:divBdr>
        <w:top w:val="none" w:sz="0" w:space="0" w:color="auto"/>
        <w:left w:val="none" w:sz="0" w:space="0" w:color="auto"/>
        <w:bottom w:val="none" w:sz="0" w:space="0" w:color="auto"/>
        <w:right w:val="none" w:sz="0" w:space="0" w:color="auto"/>
      </w:divBdr>
    </w:div>
    <w:div w:id="85733915">
      <w:bodyDiv w:val="1"/>
      <w:marLeft w:val="0"/>
      <w:marRight w:val="0"/>
      <w:marTop w:val="0"/>
      <w:marBottom w:val="0"/>
      <w:divBdr>
        <w:top w:val="none" w:sz="0" w:space="0" w:color="auto"/>
        <w:left w:val="none" w:sz="0" w:space="0" w:color="auto"/>
        <w:bottom w:val="none" w:sz="0" w:space="0" w:color="auto"/>
        <w:right w:val="none" w:sz="0" w:space="0" w:color="auto"/>
      </w:divBdr>
    </w:div>
    <w:div w:id="90052401">
      <w:bodyDiv w:val="1"/>
      <w:marLeft w:val="0"/>
      <w:marRight w:val="0"/>
      <w:marTop w:val="0"/>
      <w:marBottom w:val="0"/>
      <w:divBdr>
        <w:top w:val="none" w:sz="0" w:space="0" w:color="auto"/>
        <w:left w:val="none" w:sz="0" w:space="0" w:color="auto"/>
        <w:bottom w:val="none" w:sz="0" w:space="0" w:color="auto"/>
        <w:right w:val="none" w:sz="0" w:space="0" w:color="auto"/>
      </w:divBdr>
    </w:div>
    <w:div w:id="96798017">
      <w:bodyDiv w:val="1"/>
      <w:marLeft w:val="0"/>
      <w:marRight w:val="0"/>
      <w:marTop w:val="0"/>
      <w:marBottom w:val="0"/>
      <w:divBdr>
        <w:top w:val="none" w:sz="0" w:space="0" w:color="auto"/>
        <w:left w:val="none" w:sz="0" w:space="0" w:color="auto"/>
        <w:bottom w:val="none" w:sz="0" w:space="0" w:color="auto"/>
        <w:right w:val="none" w:sz="0" w:space="0" w:color="auto"/>
      </w:divBdr>
    </w:div>
    <w:div w:id="98137260">
      <w:bodyDiv w:val="1"/>
      <w:marLeft w:val="0"/>
      <w:marRight w:val="0"/>
      <w:marTop w:val="0"/>
      <w:marBottom w:val="0"/>
      <w:divBdr>
        <w:top w:val="none" w:sz="0" w:space="0" w:color="auto"/>
        <w:left w:val="none" w:sz="0" w:space="0" w:color="auto"/>
        <w:bottom w:val="none" w:sz="0" w:space="0" w:color="auto"/>
        <w:right w:val="none" w:sz="0" w:space="0" w:color="auto"/>
      </w:divBdr>
    </w:div>
    <w:div w:id="114296905">
      <w:bodyDiv w:val="1"/>
      <w:marLeft w:val="0"/>
      <w:marRight w:val="0"/>
      <w:marTop w:val="0"/>
      <w:marBottom w:val="0"/>
      <w:divBdr>
        <w:top w:val="none" w:sz="0" w:space="0" w:color="auto"/>
        <w:left w:val="none" w:sz="0" w:space="0" w:color="auto"/>
        <w:bottom w:val="none" w:sz="0" w:space="0" w:color="auto"/>
        <w:right w:val="none" w:sz="0" w:space="0" w:color="auto"/>
      </w:divBdr>
    </w:div>
    <w:div w:id="123819994">
      <w:bodyDiv w:val="1"/>
      <w:marLeft w:val="0"/>
      <w:marRight w:val="0"/>
      <w:marTop w:val="0"/>
      <w:marBottom w:val="0"/>
      <w:divBdr>
        <w:top w:val="none" w:sz="0" w:space="0" w:color="auto"/>
        <w:left w:val="none" w:sz="0" w:space="0" w:color="auto"/>
        <w:bottom w:val="none" w:sz="0" w:space="0" w:color="auto"/>
        <w:right w:val="none" w:sz="0" w:space="0" w:color="auto"/>
      </w:divBdr>
    </w:div>
    <w:div w:id="131102925">
      <w:bodyDiv w:val="1"/>
      <w:marLeft w:val="0"/>
      <w:marRight w:val="0"/>
      <w:marTop w:val="0"/>
      <w:marBottom w:val="0"/>
      <w:divBdr>
        <w:top w:val="none" w:sz="0" w:space="0" w:color="auto"/>
        <w:left w:val="none" w:sz="0" w:space="0" w:color="auto"/>
        <w:bottom w:val="none" w:sz="0" w:space="0" w:color="auto"/>
        <w:right w:val="none" w:sz="0" w:space="0" w:color="auto"/>
      </w:divBdr>
    </w:div>
    <w:div w:id="134876197">
      <w:bodyDiv w:val="1"/>
      <w:marLeft w:val="0"/>
      <w:marRight w:val="0"/>
      <w:marTop w:val="0"/>
      <w:marBottom w:val="0"/>
      <w:divBdr>
        <w:top w:val="none" w:sz="0" w:space="0" w:color="auto"/>
        <w:left w:val="none" w:sz="0" w:space="0" w:color="auto"/>
        <w:bottom w:val="none" w:sz="0" w:space="0" w:color="auto"/>
        <w:right w:val="none" w:sz="0" w:space="0" w:color="auto"/>
      </w:divBdr>
    </w:div>
    <w:div w:id="153490996">
      <w:bodyDiv w:val="1"/>
      <w:marLeft w:val="0"/>
      <w:marRight w:val="0"/>
      <w:marTop w:val="0"/>
      <w:marBottom w:val="0"/>
      <w:divBdr>
        <w:top w:val="none" w:sz="0" w:space="0" w:color="auto"/>
        <w:left w:val="none" w:sz="0" w:space="0" w:color="auto"/>
        <w:bottom w:val="none" w:sz="0" w:space="0" w:color="auto"/>
        <w:right w:val="none" w:sz="0" w:space="0" w:color="auto"/>
      </w:divBdr>
    </w:div>
    <w:div w:id="165679363">
      <w:bodyDiv w:val="1"/>
      <w:marLeft w:val="0"/>
      <w:marRight w:val="0"/>
      <w:marTop w:val="0"/>
      <w:marBottom w:val="0"/>
      <w:divBdr>
        <w:top w:val="none" w:sz="0" w:space="0" w:color="auto"/>
        <w:left w:val="none" w:sz="0" w:space="0" w:color="auto"/>
        <w:bottom w:val="none" w:sz="0" w:space="0" w:color="auto"/>
        <w:right w:val="none" w:sz="0" w:space="0" w:color="auto"/>
      </w:divBdr>
    </w:div>
    <w:div w:id="202254940">
      <w:bodyDiv w:val="1"/>
      <w:marLeft w:val="0"/>
      <w:marRight w:val="0"/>
      <w:marTop w:val="0"/>
      <w:marBottom w:val="0"/>
      <w:divBdr>
        <w:top w:val="none" w:sz="0" w:space="0" w:color="auto"/>
        <w:left w:val="none" w:sz="0" w:space="0" w:color="auto"/>
        <w:bottom w:val="none" w:sz="0" w:space="0" w:color="auto"/>
        <w:right w:val="none" w:sz="0" w:space="0" w:color="auto"/>
      </w:divBdr>
      <w:divsChild>
        <w:div w:id="1720395970">
          <w:marLeft w:val="0"/>
          <w:marRight w:val="0"/>
          <w:marTop w:val="0"/>
          <w:marBottom w:val="0"/>
          <w:divBdr>
            <w:top w:val="single" w:sz="2" w:space="0" w:color="D9D9E3"/>
            <w:left w:val="single" w:sz="2" w:space="0" w:color="D9D9E3"/>
            <w:bottom w:val="single" w:sz="2" w:space="0" w:color="D9D9E3"/>
            <w:right w:val="single" w:sz="2" w:space="0" w:color="D9D9E3"/>
          </w:divBdr>
          <w:divsChild>
            <w:div w:id="1371298388">
              <w:marLeft w:val="0"/>
              <w:marRight w:val="0"/>
              <w:marTop w:val="0"/>
              <w:marBottom w:val="0"/>
              <w:divBdr>
                <w:top w:val="single" w:sz="2" w:space="0" w:color="D9D9E3"/>
                <w:left w:val="single" w:sz="2" w:space="0" w:color="D9D9E3"/>
                <w:bottom w:val="single" w:sz="2" w:space="0" w:color="D9D9E3"/>
                <w:right w:val="single" w:sz="2" w:space="0" w:color="D9D9E3"/>
              </w:divBdr>
              <w:divsChild>
                <w:div w:id="780302970">
                  <w:marLeft w:val="0"/>
                  <w:marRight w:val="0"/>
                  <w:marTop w:val="0"/>
                  <w:marBottom w:val="0"/>
                  <w:divBdr>
                    <w:top w:val="single" w:sz="2" w:space="0" w:color="D9D9E3"/>
                    <w:left w:val="single" w:sz="2" w:space="0" w:color="D9D9E3"/>
                    <w:bottom w:val="single" w:sz="2" w:space="0" w:color="D9D9E3"/>
                    <w:right w:val="single" w:sz="2" w:space="0" w:color="D9D9E3"/>
                  </w:divBdr>
                  <w:divsChild>
                    <w:div w:id="1325427153">
                      <w:marLeft w:val="0"/>
                      <w:marRight w:val="0"/>
                      <w:marTop w:val="0"/>
                      <w:marBottom w:val="0"/>
                      <w:divBdr>
                        <w:top w:val="single" w:sz="2" w:space="0" w:color="D9D9E3"/>
                        <w:left w:val="single" w:sz="2" w:space="0" w:color="D9D9E3"/>
                        <w:bottom w:val="single" w:sz="2" w:space="0" w:color="D9D9E3"/>
                        <w:right w:val="single" w:sz="2" w:space="0" w:color="D9D9E3"/>
                      </w:divBdr>
                      <w:divsChild>
                        <w:div w:id="1415861790">
                          <w:marLeft w:val="0"/>
                          <w:marRight w:val="0"/>
                          <w:marTop w:val="0"/>
                          <w:marBottom w:val="0"/>
                          <w:divBdr>
                            <w:top w:val="single" w:sz="2" w:space="0" w:color="D9D9E3"/>
                            <w:left w:val="single" w:sz="2" w:space="0" w:color="D9D9E3"/>
                            <w:bottom w:val="single" w:sz="2" w:space="0" w:color="D9D9E3"/>
                            <w:right w:val="single" w:sz="2" w:space="0" w:color="D9D9E3"/>
                          </w:divBdr>
                          <w:divsChild>
                            <w:div w:id="56973280">
                              <w:marLeft w:val="0"/>
                              <w:marRight w:val="0"/>
                              <w:marTop w:val="100"/>
                              <w:marBottom w:val="100"/>
                              <w:divBdr>
                                <w:top w:val="single" w:sz="2" w:space="0" w:color="D9D9E3"/>
                                <w:left w:val="single" w:sz="2" w:space="0" w:color="D9D9E3"/>
                                <w:bottom w:val="single" w:sz="2" w:space="0" w:color="D9D9E3"/>
                                <w:right w:val="single" w:sz="2" w:space="0" w:color="D9D9E3"/>
                              </w:divBdr>
                              <w:divsChild>
                                <w:div w:id="538862035">
                                  <w:marLeft w:val="0"/>
                                  <w:marRight w:val="0"/>
                                  <w:marTop w:val="0"/>
                                  <w:marBottom w:val="0"/>
                                  <w:divBdr>
                                    <w:top w:val="single" w:sz="2" w:space="0" w:color="D9D9E3"/>
                                    <w:left w:val="single" w:sz="2" w:space="0" w:color="D9D9E3"/>
                                    <w:bottom w:val="single" w:sz="2" w:space="0" w:color="D9D9E3"/>
                                    <w:right w:val="single" w:sz="2" w:space="0" w:color="D9D9E3"/>
                                  </w:divBdr>
                                  <w:divsChild>
                                    <w:div w:id="1501239115">
                                      <w:marLeft w:val="0"/>
                                      <w:marRight w:val="0"/>
                                      <w:marTop w:val="0"/>
                                      <w:marBottom w:val="0"/>
                                      <w:divBdr>
                                        <w:top w:val="single" w:sz="2" w:space="0" w:color="D9D9E3"/>
                                        <w:left w:val="single" w:sz="2" w:space="0" w:color="D9D9E3"/>
                                        <w:bottom w:val="single" w:sz="2" w:space="0" w:color="D9D9E3"/>
                                        <w:right w:val="single" w:sz="2" w:space="0" w:color="D9D9E3"/>
                                      </w:divBdr>
                                      <w:divsChild>
                                        <w:div w:id="1758862807">
                                          <w:marLeft w:val="0"/>
                                          <w:marRight w:val="0"/>
                                          <w:marTop w:val="0"/>
                                          <w:marBottom w:val="0"/>
                                          <w:divBdr>
                                            <w:top w:val="single" w:sz="2" w:space="0" w:color="D9D9E3"/>
                                            <w:left w:val="single" w:sz="2" w:space="0" w:color="D9D9E3"/>
                                            <w:bottom w:val="single" w:sz="2" w:space="0" w:color="D9D9E3"/>
                                            <w:right w:val="single" w:sz="2" w:space="0" w:color="D9D9E3"/>
                                          </w:divBdr>
                                          <w:divsChild>
                                            <w:div w:id="1267035453">
                                              <w:marLeft w:val="0"/>
                                              <w:marRight w:val="0"/>
                                              <w:marTop w:val="0"/>
                                              <w:marBottom w:val="0"/>
                                              <w:divBdr>
                                                <w:top w:val="single" w:sz="2" w:space="0" w:color="D9D9E3"/>
                                                <w:left w:val="single" w:sz="2" w:space="0" w:color="D9D9E3"/>
                                                <w:bottom w:val="single" w:sz="2" w:space="0" w:color="D9D9E3"/>
                                                <w:right w:val="single" w:sz="2" w:space="0" w:color="D9D9E3"/>
                                              </w:divBdr>
                                              <w:divsChild>
                                                <w:div w:id="380903465">
                                                  <w:marLeft w:val="0"/>
                                                  <w:marRight w:val="0"/>
                                                  <w:marTop w:val="0"/>
                                                  <w:marBottom w:val="0"/>
                                                  <w:divBdr>
                                                    <w:top w:val="single" w:sz="2" w:space="0" w:color="D9D9E3"/>
                                                    <w:left w:val="single" w:sz="2" w:space="0" w:color="D9D9E3"/>
                                                    <w:bottom w:val="single" w:sz="2" w:space="0" w:color="D9D9E3"/>
                                                    <w:right w:val="single" w:sz="2" w:space="0" w:color="D9D9E3"/>
                                                  </w:divBdr>
                                                  <w:divsChild>
                                                    <w:div w:id="6992801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82076733">
          <w:marLeft w:val="0"/>
          <w:marRight w:val="0"/>
          <w:marTop w:val="0"/>
          <w:marBottom w:val="0"/>
          <w:divBdr>
            <w:top w:val="none" w:sz="0" w:space="0" w:color="auto"/>
            <w:left w:val="none" w:sz="0" w:space="0" w:color="auto"/>
            <w:bottom w:val="none" w:sz="0" w:space="0" w:color="auto"/>
            <w:right w:val="none" w:sz="0" w:space="0" w:color="auto"/>
          </w:divBdr>
        </w:div>
      </w:divsChild>
    </w:div>
    <w:div w:id="203255651">
      <w:bodyDiv w:val="1"/>
      <w:marLeft w:val="0"/>
      <w:marRight w:val="0"/>
      <w:marTop w:val="0"/>
      <w:marBottom w:val="0"/>
      <w:divBdr>
        <w:top w:val="none" w:sz="0" w:space="0" w:color="auto"/>
        <w:left w:val="none" w:sz="0" w:space="0" w:color="auto"/>
        <w:bottom w:val="none" w:sz="0" w:space="0" w:color="auto"/>
        <w:right w:val="none" w:sz="0" w:space="0" w:color="auto"/>
      </w:divBdr>
    </w:div>
    <w:div w:id="216820109">
      <w:bodyDiv w:val="1"/>
      <w:marLeft w:val="0"/>
      <w:marRight w:val="0"/>
      <w:marTop w:val="0"/>
      <w:marBottom w:val="0"/>
      <w:divBdr>
        <w:top w:val="none" w:sz="0" w:space="0" w:color="auto"/>
        <w:left w:val="none" w:sz="0" w:space="0" w:color="auto"/>
        <w:bottom w:val="none" w:sz="0" w:space="0" w:color="auto"/>
        <w:right w:val="none" w:sz="0" w:space="0" w:color="auto"/>
      </w:divBdr>
    </w:div>
    <w:div w:id="240214102">
      <w:bodyDiv w:val="1"/>
      <w:marLeft w:val="0"/>
      <w:marRight w:val="0"/>
      <w:marTop w:val="0"/>
      <w:marBottom w:val="0"/>
      <w:divBdr>
        <w:top w:val="none" w:sz="0" w:space="0" w:color="auto"/>
        <w:left w:val="none" w:sz="0" w:space="0" w:color="auto"/>
        <w:bottom w:val="none" w:sz="0" w:space="0" w:color="auto"/>
        <w:right w:val="none" w:sz="0" w:space="0" w:color="auto"/>
      </w:divBdr>
    </w:div>
    <w:div w:id="241961672">
      <w:bodyDiv w:val="1"/>
      <w:marLeft w:val="0"/>
      <w:marRight w:val="0"/>
      <w:marTop w:val="0"/>
      <w:marBottom w:val="0"/>
      <w:divBdr>
        <w:top w:val="none" w:sz="0" w:space="0" w:color="auto"/>
        <w:left w:val="none" w:sz="0" w:space="0" w:color="auto"/>
        <w:bottom w:val="none" w:sz="0" w:space="0" w:color="auto"/>
        <w:right w:val="none" w:sz="0" w:space="0" w:color="auto"/>
      </w:divBdr>
    </w:div>
    <w:div w:id="284121232">
      <w:bodyDiv w:val="1"/>
      <w:marLeft w:val="0"/>
      <w:marRight w:val="0"/>
      <w:marTop w:val="0"/>
      <w:marBottom w:val="0"/>
      <w:divBdr>
        <w:top w:val="none" w:sz="0" w:space="0" w:color="auto"/>
        <w:left w:val="none" w:sz="0" w:space="0" w:color="auto"/>
        <w:bottom w:val="none" w:sz="0" w:space="0" w:color="auto"/>
        <w:right w:val="none" w:sz="0" w:space="0" w:color="auto"/>
      </w:divBdr>
    </w:div>
    <w:div w:id="292254706">
      <w:bodyDiv w:val="1"/>
      <w:marLeft w:val="0"/>
      <w:marRight w:val="0"/>
      <w:marTop w:val="0"/>
      <w:marBottom w:val="0"/>
      <w:divBdr>
        <w:top w:val="none" w:sz="0" w:space="0" w:color="auto"/>
        <w:left w:val="none" w:sz="0" w:space="0" w:color="auto"/>
        <w:bottom w:val="none" w:sz="0" w:space="0" w:color="auto"/>
        <w:right w:val="none" w:sz="0" w:space="0" w:color="auto"/>
      </w:divBdr>
    </w:div>
    <w:div w:id="296957593">
      <w:bodyDiv w:val="1"/>
      <w:marLeft w:val="0"/>
      <w:marRight w:val="0"/>
      <w:marTop w:val="0"/>
      <w:marBottom w:val="0"/>
      <w:divBdr>
        <w:top w:val="none" w:sz="0" w:space="0" w:color="auto"/>
        <w:left w:val="none" w:sz="0" w:space="0" w:color="auto"/>
        <w:bottom w:val="none" w:sz="0" w:space="0" w:color="auto"/>
        <w:right w:val="none" w:sz="0" w:space="0" w:color="auto"/>
      </w:divBdr>
    </w:div>
    <w:div w:id="315765375">
      <w:bodyDiv w:val="1"/>
      <w:marLeft w:val="0"/>
      <w:marRight w:val="0"/>
      <w:marTop w:val="0"/>
      <w:marBottom w:val="0"/>
      <w:divBdr>
        <w:top w:val="none" w:sz="0" w:space="0" w:color="auto"/>
        <w:left w:val="none" w:sz="0" w:space="0" w:color="auto"/>
        <w:bottom w:val="none" w:sz="0" w:space="0" w:color="auto"/>
        <w:right w:val="none" w:sz="0" w:space="0" w:color="auto"/>
      </w:divBdr>
    </w:div>
    <w:div w:id="318383586">
      <w:bodyDiv w:val="1"/>
      <w:marLeft w:val="0"/>
      <w:marRight w:val="0"/>
      <w:marTop w:val="0"/>
      <w:marBottom w:val="0"/>
      <w:divBdr>
        <w:top w:val="none" w:sz="0" w:space="0" w:color="auto"/>
        <w:left w:val="none" w:sz="0" w:space="0" w:color="auto"/>
        <w:bottom w:val="none" w:sz="0" w:space="0" w:color="auto"/>
        <w:right w:val="none" w:sz="0" w:space="0" w:color="auto"/>
      </w:divBdr>
    </w:div>
    <w:div w:id="336621596">
      <w:bodyDiv w:val="1"/>
      <w:marLeft w:val="0"/>
      <w:marRight w:val="0"/>
      <w:marTop w:val="0"/>
      <w:marBottom w:val="0"/>
      <w:divBdr>
        <w:top w:val="none" w:sz="0" w:space="0" w:color="auto"/>
        <w:left w:val="none" w:sz="0" w:space="0" w:color="auto"/>
        <w:bottom w:val="none" w:sz="0" w:space="0" w:color="auto"/>
        <w:right w:val="none" w:sz="0" w:space="0" w:color="auto"/>
      </w:divBdr>
    </w:div>
    <w:div w:id="344523802">
      <w:bodyDiv w:val="1"/>
      <w:marLeft w:val="0"/>
      <w:marRight w:val="0"/>
      <w:marTop w:val="0"/>
      <w:marBottom w:val="0"/>
      <w:divBdr>
        <w:top w:val="none" w:sz="0" w:space="0" w:color="auto"/>
        <w:left w:val="none" w:sz="0" w:space="0" w:color="auto"/>
        <w:bottom w:val="none" w:sz="0" w:space="0" w:color="auto"/>
        <w:right w:val="none" w:sz="0" w:space="0" w:color="auto"/>
      </w:divBdr>
    </w:div>
    <w:div w:id="419643596">
      <w:bodyDiv w:val="1"/>
      <w:marLeft w:val="0"/>
      <w:marRight w:val="0"/>
      <w:marTop w:val="0"/>
      <w:marBottom w:val="0"/>
      <w:divBdr>
        <w:top w:val="none" w:sz="0" w:space="0" w:color="auto"/>
        <w:left w:val="none" w:sz="0" w:space="0" w:color="auto"/>
        <w:bottom w:val="none" w:sz="0" w:space="0" w:color="auto"/>
        <w:right w:val="none" w:sz="0" w:space="0" w:color="auto"/>
      </w:divBdr>
    </w:div>
    <w:div w:id="441648834">
      <w:bodyDiv w:val="1"/>
      <w:marLeft w:val="0"/>
      <w:marRight w:val="0"/>
      <w:marTop w:val="0"/>
      <w:marBottom w:val="0"/>
      <w:divBdr>
        <w:top w:val="none" w:sz="0" w:space="0" w:color="auto"/>
        <w:left w:val="none" w:sz="0" w:space="0" w:color="auto"/>
        <w:bottom w:val="none" w:sz="0" w:space="0" w:color="auto"/>
        <w:right w:val="none" w:sz="0" w:space="0" w:color="auto"/>
      </w:divBdr>
    </w:div>
    <w:div w:id="459032995">
      <w:bodyDiv w:val="1"/>
      <w:marLeft w:val="0"/>
      <w:marRight w:val="0"/>
      <w:marTop w:val="0"/>
      <w:marBottom w:val="0"/>
      <w:divBdr>
        <w:top w:val="none" w:sz="0" w:space="0" w:color="auto"/>
        <w:left w:val="none" w:sz="0" w:space="0" w:color="auto"/>
        <w:bottom w:val="none" w:sz="0" w:space="0" w:color="auto"/>
        <w:right w:val="none" w:sz="0" w:space="0" w:color="auto"/>
      </w:divBdr>
    </w:div>
    <w:div w:id="532034599">
      <w:bodyDiv w:val="1"/>
      <w:marLeft w:val="0"/>
      <w:marRight w:val="0"/>
      <w:marTop w:val="0"/>
      <w:marBottom w:val="0"/>
      <w:divBdr>
        <w:top w:val="none" w:sz="0" w:space="0" w:color="auto"/>
        <w:left w:val="none" w:sz="0" w:space="0" w:color="auto"/>
        <w:bottom w:val="none" w:sz="0" w:space="0" w:color="auto"/>
        <w:right w:val="none" w:sz="0" w:space="0" w:color="auto"/>
      </w:divBdr>
    </w:div>
    <w:div w:id="608052758">
      <w:bodyDiv w:val="1"/>
      <w:marLeft w:val="0"/>
      <w:marRight w:val="0"/>
      <w:marTop w:val="0"/>
      <w:marBottom w:val="0"/>
      <w:divBdr>
        <w:top w:val="none" w:sz="0" w:space="0" w:color="auto"/>
        <w:left w:val="none" w:sz="0" w:space="0" w:color="auto"/>
        <w:bottom w:val="none" w:sz="0" w:space="0" w:color="auto"/>
        <w:right w:val="none" w:sz="0" w:space="0" w:color="auto"/>
      </w:divBdr>
    </w:div>
    <w:div w:id="620916900">
      <w:bodyDiv w:val="1"/>
      <w:marLeft w:val="0"/>
      <w:marRight w:val="0"/>
      <w:marTop w:val="0"/>
      <w:marBottom w:val="0"/>
      <w:divBdr>
        <w:top w:val="none" w:sz="0" w:space="0" w:color="auto"/>
        <w:left w:val="none" w:sz="0" w:space="0" w:color="auto"/>
        <w:bottom w:val="none" w:sz="0" w:space="0" w:color="auto"/>
        <w:right w:val="none" w:sz="0" w:space="0" w:color="auto"/>
      </w:divBdr>
    </w:div>
    <w:div w:id="625161842">
      <w:bodyDiv w:val="1"/>
      <w:marLeft w:val="0"/>
      <w:marRight w:val="0"/>
      <w:marTop w:val="0"/>
      <w:marBottom w:val="0"/>
      <w:divBdr>
        <w:top w:val="none" w:sz="0" w:space="0" w:color="auto"/>
        <w:left w:val="none" w:sz="0" w:space="0" w:color="auto"/>
        <w:bottom w:val="none" w:sz="0" w:space="0" w:color="auto"/>
        <w:right w:val="none" w:sz="0" w:space="0" w:color="auto"/>
      </w:divBdr>
    </w:div>
    <w:div w:id="625697615">
      <w:bodyDiv w:val="1"/>
      <w:marLeft w:val="0"/>
      <w:marRight w:val="0"/>
      <w:marTop w:val="0"/>
      <w:marBottom w:val="0"/>
      <w:divBdr>
        <w:top w:val="none" w:sz="0" w:space="0" w:color="auto"/>
        <w:left w:val="none" w:sz="0" w:space="0" w:color="auto"/>
        <w:bottom w:val="none" w:sz="0" w:space="0" w:color="auto"/>
        <w:right w:val="none" w:sz="0" w:space="0" w:color="auto"/>
      </w:divBdr>
    </w:div>
    <w:div w:id="627704590">
      <w:bodyDiv w:val="1"/>
      <w:marLeft w:val="0"/>
      <w:marRight w:val="0"/>
      <w:marTop w:val="0"/>
      <w:marBottom w:val="0"/>
      <w:divBdr>
        <w:top w:val="none" w:sz="0" w:space="0" w:color="auto"/>
        <w:left w:val="none" w:sz="0" w:space="0" w:color="auto"/>
        <w:bottom w:val="none" w:sz="0" w:space="0" w:color="auto"/>
        <w:right w:val="none" w:sz="0" w:space="0" w:color="auto"/>
      </w:divBdr>
    </w:div>
    <w:div w:id="640160037">
      <w:bodyDiv w:val="1"/>
      <w:marLeft w:val="0"/>
      <w:marRight w:val="0"/>
      <w:marTop w:val="0"/>
      <w:marBottom w:val="0"/>
      <w:divBdr>
        <w:top w:val="none" w:sz="0" w:space="0" w:color="auto"/>
        <w:left w:val="none" w:sz="0" w:space="0" w:color="auto"/>
        <w:bottom w:val="none" w:sz="0" w:space="0" w:color="auto"/>
        <w:right w:val="none" w:sz="0" w:space="0" w:color="auto"/>
      </w:divBdr>
    </w:div>
    <w:div w:id="647561607">
      <w:bodyDiv w:val="1"/>
      <w:marLeft w:val="0"/>
      <w:marRight w:val="0"/>
      <w:marTop w:val="0"/>
      <w:marBottom w:val="0"/>
      <w:divBdr>
        <w:top w:val="none" w:sz="0" w:space="0" w:color="auto"/>
        <w:left w:val="none" w:sz="0" w:space="0" w:color="auto"/>
        <w:bottom w:val="none" w:sz="0" w:space="0" w:color="auto"/>
        <w:right w:val="none" w:sz="0" w:space="0" w:color="auto"/>
      </w:divBdr>
    </w:div>
    <w:div w:id="661546768">
      <w:bodyDiv w:val="1"/>
      <w:marLeft w:val="0"/>
      <w:marRight w:val="0"/>
      <w:marTop w:val="0"/>
      <w:marBottom w:val="0"/>
      <w:divBdr>
        <w:top w:val="none" w:sz="0" w:space="0" w:color="auto"/>
        <w:left w:val="none" w:sz="0" w:space="0" w:color="auto"/>
        <w:bottom w:val="none" w:sz="0" w:space="0" w:color="auto"/>
        <w:right w:val="none" w:sz="0" w:space="0" w:color="auto"/>
      </w:divBdr>
    </w:div>
    <w:div w:id="662707042">
      <w:bodyDiv w:val="1"/>
      <w:marLeft w:val="0"/>
      <w:marRight w:val="0"/>
      <w:marTop w:val="0"/>
      <w:marBottom w:val="0"/>
      <w:divBdr>
        <w:top w:val="none" w:sz="0" w:space="0" w:color="auto"/>
        <w:left w:val="none" w:sz="0" w:space="0" w:color="auto"/>
        <w:bottom w:val="none" w:sz="0" w:space="0" w:color="auto"/>
        <w:right w:val="none" w:sz="0" w:space="0" w:color="auto"/>
      </w:divBdr>
    </w:div>
    <w:div w:id="663893077">
      <w:bodyDiv w:val="1"/>
      <w:marLeft w:val="0"/>
      <w:marRight w:val="0"/>
      <w:marTop w:val="0"/>
      <w:marBottom w:val="0"/>
      <w:divBdr>
        <w:top w:val="none" w:sz="0" w:space="0" w:color="auto"/>
        <w:left w:val="none" w:sz="0" w:space="0" w:color="auto"/>
        <w:bottom w:val="none" w:sz="0" w:space="0" w:color="auto"/>
        <w:right w:val="none" w:sz="0" w:space="0" w:color="auto"/>
      </w:divBdr>
    </w:div>
    <w:div w:id="669067597">
      <w:bodyDiv w:val="1"/>
      <w:marLeft w:val="0"/>
      <w:marRight w:val="0"/>
      <w:marTop w:val="0"/>
      <w:marBottom w:val="0"/>
      <w:divBdr>
        <w:top w:val="none" w:sz="0" w:space="0" w:color="auto"/>
        <w:left w:val="none" w:sz="0" w:space="0" w:color="auto"/>
        <w:bottom w:val="none" w:sz="0" w:space="0" w:color="auto"/>
        <w:right w:val="none" w:sz="0" w:space="0" w:color="auto"/>
      </w:divBdr>
    </w:div>
    <w:div w:id="677583894">
      <w:bodyDiv w:val="1"/>
      <w:marLeft w:val="0"/>
      <w:marRight w:val="0"/>
      <w:marTop w:val="0"/>
      <w:marBottom w:val="0"/>
      <w:divBdr>
        <w:top w:val="none" w:sz="0" w:space="0" w:color="auto"/>
        <w:left w:val="none" w:sz="0" w:space="0" w:color="auto"/>
        <w:bottom w:val="none" w:sz="0" w:space="0" w:color="auto"/>
        <w:right w:val="none" w:sz="0" w:space="0" w:color="auto"/>
      </w:divBdr>
    </w:div>
    <w:div w:id="677735952">
      <w:bodyDiv w:val="1"/>
      <w:marLeft w:val="0"/>
      <w:marRight w:val="0"/>
      <w:marTop w:val="0"/>
      <w:marBottom w:val="0"/>
      <w:divBdr>
        <w:top w:val="none" w:sz="0" w:space="0" w:color="auto"/>
        <w:left w:val="none" w:sz="0" w:space="0" w:color="auto"/>
        <w:bottom w:val="none" w:sz="0" w:space="0" w:color="auto"/>
        <w:right w:val="none" w:sz="0" w:space="0" w:color="auto"/>
      </w:divBdr>
    </w:div>
    <w:div w:id="684939434">
      <w:bodyDiv w:val="1"/>
      <w:marLeft w:val="0"/>
      <w:marRight w:val="0"/>
      <w:marTop w:val="0"/>
      <w:marBottom w:val="0"/>
      <w:divBdr>
        <w:top w:val="none" w:sz="0" w:space="0" w:color="auto"/>
        <w:left w:val="none" w:sz="0" w:space="0" w:color="auto"/>
        <w:bottom w:val="none" w:sz="0" w:space="0" w:color="auto"/>
        <w:right w:val="none" w:sz="0" w:space="0" w:color="auto"/>
      </w:divBdr>
    </w:div>
    <w:div w:id="722367998">
      <w:bodyDiv w:val="1"/>
      <w:marLeft w:val="0"/>
      <w:marRight w:val="0"/>
      <w:marTop w:val="0"/>
      <w:marBottom w:val="0"/>
      <w:divBdr>
        <w:top w:val="none" w:sz="0" w:space="0" w:color="auto"/>
        <w:left w:val="none" w:sz="0" w:space="0" w:color="auto"/>
        <w:bottom w:val="none" w:sz="0" w:space="0" w:color="auto"/>
        <w:right w:val="none" w:sz="0" w:space="0" w:color="auto"/>
      </w:divBdr>
    </w:div>
    <w:div w:id="729034114">
      <w:bodyDiv w:val="1"/>
      <w:marLeft w:val="0"/>
      <w:marRight w:val="0"/>
      <w:marTop w:val="0"/>
      <w:marBottom w:val="0"/>
      <w:divBdr>
        <w:top w:val="none" w:sz="0" w:space="0" w:color="auto"/>
        <w:left w:val="none" w:sz="0" w:space="0" w:color="auto"/>
        <w:bottom w:val="none" w:sz="0" w:space="0" w:color="auto"/>
        <w:right w:val="none" w:sz="0" w:space="0" w:color="auto"/>
      </w:divBdr>
    </w:div>
    <w:div w:id="736442467">
      <w:bodyDiv w:val="1"/>
      <w:marLeft w:val="0"/>
      <w:marRight w:val="0"/>
      <w:marTop w:val="0"/>
      <w:marBottom w:val="0"/>
      <w:divBdr>
        <w:top w:val="none" w:sz="0" w:space="0" w:color="auto"/>
        <w:left w:val="none" w:sz="0" w:space="0" w:color="auto"/>
        <w:bottom w:val="none" w:sz="0" w:space="0" w:color="auto"/>
        <w:right w:val="none" w:sz="0" w:space="0" w:color="auto"/>
      </w:divBdr>
    </w:div>
    <w:div w:id="737359621">
      <w:bodyDiv w:val="1"/>
      <w:marLeft w:val="0"/>
      <w:marRight w:val="0"/>
      <w:marTop w:val="0"/>
      <w:marBottom w:val="0"/>
      <w:divBdr>
        <w:top w:val="none" w:sz="0" w:space="0" w:color="auto"/>
        <w:left w:val="none" w:sz="0" w:space="0" w:color="auto"/>
        <w:bottom w:val="none" w:sz="0" w:space="0" w:color="auto"/>
        <w:right w:val="none" w:sz="0" w:space="0" w:color="auto"/>
      </w:divBdr>
    </w:div>
    <w:div w:id="741105636">
      <w:bodyDiv w:val="1"/>
      <w:marLeft w:val="0"/>
      <w:marRight w:val="0"/>
      <w:marTop w:val="0"/>
      <w:marBottom w:val="0"/>
      <w:divBdr>
        <w:top w:val="none" w:sz="0" w:space="0" w:color="auto"/>
        <w:left w:val="none" w:sz="0" w:space="0" w:color="auto"/>
        <w:bottom w:val="none" w:sz="0" w:space="0" w:color="auto"/>
        <w:right w:val="none" w:sz="0" w:space="0" w:color="auto"/>
      </w:divBdr>
    </w:div>
    <w:div w:id="760300520">
      <w:bodyDiv w:val="1"/>
      <w:marLeft w:val="0"/>
      <w:marRight w:val="0"/>
      <w:marTop w:val="0"/>
      <w:marBottom w:val="0"/>
      <w:divBdr>
        <w:top w:val="none" w:sz="0" w:space="0" w:color="auto"/>
        <w:left w:val="none" w:sz="0" w:space="0" w:color="auto"/>
        <w:bottom w:val="none" w:sz="0" w:space="0" w:color="auto"/>
        <w:right w:val="none" w:sz="0" w:space="0" w:color="auto"/>
      </w:divBdr>
    </w:div>
    <w:div w:id="764879859">
      <w:bodyDiv w:val="1"/>
      <w:marLeft w:val="0"/>
      <w:marRight w:val="0"/>
      <w:marTop w:val="0"/>
      <w:marBottom w:val="0"/>
      <w:divBdr>
        <w:top w:val="none" w:sz="0" w:space="0" w:color="auto"/>
        <w:left w:val="none" w:sz="0" w:space="0" w:color="auto"/>
        <w:bottom w:val="none" w:sz="0" w:space="0" w:color="auto"/>
        <w:right w:val="none" w:sz="0" w:space="0" w:color="auto"/>
      </w:divBdr>
    </w:div>
    <w:div w:id="820656497">
      <w:bodyDiv w:val="1"/>
      <w:marLeft w:val="0"/>
      <w:marRight w:val="0"/>
      <w:marTop w:val="0"/>
      <w:marBottom w:val="0"/>
      <w:divBdr>
        <w:top w:val="none" w:sz="0" w:space="0" w:color="auto"/>
        <w:left w:val="none" w:sz="0" w:space="0" w:color="auto"/>
        <w:bottom w:val="none" w:sz="0" w:space="0" w:color="auto"/>
        <w:right w:val="none" w:sz="0" w:space="0" w:color="auto"/>
      </w:divBdr>
    </w:div>
    <w:div w:id="881089182">
      <w:bodyDiv w:val="1"/>
      <w:marLeft w:val="0"/>
      <w:marRight w:val="0"/>
      <w:marTop w:val="0"/>
      <w:marBottom w:val="0"/>
      <w:divBdr>
        <w:top w:val="none" w:sz="0" w:space="0" w:color="auto"/>
        <w:left w:val="none" w:sz="0" w:space="0" w:color="auto"/>
        <w:bottom w:val="none" w:sz="0" w:space="0" w:color="auto"/>
        <w:right w:val="none" w:sz="0" w:space="0" w:color="auto"/>
      </w:divBdr>
    </w:div>
    <w:div w:id="881675117">
      <w:bodyDiv w:val="1"/>
      <w:marLeft w:val="0"/>
      <w:marRight w:val="0"/>
      <w:marTop w:val="0"/>
      <w:marBottom w:val="0"/>
      <w:divBdr>
        <w:top w:val="none" w:sz="0" w:space="0" w:color="auto"/>
        <w:left w:val="none" w:sz="0" w:space="0" w:color="auto"/>
        <w:bottom w:val="none" w:sz="0" w:space="0" w:color="auto"/>
        <w:right w:val="none" w:sz="0" w:space="0" w:color="auto"/>
      </w:divBdr>
    </w:div>
    <w:div w:id="914507874">
      <w:bodyDiv w:val="1"/>
      <w:marLeft w:val="0"/>
      <w:marRight w:val="0"/>
      <w:marTop w:val="0"/>
      <w:marBottom w:val="0"/>
      <w:divBdr>
        <w:top w:val="none" w:sz="0" w:space="0" w:color="auto"/>
        <w:left w:val="none" w:sz="0" w:space="0" w:color="auto"/>
        <w:bottom w:val="none" w:sz="0" w:space="0" w:color="auto"/>
        <w:right w:val="none" w:sz="0" w:space="0" w:color="auto"/>
      </w:divBdr>
    </w:div>
    <w:div w:id="917638821">
      <w:bodyDiv w:val="1"/>
      <w:marLeft w:val="0"/>
      <w:marRight w:val="0"/>
      <w:marTop w:val="0"/>
      <w:marBottom w:val="0"/>
      <w:divBdr>
        <w:top w:val="none" w:sz="0" w:space="0" w:color="auto"/>
        <w:left w:val="none" w:sz="0" w:space="0" w:color="auto"/>
        <w:bottom w:val="none" w:sz="0" w:space="0" w:color="auto"/>
        <w:right w:val="none" w:sz="0" w:space="0" w:color="auto"/>
      </w:divBdr>
    </w:div>
    <w:div w:id="919411592">
      <w:bodyDiv w:val="1"/>
      <w:marLeft w:val="0"/>
      <w:marRight w:val="0"/>
      <w:marTop w:val="0"/>
      <w:marBottom w:val="0"/>
      <w:divBdr>
        <w:top w:val="none" w:sz="0" w:space="0" w:color="auto"/>
        <w:left w:val="none" w:sz="0" w:space="0" w:color="auto"/>
        <w:bottom w:val="none" w:sz="0" w:space="0" w:color="auto"/>
        <w:right w:val="none" w:sz="0" w:space="0" w:color="auto"/>
      </w:divBdr>
    </w:div>
    <w:div w:id="938217122">
      <w:bodyDiv w:val="1"/>
      <w:marLeft w:val="0"/>
      <w:marRight w:val="0"/>
      <w:marTop w:val="0"/>
      <w:marBottom w:val="0"/>
      <w:divBdr>
        <w:top w:val="none" w:sz="0" w:space="0" w:color="auto"/>
        <w:left w:val="none" w:sz="0" w:space="0" w:color="auto"/>
        <w:bottom w:val="none" w:sz="0" w:space="0" w:color="auto"/>
        <w:right w:val="none" w:sz="0" w:space="0" w:color="auto"/>
      </w:divBdr>
    </w:div>
    <w:div w:id="962466117">
      <w:bodyDiv w:val="1"/>
      <w:marLeft w:val="0"/>
      <w:marRight w:val="0"/>
      <w:marTop w:val="0"/>
      <w:marBottom w:val="0"/>
      <w:divBdr>
        <w:top w:val="none" w:sz="0" w:space="0" w:color="auto"/>
        <w:left w:val="none" w:sz="0" w:space="0" w:color="auto"/>
        <w:bottom w:val="none" w:sz="0" w:space="0" w:color="auto"/>
        <w:right w:val="none" w:sz="0" w:space="0" w:color="auto"/>
      </w:divBdr>
    </w:div>
    <w:div w:id="1009678954">
      <w:bodyDiv w:val="1"/>
      <w:marLeft w:val="0"/>
      <w:marRight w:val="0"/>
      <w:marTop w:val="0"/>
      <w:marBottom w:val="0"/>
      <w:divBdr>
        <w:top w:val="none" w:sz="0" w:space="0" w:color="auto"/>
        <w:left w:val="none" w:sz="0" w:space="0" w:color="auto"/>
        <w:bottom w:val="none" w:sz="0" w:space="0" w:color="auto"/>
        <w:right w:val="none" w:sz="0" w:space="0" w:color="auto"/>
      </w:divBdr>
    </w:div>
    <w:div w:id="1020931051">
      <w:bodyDiv w:val="1"/>
      <w:marLeft w:val="0"/>
      <w:marRight w:val="0"/>
      <w:marTop w:val="0"/>
      <w:marBottom w:val="0"/>
      <w:divBdr>
        <w:top w:val="none" w:sz="0" w:space="0" w:color="auto"/>
        <w:left w:val="none" w:sz="0" w:space="0" w:color="auto"/>
        <w:bottom w:val="none" w:sz="0" w:space="0" w:color="auto"/>
        <w:right w:val="none" w:sz="0" w:space="0" w:color="auto"/>
      </w:divBdr>
    </w:div>
    <w:div w:id="1088192255">
      <w:bodyDiv w:val="1"/>
      <w:marLeft w:val="0"/>
      <w:marRight w:val="0"/>
      <w:marTop w:val="0"/>
      <w:marBottom w:val="0"/>
      <w:divBdr>
        <w:top w:val="none" w:sz="0" w:space="0" w:color="auto"/>
        <w:left w:val="none" w:sz="0" w:space="0" w:color="auto"/>
        <w:bottom w:val="none" w:sz="0" w:space="0" w:color="auto"/>
        <w:right w:val="none" w:sz="0" w:space="0" w:color="auto"/>
      </w:divBdr>
    </w:div>
    <w:div w:id="1103721333">
      <w:bodyDiv w:val="1"/>
      <w:marLeft w:val="0"/>
      <w:marRight w:val="0"/>
      <w:marTop w:val="0"/>
      <w:marBottom w:val="0"/>
      <w:divBdr>
        <w:top w:val="none" w:sz="0" w:space="0" w:color="auto"/>
        <w:left w:val="none" w:sz="0" w:space="0" w:color="auto"/>
        <w:bottom w:val="none" w:sz="0" w:space="0" w:color="auto"/>
        <w:right w:val="none" w:sz="0" w:space="0" w:color="auto"/>
      </w:divBdr>
    </w:div>
    <w:div w:id="1131745441">
      <w:bodyDiv w:val="1"/>
      <w:marLeft w:val="0"/>
      <w:marRight w:val="0"/>
      <w:marTop w:val="0"/>
      <w:marBottom w:val="0"/>
      <w:divBdr>
        <w:top w:val="none" w:sz="0" w:space="0" w:color="auto"/>
        <w:left w:val="none" w:sz="0" w:space="0" w:color="auto"/>
        <w:bottom w:val="none" w:sz="0" w:space="0" w:color="auto"/>
        <w:right w:val="none" w:sz="0" w:space="0" w:color="auto"/>
      </w:divBdr>
    </w:div>
    <w:div w:id="1139106538">
      <w:bodyDiv w:val="1"/>
      <w:marLeft w:val="0"/>
      <w:marRight w:val="0"/>
      <w:marTop w:val="0"/>
      <w:marBottom w:val="0"/>
      <w:divBdr>
        <w:top w:val="none" w:sz="0" w:space="0" w:color="auto"/>
        <w:left w:val="none" w:sz="0" w:space="0" w:color="auto"/>
        <w:bottom w:val="none" w:sz="0" w:space="0" w:color="auto"/>
        <w:right w:val="none" w:sz="0" w:space="0" w:color="auto"/>
      </w:divBdr>
    </w:div>
    <w:div w:id="1142504683">
      <w:bodyDiv w:val="1"/>
      <w:marLeft w:val="0"/>
      <w:marRight w:val="0"/>
      <w:marTop w:val="0"/>
      <w:marBottom w:val="0"/>
      <w:divBdr>
        <w:top w:val="none" w:sz="0" w:space="0" w:color="auto"/>
        <w:left w:val="none" w:sz="0" w:space="0" w:color="auto"/>
        <w:bottom w:val="none" w:sz="0" w:space="0" w:color="auto"/>
        <w:right w:val="none" w:sz="0" w:space="0" w:color="auto"/>
      </w:divBdr>
    </w:div>
    <w:div w:id="1171218204">
      <w:bodyDiv w:val="1"/>
      <w:marLeft w:val="0"/>
      <w:marRight w:val="0"/>
      <w:marTop w:val="0"/>
      <w:marBottom w:val="0"/>
      <w:divBdr>
        <w:top w:val="none" w:sz="0" w:space="0" w:color="auto"/>
        <w:left w:val="none" w:sz="0" w:space="0" w:color="auto"/>
        <w:bottom w:val="none" w:sz="0" w:space="0" w:color="auto"/>
        <w:right w:val="none" w:sz="0" w:space="0" w:color="auto"/>
      </w:divBdr>
    </w:div>
    <w:div w:id="1190072815">
      <w:bodyDiv w:val="1"/>
      <w:marLeft w:val="0"/>
      <w:marRight w:val="0"/>
      <w:marTop w:val="0"/>
      <w:marBottom w:val="0"/>
      <w:divBdr>
        <w:top w:val="none" w:sz="0" w:space="0" w:color="auto"/>
        <w:left w:val="none" w:sz="0" w:space="0" w:color="auto"/>
        <w:bottom w:val="none" w:sz="0" w:space="0" w:color="auto"/>
        <w:right w:val="none" w:sz="0" w:space="0" w:color="auto"/>
      </w:divBdr>
    </w:div>
    <w:div w:id="1192108828">
      <w:bodyDiv w:val="1"/>
      <w:marLeft w:val="0"/>
      <w:marRight w:val="0"/>
      <w:marTop w:val="0"/>
      <w:marBottom w:val="0"/>
      <w:divBdr>
        <w:top w:val="none" w:sz="0" w:space="0" w:color="auto"/>
        <w:left w:val="none" w:sz="0" w:space="0" w:color="auto"/>
        <w:bottom w:val="none" w:sz="0" w:space="0" w:color="auto"/>
        <w:right w:val="none" w:sz="0" w:space="0" w:color="auto"/>
      </w:divBdr>
    </w:div>
    <w:div w:id="1206717675">
      <w:bodyDiv w:val="1"/>
      <w:marLeft w:val="0"/>
      <w:marRight w:val="0"/>
      <w:marTop w:val="0"/>
      <w:marBottom w:val="0"/>
      <w:divBdr>
        <w:top w:val="none" w:sz="0" w:space="0" w:color="auto"/>
        <w:left w:val="none" w:sz="0" w:space="0" w:color="auto"/>
        <w:bottom w:val="none" w:sz="0" w:space="0" w:color="auto"/>
        <w:right w:val="none" w:sz="0" w:space="0" w:color="auto"/>
      </w:divBdr>
    </w:div>
    <w:div w:id="1210997667">
      <w:bodyDiv w:val="1"/>
      <w:marLeft w:val="0"/>
      <w:marRight w:val="0"/>
      <w:marTop w:val="0"/>
      <w:marBottom w:val="0"/>
      <w:divBdr>
        <w:top w:val="none" w:sz="0" w:space="0" w:color="auto"/>
        <w:left w:val="none" w:sz="0" w:space="0" w:color="auto"/>
        <w:bottom w:val="none" w:sz="0" w:space="0" w:color="auto"/>
        <w:right w:val="none" w:sz="0" w:space="0" w:color="auto"/>
      </w:divBdr>
    </w:div>
    <w:div w:id="1212033784">
      <w:bodyDiv w:val="1"/>
      <w:marLeft w:val="0"/>
      <w:marRight w:val="0"/>
      <w:marTop w:val="0"/>
      <w:marBottom w:val="0"/>
      <w:divBdr>
        <w:top w:val="none" w:sz="0" w:space="0" w:color="auto"/>
        <w:left w:val="none" w:sz="0" w:space="0" w:color="auto"/>
        <w:bottom w:val="none" w:sz="0" w:space="0" w:color="auto"/>
        <w:right w:val="none" w:sz="0" w:space="0" w:color="auto"/>
      </w:divBdr>
    </w:div>
    <w:div w:id="1240407274">
      <w:bodyDiv w:val="1"/>
      <w:marLeft w:val="0"/>
      <w:marRight w:val="0"/>
      <w:marTop w:val="0"/>
      <w:marBottom w:val="0"/>
      <w:divBdr>
        <w:top w:val="none" w:sz="0" w:space="0" w:color="auto"/>
        <w:left w:val="none" w:sz="0" w:space="0" w:color="auto"/>
        <w:bottom w:val="none" w:sz="0" w:space="0" w:color="auto"/>
        <w:right w:val="none" w:sz="0" w:space="0" w:color="auto"/>
      </w:divBdr>
    </w:div>
    <w:div w:id="1254124285">
      <w:bodyDiv w:val="1"/>
      <w:marLeft w:val="0"/>
      <w:marRight w:val="0"/>
      <w:marTop w:val="0"/>
      <w:marBottom w:val="0"/>
      <w:divBdr>
        <w:top w:val="none" w:sz="0" w:space="0" w:color="auto"/>
        <w:left w:val="none" w:sz="0" w:space="0" w:color="auto"/>
        <w:bottom w:val="none" w:sz="0" w:space="0" w:color="auto"/>
        <w:right w:val="none" w:sz="0" w:space="0" w:color="auto"/>
      </w:divBdr>
    </w:div>
    <w:div w:id="1261451821">
      <w:bodyDiv w:val="1"/>
      <w:marLeft w:val="0"/>
      <w:marRight w:val="0"/>
      <w:marTop w:val="0"/>
      <w:marBottom w:val="0"/>
      <w:divBdr>
        <w:top w:val="none" w:sz="0" w:space="0" w:color="auto"/>
        <w:left w:val="none" w:sz="0" w:space="0" w:color="auto"/>
        <w:bottom w:val="none" w:sz="0" w:space="0" w:color="auto"/>
        <w:right w:val="none" w:sz="0" w:space="0" w:color="auto"/>
      </w:divBdr>
    </w:div>
    <w:div w:id="1269695924">
      <w:bodyDiv w:val="1"/>
      <w:marLeft w:val="0"/>
      <w:marRight w:val="0"/>
      <w:marTop w:val="0"/>
      <w:marBottom w:val="0"/>
      <w:divBdr>
        <w:top w:val="none" w:sz="0" w:space="0" w:color="auto"/>
        <w:left w:val="none" w:sz="0" w:space="0" w:color="auto"/>
        <w:bottom w:val="none" w:sz="0" w:space="0" w:color="auto"/>
        <w:right w:val="none" w:sz="0" w:space="0" w:color="auto"/>
      </w:divBdr>
    </w:div>
    <w:div w:id="1278098234">
      <w:bodyDiv w:val="1"/>
      <w:marLeft w:val="0"/>
      <w:marRight w:val="0"/>
      <w:marTop w:val="0"/>
      <w:marBottom w:val="0"/>
      <w:divBdr>
        <w:top w:val="none" w:sz="0" w:space="0" w:color="auto"/>
        <w:left w:val="none" w:sz="0" w:space="0" w:color="auto"/>
        <w:bottom w:val="none" w:sz="0" w:space="0" w:color="auto"/>
        <w:right w:val="none" w:sz="0" w:space="0" w:color="auto"/>
      </w:divBdr>
    </w:div>
    <w:div w:id="1303658984">
      <w:bodyDiv w:val="1"/>
      <w:marLeft w:val="0"/>
      <w:marRight w:val="0"/>
      <w:marTop w:val="0"/>
      <w:marBottom w:val="0"/>
      <w:divBdr>
        <w:top w:val="none" w:sz="0" w:space="0" w:color="auto"/>
        <w:left w:val="none" w:sz="0" w:space="0" w:color="auto"/>
        <w:bottom w:val="none" w:sz="0" w:space="0" w:color="auto"/>
        <w:right w:val="none" w:sz="0" w:space="0" w:color="auto"/>
      </w:divBdr>
    </w:div>
    <w:div w:id="1352141685">
      <w:bodyDiv w:val="1"/>
      <w:marLeft w:val="0"/>
      <w:marRight w:val="0"/>
      <w:marTop w:val="0"/>
      <w:marBottom w:val="0"/>
      <w:divBdr>
        <w:top w:val="none" w:sz="0" w:space="0" w:color="auto"/>
        <w:left w:val="none" w:sz="0" w:space="0" w:color="auto"/>
        <w:bottom w:val="none" w:sz="0" w:space="0" w:color="auto"/>
        <w:right w:val="none" w:sz="0" w:space="0" w:color="auto"/>
      </w:divBdr>
    </w:div>
    <w:div w:id="1352419673">
      <w:bodyDiv w:val="1"/>
      <w:marLeft w:val="0"/>
      <w:marRight w:val="0"/>
      <w:marTop w:val="0"/>
      <w:marBottom w:val="0"/>
      <w:divBdr>
        <w:top w:val="none" w:sz="0" w:space="0" w:color="auto"/>
        <w:left w:val="none" w:sz="0" w:space="0" w:color="auto"/>
        <w:bottom w:val="none" w:sz="0" w:space="0" w:color="auto"/>
        <w:right w:val="none" w:sz="0" w:space="0" w:color="auto"/>
      </w:divBdr>
    </w:div>
    <w:div w:id="1370644319">
      <w:bodyDiv w:val="1"/>
      <w:marLeft w:val="0"/>
      <w:marRight w:val="0"/>
      <w:marTop w:val="0"/>
      <w:marBottom w:val="0"/>
      <w:divBdr>
        <w:top w:val="none" w:sz="0" w:space="0" w:color="auto"/>
        <w:left w:val="none" w:sz="0" w:space="0" w:color="auto"/>
        <w:bottom w:val="none" w:sz="0" w:space="0" w:color="auto"/>
        <w:right w:val="none" w:sz="0" w:space="0" w:color="auto"/>
      </w:divBdr>
    </w:div>
    <w:div w:id="1393848972">
      <w:bodyDiv w:val="1"/>
      <w:marLeft w:val="0"/>
      <w:marRight w:val="0"/>
      <w:marTop w:val="0"/>
      <w:marBottom w:val="0"/>
      <w:divBdr>
        <w:top w:val="none" w:sz="0" w:space="0" w:color="auto"/>
        <w:left w:val="none" w:sz="0" w:space="0" w:color="auto"/>
        <w:bottom w:val="none" w:sz="0" w:space="0" w:color="auto"/>
        <w:right w:val="none" w:sz="0" w:space="0" w:color="auto"/>
      </w:divBdr>
    </w:div>
    <w:div w:id="1397974789">
      <w:bodyDiv w:val="1"/>
      <w:marLeft w:val="0"/>
      <w:marRight w:val="0"/>
      <w:marTop w:val="0"/>
      <w:marBottom w:val="0"/>
      <w:divBdr>
        <w:top w:val="none" w:sz="0" w:space="0" w:color="auto"/>
        <w:left w:val="none" w:sz="0" w:space="0" w:color="auto"/>
        <w:bottom w:val="none" w:sz="0" w:space="0" w:color="auto"/>
        <w:right w:val="none" w:sz="0" w:space="0" w:color="auto"/>
      </w:divBdr>
    </w:div>
    <w:div w:id="1405757361">
      <w:bodyDiv w:val="1"/>
      <w:marLeft w:val="0"/>
      <w:marRight w:val="0"/>
      <w:marTop w:val="0"/>
      <w:marBottom w:val="0"/>
      <w:divBdr>
        <w:top w:val="none" w:sz="0" w:space="0" w:color="auto"/>
        <w:left w:val="none" w:sz="0" w:space="0" w:color="auto"/>
        <w:bottom w:val="none" w:sz="0" w:space="0" w:color="auto"/>
        <w:right w:val="none" w:sz="0" w:space="0" w:color="auto"/>
      </w:divBdr>
    </w:div>
    <w:div w:id="1408918890">
      <w:bodyDiv w:val="1"/>
      <w:marLeft w:val="0"/>
      <w:marRight w:val="0"/>
      <w:marTop w:val="0"/>
      <w:marBottom w:val="0"/>
      <w:divBdr>
        <w:top w:val="none" w:sz="0" w:space="0" w:color="auto"/>
        <w:left w:val="none" w:sz="0" w:space="0" w:color="auto"/>
        <w:bottom w:val="none" w:sz="0" w:space="0" w:color="auto"/>
        <w:right w:val="none" w:sz="0" w:space="0" w:color="auto"/>
      </w:divBdr>
    </w:div>
    <w:div w:id="1455440544">
      <w:bodyDiv w:val="1"/>
      <w:marLeft w:val="0"/>
      <w:marRight w:val="0"/>
      <w:marTop w:val="0"/>
      <w:marBottom w:val="0"/>
      <w:divBdr>
        <w:top w:val="none" w:sz="0" w:space="0" w:color="auto"/>
        <w:left w:val="none" w:sz="0" w:space="0" w:color="auto"/>
        <w:bottom w:val="none" w:sz="0" w:space="0" w:color="auto"/>
        <w:right w:val="none" w:sz="0" w:space="0" w:color="auto"/>
      </w:divBdr>
    </w:div>
    <w:div w:id="1460804725">
      <w:bodyDiv w:val="1"/>
      <w:marLeft w:val="0"/>
      <w:marRight w:val="0"/>
      <w:marTop w:val="0"/>
      <w:marBottom w:val="0"/>
      <w:divBdr>
        <w:top w:val="none" w:sz="0" w:space="0" w:color="auto"/>
        <w:left w:val="none" w:sz="0" w:space="0" w:color="auto"/>
        <w:bottom w:val="none" w:sz="0" w:space="0" w:color="auto"/>
        <w:right w:val="none" w:sz="0" w:space="0" w:color="auto"/>
      </w:divBdr>
    </w:div>
    <w:div w:id="1463186475">
      <w:bodyDiv w:val="1"/>
      <w:marLeft w:val="0"/>
      <w:marRight w:val="0"/>
      <w:marTop w:val="0"/>
      <w:marBottom w:val="0"/>
      <w:divBdr>
        <w:top w:val="none" w:sz="0" w:space="0" w:color="auto"/>
        <w:left w:val="none" w:sz="0" w:space="0" w:color="auto"/>
        <w:bottom w:val="none" w:sz="0" w:space="0" w:color="auto"/>
        <w:right w:val="none" w:sz="0" w:space="0" w:color="auto"/>
      </w:divBdr>
    </w:div>
    <w:div w:id="1475444501">
      <w:bodyDiv w:val="1"/>
      <w:marLeft w:val="0"/>
      <w:marRight w:val="0"/>
      <w:marTop w:val="0"/>
      <w:marBottom w:val="0"/>
      <w:divBdr>
        <w:top w:val="none" w:sz="0" w:space="0" w:color="auto"/>
        <w:left w:val="none" w:sz="0" w:space="0" w:color="auto"/>
        <w:bottom w:val="none" w:sz="0" w:space="0" w:color="auto"/>
        <w:right w:val="none" w:sz="0" w:space="0" w:color="auto"/>
      </w:divBdr>
    </w:div>
    <w:div w:id="1492524834">
      <w:bodyDiv w:val="1"/>
      <w:marLeft w:val="0"/>
      <w:marRight w:val="0"/>
      <w:marTop w:val="0"/>
      <w:marBottom w:val="0"/>
      <w:divBdr>
        <w:top w:val="none" w:sz="0" w:space="0" w:color="auto"/>
        <w:left w:val="none" w:sz="0" w:space="0" w:color="auto"/>
        <w:bottom w:val="none" w:sz="0" w:space="0" w:color="auto"/>
        <w:right w:val="none" w:sz="0" w:space="0" w:color="auto"/>
      </w:divBdr>
    </w:div>
    <w:div w:id="1517305517">
      <w:bodyDiv w:val="1"/>
      <w:marLeft w:val="0"/>
      <w:marRight w:val="0"/>
      <w:marTop w:val="0"/>
      <w:marBottom w:val="0"/>
      <w:divBdr>
        <w:top w:val="none" w:sz="0" w:space="0" w:color="auto"/>
        <w:left w:val="none" w:sz="0" w:space="0" w:color="auto"/>
        <w:bottom w:val="none" w:sz="0" w:space="0" w:color="auto"/>
        <w:right w:val="none" w:sz="0" w:space="0" w:color="auto"/>
      </w:divBdr>
    </w:div>
    <w:div w:id="1537742328">
      <w:bodyDiv w:val="1"/>
      <w:marLeft w:val="0"/>
      <w:marRight w:val="0"/>
      <w:marTop w:val="0"/>
      <w:marBottom w:val="0"/>
      <w:divBdr>
        <w:top w:val="none" w:sz="0" w:space="0" w:color="auto"/>
        <w:left w:val="none" w:sz="0" w:space="0" w:color="auto"/>
        <w:bottom w:val="none" w:sz="0" w:space="0" w:color="auto"/>
        <w:right w:val="none" w:sz="0" w:space="0" w:color="auto"/>
      </w:divBdr>
    </w:div>
    <w:div w:id="1578204702">
      <w:bodyDiv w:val="1"/>
      <w:marLeft w:val="0"/>
      <w:marRight w:val="0"/>
      <w:marTop w:val="0"/>
      <w:marBottom w:val="0"/>
      <w:divBdr>
        <w:top w:val="none" w:sz="0" w:space="0" w:color="auto"/>
        <w:left w:val="none" w:sz="0" w:space="0" w:color="auto"/>
        <w:bottom w:val="none" w:sz="0" w:space="0" w:color="auto"/>
        <w:right w:val="none" w:sz="0" w:space="0" w:color="auto"/>
      </w:divBdr>
    </w:div>
    <w:div w:id="1600873046">
      <w:bodyDiv w:val="1"/>
      <w:marLeft w:val="0"/>
      <w:marRight w:val="0"/>
      <w:marTop w:val="0"/>
      <w:marBottom w:val="0"/>
      <w:divBdr>
        <w:top w:val="none" w:sz="0" w:space="0" w:color="auto"/>
        <w:left w:val="none" w:sz="0" w:space="0" w:color="auto"/>
        <w:bottom w:val="none" w:sz="0" w:space="0" w:color="auto"/>
        <w:right w:val="none" w:sz="0" w:space="0" w:color="auto"/>
      </w:divBdr>
    </w:div>
    <w:div w:id="1621716857">
      <w:bodyDiv w:val="1"/>
      <w:marLeft w:val="0"/>
      <w:marRight w:val="0"/>
      <w:marTop w:val="0"/>
      <w:marBottom w:val="0"/>
      <w:divBdr>
        <w:top w:val="none" w:sz="0" w:space="0" w:color="auto"/>
        <w:left w:val="none" w:sz="0" w:space="0" w:color="auto"/>
        <w:bottom w:val="none" w:sz="0" w:space="0" w:color="auto"/>
        <w:right w:val="none" w:sz="0" w:space="0" w:color="auto"/>
      </w:divBdr>
    </w:div>
    <w:div w:id="1640186541">
      <w:bodyDiv w:val="1"/>
      <w:marLeft w:val="0"/>
      <w:marRight w:val="0"/>
      <w:marTop w:val="0"/>
      <w:marBottom w:val="0"/>
      <w:divBdr>
        <w:top w:val="none" w:sz="0" w:space="0" w:color="auto"/>
        <w:left w:val="none" w:sz="0" w:space="0" w:color="auto"/>
        <w:bottom w:val="none" w:sz="0" w:space="0" w:color="auto"/>
        <w:right w:val="none" w:sz="0" w:space="0" w:color="auto"/>
      </w:divBdr>
    </w:div>
    <w:div w:id="1670525010">
      <w:bodyDiv w:val="1"/>
      <w:marLeft w:val="0"/>
      <w:marRight w:val="0"/>
      <w:marTop w:val="0"/>
      <w:marBottom w:val="0"/>
      <w:divBdr>
        <w:top w:val="none" w:sz="0" w:space="0" w:color="auto"/>
        <w:left w:val="none" w:sz="0" w:space="0" w:color="auto"/>
        <w:bottom w:val="none" w:sz="0" w:space="0" w:color="auto"/>
        <w:right w:val="none" w:sz="0" w:space="0" w:color="auto"/>
      </w:divBdr>
    </w:div>
    <w:div w:id="1685748528">
      <w:bodyDiv w:val="1"/>
      <w:marLeft w:val="0"/>
      <w:marRight w:val="0"/>
      <w:marTop w:val="0"/>
      <w:marBottom w:val="0"/>
      <w:divBdr>
        <w:top w:val="none" w:sz="0" w:space="0" w:color="auto"/>
        <w:left w:val="none" w:sz="0" w:space="0" w:color="auto"/>
        <w:bottom w:val="none" w:sz="0" w:space="0" w:color="auto"/>
        <w:right w:val="none" w:sz="0" w:space="0" w:color="auto"/>
      </w:divBdr>
    </w:div>
    <w:div w:id="1728727052">
      <w:bodyDiv w:val="1"/>
      <w:marLeft w:val="0"/>
      <w:marRight w:val="0"/>
      <w:marTop w:val="0"/>
      <w:marBottom w:val="0"/>
      <w:divBdr>
        <w:top w:val="none" w:sz="0" w:space="0" w:color="auto"/>
        <w:left w:val="none" w:sz="0" w:space="0" w:color="auto"/>
        <w:bottom w:val="none" w:sz="0" w:space="0" w:color="auto"/>
        <w:right w:val="none" w:sz="0" w:space="0" w:color="auto"/>
      </w:divBdr>
    </w:div>
    <w:div w:id="1734231538">
      <w:bodyDiv w:val="1"/>
      <w:marLeft w:val="0"/>
      <w:marRight w:val="0"/>
      <w:marTop w:val="0"/>
      <w:marBottom w:val="0"/>
      <w:divBdr>
        <w:top w:val="none" w:sz="0" w:space="0" w:color="auto"/>
        <w:left w:val="none" w:sz="0" w:space="0" w:color="auto"/>
        <w:bottom w:val="none" w:sz="0" w:space="0" w:color="auto"/>
        <w:right w:val="none" w:sz="0" w:space="0" w:color="auto"/>
      </w:divBdr>
    </w:div>
    <w:div w:id="1752119133">
      <w:bodyDiv w:val="1"/>
      <w:marLeft w:val="0"/>
      <w:marRight w:val="0"/>
      <w:marTop w:val="0"/>
      <w:marBottom w:val="0"/>
      <w:divBdr>
        <w:top w:val="none" w:sz="0" w:space="0" w:color="auto"/>
        <w:left w:val="none" w:sz="0" w:space="0" w:color="auto"/>
        <w:bottom w:val="none" w:sz="0" w:space="0" w:color="auto"/>
        <w:right w:val="none" w:sz="0" w:space="0" w:color="auto"/>
      </w:divBdr>
      <w:divsChild>
        <w:div w:id="2011061347">
          <w:marLeft w:val="0"/>
          <w:marRight w:val="0"/>
          <w:marTop w:val="0"/>
          <w:marBottom w:val="0"/>
          <w:divBdr>
            <w:top w:val="single" w:sz="2" w:space="0" w:color="D9D9E3"/>
            <w:left w:val="single" w:sz="2" w:space="0" w:color="D9D9E3"/>
            <w:bottom w:val="single" w:sz="2" w:space="0" w:color="D9D9E3"/>
            <w:right w:val="single" w:sz="2" w:space="0" w:color="D9D9E3"/>
          </w:divBdr>
          <w:divsChild>
            <w:div w:id="1468552554">
              <w:marLeft w:val="0"/>
              <w:marRight w:val="0"/>
              <w:marTop w:val="0"/>
              <w:marBottom w:val="0"/>
              <w:divBdr>
                <w:top w:val="single" w:sz="2" w:space="0" w:color="D9D9E3"/>
                <w:left w:val="single" w:sz="2" w:space="0" w:color="D9D9E3"/>
                <w:bottom w:val="single" w:sz="2" w:space="0" w:color="D9D9E3"/>
                <w:right w:val="single" w:sz="2" w:space="0" w:color="D9D9E3"/>
              </w:divBdr>
              <w:divsChild>
                <w:div w:id="1341006252">
                  <w:marLeft w:val="0"/>
                  <w:marRight w:val="0"/>
                  <w:marTop w:val="0"/>
                  <w:marBottom w:val="0"/>
                  <w:divBdr>
                    <w:top w:val="single" w:sz="2" w:space="0" w:color="D9D9E3"/>
                    <w:left w:val="single" w:sz="2" w:space="0" w:color="D9D9E3"/>
                    <w:bottom w:val="single" w:sz="2" w:space="0" w:color="D9D9E3"/>
                    <w:right w:val="single" w:sz="2" w:space="0" w:color="D9D9E3"/>
                  </w:divBdr>
                  <w:divsChild>
                    <w:div w:id="974876075">
                      <w:marLeft w:val="0"/>
                      <w:marRight w:val="0"/>
                      <w:marTop w:val="0"/>
                      <w:marBottom w:val="0"/>
                      <w:divBdr>
                        <w:top w:val="single" w:sz="2" w:space="0" w:color="D9D9E3"/>
                        <w:left w:val="single" w:sz="2" w:space="0" w:color="D9D9E3"/>
                        <w:bottom w:val="single" w:sz="2" w:space="0" w:color="D9D9E3"/>
                        <w:right w:val="single" w:sz="2" w:space="0" w:color="D9D9E3"/>
                      </w:divBdr>
                      <w:divsChild>
                        <w:div w:id="1695422057">
                          <w:marLeft w:val="0"/>
                          <w:marRight w:val="0"/>
                          <w:marTop w:val="0"/>
                          <w:marBottom w:val="0"/>
                          <w:divBdr>
                            <w:top w:val="single" w:sz="2" w:space="0" w:color="D9D9E3"/>
                            <w:left w:val="single" w:sz="2" w:space="0" w:color="D9D9E3"/>
                            <w:bottom w:val="single" w:sz="2" w:space="0" w:color="D9D9E3"/>
                            <w:right w:val="single" w:sz="2" w:space="0" w:color="D9D9E3"/>
                          </w:divBdr>
                          <w:divsChild>
                            <w:div w:id="1023942244">
                              <w:marLeft w:val="0"/>
                              <w:marRight w:val="0"/>
                              <w:marTop w:val="100"/>
                              <w:marBottom w:val="100"/>
                              <w:divBdr>
                                <w:top w:val="single" w:sz="2" w:space="0" w:color="D9D9E3"/>
                                <w:left w:val="single" w:sz="2" w:space="0" w:color="D9D9E3"/>
                                <w:bottom w:val="single" w:sz="2" w:space="0" w:color="D9D9E3"/>
                                <w:right w:val="single" w:sz="2" w:space="0" w:color="D9D9E3"/>
                              </w:divBdr>
                              <w:divsChild>
                                <w:div w:id="573055337">
                                  <w:marLeft w:val="0"/>
                                  <w:marRight w:val="0"/>
                                  <w:marTop w:val="0"/>
                                  <w:marBottom w:val="0"/>
                                  <w:divBdr>
                                    <w:top w:val="single" w:sz="2" w:space="0" w:color="D9D9E3"/>
                                    <w:left w:val="single" w:sz="2" w:space="0" w:color="D9D9E3"/>
                                    <w:bottom w:val="single" w:sz="2" w:space="0" w:color="D9D9E3"/>
                                    <w:right w:val="single" w:sz="2" w:space="0" w:color="D9D9E3"/>
                                  </w:divBdr>
                                  <w:divsChild>
                                    <w:div w:id="1874489446">
                                      <w:marLeft w:val="0"/>
                                      <w:marRight w:val="0"/>
                                      <w:marTop w:val="0"/>
                                      <w:marBottom w:val="0"/>
                                      <w:divBdr>
                                        <w:top w:val="single" w:sz="2" w:space="0" w:color="D9D9E3"/>
                                        <w:left w:val="single" w:sz="2" w:space="0" w:color="D9D9E3"/>
                                        <w:bottom w:val="single" w:sz="2" w:space="0" w:color="D9D9E3"/>
                                        <w:right w:val="single" w:sz="2" w:space="0" w:color="D9D9E3"/>
                                      </w:divBdr>
                                      <w:divsChild>
                                        <w:div w:id="947933963">
                                          <w:marLeft w:val="0"/>
                                          <w:marRight w:val="0"/>
                                          <w:marTop w:val="0"/>
                                          <w:marBottom w:val="0"/>
                                          <w:divBdr>
                                            <w:top w:val="single" w:sz="2" w:space="0" w:color="D9D9E3"/>
                                            <w:left w:val="single" w:sz="2" w:space="0" w:color="D9D9E3"/>
                                            <w:bottom w:val="single" w:sz="2" w:space="0" w:color="D9D9E3"/>
                                            <w:right w:val="single" w:sz="2" w:space="0" w:color="D9D9E3"/>
                                          </w:divBdr>
                                          <w:divsChild>
                                            <w:div w:id="231047118">
                                              <w:marLeft w:val="0"/>
                                              <w:marRight w:val="0"/>
                                              <w:marTop w:val="0"/>
                                              <w:marBottom w:val="0"/>
                                              <w:divBdr>
                                                <w:top w:val="single" w:sz="2" w:space="0" w:color="D9D9E3"/>
                                                <w:left w:val="single" w:sz="2" w:space="0" w:color="D9D9E3"/>
                                                <w:bottom w:val="single" w:sz="2" w:space="0" w:color="D9D9E3"/>
                                                <w:right w:val="single" w:sz="2" w:space="0" w:color="D9D9E3"/>
                                              </w:divBdr>
                                              <w:divsChild>
                                                <w:div w:id="1654866605">
                                                  <w:marLeft w:val="0"/>
                                                  <w:marRight w:val="0"/>
                                                  <w:marTop w:val="0"/>
                                                  <w:marBottom w:val="0"/>
                                                  <w:divBdr>
                                                    <w:top w:val="single" w:sz="2" w:space="0" w:color="D9D9E3"/>
                                                    <w:left w:val="single" w:sz="2" w:space="0" w:color="D9D9E3"/>
                                                    <w:bottom w:val="single" w:sz="2" w:space="0" w:color="D9D9E3"/>
                                                    <w:right w:val="single" w:sz="2" w:space="0" w:color="D9D9E3"/>
                                                  </w:divBdr>
                                                  <w:divsChild>
                                                    <w:div w:id="374476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9453522">
          <w:marLeft w:val="0"/>
          <w:marRight w:val="0"/>
          <w:marTop w:val="0"/>
          <w:marBottom w:val="0"/>
          <w:divBdr>
            <w:top w:val="none" w:sz="0" w:space="0" w:color="auto"/>
            <w:left w:val="none" w:sz="0" w:space="0" w:color="auto"/>
            <w:bottom w:val="none" w:sz="0" w:space="0" w:color="auto"/>
            <w:right w:val="none" w:sz="0" w:space="0" w:color="auto"/>
          </w:divBdr>
        </w:div>
      </w:divsChild>
    </w:div>
    <w:div w:id="1764492747">
      <w:bodyDiv w:val="1"/>
      <w:marLeft w:val="0"/>
      <w:marRight w:val="0"/>
      <w:marTop w:val="0"/>
      <w:marBottom w:val="0"/>
      <w:divBdr>
        <w:top w:val="none" w:sz="0" w:space="0" w:color="auto"/>
        <w:left w:val="none" w:sz="0" w:space="0" w:color="auto"/>
        <w:bottom w:val="none" w:sz="0" w:space="0" w:color="auto"/>
        <w:right w:val="none" w:sz="0" w:space="0" w:color="auto"/>
      </w:divBdr>
    </w:div>
    <w:div w:id="1775859171">
      <w:bodyDiv w:val="1"/>
      <w:marLeft w:val="0"/>
      <w:marRight w:val="0"/>
      <w:marTop w:val="0"/>
      <w:marBottom w:val="0"/>
      <w:divBdr>
        <w:top w:val="none" w:sz="0" w:space="0" w:color="auto"/>
        <w:left w:val="none" w:sz="0" w:space="0" w:color="auto"/>
        <w:bottom w:val="none" w:sz="0" w:space="0" w:color="auto"/>
        <w:right w:val="none" w:sz="0" w:space="0" w:color="auto"/>
      </w:divBdr>
    </w:div>
    <w:div w:id="1813132975">
      <w:bodyDiv w:val="1"/>
      <w:marLeft w:val="0"/>
      <w:marRight w:val="0"/>
      <w:marTop w:val="0"/>
      <w:marBottom w:val="0"/>
      <w:divBdr>
        <w:top w:val="none" w:sz="0" w:space="0" w:color="auto"/>
        <w:left w:val="none" w:sz="0" w:space="0" w:color="auto"/>
        <w:bottom w:val="none" w:sz="0" w:space="0" w:color="auto"/>
        <w:right w:val="none" w:sz="0" w:space="0" w:color="auto"/>
      </w:divBdr>
    </w:div>
    <w:div w:id="1841385642">
      <w:bodyDiv w:val="1"/>
      <w:marLeft w:val="0"/>
      <w:marRight w:val="0"/>
      <w:marTop w:val="0"/>
      <w:marBottom w:val="0"/>
      <w:divBdr>
        <w:top w:val="none" w:sz="0" w:space="0" w:color="auto"/>
        <w:left w:val="none" w:sz="0" w:space="0" w:color="auto"/>
        <w:bottom w:val="none" w:sz="0" w:space="0" w:color="auto"/>
        <w:right w:val="none" w:sz="0" w:space="0" w:color="auto"/>
      </w:divBdr>
    </w:div>
    <w:div w:id="1856186787">
      <w:bodyDiv w:val="1"/>
      <w:marLeft w:val="0"/>
      <w:marRight w:val="0"/>
      <w:marTop w:val="0"/>
      <w:marBottom w:val="0"/>
      <w:divBdr>
        <w:top w:val="none" w:sz="0" w:space="0" w:color="auto"/>
        <w:left w:val="none" w:sz="0" w:space="0" w:color="auto"/>
        <w:bottom w:val="none" w:sz="0" w:space="0" w:color="auto"/>
        <w:right w:val="none" w:sz="0" w:space="0" w:color="auto"/>
      </w:divBdr>
    </w:div>
    <w:div w:id="1859349094">
      <w:bodyDiv w:val="1"/>
      <w:marLeft w:val="0"/>
      <w:marRight w:val="0"/>
      <w:marTop w:val="0"/>
      <w:marBottom w:val="0"/>
      <w:divBdr>
        <w:top w:val="none" w:sz="0" w:space="0" w:color="auto"/>
        <w:left w:val="none" w:sz="0" w:space="0" w:color="auto"/>
        <w:bottom w:val="none" w:sz="0" w:space="0" w:color="auto"/>
        <w:right w:val="none" w:sz="0" w:space="0" w:color="auto"/>
      </w:divBdr>
    </w:div>
    <w:div w:id="1878736823">
      <w:bodyDiv w:val="1"/>
      <w:marLeft w:val="0"/>
      <w:marRight w:val="0"/>
      <w:marTop w:val="0"/>
      <w:marBottom w:val="0"/>
      <w:divBdr>
        <w:top w:val="none" w:sz="0" w:space="0" w:color="auto"/>
        <w:left w:val="none" w:sz="0" w:space="0" w:color="auto"/>
        <w:bottom w:val="none" w:sz="0" w:space="0" w:color="auto"/>
        <w:right w:val="none" w:sz="0" w:space="0" w:color="auto"/>
      </w:divBdr>
    </w:div>
    <w:div w:id="1894729833">
      <w:bodyDiv w:val="1"/>
      <w:marLeft w:val="0"/>
      <w:marRight w:val="0"/>
      <w:marTop w:val="0"/>
      <w:marBottom w:val="0"/>
      <w:divBdr>
        <w:top w:val="none" w:sz="0" w:space="0" w:color="auto"/>
        <w:left w:val="none" w:sz="0" w:space="0" w:color="auto"/>
        <w:bottom w:val="none" w:sz="0" w:space="0" w:color="auto"/>
        <w:right w:val="none" w:sz="0" w:space="0" w:color="auto"/>
      </w:divBdr>
      <w:divsChild>
        <w:div w:id="107359769">
          <w:marLeft w:val="0"/>
          <w:marRight w:val="0"/>
          <w:marTop w:val="0"/>
          <w:marBottom w:val="0"/>
          <w:divBdr>
            <w:top w:val="single" w:sz="2" w:space="0" w:color="D9D9E3"/>
            <w:left w:val="single" w:sz="2" w:space="0" w:color="D9D9E3"/>
            <w:bottom w:val="single" w:sz="2" w:space="0" w:color="D9D9E3"/>
            <w:right w:val="single" w:sz="2" w:space="0" w:color="D9D9E3"/>
          </w:divBdr>
          <w:divsChild>
            <w:div w:id="1903325662">
              <w:marLeft w:val="0"/>
              <w:marRight w:val="0"/>
              <w:marTop w:val="100"/>
              <w:marBottom w:val="100"/>
              <w:divBdr>
                <w:top w:val="single" w:sz="2" w:space="0" w:color="D9D9E3"/>
                <w:left w:val="single" w:sz="2" w:space="0" w:color="D9D9E3"/>
                <w:bottom w:val="single" w:sz="2" w:space="0" w:color="D9D9E3"/>
                <w:right w:val="single" w:sz="2" w:space="0" w:color="D9D9E3"/>
              </w:divBdr>
              <w:divsChild>
                <w:div w:id="733428343">
                  <w:marLeft w:val="0"/>
                  <w:marRight w:val="0"/>
                  <w:marTop w:val="0"/>
                  <w:marBottom w:val="0"/>
                  <w:divBdr>
                    <w:top w:val="single" w:sz="2" w:space="0" w:color="D9D9E3"/>
                    <w:left w:val="single" w:sz="2" w:space="0" w:color="D9D9E3"/>
                    <w:bottom w:val="single" w:sz="2" w:space="0" w:color="D9D9E3"/>
                    <w:right w:val="single" w:sz="2" w:space="0" w:color="D9D9E3"/>
                  </w:divBdr>
                  <w:divsChild>
                    <w:div w:id="1744330369">
                      <w:marLeft w:val="0"/>
                      <w:marRight w:val="0"/>
                      <w:marTop w:val="0"/>
                      <w:marBottom w:val="0"/>
                      <w:divBdr>
                        <w:top w:val="single" w:sz="2" w:space="0" w:color="D9D9E3"/>
                        <w:left w:val="single" w:sz="2" w:space="0" w:color="D9D9E3"/>
                        <w:bottom w:val="single" w:sz="2" w:space="0" w:color="D9D9E3"/>
                        <w:right w:val="single" w:sz="2" w:space="0" w:color="D9D9E3"/>
                      </w:divBdr>
                      <w:divsChild>
                        <w:div w:id="902987114">
                          <w:marLeft w:val="0"/>
                          <w:marRight w:val="0"/>
                          <w:marTop w:val="0"/>
                          <w:marBottom w:val="0"/>
                          <w:divBdr>
                            <w:top w:val="single" w:sz="2" w:space="0" w:color="D9D9E3"/>
                            <w:left w:val="single" w:sz="2" w:space="0" w:color="D9D9E3"/>
                            <w:bottom w:val="single" w:sz="2" w:space="0" w:color="D9D9E3"/>
                            <w:right w:val="single" w:sz="2" w:space="0" w:color="D9D9E3"/>
                          </w:divBdr>
                          <w:divsChild>
                            <w:div w:id="955603822">
                              <w:marLeft w:val="0"/>
                              <w:marRight w:val="0"/>
                              <w:marTop w:val="0"/>
                              <w:marBottom w:val="0"/>
                              <w:divBdr>
                                <w:top w:val="single" w:sz="2" w:space="0" w:color="D9D9E3"/>
                                <w:left w:val="single" w:sz="2" w:space="0" w:color="D9D9E3"/>
                                <w:bottom w:val="single" w:sz="2" w:space="0" w:color="D9D9E3"/>
                                <w:right w:val="single" w:sz="2" w:space="0" w:color="D9D9E3"/>
                              </w:divBdr>
                              <w:divsChild>
                                <w:div w:id="930702561">
                                  <w:marLeft w:val="0"/>
                                  <w:marRight w:val="0"/>
                                  <w:marTop w:val="0"/>
                                  <w:marBottom w:val="0"/>
                                  <w:divBdr>
                                    <w:top w:val="single" w:sz="2" w:space="0" w:color="D9D9E3"/>
                                    <w:left w:val="single" w:sz="2" w:space="0" w:color="D9D9E3"/>
                                    <w:bottom w:val="single" w:sz="2" w:space="0" w:color="D9D9E3"/>
                                    <w:right w:val="single" w:sz="2" w:space="0" w:color="D9D9E3"/>
                                  </w:divBdr>
                                  <w:divsChild>
                                    <w:div w:id="18335943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03590808">
      <w:bodyDiv w:val="1"/>
      <w:marLeft w:val="0"/>
      <w:marRight w:val="0"/>
      <w:marTop w:val="0"/>
      <w:marBottom w:val="0"/>
      <w:divBdr>
        <w:top w:val="none" w:sz="0" w:space="0" w:color="auto"/>
        <w:left w:val="none" w:sz="0" w:space="0" w:color="auto"/>
        <w:bottom w:val="none" w:sz="0" w:space="0" w:color="auto"/>
        <w:right w:val="none" w:sz="0" w:space="0" w:color="auto"/>
      </w:divBdr>
    </w:div>
    <w:div w:id="1923182091">
      <w:bodyDiv w:val="1"/>
      <w:marLeft w:val="0"/>
      <w:marRight w:val="0"/>
      <w:marTop w:val="0"/>
      <w:marBottom w:val="0"/>
      <w:divBdr>
        <w:top w:val="none" w:sz="0" w:space="0" w:color="auto"/>
        <w:left w:val="none" w:sz="0" w:space="0" w:color="auto"/>
        <w:bottom w:val="none" w:sz="0" w:space="0" w:color="auto"/>
        <w:right w:val="none" w:sz="0" w:space="0" w:color="auto"/>
      </w:divBdr>
    </w:div>
    <w:div w:id="1930191987">
      <w:bodyDiv w:val="1"/>
      <w:marLeft w:val="0"/>
      <w:marRight w:val="0"/>
      <w:marTop w:val="0"/>
      <w:marBottom w:val="0"/>
      <w:divBdr>
        <w:top w:val="none" w:sz="0" w:space="0" w:color="auto"/>
        <w:left w:val="none" w:sz="0" w:space="0" w:color="auto"/>
        <w:bottom w:val="none" w:sz="0" w:space="0" w:color="auto"/>
        <w:right w:val="none" w:sz="0" w:space="0" w:color="auto"/>
      </w:divBdr>
    </w:div>
    <w:div w:id="1945993092">
      <w:bodyDiv w:val="1"/>
      <w:marLeft w:val="0"/>
      <w:marRight w:val="0"/>
      <w:marTop w:val="0"/>
      <w:marBottom w:val="0"/>
      <w:divBdr>
        <w:top w:val="none" w:sz="0" w:space="0" w:color="auto"/>
        <w:left w:val="none" w:sz="0" w:space="0" w:color="auto"/>
        <w:bottom w:val="none" w:sz="0" w:space="0" w:color="auto"/>
        <w:right w:val="none" w:sz="0" w:space="0" w:color="auto"/>
      </w:divBdr>
    </w:div>
    <w:div w:id="2007201078">
      <w:bodyDiv w:val="1"/>
      <w:marLeft w:val="0"/>
      <w:marRight w:val="0"/>
      <w:marTop w:val="0"/>
      <w:marBottom w:val="0"/>
      <w:divBdr>
        <w:top w:val="none" w:sz="0" w:space="0" w:color="auto"/>
        <w:left w:val="none" w:sz="0" w:space="0" w:color="auto"/>
        <w:bottom w:val="none" w:sz="0" w:space="0" w:color="auto"/>
        <w:right w:val="none" w:sz="0" w:space="0" w:color="auto"/>
      </w:divBdr>
    </w:div>
    <w:div w:id="2022659254">
      <w:bodyDiv w:val="1"/>
      <w:marLeft w:val="0"/>
      <w:marRight w:val="0"/>
      <w:marTop w:val="0"/>
      <w:marBottom w:val="0"/>
      <w:divBdr>
        <w:top w:val="none" w:sz="0" w:space="0" w:color="auto"/>
        <w:left w:val="none" w:sz="0" w:space="0" w:color="auto"/>
        <w:bottom w:val="none" w:sz="0" w:space="0" w:color="auto"/>
        <w:right w:val="none" w:sz="0" w:space="0" w:color="auto"/>
      </w:divBdr>
    </w:div>
    <w:div w:id="2050641663">
      <w:bodyDiv w:val="1"/>
      <w:marLeft w:val="0"/>
      <w:marRight w:val="0"/>
      <w:marTop w:val="0"/>
      <w:marBottom w:val="0"/>
      <w:divBdr>
        <w:top w:val="none" w:sz="0" w:space="0" w:color="auto"/>
        <w:left w:val="none" w:sz="0" w:space="0" w:color="auto"/>
        <w:bottom w:val="none" w:sz="0" w:space="0" w:color="auto"/>
        <w:right w:val="none" w:sz="0" w:space="0" w:color="auto"/>
      </w:divBdr>
    </w:div>
    <w:div w:id="2060090323">
      <w:bodyDiv w:val="1"/>
      <w:marLeft w:val="0"/>
      <w:marRight w:val="0"/>
      <w:marTop w:val="0"/>
      <w:marBottom w:val="0"/>
      <w:divBdr>
        <w:top w:val="none" w:sz="0" w:space="0" w:color="auto"/>
        <w:left w:val="none" w:sz="0" w:space="0" w:color="auto"/>
        <w:bottom w:val="none" w:sz="0" w:space="0" w:color="auto"/>
        <w:right w:val="none" w:sz="0" w:space="0" w:color="auto"/>
      </w:divBdr>
    </w:div>
    <w:div w:id="2067147251">
      <w:bodyDiv w:val="1"/>
      <w:marLeft w:val="0"/>
      <w:marRight w:val="0"/>
      <w:marTop w:val="0"/>
      <w:marBottom w:val="0"/>
      <w:divBdr>
        <w:top w:val="none" w:sz="0" w:space="0" w:color="auto"/>
        <w:left w:val="none" w:sz="0" w:space="0" w:color="auto"/>
        <w:bottom w:val="none" w:sz="0" w:space="0" w:color="auto"/>
        <w:right w:val="none" w:sz="0" w:space="0" w:color="auto"/>
      </w:divBdr>
    </w:div>
    <w:div w:id="2114933835">
      <w:bodyDiv w:val="1"/>
      <w:marLeft w:val="0"/>
      <w:marRight w:val="0"/>
      <w:marTop w:val="0"/>
      <w:marBottom w:val="0"/>
      <w:divBdr>
        <w:top w:val="none" w:sz="0" w:space="0" w:color="auto"/>
        <w:left w:val="none" w:sz="0" w:space="0" w:color="auto"/>
        <w:bottom w:val="none" w:sz="0" w:space="0" w:color="auto"/>
        <w:right w:val="none" w:sz="0" w:space="0" w:color="auto"/>
      </w:divBdr>
    </w:div>
    <w:div w:id="2125147082">
      <w:bodyDiv w:val="1"/>
      <w:marLeft w:val="0"/>
      <w:marRight w:val="0"/>
      <w:marTop w:val="0"/>
      <w:marBottom w:val="0"/>
      <w:divBdr>
        <w:top w:val="none" w:sz="0" w:space="0" w:color="auto"/>
        <w:left w:val="none" w:sz="0" w:space="0" w:color="auto"/>
        <w:bottom w:val="none" w:sz="0" w:space="0" w:color="auto"/>
        <w:right w:val="none" w:sz="0" w:space="0" w:color="auto"/>
      </w:divBdr>
    </w:div>
    <w:div w:id="2130051911">
      <w:bodyDiv w:val="1"/>
      <w:marLeft w:val="0"/>
      <w:marRight w:val="0"/>
      <w:marTop w:val="0"/>
      <w:marBottom w:val="0"/>
      <w:divBdr>
        <w:top w:val="none" w:sz="0" w:space="0" w:color="auto"/>
        <w:left w:val="none" w:sz="0" w:space="0" w:color="auto"/>
        <w:bottom w:val="none" w:sz="0" w:space="0" w:color="auto"/>
        <w:right w:val="none" w:sz="0" w:space="0" w:color="auto"/>
      </w:divBdr>
    </w:div>
    <w:div w:id="2138987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Sch12</b:Tag>
    <b:SourceType>JournalArticle</b:SourceType>
    <b:Guid>{5E9150F1-1020-4FB0-B681-42CCA5FDF4B4}</b:Guid>
    <b:Title>Dodd-Frank Principles and Provisions</b:Title>
    <b:Year>2012</b:Year>
    <b:Author>
      <b:Author>
        <b:NameList>
          <b:Person>
            <b:Last>Schapiro</b:Last>
            <b:First>Mary</b:First>
          </b:Person>
        </b:NameList>
      </b:Author>
    </b:Author>
    <b:JournalName>Harvard Law School Forum on Corporate Governance &amp; Financial Regulation</b:JournalName>
    <b:RefOrder>1</b:RefOrder>
  </b:Source>
  <b:Source>
    <b:Tag>Guy10</b:Tag>
    <b:SourceType>JournalArticle</b:SourceType>
    <b:Guid>{70E17B47-481B-4828-B425-D84FA0F17A3D}</b:Guid>
    <b:Author>
      <b:Author>
        <b:NameList>
          <b:Person>
            <b:Last>Guynn</b:Last>
            <b:First>Randall</b:First>
            <b:Middle>D.</b:Middle>
          </b:Person>
        </b:NameList>
      </b:Author>
    </b:Author>
    <b:Title>The Financial Panic of 2008 and Financial Regulatory Reform</b:Title>
    <b:JournalName>Harvard Law School Forum on Corporate Governance</b:JournalName>
    <b:Year>2010</b:Year>
    <b:RefOrder>3</b:RefOrder>
  </b:Source>
  <b:Source>
    <b:Tag>Pol12</b:Tag>
    <b:SourceType>JournalArticle</b:SourceType>
    <b:Guid>{ADD68A2A-F64A-4066-856B-5AB574BA4F28}</b:Guid>
    <b:Author>
      <b:Author>
        <b:NameList>
          <b:Person>
            <b:Last>Polski</b:Last>
            <b:First>Margaret</b:First>
            <b:Middle>M.</b:Middle>
          </b:Person>
          <b:Person>
            <b:Last>Elbarasse</b:Last>
            <b:First>Mohamad</b:First>
          </b:Person>
        </b:NameList>
      </b:Author>
    </b:Author>
    <b:Title>The U.S. Financial Stability Oversight Council: Understanding Polycentric Governance</b:Title>
    <b:JournalName>Annual Conference of the International Society for New Institutional Economics at the University of Southern California Gould School of Law</b:JournalName>
    <b:Year>2012</b:Year>
    <b:RefOrder>4</b:RefOrder>
  </b:Source>
  <b:Source>
    <b:Tag>Man13</b:Tag>
    <b:SourceType>JournalArticle</b:SourceType>
    <b:Guid>{70AFA25B-B09B-4A19-89CA-C5F1F84F1724}</b:Guid>
    <b:Author>
      <b:Author>
        <b:NameList>
          <b:Person>
            <b:Last>Manasfi</b:Last>
            <b:First>Julie</b:First>
            <b:Middle>A.D.</b:Middle>
          </b:Person>
        </b:NameList>
      </b:Author>
    </b:Author>
    <b:Title>Systemic Risk and Dodd-Frank's Volcker Rule</b:Title>
    <b:JournalName>William &amp; Mary Business Law Review, Volume 4 (2013), Issue 1, Article 6</b:JournalName>
    <b:Year>2013</b:Year>
    <b:RefOrder>5</b:RefOrder>
  </b:Source>
  <b:Source>
    <b:Tag>How14</b:Tag>
    <b:SourceType>JournalArticle</b:SourceType>
    <b:Guid>{E6F4CEE3-F746-4548-8ADF-E8FFE6AFDED4}</b:Guid>
    <b:Author>
      <b:Author>
        <b:NameList>
          <b:Person>
            <b:Last>Howard</b:Last>
            <b:First>Cory</b:First>
          </b:Person>
        </b:NameList>
      </b:Author>
    </b:Author>
    <b:Title>Basel III's Corporate Governance Impact: How Increased Banking Regulations Pose Simultaneously Furthering Stakeholder Objectives</b:Title>
    <b:JournalName>Journal of Law and Governance</b:JournalName>
    <b:Year>2014</b:Year>
    <b:RefOrder>6</b:RefOrder>
  </b:Source>
  <b:Source>
    <b:Tag>Cop08</b:Tag>
    <b:SourceType>JournalArticle</b:SourceType>
    <b:Guid>{5B604305-757A-4F76-85E8-6037B89802D2}</b:Guid>
    <b:Author>
      <b:Author>
        <b:NameList>
          <b:Person>
            <b:Last>Copeland</b:Last>
            <b:First>Curtis</b:First>
            <b:Middle>W.</b:Middle>
          </b:Person>
        </b:NameList>
      </b:Author>
    </b:Author>
    <b:Title>Emergency Economic Stabilization Act: Preliminary Analysis of Oversight Provisions</b:Title>
    <b:JournalName>CSR Report for Congress, Order Code RL34713</b:JournalName>
    <b:Year>2008</b:Year>
    <b:RefOrder>7</b:RefOrder>
  </b:Source>
  <b:Source>
    <b:Tag>ECA20</b:Tag>
    <b:SourceType>JournalArticle</b:SourceType>
    <b:Guid>{E4CC9E52-82F2-44AA-BB1B-D60E88616546}</b:Guid>
    <b:Title>How the EU took account of lessons learned from the 2008-2012 financial and sovereign debt crises</b:Title>
    <b:JournalName>European Court of Auditors (Curia Rationum)</b:JournalName>
    <b:Year>2020</b:Year>
    <b:Author>
      <b:Author>
        <b:NameList>
          <b:Person>
            <b:Last>ECA</b:Last>
          </b:Person>
        </b:NameList>
      </b:Author>
    </b:Author>
    <b:RefOrder>9</b:RefOrder>
  </b:Source>
  <b:Source>
    <b:Tag>EUR09</b:Tag>
    <b:SourceType>InternetSite</b:SourceType>
    <b:Guid>{931EDA90-88A6-4DE8-9239-A1388B83DF14}</b:Guid>
    <b:Title>Regulation (EC) No 1060/2009 of the European Parliament and of the Council of 16 September 2009 on credit rating agencies (Text with EEA relevance)</b:Title>
    <b:Year>2009</b:Year>
    <b:Author>
      <b:Author>
        <b:NameList>
          <b:Person>
            <b:Last>EUR-Lex</b:Last>
          </b:Person>
        </b:NameList>
      </b:Author>
    </b:Author>
    <b:InternetSiteTitle>https://eur-lex.europa.eu/</b:InternetSiteTitle>
    <b:Month>11</b:Month>
    <b:Day>17</b:Day>
    <b:URL>https://eur-lex.europa.eu/legal-content/EN/TXT/?uri=celex%3A32009R1060</b:URL>
    <b:RefOrder>10</b:RefOrder>
  </b:Source>
  <b:Source>
    <b:Tag>Uni11</b:Tag>
    <b:SourceType>Report</b:SourceType>
    <b:Guid>{AFB3BA07-F765-499F-8959-40306B303FB7}</b:Guid>
    <b:Title>MORTGAGE REFORM: Potential Impacts of Provisions in the Dodd-Frank Act on Homebuyers and the Mortgage Market</b:Title>
    <b:Year>2011</b:Year>
    <b:Author>
      <b:Author>
        <b:Corporate>U.S. Government Accountability Office</b:Corporate>
      </b:Author>
    </b:Author>
    <b:RefOrder>8</b:RefOrder>
  </b:Source>
  <b:Source>
    <b:Tag>Bar12</b:Tag>
    <b:SourceType>JournalArticle</b:SourceType>
    <b:Guid>{ACB4B034-7407-49BC-BCE3-3B4EB0A4592B}</b:Guid>
    <b:Title>The Financial Crisis and the Path of Reform</b:Title>
    <b:Year>2012</b:Year>
    <b:Author>
      <b:Author>
        <b:NameList>
          <b:Person>
            <b:Last>Barr</b:Last>
            <b:First>Michael</b:First>
            <b:Middle>S.</b:Middle>
          </b:Person>
        </b:NameList>
      </b:Author>
    </b:Author>
    <b:JournalName>Yale Journal on Regulation; New Haven Vol. 29, Iss. 1,  (Winter 2012): 91-119, Scholarly Journal</b:JournalName>
    <b:RefOrder>2</b:RefOrder>
  </b:Source>
  <b:Source>
    <b:Tag>Con17</b:Tag>
    <b:SourceType>Report</b:SourceType>
    <b:Guid>{EAD5936F-3266-45CC-82E7-0F8C8E6F7314}</b:Guid>
    <b:Title>The Dodd-Frank Wall Street Reform and Consumer Protection Act: Background and Summary</b:Title>
    <b:Year>2017</b:Year>
    <b:Author>
      <b:Author>
        <b:Corporate>Congressional Research Service</b:Corporate>
      </b:Author>
    </b:Author>
    <b:RefOrder>11</b:RefOrder>
  </b:Source>
  <b:Source>
    <b:Tag>Inv23</b:Tag>
    <b:SourceType>InternetSite</b:SourceType>
    <b:Guid>{DD5D44F9-3A56-40B8-A30C-AC5EC2850080}</b:Guid>
    <b:Title>Dodd-Frank Act: What It Does, Major Components, and Criticisms</b:Title>
    <b:Year>2023</b:Year>
    <b:Author>
      <b:Author>
        <b:NameList>
          <b:Person>
            <b:Last>Investopedia</b:Last>
          </b:Person>
        </b:NameList>
      </b:Author>
    </b:Author>
    <b:InternetSiteTitle>https://www.investopedia.com/</b:InternetSiteTitle>
    <b:Month>August</b:Month>
    <b:Day>02</b:Day>
    <b:URL>https://www.investopedia.com/terms/d/dodd-frank-financial-regulatory-reform-bill.asp</b:URL>
    <b:RefOrder>12</b:RefOrder>
  </b:Source>
  <b:Source>
    <b:Tag>Fin</b:Tag>
    <b:SourceType>InternetSite</b:SourceType>
    <b:Guid>{D10073F0-C81E-4AEC-937C-E4A1C3611DF7}</b:Guid>
    <b:Author>
      <b:Author>
        <b:Corporate>Financial Service Committee</b:Corporate>
      </b:Author>
    </b:Author>
    <b:Title>The Failures of Dodd-Frank</b:Title>
    <b:InternetSiteTitle>https://financialservices.house.gov/</b:InternetSiteTitle>
    <b:URL>https://financialservices.house.gov/issueshome/issue/default.aspx?IssueID=57976</b:URL>
    <b:RefOrder>13</b:RefOrder>
  </b:Source>
  <b:Source>
    <b:Tag>Cad10</b:Tag>
    <b:SourceType>InternetSite</b:SourceType>
    <b:Guid>{BCDCB998-7D82-4466-B6A8-3241A1F2924A}</b:Guid>
    <b:Author>
      <b:Author>
        <b:NameList>
          <b:Person>
            <b:Last>Cadwalader</b:Last>
          </b:Person>
        </b:NameList>
      </b:Author>
    </b:Author>
    <b:Title>An Analysis of the Dodd-Frank Act's Volcker Rule</b:Title>
    <b:InternetSiteTitle>https://www.cadwalader.com/</b:InternetSiteTitle>
    <b:Year>2010</b:Year>
    <b:Month>October</b:Month>
    <b:Day>15</b:Day>
    <b:URL>https://www.cadwalader.com/resources/clients-friends-memos/an-analysis-of-the-dodd-frank-acts-volcker-rule</b:URL>
    <b:RefOrder>14</b:RefOrder>
  </b:Source>
  <b:Source>
    <b:Tag>BIS23</b:Tag>
    <b:SourceType>InternetSite</b:SourceType>
    <b:Guid>{F76C1715-24EF-4382-A28D-870C96F09A10}</b:Guid>
    <b:Author>
      <b:Author>
        <b:Corporate>BIS</b:Corporate>
      </b:Author>
    </b:Author>
    <b:Title>Basel III: international regulatory framework for banks</b:Title>
    <b:InternetSiteTitle>https://www.bis.org/</b:InternetSiteTitle>
    <b:Year>2023</b:Year>
    <b:URL>https://www.bis.org/bcbs/basel3.htm</b:URL>
    <b:RefOrder>15</b:RefOrder>
  </b:Source>
  <b:Source>
    <b:Tag>The15</b:Tag>
    <b:SourceType>InternetSite</b:SourceType>
    <b:Guid>{148AF931-6EDA-43F8-BC51-91DAB3BE4C68}</b:Guid>
    <b:Author>
      <b:Author>
        <b:Corporate>The Global Treasurer</b:Corporate>
      </b:Author>
    </b:Author>
    <b:Title>Benefits of Basel III regulation shown by recent adoption rates</b:Title>
    <b:InternetSiteTitle>https://www.theglobaltreasurer.com/</b:InternetSiteTitle>
    <b:Year>2015</b:Year>
    <b:Month>April</b:Month>
    <b:Day>13</b:Day>
    <b:URL>https://www.theglobaltreasurer.com/2015/04/13/benefits-of-basel-iii-regulation-shown-by-recent-adoption-rates/</b:URL>
    <b:RefOrder>16</b:RefOrder>
  </b:Source>
  <b:Source>
    <b:Tag>Eur23</b:Tag>
    <b:SourceType>InternetSite</b:SourceType>
    <b:Guid>{DF7A7D40-470F-4E3B-B071-37D504D72465}</b:Guid>
    <b:Author>
      <b:Author>
        <b:Corporate>European Council</b:Corporate>
      </b:Author>
    </b:Author>
    <b:Title>Banking union</b:Title>
    <b:InternetSiteTitle>https://www.consilium.europa.eu/</b:InternetSiteTitle>
    <b:Year>2023</b:Year>
    <b:Month>December</b:Month>
    <b:Day>18</b:Day>
    <b:URL>https://www.consilium.europa.eu/en/policies/banking-union/</b:URL>
    <b:RefOrder>17</b:RefOrder>
  </b:Source>
  <b:Source>
    <b:Tag>Hob23</b:Tag>
    <b:SourceType>Report</b:SourceType>
    <b:Guid>{F390416A-CD38-4ED7-9295-4D17F60E189C}</b:Guid>
    <b:Title>Occasional Paper Series, A tale of three crises: synergies between ECB tasks, No 305 / September 2022</b:Title>
    <b:Year>2023</b:Year>
    <b:Author>
      <b:Author>
        <b:NameList>
          <b:Person>
            <b:Last>Hobelsberger</b:Last>
            <b:First>Karin</b:First>
          </b:Person>
          <b:Person>
            <b:Last>Kok</b:Last>
            <b:First>Christoffer</b:First>
          </b:Person>
          <b:Person>
            <b:Last>Mongelli</b:Last>
            <b:First>Francesco</b:First>
            <b:Middle>Paolo</b:Middle>
          </b:Person>
        </b:NameList>
      </b:Author>
    </b:Author>
    <b:Publisher>ECB</b:Publisher>
    <b:RefOrder>18</b:RefOrder>
  </b:Source>
  <b:Source>
    <b:Tag>Ell12</b:Tag>
    <b:SourceType>InternetSite</b:SourceType>
    <b:Guid>{E1E32900-73BC-47F4-8EB7-3F3880AD537F}</b:Guid>
    <b:Title>RESEARCH $2 Billion Later: Policy Implications of JP Morgan Chase’s Trading Loss</b:Title>
    <b:Year>2012</b:Year>
    <b:Author>
      <b:Author>
        <b:NameList>
          <b:Person>
            <b:Last>Elliott</b:Last>
            <b:First>Douglas</b:First>
            <b:Middle>J. E</b:Middle>
          </b:Person>
        </b:NameList>
      </b:Author>
    </b:Author>
    <b:InternetSiteTitle>https://www.brookings.edu/</b:InternetSiteTitle>
    <b:Month>May</b:Month>
    <b:Day>14</b:Day>
    <b:URL>https://www.brookings.edu/articles/2-billion-later-policy-implications-of-jp-morgan-chases-trading-loss/</b:URL>
    <b:RefOrder>20</b:RefOrder>
  </b:Source>
  <b:Source>
    <b:Tag>JPM23</b:Tag>
    <b:SourceType>Report</b:SourceType>
    <b:Guid>{45EA0CFE-81FF-40A4-9C63-E3528EBC2A00}</b:Guid>
    <b:Title>2023 Annual Dodd-Frank Act Stress Test Results Disclosure</b:Title>
    <b:Year>2023</b:Year>
    <b:Author>
      <b:Author>
        <b:Corporate>JPMorgan Chase &amp; Co.</b:Corporate>
      </b:Author>
    </b:Author>
    <b:RefOrder>21</b:RefOrder>
  </b:Source>
  <b:Source>
    <b:Tag>JPM231</b:Tag>
    <b:SourceType>InternetSite</b:SourceType>
    <b:Guid>{D6E0BBCF-52CC-4C9E-A90B-60B20571F1BB}</b:Guid>
    <b:Title>History of Our Firm</b:Title>
    <b:Year>2023</b:Year>
    <b:Author>
      <b:Author>
        <b:Corporate>JPMorgan Chase &amp; Co.</b:Corporate>
      </b:Author>
    </b:Author>
    <b:InternetSiteTitle>https://www.jpmorganchase.com/</b:InternetSiteTitle>
    <b:Month>12</b:Month>
    <b:URL>https://www.jpmorganchase.com/about/our-history</b:URL>
    <b:RefOrder>22</b:RefOrder>
  </b:Source>
  <b:Source>
    <b:Tag>All17</b:Tag>
    <b:SourceType>JournalArticle</b:SourceType>
    <b:Guid>{CDAF15D6-0A2D-4F20-8124-310D80CB2D76}</b:Guid>
    <b:Title>JPMorgan and the Dodd-Frank Act</b:Title>
    <b:Year>2017</b:Year>
    <b:Author>
      <b:Author>
        <b:NameList>
          <b:Person>
            <b:Last>Allayannis</b:Last>
            <b:First>George</b:First>
          </b:Person>
          <b:Person>
            <b:Last>Risell</b:Last>
            <b:First>Adam</b:First>
          </b:Person>
        </b:NameList>
      </b:Author>
    </b:Author>
    <b:JournalName>Darden Business Publishing cases</b:JournalName>
    <b:RefOrder>19</b:RefOrder>
  </b:Source>
</b:Sources>
</file>

<file path=customXml/itemProps1.xml><?xml version="1.0" encoding="utf-8"?>
<ds:datastoreItem xmlns:ds="http://schemas.openxmlformats.org/officeDocument/2006/customXml" ds:itemID="{290F18F0-2D46-42F0-AEB8-C780DEFF45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4998</Words>
  <Characters>31377</Characters>
  <Application>Microsoft Office Word</Application>
  <DocSecurity>0</DocSecurity>
  <Lines>518</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Rathoad</dc:creator>
  <cp:keywords/>
  <dc:description/>
  <cp:lastModifiedBy>Jitendra Gohel (2242698)</cp:lastModifiedBy>
  <cp:revision>199</cp:revision>
  <dcterms:created xsi:type="dcterms:W3CDTF">2024-01-04T04:46:00Z</dcterms:created>
  <dcterms:modified xsi:type="dcterms:W3CDTF">2024-01-05T05:14:00Z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5447e87c7de9be242ed1020a6f8984f7cab0718fbcdd02a3c263aabaaad54827</vt:lpwstr>
  </property>
</Properties>
</file>