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3062D" w14:textId="77777777" w:rsidR="004A5944" w:rsidRDefault="004A5944" w:rsidP="0063790E">
      <w:pPr>
        <w:spacing w:after="200" w:line="276" w:lineRule="auto"/>
        <w:jc w:val="center"/>
        <w:rPr>
          <w:rFonts w:cs="Arial"/>
          <w:b/>
          <w:bCs/>
          <w:sz w:val="40"/>
          <w:szCs w:val="40"/>
          <w:lang w:val="en-GB"/>
        </w:rPr>
      </w:pPr>
    </w:p>
    <w:p w14:paraId="631B050B" w14:textId="593AAB86" w:rsidR="00871D81" w:rsidRPr="006E131B" w:rsidRDefault="0063790E" w:rsidP="0063790E">
      <w:pPr>
        <w:spacing w:after="200" w:line="276" w:lineRule="auto"/>
        <w:jc w:val="center"/>
        <w:rPr>
          <w:rFonts w:cs="Arial"/>
          <w:b/>
          <w:bCs/>
          <w:sz w:val="40"/>
          <w:szCs w:val="40"/>
          <w:lang w:val="en-GB"/>
        </w:rPr>
      </w:pPr>
      <w:r w:rsidRPr="006E131B">
        <w:rPr>
          <w:rFonts w:cs="Arial"/>
          <w:b/>
          <w:bCs/>
          <w:sz w:val="40"/>
          <w:szCs w:val="40"/>
          <w:lang w:val="en-GB"/>
        </w:rPr>
        <w:t>Digital Transformation in the Health and Care Professions (BMHP6026_BIRM</w:t>
      </w:r>
      <w:r w:rsidR="006E131B" w:rsidRPr="006E131B">
        <w:rPr>
          <w:rFonts w:cs="Arial"/>
          <w:b/>
          <w:bCs/>
          <w:sz w:val="40"/>
          <w:szCs w:val="40"/>
          <w:lang w:val="en-GB"/>
        </w:rPr>
        <w:t>)</w:t>
      </w:r>
    </w:p>
    <w:p w14:paraId="2A4CDD59" w14:textId="77777777" w:rsidR="0081327F" w:rsidRDefault="0081327F" w:rsidP="00871D81">
      <w:pPr>
        <w:spacing w:after="200" w:line="276" w:lineRule="auto"/>
        <w:jc w:val="center"/>
        <w:rPr>
          <w:rFonts w:cs="Arial"/>
          <w:b/>
          <w:bCs/>
          <w:sz w:val="44"/>
          <w:szCs w:val="44"/>
        </w:rPr>
      </w:pPr>
    </w:p>
    <w:p w14:paraId="4B935C83" w14:textId="77777777" w:rsidR="0081327F" w:rsidRDefault="0081327F" w:rsidP="00871D81">
      <w:pPr>
        <w:spacing w:after="200" w:line="276" w:lineRule="auto"/>
        <w:jc w:val="center"/>
        <w:rPr>
          <w:rFonts w:cs="Arial"/>
          <w:b/>
          <w:bCs/>
          <w:sz w:val="44"/>
          <w:szCs w:val="44"/>
        </w:rPr>
      </w:pPr>
      <w:r>
        <w:rPr>
          <w:rFonts w:cs="Arial"/>
          <w:b/>
          <w:bCs/>
          <w:sz w:val="44"/>
          <w:szCs w:val="44"/>
        </w:rPr>
        <w:t>Student name: Zamzam Abdallah</w:t>
      </w:r>
    </w:p>
    <w:p w14:paraId="76F3C5DB" w14:textId="77777777" w:rsidR="0081327F" w:rsidRDefault="0081327F" w:rsidP="00871D81">
      <w:pPr>
        <w:spacing w:after="200" w:line="276" w:lineRule="auto"/>
        <w:jc w:val="center"/>
        <w:rPr>
          <w:rFonts w:cs="Arial"/>
          <w:b/>
          <w:bCs/>
          <w:sz w:val="44"/>
          <w:szCs w:val="44"/>
        </w:rPr>
      </w:pPr>
      <w:r>
        <w:rPr>
          <w:rFonts w:cs="Arial"/>
          <w:b/>
          <w:bCs/>
          <w:sz w:val="44"/>
          <w:szCs w:val="44"/>
        </w:rPr>
        <w:t>Student number: 2408411</w:t>
      </w:r>
    </w:p>
    <w:p w14:paraId="732D7E31" w14:textId="77777777" w:rsidR="00D43BC7" w:rsidRDefault="00D43BC7" w:rsidP="00871D81">
      <w:pPr>
        <w:spacing w:after="200" w:line="276" w:lineRule="auto"/>
        <w:jc w:val="center"/>
        <w:rPr>
          <w:rFonts w:cs="Arial"/>
          <w:b/>
          <w:bCs/>
          <w:sz w:val="44"/>
          <w:szCs w:val="44"/>
        </w:rPr>
      </w:pPr>
    </w:p>
    <w:p w14:paraId="7438537A" w14:textId="77777777" w:rsidR="00052F62" w:rsidRDefault="00427A22" w:rsidP="00052F62">
      <w:pPr>
        <w:spacing w:after="200" w:line="276" w:lineRule="auto"/>
        <w:jc w:val="center"/>
        <w:rPr>
          <w:rFonts w:cs="Arial"/>
        </w:rPr>
      </w:pPr>
      <w:r>
        <w:rPr>
          <w:rFonts w:cs="Arial"/>
          <w:b/>
          <w:bCs/>
          <w:sz w:val="44"/>
          <w:szCs w:val="44"/>
        </w:rPr>
        <w:t>Component 1</w:t>
      </w:r>
      <w:r w:rsidR="00052F62">
        <w:rPr>
          <w:rFonts w:cs="Arial"/>
          <w:b/>
          <w:bCs/>
          <w:sz w:val="44"/>
          <w:szCs w:val="44"/>
        </w:rPr>
        <w:t xml:space="preserve">: </w:t>
      </w:r>
    </w:p>
    <w:p w14:paraId="2FE76C4D" w14:textId="77777777" w:rsidR="00052F62" w:rsidRDefault="00052F62" w:rsidP="00052F62">
      <w:pPr>
        <w:spacing w:after="200" w:line="276" w:lineRule="auto"/>
        <w:jc w:val="center"/>
        <w:rPr>
          <w:rFonts w:cs="Arial"/>
          <w:b/>
          <w:bCs/>
          <w:sz w:val="44"/>
          <w:szCs w:val="44"/>
        </w:rPr>
      </w:pPr>
      <w:r>
        <w:rPr>
          <w:rFonts w:cs="Arial"/>
          <w:b/>
          <w:bCs/>
          <w:sz w:val="44"/>
          <w:szCs w:val="44"/>
        </w:rPr>
        <w:t xml:space="preserve">A critical evaluation of CIVID </w:t>
      </w:r>
      <w:proofErr w:type="spellStart"/>
      <w:r>
        <w:rPr>
          <w:rFonts w:cs="Arial"/>
          <w:b/>
          <w:bCs/>
          <w:sz w:val="44"/>
          <w:szCs w:val="44"/>
        </w:rPr>
        <w:t>Oximerty</w:t>
      </w:r>
      <w:proofErr w:type="spellEnd"/>
      <w:r>
        <w:rPr>
          <w:rFonts w:cs="Arial"/>
          <w:b/>
          <w:bCs/>
          <w:sz w:val="44"/>
          <w:szCs w:val="44"/>
        </w:rPr>
        <w:t xml:space="preserve"> @home in England</w:t>
      </w:r>
    </w:p>
    <w:p w14:paraId="0D2B84DF" w14:textId="0D11FA9D" w:rsidR="00B73D0A" w:rsidRPr="00350B51" w:rsidRDefault="00DA569A" w:rsidP="00350B51">
      <w:pPr>
        <w:spacing w:after="200" w:line="276" w:lineRule="auto"/>
        <w:jc w:val="center"/>
        <w:rPr>
          <w:rFonts w:eastAsiaTheme="majorEastAsia" w:cs="Arial"/>
          <w:b/>
          <w:bCs/>
          <w:szCs w:val="28"/>
        </w:rPr>
      </w:pPr>
      <w:r>
        <w:rPr>
          <w:rFonts w:cs="Arial"/>
        </w:rPr>
        <w:br w:type="page"/>
      </w:r>
    </w:p>
    <w:p w14:paraId="65CE782F" w14:textId="25927358" w:rsidR="00350B51" w:rsidRPr="0070125B" w:rsidRDefault="00350B51">
      <w:pPr>
        <w:rPr>
          <w:rFonts w:cs="Arial"/>
          <w:b/>
          <w:bCs/>
        </w:rPr>
      </w:pPr>
      <w:r w:rsidRPr="0070125B">
        <w:rPr>
          <w:rFonts w:cs="Arial"/>
          <w:b/>
          <w:bCs/>
        </w:rPr>
        <w:lastRenderedPageBreak/>
        <w:t>Intro</w:t>
      </w:r>
      <w:r w:rsidR="0070125B" w:rsidRPr="0070125B">
        <w:rPr>
          <w:rFonts w:cs="Arial"/>
          <w:b/>
          <w:bCs/>
        </w:rPr>
        <w:t>duction</w:t>
      </w:r>
    </w:p>
    <w:p w14:paraId="5995218C" w14:textId="05C80758" w:rsidR="00B73D0A" w:rsidRPr="00F671E2" w:rsidRDefault="00CC5498">
      <w:pPr>
        <w:rPr>
          <w:rFonts w:cs="Arial"/>
        </w:rPr>
      </w:pPr>
      <w:r w:rsidRPr="00F671E2">
        <w:rPr>
          <w:rFonts w:cs="Arial"/>
        </w:rPr>
        <w:t>COVID Oximetry @home (</w:t>
      </w:r>
      <w:proofErr w:type="spellStart"/>
      <w:r w:rsidRPr="00F671E2">
        <w:rPr>
          <w:rFonts w:cs="Arial"/>
        </w:rPr>
        <w:t>CO@h</w:t>
      </w:r>
      <w:proofErr w:type="spellEnd"/>
      <w:r w:rsidRPr="00F671E2">
        <w:rPr>
          <w:rFonts w:cs="Arial"/>
        </w:rPr>
        <w:t>) was introduced nationally in England in November 2020 to support people with COVID-19 who were recovering outside hospital (NHS England, 2020). This report evaluates its digitally enabled remote monitoring pathway: patients measured blood oxygen saturation using a fingertip pulse oximeter and communicated readings through digital platforms, with clinical review and escalation when needed. The innovation is the organised COVID-19 care pathway introduced in 2020, rather than pulse oximetry itself, which predates the assignment’s ten-year window. Telephone and paper alternatives were also used, so CO@h should not be described as a single app or a uniformly digital service (Herlitz et al., 2023).</w:t>
      </w:r>
    </w:p>
    <w:p w14:paraId="0C127E0C" w14:textId="372D9420" w:rsidR="00B73D0A" w:rsidRDefault="00CC5498" w:rsidP="0070125B">
      <w:pPr>
        <w:rPr>
          <w:rFonts w:cs="Arial"/>
        </w:rPr>
      </w:pPr>
      <w:r w:rsidRPr="00F671E2">
        <w:rPr>
          <w:rFonts w:cs="Arial"/>
        </w:rPr>
        <w:t>Its significance lies in connecting home observations with clinical decisions when deterioration might otherwise be missed. Nevertheless, technological feasibility does not establish clinical effectiveness, affordability or equitable access. This report critically examines impacts on workforce, service delivery and patients, using UK research and relevant digital policy. It distinguishes evidence about CO@h specifically from studies combining community monitoring and post-discharge services. The central argument is that CO@h offered a useful model of supported care, but its value depended on staffing, accessible communication and reliable escalation, rather than technology alone.</w:t>
      </w:r>
    </w:p>
    <w:p w14:paraId="736C1367" w14:textId="0F5CF367" w:rsidR="0070125B" w:rsidRPr="00AF11AE" w:rsidRDefault="00AF11AE" w:rsidP="0070125B">
      <w:pPr>
        <w:rPr>
          <w:rFonts w:cs="Arial"/>
          <w:b/>
          <w:bCs/>
        </w:rPr>
      </w:pPr>
      <w:r>
        <w:rPr>
          <w:rFonts w:cs="Arial"/>
          <w:b/>
          <w:bCs/>
        </w:rPr>
        <w:t xml:space="preserve"> Workforce</w:t>
      </w:r>
    </w:p>
    <w:p w14:paraId="3C7A38CC" w14:textId="77777777" w:rsidR="00B73D0A" w:rsidRPr="00F671E2" w:rsidRDefault="00CC5498">
      <w:pPr>
        <w:rPr>
          <w:rFonts w:cs="Arial"/>
        </w:rPr>
      </w:pPr>
      <w:r w:rsidRPr="00F671E2">
        <w:rPr>
          <w:rFonts w:cs="Arial"/>
        </w:rPr>
        <w:t>CO@h redistributed clinical work across organisational boundaries. Staff had to support enrolment, explain equipment, review observations and arrange escalation without routinely seeing patients. Sidhu et al. (2023) surveyed 292 staff and interviewed 58 across English services, finding that workers needed locally developed training and clinical oversight. This indicates that remote care creates new competencies rather than simply transferring existing appointments onto a screen. In practice, recognising deterioration requires staff to combine numerical readings with symptoms and the patient’s ability to manage at home. Consequently, workforce planning should assess clinical responsibility and supervision requirements, not merely count how many patients a platform can accommodate.</w:t>
      </w:r>
    </w:p>
    <w:p w14:paraId="37E1CAEB" w14:textId="77777777" w:rsidR="00B73D0A" w:rsidRPr="00F671E2" w:rsidRDefault="00CC5498">
      <w:pPr>
        <w:rPr>
          <w:rFonts w:cs="Arial"/>
        </w:rPr>
      </w:pPr>
      <w:r w:rsidRPr="00F671E2">
        <w:rPr>
          <w:rFonts w:cs="Arial"/>
        </w:rPr>
        <w:t xml:space="preserve">There were potential efficiency benefits. Herlitz et al. (2023) found that staff valued mixed delivery models because these supported larger caseloads while allowing direct contact when further assessment was required. Digital reporting could therefore help prioritise attention. However, the findings concern staff perceptions and do not demonstrate a causal reduction in working hours. Their observational comparison also involved different patient groups and service arrangements. The reasonable judgement is that technology may </w:t>
      </w:r>
      <w:r w:rsidRPr="00F671E2">
        <w:rPr>
          <w:rFonts w:cs="Arial"/>
        </w:rPr>
        <w:lastRenderedPageBreak/>
        <w:t>improve the allocation of professional attention, but claims that it automatically releases staff capacity exceed this evidence.</w:t>
      </w:r>
    </w:p>
    <w:p w14:paraId="6C3266EB" w14:textId="77777777" w:rsidR="00B73D0A" w:rsidRPr="00F671E2" w:rsidRDefault="00CC5498">
      <w:pPr>
        <w:rPr>
          <w:rFonts w:cs="Arial"/>
        </w:rPr>
      </w:pPr>
      <w:r w:rsidRPr="00F671E2">
        <w:rPr>
          <w:rFonts w:cs="Arial"/>
        </w:rPr>
        <w:t>Training emerged as a limitation. Sidhu et al. (2023) reported uncertainty about independent judgement and reliance on clinical oversight, despite generally positive experiences. Their mixed-method design explains why implementation could feel manageable while staff still lacked confidence. However, the survey response rate was 39%, creating possible non-response bias: staff experiencing the greatest workload may have been less able to participate. Protected training should therefore include case-based escalation decisions and observed competence, alongside technical instruction. Requiring training without funding staff cover could itself worsen workload, making phased implementation more realistic than immediate expansion.</w:t>
      </w:r>
    </w:p>
    <w:p w14:paraId="64A3457F" w14:textId="77777777" w:rsidR="00B73D0A" w:rsidRPr="00F671E2" w:rsidRDefault="00CC5498">
      <w:pPr>
        <w:rPr>
          <w:rFonts w:cs="Arial"/>
        </w:rPr>
      </w:pPr>
      <w:r w:rsidRPr="00F671E2">
        <w:rPr>
          <w:rFonts w:cs="Arial"/>
        </w:rPr>
        <w:t>The House of Commons Health and Social Care Committee (2023) identified interoperability as a wider barrier to NHS digital transformation. Applied to CO@h, this raises the risk that reviewing a digital dashboard may still require separate documentation or communication with another organisation. This is a reasoned implementation concern, rather than proof that every CO@h service duplicated records. An integrated workflow should give staff access to clinically relevant information and make responsibility for responding explicit. Procurement decisions based mainly on software functionality could overlook these practical dependencies.</w:t>
      </w:r>
    </w:p>
    <w:p w14:paraId="3DCA4A67" w14:textId="517B19DE" w:rsidR="00B73D0A" w:rsidRDefault="00CC5498" w:rsidP="00AF11AE">
      <w:pPr>
        <w:rPr>
          <w:rFonts w:cs="Arial"/>
        </w:rPr>
      </w:pPr>
      <w:r w:rsidRPr="00F671E2">
        <w:rPr>
          <w:rFonts w:cs="Arial"/>
        </w:rPr>
        <w:t>The original What Good Looks Like framework links digital improvement to leadership, safe practice and support for staff (NHS England, 2021). These principles provide a useful test of CO@h: introducing equipment is insufficient unless staff have authority, support and clear escalation arrangements. However, a framework is guidance, not evidence that these conditions were achieved. Overall, workforce benefits were conditional on investment in skills and coordination. Managers should evaluate staff time per patient, unresolved alerts and supervision needs before presenting remote monitoring as a solution to shortages.</w:t>
      </w:r>
    </w:p>
    <w:p w14:paraId="58D14D27" w14:textId="1916C964" w:rsidR="00AF11AE" w:rsidRPr="00AF11AE" w:rsidRDefault="00AF11AE" w:rsidP="00AF11AE">
      <w:pPr>
        <w:rPr>
          <w:rFonts w:cs="Arial"/>
          <w:b/>
          <w:bCs/>
        </w:rPr>
      </w:pPr>
      <w:r>
        <w:rPr>
          <w:rFonts w:cs="Arial"/>
          <w:b/>
          <w:bCs/>
        </w:rPr>
        <w:t xml:space="preserve"> </w:t>
      </w:r>
      <w:r w:rsidR="00710FB5">
        <w:rPr>
          <w:rFonts w:cs="Arial"/>
          <w:b/>
          <w:bCs/>
        </w:rPr>
        <w:t>S</w:t>
      </w:r>
      <w:r>
        <w:rPr>
          <w:rFonts w:cs="Arial"/>
          <w:b/>
          <w:bCs/>
        </w:rPr>
        <w:t>erv</w:t>
      </w:r>
      <w:r w:rsidR="00710FB5">
        <w:rPr>
          <w:rFonts w:cs="Arial"/>
          <w:b/>
          <w:bCs/>
        </w:rPr>
        <w:t>ice delivery</w:t>
      </w:r>
    </w:p>
    <w:p w14:paraId="14951F45" w14:textId="77777777" w:rsidR="00B73D0A" w:rsidRPr="00F671E2" w:rsidRDefault="00CC5498">
      <w:pPr>
        <w:rPr>
          <w:rFonts w:cs="Arial"/>
        </w:rPr>
      </w:pPr>
      <w:r w:rsidRPr="00F671E2">
        <w:rPr>
          <w:rFonts w:cs="Arial"/>
        </w:rPr>
        <w:t>CO@h changed service delivery by bringing structured home observations into the assessment pathway. Its clinical purpose was early detection and appropriate escalation, meaning that increased hospital use could sometimes represent success rather than failure. Beaney et al. (2023) examined 15,621 patients assessed in emergency departments, including 639 enrolled onto CO@h. Enrolment was associated with 52% lower odds of death, but higher odds of subsequent emergency attendance and hospital admission. These are relative odds, not absolute reductions in mortality. The combination is consistent with earlier identification of deterioration, although it does not prove this mechanism.</w:t>
      </w:r>
    </w:p>
    <w:p w14:paraId="37DD6957" w14:textId="77777777" w:rsidR="00B73D0A" w:rsidRPr="00F671E2" w:rsidRDefault="00CC5498">
      <w:pPr>
        <w:rPr>
          <w:rFonts w:cs="Arial"/>
        </w:rPr>
      </w:pPr>
      <w:r w:rsidRPr="00F671E2">
        <w:rPr>
          <w:rFonts w:cs="Arial"/>
        </w:rPr>
        <w:lastRenderedPageBreak/>
        <w:t>The matched cohort design strengthens comparison by accounting for measured differences between patients. Nevertheless, allocation was not random: unmeasured clinical suitability, motivation or available support could influence both enrolment and outcomes. The findings also concern patients already assessed in emergency departments, limiting generalisation to everyone referred from primary care. Thus, Beaney et al. (2023) provide encouraging evidence for a selected pathway, rather than definitive proof of a national mortality benefit.</w:t>
      </w:r>
    </w:p>
    <w:p w14:paraId="441F0F30" w14:textId="77777777" w:rsidR="00B73D0A" w:rsidRPr="00F671E2" w:rsidRDefault="00CC5498">
      <w:pPr>
        <w:rPr>
          <w:rFonts w:cs="Arial"/>
        </w:rPr>
      </w:pPr>
      <w:r w:rsidRPr="00F671E2">
        <w:rPr>
          <w:rFonts w:cs="Arial"/>
        </w:rPr>
        <w:t>A contrasting population study found no association between programme implementation and mortality, alongside small increases in emergency attendance and admission (Beaney et al., 2022). Only 2.5% of the eligible population was recorded as enrolled. Low coverage could dilute benefits when outcomes are measured across an entire eligible population. Conversely, the lack of a population effect remains relevant to commissioners because a service that reaches few eligible people may have limited overall impact. The studies therefore answer different questions: whether enrolled patients benefited and whether implementation changed outcomes at scale. Neither result should be selected in isolation to support a predetermined conclusion.</w:t>
      </w:r>
    </w:p>
    <w:p w14:paraId="76968372" w14:textId="77777777" w:rsidR="00B73D0A" w:rsidRPr="00F671E2" w:rsidRDefault="00CC5498">
      <w:pPr>
        <w:rPr>
          <w:rFonts w:cs="Arial"/>
        </w:rPr>
      </w:pPr>
      <w:r w:rsidRPr="00F671E2">
        <w:rPr>
          <w:rFonts w:cs="Arial"/>
        </w:rPr>
        <w:t>Costs also require scrutiny. Fulop et al. (2023) reported substantial variation between remote monitoring services, including different delivery models and resource requirements. Lower delivery costs in technology-enabled settings cannot automatically be interpreted as better cost-effectiveness because patient selection, scale and outcomes may differ. A complete assessment should include equipment distribution, clinical review, technical support and additional hospital activity. Savings to one organisation may create expenditure elsewhere. Without a credible comparator and measured outcomes, lower cost per monitored patient is an operational finding rather than proof of greater value.</w:t>
      </w:r>
    </w:p>
    <w:p w14:paraId="073D928C" w14:textId="431AF142" w:rsidR="00B73D0A" w:rsidRPr="00F671E2" w:rsidRDefault="00CC5498">
      <w:pPr>
        <w:rPr>
          <w:rFonts w:cs="Arial"/>
        </w:rPr>
      </w:pPr>
      <w:r w:rsidRPr="00F671E2">
        <w:rPr>
          <w:rFonts w:cs="Arial"/>
        </w:rPr>
        <w:t xml:space="preserve">Walton et al. (2025) showed that national direction and local development occurred together, with considerable variation in eligibility, staffing and implementation. Flexibility helped services respond to local </w:t>
      </w:r>
      <w:r w:rsidR="00E43C2F" w:rsidRPr="00F671E2">
        <w:rPr>
          <w:rFonts w:cs="Arial"/>
        </w:rPr>
        <w:t>needs but</w:t>
      </w:r>
      <w:r w:rsidRPr="00F671E2">
        <w:rPr>
          <w:rFonts w:cs="Arial"/>
        </w:rPr>
        <w:t xml:space="preserve"> made the intervention difficult to standardise and evaluate. Their analysis also draws on the wider national evaluation, so it should not be counted as wholly independent confirmation. A reasonable service model would standardise essential safety requirements while allowing local choices about communication and staffing.</w:t>
      </w:r>
    </w:p>
    <w:p w14:paraId="5E79DD77" w14:textId="77777777" w:rsidR="001F6050" w:rsidRDefault="00CC5498" w:rsidP="00710FB5">
      <w:pPr>
        <w:rPr>
          <w:rFonts w:cs="Arial"/>
        </w:rPr>
      </w:pPr>
      <w:r w:rsidRPr="00F671E2">
        <w:rPr>
          <w:rFonts w:cs="Arial"/>
        </w:rPr>
        <w:t xml:space="preserve">The 2022 Plan for Digital Health and Social Care supports connected services and expansion of effective digital approaches (DHSC and NHS England, 2022). CO@h aligns with that direction, but policy ambition cannot resolve uncertainty about effectiveness. Continued investment should depend on comparative outcomes and equitable reach, with hospital admissions interpreted alongside severity and timeliness. Applying pandemic </w:t>
      </w:r>
      <w:r w:rsidRPr="00F671E2">
        <w:rPr>
          <w:rFonts w:cs="Arial"/>
        </w:rPr>
        <w:lastRenderedPageBreak/>
        <w:t>findings to other diseases or later care pathways requires fresh evaluation because clinical risks and usual care differ.</w:t>
      </w:r>
    </w:p>
    <w:p w14:paraId="05DEA8DA" w14:textId="4B725FD1" w:rsidR="00B73D0A" w:rsidRPr="001F6050" w:rsidRDefault="00CC5498" w:rsidP="00710FB5">
      <w:pPr>
        <w:rPr>
          <w:rFonts w:cs="Arial"/>
          <w:b/>
          <w:bCs/>
        </w:rPr>
      </w:pPr>
      <w:r w:rsidRPr="001F6050">
        <w:rPr>
          <w:rFonts w:cs="Arial"/>
          <w:b/>
          <w:bCs/>
        </w:rPr>
        <w:t>Patient and service-user impact</w:t>
      </w:r>
    </w:p>
    <w:p w14:paraId="4A006E04" w14:textId="77777777" w:rsidR="00B73D0A" w:rsidRPr="00F671E2" w:rsidRDefault="00CC5498">
      <w:pPr>
        <w:rPr>
          <w:rFonts w:cs="Arial"/>
        </w:rPr>
      </w:pPr>
      <w:r w:rsidRPr="00F671E2">
        <w:rPr>
          <w:rFonts w:cs="Arial"/>
        </w:rPr>
        <w:t>For patients, CO@h offered structured support while remaining at home. Walton et al. (2022) found generally positive experiences across COVID-19 remote monitoring services, with human contact providing reassurance. This suggests that the benefit was relational as well as technological: patients valued knowing that someone could interpret observations and respond. However, the study combined CO@h and post-discharge services, so its findings cannot be attributed exclusively to the digitally enabled CO@h pathway. Positive reported experience also does not establish that deterioration was consistently recognised or treated promptly.</w:t>
      </w:r>
    </w:p>
    <w:p w14:paraId="0D89597C" w14:textId="77777777" w:rsidR="00B73D0A" w:rsidRPr="00F671E2" w:rsidRDefault="00CC5498">
      <w:pPr>
        <w:rPr>
          <w:rFonts w:cs="Arial"/>
        </w:rPr>
      </w:pPr>
      <w:r w:rsidRPr="00F671E2">
        <w:rPr>
          <w:rFonts w:cs="Arial"/>
        </w:rPr>
        <w:t>Self-monitoring created work for patients and carers. Measuring oxygen saturation, recording results and deciding when to seek help could be difficult during acute illness. Walton et al. (2022) found that many patients needed professional or informal assistance. Describing this only as empowerment would therefore overlook transferred responsibility. Supported self-management can strengthen autonomy when patients understand and accept their role; it becomes burdensome when services assume that everyone has the same confidence or family support. Assessment should include whether the patient can perform the required tasks, with additional contact where necessary.</w:t>
      </w:r>
    </w:p>
    <w:p w14:paraId="693AAF34" w14:textId="77777777" w:rsidR="00B73D0A" w:rsidRPr="00F671E2" w:rsidRDefault="00CC5498">
      <w:pPr>
        <w:rPr>
          <w:rFonts w:cs="Arial"/>
        </w:rPr>
      </w:pPr>
      <w:r w:rsidRPr="00F671E2">
        <w:rPr>
          <w:rFonts w:cs="Arial"/>
        </w:rPr>
        <w:t>Fairness of access is a concern. Crellin et al. (2024) identified differences in engagement and experience, including difficulties understanding service information among some older and minority ethnic patients. These findings should not be interpreted as inherent inability within particular groups. They instead indicate a mismatch between service design and varied communication or support needs. Because the study examined service users, it may also miss people who never enrolled. Equity monitoring must therefore examine referral and uptake as well as satisfaction among participants. Telephone options, interpreters and accessible instructions require funding; otherwise, formal availability may conceal unequal practical access.</w:t>
      </w:r>
    </w:p>
    <w:p w14:paraId="0B6050D6" w14:textId="77777777" w:rsidR="00B73D0A" w:rsidRPr="00F671E2" w:rsidRDefault="00CC5498">
      <w:pPr>
        <w:rPr>
          <w:rFonts w:cs="Arial"/>
        </w:rPr>
      </w:pPr>
      <w:r w:rsidRPr="00F671E2">
        <w:rPr>
          <w:rFonts w:cs="Arial"/>
        </w:rPr>
        <w:t xml:space="preserve">Device accuracy introduces a separate safety issue. Martin et al. (2026) evaluated five fingertip oximeters supplied through the NHS CO@h scheme and found performance differences associated with skin tone, with greater risk of missed low oxygen levels in darker skin. This challenges the assumption that numerical measurements are equally reliable for everyone. However, the study took place in intensive care, so it does not directly quantify harm among CO@h patients at home. Its implication is precautionary and practical: procurement should assess performance across skin tones, and clinical review should </w:t>
      </w:r>
      <w:r w:rsidRPr="00F671E2">
        <w:rPr>
          <w:rFonts w:cs="Arial"/>
        </w:rPr>
        <w:lastRenderedPageBreak/>
        <w:t>consider symptoms and deterioration alongside readings. Better digital access alone cannot correct measurement bias.</w:t>
      </w:r>
    </w:p>
    <w:p w14:paraId="1A789125" w14:textId="77777777" w:rsidR="001F6050" w:rsidRDefault="00CC5498" w:rsidP="001F6050">
      <w:pPr>
        <w:rPr>
          <w:rFonts w:cs="Arial"/>
        </w:rPr>
      </w:pPr>
      <w:r w:rsidRPr="00F671E2">
        <w:rPr>
          <w:rFonts w:cs="Arial"/>
        </w:rPr>
        <w:t>Privacy also affects trust. Health observations are special category data; organisations need both an Article 6 lawful basis and an Article 9 condition under UK GDPR (ICO, 2024a). Agreeing to remote care should not be confused with establishing consent as the necessary data-processing basis. ICO guidance also requires a data protection impact assessment where processing is likely to be high risk (ICO, 2024b). For CO@h, clear explanations of who can access information and how it is used should accompany proportionate access controls. These safeguards require resources, but poorly explained data sharing could undermine participation. Overall, patient-centred success requires understandable support, reliable assessment and a meaningful alternative when digital participation is unsuitable.</w:t>
      </w:r>
    </w:p>
    <w:p w14:paraId="572EEF12" w14:textId="424F5023" w:rsidR="00B73D0A" w:rsidRPr="001F6050" w:rsidRDefault="00CC5498" w:rsidP="001F6050">
      <w:pPr>
        <w:rPr>
          <w:rFonts w:cs="Arial"/>
          <w:b/>
          <w:bCs/>
        </w:rPr>
      </w:pPr>
      <w:r w:rsidRPr="001F6050">
        <w:rPr>
          <w:rFonts w:cs="Arial"/>
          <w:b/>
          <w:bCs/>
        </w:rPr>
        <w:t>Conclusion and recommendations</w:t>
      </w:r>
    </w:p>
    <w:p w14:paraId="3E965E2E" w14:textId="77777777" w:rsidR="00B73D0A" w:rsidRPr="00F671E2" w:rsidRDefault="00CC5498">
      <w:pPr>
        <w:rPr>
          <w:rFonts w:cs="Arial"/>
        </w:rPr>
      </w:pPr>
      <w:r w:rsidRPr="00F671E2">
        <w:rPr>
          <w:rFonts w:cs="Arial"/>
        </w:rPr>
        <w:t>CO@h demonstrates how a digital care pathway can support monitoring outside hospital while changing professional roles and patient responsibilities. Its introduction in November 2020 satisfies the ten-year requirement; the relevant innovation is the pathway, not the older oximeter. Evidence suggests potential benefits for selected patients, but population impact, cost-effectiveness and equitable participation remain less certain. These distinctions prevent promising associations from becoming unsupported claims of universal benefit.</w:t>
      </w:r>
    </w:p>
    <w:p w14:paraId="29A7DFFB" w14:textId="77777777" w:rsidR="00B73D0A" w:rsidRPr="00F671E2" w:rsidRDefault="00CC5498">
      <w:pPr>
        <w:rPr>
          <w:rFonts w:cs="Arial"/>
        </w:rPr>
      </w:pPr>
      <w:r w:rsidRPr="00F671E2">
        <w:rPr>
          <w:rFonts w:cs="Arial"/>
        </w:rPr>
        <w:t>Three priorities follow. First, providers should fund competency-based training, named clinical responsibility and escalation cover before increasing caseloads. Staffing shortages are a barrier, so expansion should proceed in stages, informed by workload and safety audits (Sidhu et al., 2023). Second, commissioners should fund telephone alternatives, accessible information and support according to individual need. These measures increase delivery costs but address the participation barriers identified by Crellin et al. (2024). Patients and carers should help test whether support is usable in practice.</w:t>
      </w:r>
    </w:p>
    <w:p w14:paraId="28486EC9" w14:textId="77777777" w:rsidR="00B73D0A" w:rsidRPr="00F671E2" w:rsidRDefault="00CC5498">
      <w:pPr>
        <w:rPr>
          <w:rFonts w:cs="Arial"/>
        </w:rPr>
      </w:pPr>
      <w:r w:rsidRPr="00F671E2">
        <w:rPr>
          <w:rFonts w:cs="Arial"/>
        </w:rPr>
        <w:t>Third, evaluation should compare mortality, severity at admission, patient burden, total costs and uptake across groups, alongside device performance and data governance. Admission avoidance alone is an inadequate target when escalation may prevent harm (Beaney et al., 2023). Sustainable adoption should depend on demonstrable clinical value and fairness, with resources retained for people needing direct care.</w:t>
      </w:r>
    </w:p>
    <w:p w14:paraId="7DCEDD3F" w14:textId="77777777" w:rsidR="00B73D0A" w:rsidRPr="00F671E2" w:rsidRDefault="00CC5498">
      <w:pPr>
        <w:rPr>
          <w:rFonts w:cs="Arial"/>
        </w:rPr>
      </w:pPr>
      <w:r w:rsidRPr="00F671E2">
        <w:rPr>
          <w:rFonts w:cs="Arial"/>
        </w:rPr>
        <w:br w:type="page"/>
      </w:r>
    </w:p>
    <w:p w14:paraId="040ABDFD" w14:textId="77777777" w:rsidR="00B73D0A" w:rsidRPr="00F671E2" w:rsidRDefault="00CC5498">
      <w:pPr>
        <w:pStyle w:val="Heading1"/>
        <w:rPr>
          <w:rFonts w:ascii="Arial" w:hAnsi="Arial" w:cs="Arial"/>
        </w:rPr>
      </w:pPr>
      <w:r w:rsidRPr="00F671E2">
        <w:rPr>
          <w:rFonts w:ascii="Arial" w:hAnsi="Arial" w:cs="Arial"/>
        </w:rPr>
        <w:lastRenderedPageBreak/>
        <w:t>Reference list</w:t>
      </w:r>
    </w:p>
    <w:p w14:paraId="2B274F61" w14:textId="77777777" w:rsidR="00B73D0A" w:rsidRPr="00F671E2" w:rsidRDefault="00CC5498">
      <w:pPr>
        <w:ind w:left="360" w:hanging="360"/>
        <w:jc w:val="left"/>
        <w:rPr>
          <w:rFonts w:cs="Arial"/>
        </w:rPr>
      </w:pPr>
      <w:r w:rsidRPr="00F671E2">
        <w:rPr>
          <w:rFonts w:cs="Arial"/>
        </w:rPr>
        <w:t>Beaney, T. et al. (2022) ‘Population-level impact of a pulse oximetry remote monitoring programme on mortality and healthcare utilisation in the people with COVID-19 in England: a national analysis using a stepped wedge design’, Emergency Medicine Journal, 39(8), pp. 575–582. Available at: https://doi.org/10.1136/emermed-2022-212378.</w:t>
      </w:r>
    </w:p>
    <w:p w14:paraId="1E1D061F" w14:textId="77777777" w:rsidR="00B73D0A" w:rsidRPr="00F671E2" w:rsidRDefault="00CC5498">
      <w:pPr>
        <w:ind w:left="360" w:hanging="360"/>
        <w:jc w:val="left"/>
        <w:rPr>
          <w:rFonts w:cs="Arial"/>
        </w:rPr>
      </w:pPr>
      <w:r w:rsidRPr="00F671E2">
        <w:rPr>
          <w:rFonts w:cs="Arial"/>
        </w:rPr>
        <w:t>Beaney, T. et al. (2023) ‘Evaluating the impact of a pulse oximetry remote monitoring programme on mortality and healthcare utilisation in patients with COVID-19 assessed in emergency departments in England: a retrospective matched cohort study’, Emergency Medicine Journal, 40(6), pp. 460–465. Available at: https://doi.org/10.1136/emermed-2022-212377.</w:t>
      </w:r>
    </w:p>
    <w:p w14:paraId="5A808A7C" w14:textId="77777777" w:rsidR="00B73D0A" w:rsidRPr="00F671E2" w:rsidRDefault="00CC5498">
      <w:pPr>
        <w:ind w:left="360" w:hanging="360"/>
        <w:jc w:val="left"/>
        <w:rPr>
          <w:rFonts w:cs="Arial"/>
        </w:rPr>
      </w:pPr>
      <w:r w:rsidRPr="00F671E2">
        <w:rPr>
          <w:rFonts w:cs="Arial"/>
        </w:rPr>
        <w:t>Crellin, N.E. et al. (2024) ‘Patient characteristics associated with disparities in engagement with and experience of COVID-19 remote home monitoring services: a mixed-methods evaluation’, Health Expectations, 27(4), e14145. Available at: https://doi.org/10.1111/hex.14145.</w:t>
      </w:r>
    </w:p>
    <w:p w14:paraId="104D8BDE" w14:textId="77777777" w:rsidR="00B73D0A" w:rsidRPr="00F671E2" w:rsidRDefault="00CC5498">
      <w:pPr>
        <w:ind w:left="360" w:hanging="360"/>
        <w:jc w:val="left"/>
        <w:rPr>
          <w:rFonts w:cs="Arial"/>
        </w:rPr>
      </w:pPr>
      <w:r w:rsidRPr="00F671E2">
        <w:rPr>
          <w:rFonts w:cs="Arial"/>
        </w:rPr>
        <w:t>Department of Health and Social Care (DHSC) and NHS England (2022) A plan for digital health and social care. Available at: https://www.gov.uk/government/publications/a-plan-for-digital-health-and-social-care/a-plan-for-digital-health-and-social-care (Accessed: 7 September 2026).</w:t>
      </w:r>
    </w:p>
    <w:p w14:paraId="09FB8ECE" w14:textId="77777777" w:rsidR="00B73D0A" w:rsidRPr="00F671E2" w:rsidRDefault="00CC5498">
      <w:pPr>
        <w:ind w:left="360" w:hanging="360"/>
        <w:jc w:val="left"/>
        <w:rPr>
          <w:rFonts w:cs="Arial"/>
        </w:rPr>
      </w:pPr>
      <w:r w:rsidRPr="00F671E2">
        <w:rPr>
          <w:rFonts w:cs="Arial"/>
        </w:rPr>
        <w:t>Fulop, N.J. et al. (2023) ‘A rapid mixed-methods evaluation of remote home monitoring models during the COVID-19 pandemic in England’, Health and Social Care Delivery Research, 11(13). Available at: https://doi.org/10.3310/FVQW4410.</w:t>
      </w:r>
    </w:p>
    <w:p w14:paraId="12A22F6F" w14:textId="77777777" w:rsidR="00B73D0A" w:rsidRPr="00F671E2" w:rsidRDefault="00CC5498">
      <w:pPr>
        <w:ind w:left="360" w:hanging="360"/>
        <w:jc w:val="left"/>
        <w:rPr>
          <w:rFonts w:cs="Arial"/>
        </w:rPr>
      </w:pPr>
      <w:r w:rsidRPr="00F671E2">
        <w:rPr>
          <w:rFonts w:cs="Arial"/>
        </w:rPr>
        <w:t>Herlitz, L. et al. (2023) ‘Patient and staff experiences of using technology-enabled and analogue models of remote home monitoring for COVID-19 in England: a mixed-method evaluation’, International Journal of Medical Informatics, 179, 105230. Available at: https://doi.org/10.1016/j.ijmedinf.2023.105230.</w:t>
      </w:r>
    </w:p>
    <w:p w14:paraId="73026A72" w14:textId="77777777" w:rsidR="00B73D0A" w:rsidRPr="00F671E2" w:rsidRDefault="00CC5498">
      <w:pPr>
        <w:ind w:left="360" w:hanging="360"/>
        <w:jc w:val="left"/>
        <w:rPr>
          <w:rFonts w:cs="Arial"/>
        </w:rPr>
      </w:pPr>
      <w:r w:rsidRPr="00F671E2">
        <w:rPr>
          <w:rFonts w:cs="Arial"/>
        </w:rPr>
        <w:t>House of Commons Health and Social Care Committee (2023) Digital transformation in the NHS. Eighth report of session 2022–23, HC 223. Available at: https://publications.parliament.uk/pa/cm5803/cmselect/cmhealth/223/report.html (Accessed: 7 September 2026).</w:t>
      </w:r>
    </w:p>
    <w:p w14:paraId="3EBA8F4D" w14:textId="77777777" w:rsidR="00B73D0A" w:rsidRPr="00F671E2" w:rsidRDefault="00CC5498">
      <w:pPr>
        <w:ind w:left="360" w:hanging="360"/>
        <w:jc w:val="left"/>
        <w:rPr>
          <w:rFonts w:cs="Arial"/>
        </w:rPr>
      </w:pPr>
      <w:r w:rsidRPr="00F671E2">
        <w:rPr>
          <w:rFonts w:cs="Arial"/>
        </w:rPr>
        <w:t>Information Commissioner’s Office (ICO) (2024a) Special category data. Available at: https://ico.org.uk/for-organisations/uk-gdpr-guidance-and-resources/lawful-basis/a-guide-to-lawful-basis/special-category-data/ (Accessed: 7 September 2026).</w:t>
      </w:r>
    </w:p>
    <w:p w14:paraId="1618486E" w14:textId="77777777" w:rsidR="00B73D0A" w:rsidRPr="00F671E2" w:rsidRDefault="00CC5498">
      <w:pPr>
        <w:ind w:left="360" w:hanging="360"/>
        <w:jc w:val="left"/>
        <w:rPr>
          <w:rFonts w:cs="Arial"/>
        </w:rPr>
      </w:pPr>
      <w:r w:rsidRPr="00F671E2">
        <w:rPr>
          <w:rFonts w:cs="Arial"/>
        </w:rPr>
        <w:lastRenderedPageBreak/>
        <w:t>Information Commissioner’s Office (ICO) (2024b) What are the rules on special category data? Available at: https://ico.org.uk/for-organisations/uk-gdpr-guidance-and-resources/lawful-basis/special-category-data/what-are-the-rules-on-special-category-data/ (Accessed: 7 September 2026).</w:t>
      </w:r>
    </w:p>
    <w:p w14:paraId="3C9F5411" w14:textId="77777777" w:rsidR="00B73D0A" w:rsidRPr="00F671E2" w:rsidRDefault="00CC5498">
      <w:pPr>
        <w:ind w:left="360" w:hanging="360"/>
        <w:jc w:val="left"/>
        <w:rPr>
          <w:rFonts w:cs="Arial"/>
        </w:rPr>
      </w:pPr>
      <w:r w:rsidRPr="00F671E2">
        <w:rPr>
          <w:rFonts w:cs="Arial"/>
        </w:rPr>
        <w:t>Martin, D.S. et al. (2026) ‘The impact of skin tone on performance of pulse oximeters used by NHS England COVID Oximetry @home scheme: measurement and diagnostic accuracy study’, BMJ, 392, e085535. Available at: https://doi.org/10.1136/bmj-2025-085535.</w:t>
      </w:r>
    </w:p>
    <w:p w14:paraId="4768DB2E" w14:textId="77777777" w:rsidR="00B73D0A" w:rsidRPr="00F671E2" w:rsidRDefault="00CC5498">
      <w:pPr>
        <w:ind w:left="360" w:hanging="360"/>
        <w:jc w:val="left"/>
        <w:rPr>
          <w:rFonts w:cs="Arial"/>
        </w:rPr>
      </w:pPr>
      <w:r w:rsidRPr="00F671E2">
        <w:rPr>
          <w:rFonts w:cs="Arial"/>
        </w:rPr>
        <w:t>NHS England (2020) COVID-19 guidance note: COVID Oximetry @home. First published 13 November 2020; updated 25 July 2022. Available at: https://www.england.nhs.uk/coronavirus/publication/covid-19-guidance-note-covid-oximetry-at-home/ (Accessed: 7 September 2026).</w:t>
      </w:r>
    </w:p>
    <w:p w14:paraId="1CAD46BC" w14:textId="77777777" w:rsidR="00B73D0A" w:rsidRPr="00F671E2" w:rsidRDefault="00CC5498">
      <w:pPr>
        <w:ind w:left="360" w:hanging="360"/>
        <w:jc w:val="left"/>
        <w:rPr>
          <w:rFonts w:cs="Arial"/>
        </w:rPr>
      </w:pPr>
      <w:r w:rsidRPr="00F671E2">
        <w:rPr>
          <w:rFonts w:cs="Arial"/>
        </w:rPr>
        <w:t>NHS England (2021) What Good Looks Like framework. Available at: https://www.infectedbloodinquiry.org.uk/sites/default/files/6701-%206910%20copy/6701-%206910%20copy/WITN7668005%20-%20What%20Good%20Looks%20Like%20Framework%20-%2031%20Aug%202021.pdf (Accessed: 7 September 2026).</w:t>
      </w:r>
    </w:p>
    <w:p w14:paraId="3E7F57AA" w14:textId="77777777" w:rsidR="00B73D0A" w:rsidRPr="00F671E2" w:rsidRDefault="00CC5498">
      <w:pPr>
        <w:ind w:left="360" w:hanging="360"/>
        <w:jc w:val="left"/>
        <w:rPr>
          <w:rFonts w:cs="Arial"/>
        </w:rPr>
      </w:pPr>
      <w:r w:rsidRPr="00F671E2">
        <w:rPr>
          <w:rFonts w:cs="Arial"/>
        </w:rPr>
        <w:t>Sidhu, M. et al. (2023) ‘Staff experiences of training and delivery of remote home monitoring services for patients diagnosed with COVID-19 in England: a mixed-methods study’, Journal of Health Services Research &amp; Policy, 28(3), pp. 171–180. Available at: https://doi.org/10.1177/13558196231172586.</w:t>
      </w:r>
    </w:p>
    <w:p w14:paraId="3652E588" w14:textId="77777777" w:rsidR="00B73D0A" w:rsidRPr="00F671E2" w:rsidRDefault="00CC5498">
      <w:pPr>
        <w:ind w:left="360" w:hanging="360"/>
        <w:jc w:val="left"/>
        <w:rPr>
          <w:rFonts w:cs="Arial"/>
        </w:rPr>
      </w:pPr>
      <w:r w:rsidRPr="00F671E2">
        <w:rPr>
          <w:rFonts w:cs="Arial"/>
        </w:rPr>
        <w:t>Walton, H. et al. (2022) ‘Patients’ experiences of, and engagement with, remote home monitoring services for COVID-19 patients: a rapid mixed-methods study’, Health Expectations, 25(5), pp. 2386–2404. Available at: https://doi.org/10.1111/hex.13548.</w:t>
      </w:r>
    </w:p>
    <w:p w14:paraId="253C64E7" w14:textId="77777777" w:rsidR="00B73D0A" w:rsidRPr="00F671E2" w:rsidRDefault="00CC5498">
      <w:pPr>
        <w:ind w:left="360" w:hanging="360"/>
        <w:jc w:val="left"/>
        <w:rPr>
          <w:rFonts w:cs="Arial"/>
        </w:rPr>
      </w:pPr>
      <w:r w:rsidRPr="00F671E2">
        <w:rPr>
          <w:rFonts w:cs="Arial"/>
        </w:rPr>
        <w:t>Walton, H. et al. (2025) ‘Applying the major system change framework to evaluate implementation of rapid healthcare system change: a case study of COVID-19 remote home monitoring services’, Implementation Science Communications, 6, article 24. Available at: https://doi.org/10.1186/s43058-025-00707-y.</w:t>
      </w:r>
    </w:p>
    <w:sectPr w:rsidR="00B73D0A" w:rsidRPr="00F671E2" w:rsidSect="00034616">
      <w:headerReference w:type="default" r:id="rId8"/>
      <w:footerReference w:type="default" r:id="rId9"/>
      <w:pgSz w:w="11909" w:h="16834"/>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11902" w14:textId="77777777" w:rsidR="00FB183C" w:rsidRDefault="00FB183C">
      <w:pPr>
        <w:spacing w:after="0" w:line="240" w:lineRule="auto"/>
      </w:pPr>
      <w:r>
        <w:separator/>
      </w:r>
    </w:p>
  </w:endnote>
  <w:endnote w:type="continuationSeparator" w:id="0">
    <w:p w14:paraId="6A25F60F" w14:textId="77777777" w:rsidR="00FB183C" w:rsidRDefault="00FB1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2405998"/>
      <w:docPartObj>
        <w:docPartGallery w:val="Page Numbers (Bottom of Page)"/>
        <w:docPartUnique/>
      </w:docPartObj>
    </w:sdtPr>
    <w:sdtEndPr>
      <w:rPr>
        <w:noProof/>
      </w:rPr>
    </w:sdtEndPr>
    <w:sdtContent>
      <w:p w14:paraId="535B431A" w14:textId="419C4E22" w:rsidR="00D3503E" w:rsidRDefault="00D350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EB6B13" w14:textId="3F9F0A4F" w:rsidR="00B73D0A" w:rsidRDefault="00B73D0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6EC7F" w14:textId="77777777" w:rsidR="00FB183C" w:rsidRDefault="00FB183C">
      <w:pPr>
        <w:spacing w:after="0" w:line="240" w:lineRule="auto"/>
      </w:pPr>
      <w:r>
        <w:separator/>
      </w:r>
    </w:p>
  </w:footnote>
  <w:footnote w:type="continuationSeparator" w:id="0">
    <w:p w14:paraId="24CB5AFA" w14:textId="77777777" w:rsidR="00FB183C" w:rsidRDefault="00FB1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937A8" w14:textId="3DDF101C" w:rsidR="006E71F0" w:rsidRDefault="00300C5E">
    <w:pPr>
      <w:pStyle w:val="Header"/>
    </w:pPr>
    <w:r>
      <w:t>Zamzam Abdallah</w:t>
    </w:r>
  </w:p>
  <w:p w14:paraId="277F18DB" w14:textId="0A57FBF0" w:rsidR="00300C5E" w:rsidRDefault="00300C5E">
    <w:pPr>
      <w:pStyle w:val="Header"/>
    </w:pPr>
    <w:r>
      <w:t>2408</w:t>
    </w:r>
    <w:r w:rsidR="00D3503E">
      <w:t>4</w:t>
    </w:r>
    <w:r>
      <w:t>11</w:t>
    </w:r>
  </w:p>
  <w:p w14:paraId="20ABC58C" w14:textId="77777777" w:rsidR="006E71F0" w:rsidRDefault="006E71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212157">
    <w:abstractNumId w:val="8"/>
  </w:num>
  <w:num w:numId="2" w16cid:durableId="1157041362">
    <w:abstractNumId w:val="6"/>
  </w:num>
  <w:num w:numId="3" w16cid:durableId="1719669106">
    <w:abstractNumId w:val="5"/>
  </w:num>
  <w:num w:numId="4" w16cid:durableId="2022312298">
    <w:abstractNumId w:val="4"/>
  </w:num>
  <w:num w:numId="5" w16cid:durableId="2104260943">
    <w:abstractNumId w:val="7"/>
  </w:num>
  <w:num w:numId="6" w16cid:durableId="1574045263">
    <w:abstractNumId w:val="3"/>
  </w:num>
  <w:num w:numId="7" w16cid:durableId="1622493570">
    <w:abstractNumId w:val="2"/>
  </w:num>
  <w:num w:numId="8" w16cid:durableId="360321201">
    <w:abstractNumId w:val="1"/>
  </w:num>
  <w:num w:numId="9" w16cid:durableId="1275331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2F62"/>
    <w:rsid w:val="0006063C"/>
    <w:rsid w:val="001140B6"/>
    <w:rsid w:val="0015074B"/>
    <w:rsid w:val="001E248D"/>
    <w:rsid w:val="001F5BC5"/>
    <w:rsid w:val="001F6050"/>
    <w:rsid w:val="00234B85"/>
    <w:rsid w:val="0029639D"/>
    <w:rsid w:val="00300C5E"/>
    <w:rsid w:val="00326F90"/>
    <w:rsid w:val="00350B51"/>
    <w:rsid w:val="003B4146"/>
    <w:rsid w:val="00411EBE"/>
    <w:rsid w:val="00427A22"/>
    <w:rsid w:val="0044026B"/>
    <w:rsid w:val="00496389"/>
    <w:rsid w:val="004A5944"/>
    <w:rsid w:val="00506E6E"/>
    <w:rsid w:val="0055668F"/>
    <w:rsid w:val="00596440"/>
    <w:rsid w:val="0063790E"/>
    <w:rsid w:val="006E131B"/>
    <w:rsid w:val="006E71F0"/>
    <w:rsid w:val="0070125B"/>
    <w:rsid w:val="00710FB5"/>
    <w:rsid w:val="00730953"/>
    <w:rsid w:val="0081327F"/>
    <w:rsid w:val="0082049E"/>
    <w:rsid w:val="00871D81"/>
    <w:rsid w:val="009927B7"/>
    <w:rsid w:val="00A170F1"/>
    <w:rsid w:val="00A46426"/>
    <w:rsid w:val="00A54DC3"/>
    <w:rsid w:val="00A750DF"/>
    <w:rsid w:val="00AA1D8D"/>
    <w:rsid w:val="00AF11AE"/>
    <w:rsid w:val="00B47730"/>
    <w:rsid w:val="00B73D0A"/>
    <w:rsid w:val="00C47F36"/>
    <w:rsid w:val="00CB0664"/>
    <w:rsid w:val="00CC5498"/>
    <w:rsid w:val="00D3503E"/>
    <w:rsid w:val="00D43BC7"/>
    <w:rsid w:val="00DA569A"/>
    <w:rsid w:val="00E37FC0"/>
    <w:rsid w:val="00E43C2F"/>
    <w:rsid w:val="00F671E2"/>
    <w:rsid w:val="00FA66B6"/>
    <w:rsid w:val="00FB183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348FA1"/>
  <w14:defaultImageDpi w14:val="300"/>
  <w15:docId w15:val="{0942D993-7CEA-AC47-AB82-8BF762C40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240"/>
      <w:jc w:val="left"/>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FC693F"/>
    <w:pPr>
      <w:keepNext/>
      <w:keepLines/>
      <w:spacing w:before="240"/>
      <w:jc w:val="left"/>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contextualSpacing/>
    </w:pPr>
    <w:rPr>
      <w:rFonts w:asciiTheme="majorHAnsi" w:eastAsiaTheme="majorEastAsia" w:hAnsiTheme="majorHAnsi" w:cstheme="majorBidi"/>
      <w:spacing w:val="5"/>
      <w:kern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8</Pages>
  <Words>2729</Words>
  <Characters>15557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18250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Zamzam Wafiq Abdel Latif Abdallah (2408411)</cp:lastModifiedBy>
  <cp:revision>33</cp:revision>
  <dcterms:created xsi:type="dcterms:W3CDTF">2026-09-07T15:34:00Z</dcterms:created>
  <dcterms:modified xsi:type="dcterms:W3CDTF">2026-10-11T14:07:00Z</dcterms:modified>
  <cp:category/>
</cp:coreProperties>
</file>