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8A415E"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FFD9419" wp14:editId="6E27657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0403CBE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0B8AC40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FFD9419"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0403CBED"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0B8AC403"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86C4CBC" wp14:editId="6DC8C5A6">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1FA8903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0B0A0D0"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6C4CBC"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1FA8903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0B0A0D0"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DFAB2E8"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4A536D29" wp14:editId="7D8FA179">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6FE87D27" w14:textId="77777777" w:rsidR="00530E16" w:rsidRDefault="004468F8">
                            <w:pPr>
                              <w:spacing w:after="0" w:line="240" w:lineRule="auto"/>
                              <w:textDirection w:val="btLr"/>
                            </w:pPr>
                            <w:r>
                              <w:rPr>
                                <w:rFonts w:ascii="Play" w:eastAsia="Play" w:hAnsi="Play" w:cs="Play"/>
                                <w:color w:val="262626"/>
                                <w:sz w:val="72"/>
                              </w:rPr>
                              <w:t>Individual Report</w:t>
                            </w:r>
                          </w:p>
                          <w:p w14:paraId="45163827" w14:textId="77777777" w:rsidR="00530E16" w:rsidRDefault="004468F8">
                            <w:pPr>
                              <w:spacing w:before="120" w:line="277" w:lineRule="auto"/>
                              <w:textDirection w:val="btLr"/>
                            </w:pPr>
                            <w:r>
                              <w:rPr>
                                <w:color w:val="404040"/>
                                <w:sz w:val="36"/>
                              </w:rPr>
                              <w:t>Module Name: Digital Skills and Research Methods</w:t>
                            </w:r>
                          </w:p>
                          <w:p w14:paraId="00751B18" w14:textId="77777777" w:rsidR="00530E16" w:rsidRDefault="004468F8">
                            <w:pPr>
                              <w:spacing w:before="120" w:line="277" w:lineRule="auto"/>
                              <w:textDirection w:val="btLr"/>
                            </w:pPr>
                            <w:r>
                              <w:rPr>
                                <w:color w:val="404040"/>
                                <w:sz w:val="36"/>
                              </w:rPr>
                              <w:t>Module Code: LCHS 4007</w:t>
                            </w:r>
                          </w:p>
                          <w:p w14:paraId="279D22EA" w14:textId="1CED5C38" w:rsidR="00530E16" w:rsidRDefault="004468F8">
                            <w:pPr>
                              <w:spacing w:before="120" w:line="277" w:lineRule="auto"/>
                              <w:textDirection w:val="btLr"/>
                            </w:pPr>
                            <w:r>
                              <w:rPr>
                                <w:color w:val="404040"/>
                                <w:sz w:val="36"/>
                              </w:rPr>
                              <w:t xml:space="preserve">Student name: </w:t>
                            </w:r>
                            <w:r w:rsidR="00D156D6">
                              <w:rPr>
                                <w:color w:val="404040"/>
                                <w:sz w:val="36"/>
                              </w:rPr>
                              <w:t>Prince Peter Ojeabulu Okhueidiata</w:t>
                            </w:r>
                          </w:p>
                          <w:p w14:paraId="52513184" w14:textId="2E0294BB" w:rsidR="00530E16" w:rsidRDefault="004468F8">
                            <w:pPr>
                              <w:spacing w:before="120" w:line="277" w:lineRule="auto"/>
                              <w:textDirection w:val="btLr"/>
                            </w:pPr>
                            <w:r>
                              <w:rPr>
                                <w:color w:val="404040"/>
                                <w:sz w:val="36"/>
                              </w:rPr>
                              <w:t>Student ID:</w:t>
                            </w:r>
                            <w:r w:rsidR="00D156D6">
                              <w:rPr>
                                <w:color w:val="404040"/>
                                <w:sz w:val="36"/>
                              </w:rPr>
                              <w:t>2509560</w:t>
                            </w:r>
                          </w:p>
                          <w:p w14:paraId="0FE57760" w14:textId="7C74B751" w:rsidR="00530E16" w:rsidRDefault="004468F8">
                            <w:pPr>
                              <w:spacing w:before="120" w:line="277" w:lineRule="auto"/>
                              <w:textDirection w:val="btLr"/>
                            </w:pPr>
                            <w:r>
                              <w:rPr>
                                <w:color w:val="404040"/>
                                <w:sz w:val="36"/>
                              </w:rPr>
                              <w:t xml:space="preserve">Lecturer’s Name: </w:t>
                            </w:r>
                            <w:r w:rsidR="00D156D6">
                              <w:rPr>
                                <w:color w:val="404040"/>
                                <w:sz w:val="36"/>
                              </w:rPr>
                              <w:t>Dr Kwame Assa-Agyei</w:t>
                            </w:r>
                          </w:p>
                        </w:txbxContent>
                      </wps:txbx>
                      <wps:bodyPr spcFirstLastPara="1" wrap="square" lIns="0" tIns="0" rIns="0" bIns="0" anchor="t" anchorCtr="0">
                        <a:noAutofit/>
                      </wps:bodyPr>
                    </wps:wsp>
                  </a:graphicData>
                </a:graphic>
              </wp:anchor>
            </w:drawing>
          </mc:Choice>
          <mc:Fallback>
            <w:pict>
              <v:rect w14:anchorId="4A536D29"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6FE87D27" w14:textId="77777777" w:rsidR="00530E16" w:rsidRDefault="004468F8">
                      <w:pPr>
                        <w:spacing w:after="0" w:line="240" w:lineRule="auto"/>
                        <w:textDirection w:val="btLr"/>
                      </w:pPr>
                      <w:r>
                        <w:rPr>
                          <w:rFonts w:ascii="Play" w:eastAsia="Play" w:hAnsi="Play" w:cs="Play"/>
                          <w:color w:val="262626"/>
                          <w:sz w:val="72"/>
                        </w:rPr>
                        <w:t>Individual Report</w:t>
                      </w:r>
                    </w:p>
                    <w:p w14:paraId="45163827" w14:textId="77777777" w:rsidR="00530E16" w:rsidRDefault="004468F8">
                      <w:pPr>
                        <w:spacing w:before="120" w:line="277" w:lineRule="auto"/>
                        <w:textDirection w:val="btLr"/>
                      </w:pPr>
                      <w:r>
                        <w:rPr>
                          <w:color w:val="404040"/>
                          <w:sz w:val="36"/>
                        </w:rPr>
                        <w:t>Module Name: Digital Skills and Research Methods</w:t>
                      </w:r>
                    </w:p>
                    <w:p w14:paraId="00751B18" w14:textId="77777777" w:rsidR="00530E16" w:rsidRDefault="004468F8">
                      <w:pPr>
                        <w:spacing w:before="120" w:line="277" w:lineRule="auto"/>
                        <w:textDirection w:val="btLr"/>
                      </w:pPr>
                      <w:r>
                        <w:rPr>
                          <w:color w:val="404040"/>
                          <w:sz w:val="36"/>
                        </w:rPr>
                        <w:t>Module Code: LCHS 4007</w:t>
                      </w:r>
                    </w:p>
                    <w:p w14:paraId="279D22EA" w14:textId="1CED5C38" w:rsidR="00530E16" w:rsidRDefault="004468F8">
                      <w:pPr>
                        <w:spacing w:before="120" w:line="277" w:lineRule="auto"/>
                        <w:textDirection w:val="btLr"/>
                      </w:pPr>
                      <w:r>
                        <w:rPr>
                          <w:color w:val="404040"/>
                          <w:sz w:val="36"/>
                        </w:rPr>
                        <w:t xml:space="preserve">Student name: </w:t>
                      </w:r>
                      <w:r w:rsidR="00D156D6">
                        <w:rPr>
                          <w:color w:val="404040"/>
                          <w:sz w:val="36"/>
                        </w:rPr>
                        <w:t>Prince Peter Ojeabulu Okhueidiata</w:t>
                      </w:r>
                    </w:p>
                    <w:p w14:paraId="52513184" w14:textId="2E0294BB" w:rsidR="00530E16" w:rsidRDefault="004468F8">
                      <w:pPr>
                        <w:spacing w:before="120" w:line="277" w:lineRule="auto"/>
                        <w:textDirection w:val="btLr"/>
                      </w:pPr>
                      <w:r>
                        <w:rPr>
                          <w:color w:val="404040"/>
                          <w:sz w:val="36"/>
                        </w:rPr>
                        <w:t>Student ID:</w:t>
                      </w:r>
                      <w:r w:rsidR="00D156D6">
                        <w:rPr>
                          <w:color w:val="404040"/>
                          <w:sz w:val="36"/>
                        </w:rPr>
                        <w:t>2509560</w:t>
                      </w:r>
                    </w:p>
                    <w:p w14:paraId="0FE57760" w14:textId="7C74B751" w:rsidR="00530E16" w:rsidRDefault="004468F8">
                      <w:pPr>
                        <w:spacing w:before="120" w:line="277" w:lineRule="auto"/>
                        <w:textDirection w:val="btLr"/>
                      </w:pPr>
                      <w:r>
                        <w:rPr>
                          <w:color w:val="404040"/>
                          <w:sz w:val="36"/>
                        </w:rPr>
                        <w:t xml:space="preserve">Lecturer’s Name: </w:t>
                      </w:r>
                      <w:r w:rsidR="00D156D6">
                        <w:rPr>
                          <w:color w:val="404040"/>
                          <w:sz w:val="36"/>
                        </w:rPr>
                        <w:t>Dr Kwame Assa-Agyei</w:t>
                      </w:r>
                    </w:p>
                  </w:txbxContent>
                </v:textbox>
                <w10:wrap anchorx="page" anchory="page"/>
              </v:rect>
            </w:pict>
          </mc:Fallback>
        </mc:AlternateContent>
      </w:r>
      <w:r>
        <w:br w:type="page"/>
      </w:r>
    </w:p>
    <w:sdt>
      <w:sdtPr>
        <w:rPr>
          <w:rFonts w:ascii="Aptos" w:eastAsia="Aptos" w:hAnsi="Aptos" w:cs="Aptos"/>
          <w:color w:val="auto"/>
          <w:sz w:val="24"/>
          <w:szCs w:val="24"/>
        </w:rPr>
        <w:id w:val="-708190328"/>
        <w:docPartObj>
          <w:docPartGallery w:val="Table of Contents"/>
          <w:docPartUnique/>
        </w:docPartObj>
      </w:sdtPr>
      <w:sdtEndPr>
        <w:rPr>
          <w:b/>
          <w:bCs/>
        </w:rPr>
      </w:sdtEndPr>
      <w:sdtContent>
        <w:p w14:paraId="1B6B73C3" w14:textId="6C17DF79" w:rsidR="00257AD2" w:rsidRDefault="00257AD2">
          <w:pPr>
            <w:pStyle w:val="TOCHeading"/>
          </w:pPr>
          <w:r>
            <w:t>Contents</w:t>
          </w:r>
        </w:p>
        <w:p w14:paraId="6C996703" w14:textId="2E27A725" w:rsidR="00326364" w:rsidRDefault="00257AD2">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15821563" w:history="1">
            <w:r w:rsidR="00326364" w:rsidRPr="00DB170D">
              <w:rPr>
                <w:rStyle w:val="Hyperlink"/>
                <w:noProof/>
              </w:rPr>
              <w:t>Research Topic: DIAGNOSIS AND TREATMENT 0F EARLY TYPE 2 DIABETES IN ADULTS IN THE UK</w:t>
            </w:r>
            <w:r w:rsidR="00326364">
              <w:rPr>
                <w:noProof/>
                <w:webHidden/>
              </w:rPr>
              <w:tab/>
            </w:r>
            <w:r w:rsidR="00326364">
              <w:rPr>
                <w:noProof/>
                <w:webHidden/>
              </w:rPr>
              <w:fldChar w:fldCharType="begin"/>
            </w:r>
            <w:r w:rsidR="00326364">
              <w:rPr>
                <w:noProof/>
                <w:webHidden/>
              </w:rPr>
              <w:instrText xml:space="preserve"> PAGEREF _Toc215821563 \h </w:instrText>
            </w:r>
            <w:r w:rsidR="00326364">
              <w:rPr>
                <w:noProof/>
                <w:webHidden/>
              </w:rPr>
            </w:r>
            <w:r w:rsidR="00326364">
              <w:rPr>
                <w:noProof/>
                <w:webHidden/>
              </w:rPr>
              <w:fldChar w:fldCharType="separate"/>
            </w:r>
            <w:r w:rsidR="00326364">
              <w:rPr>
                <w:noProof/>
                <w:webHidden/>
              </w:rPr>
              <w:t>2</w:t>
            </w:r>
            <w:r w:rsidR="00326364">
              <w:rPr>
                <w:noProof/>
                <w:webHidden/>
              </w:rPr>
              <w:fldChar w:fldCharType="end"/>
            </w:r>
          </w:hyperlink>
        </w:p>
        <w:p w14:paraId="5411DF7D" w14:textId="45CD2760" w:rsidR="00326364" w:rsidRDefault="00326364">
          <w:pPr>
            <w:pStyle w:val="TOC1"/>
            <w:tabs>
              <w:tab w:val="right" w:leader="dot" w:pos="9016"/>
            </w:tabs>
            <w:rPr>
              <w:rFonts w:asciiTheme="minorHAnsi" w:eastAsiaTheme="minorEastAsia" w:hAnsiTheme="minorHAnsi" w:cstheme="minorBidi"/>
              <w:noProof/>
              <w:kern w:val="2"/>
              <w14:ligatures w14:val="standardContextual"/>
            </w:rPr>
          </w:pPr>
          <w:hyperlink w:anchor="_Toc215821564" w:history="1">
            <w:r w:rsidRPr="00DB170D">
              <w:rPr>
                <w:rStyle w:val="Hyperlink"/>
                <w:noProof/>
              </w:rPr>
              <w:t>Introduction</w:t>
            </w:r>
            <w:r>
              <w:rPr>
                <w:noProof/>
                <w:webHidden/>
              </w:rPr>
              <w:tab/>
            </w:r>
            <w:r>
              <w:rPr>
                <w:noProof/>
                <w:webHidden/>
              </w:rPr>
              <w:fldChar w:fldCharType="begin"/>
            </w:r>
            <w:r>
              <w:rPr>
                <w:noProof/>
                <w:webHidden/>
              </w:rPr>
              <w:instrText xml:space="preserve"> PAGEREF _Toc215821564 \h </w:instrText>
            </w:r>
            <w:r>
              <w:rPr>
                <w:noProof/>
                <w:webHidden/>
              </w:rPr>
            </w:r>
            <w:r>
              <w:rPr>
                <w:noProof/>
                <w:webHidden/>
              </w:rPr>
              <w:fldChar w:fldCharType="separate"/>
            </w:r>
            <w:r>
              <w:rPr>
                <w:noProof/>
                <w:webHidden/>
              </w:rPr>
              <w:t>2</w:t>
            </w:r>
            <w:r>
              <w:rPr>
                <w:noProof/>
                <w:webHidden/>
              </w:rPr>
              <w:fldChar w:fldCharType="end"/>
            </w:r>
          </w:hyperlink>
        </w:p>
        <w:p w14:paraId="4CB7B2EC" w14:textId="5B1311D1" w:rsidR="00326364" w:rsidRDefault="00326364">
          <w:pPr>
            <w:pStyle w:val="TOC2"/>
            <w:tabs>
              <w:tab w:val="right" w:leader="dot" w:pos="9016"/>
            </w:tabs>
            <w:rPr>
              <w:rFonts w:asciiTheme="minorHAnsi" w:eastAsiaTheme="minorEastAsia" w:hAnsiTheme="minorHAnsi" w:cstheme="minorBidi"/>
              <w:noProof/>
              <w:kern w:val="2"/>
              <w14:ligatures w14:val="standardContextual"/>
            </w:rPr>
          </w:pPr>
          <w:hyperlink w:anchor="_Toc215821565" w:history="1">
            <w:r w:rsidRPr="00DB170D">
              <w:rPr>
                <w:rStyle w:val="Hyperlink"/>
                <w:noProof/>
              </w:rPr>
              <w:t>Problem Statement</w:t>
            </w:r>
            <w:r>
              <w:rPr>
                <w:noProof/>
                <w:webHidden/>
              </w:rPr>
              <w:tab/>
            </w:r>
            <w:r>
              <w:rPr>
                <w:noProof/>
                <w:webHidden/>
              </w:rPr>
              <w:fldChar w:fldCharType="begin"/>
            </w:r>
            <w:r>
              <w:rPr>
                <w:noProof/>
                <w:webHidden/>
              </w:rPr>
              <w:instrText xml:space="preserve"> PAGEREF _Toc215821565 \h </w:instrText>
            </w:r>
            <w:r>
              <w:rPr>
                <w:noProof/>
                <w:webHidden/>
              </w:rPr>
            </w:r>
            <w:r>
              <w:rPr>
                <w:noProof/>
                <w:webHidden/>
              </w:rPr>
              <w:fldChar w:fldCharType="separate"/>
            </w:r>
            <w:r>
              <w:rPr>
                <w:noProof/>
                <w:webHidden/>
              </w:rPr>
              <w:t>2</w:t>
            </w:r>
            <w:r>
              <w:rPr>
                <w:noProof/>
                <w:webHidden/>
              </w:rPr>
              <w:fldChar w:fldCharType="end"/>
            </w:r>
          </w:hyperlink>
        </w:p>
        <w:p w14:paraId="3E57F2E2" w14:textId="4E2E3C97" w:rsidR="00326364" w:rsidRDefault="00326364">
          <w:pPr>
            <w:pStyle w:val="TOC2"/>
            <w:tabs>
              <w:tab w:val="right" w:leader="dot" w:pos="9016"/>
            </w:tabs>
            <w:rPr>
              <w:rFonts w:asciiTheme="minorHAnsi" w:eastAsiaTheme="minorEastAsia" w:hAnsiTheme="minorHAnsi" w:cstheme="minorBidi"/>
              <w:noProof/>
              <w:kern w:val="2"/>
              <w14:ligatures w14:val="standardContextual"/>
            </w:rPr>
          </w:pPr>
          <w:hyperlink w:anchor="_Toc215821566" w:history="1">
            <w:r w:rsidRPr="00DB170D">
              <w:rPr>
                <w:rStyle w:val="Hyperlink"/>
                <w:noProof/>
              </w:rPr>
              <w:t>Justification</w:t>
            </w:r>
            <w:r>
              <w:rPr>
                <w:noProof/>
                <w:webHidden/>
              </w:rPr>
              <w:tab/>
            </w:r>
            <w:r>
              <w:rPr>
                <w:noProof/>
                <w:webHidden/>
              </w:rPr>
              <w:fldChar w:fldCharType="begin"/>
            </w:r>
            <w:r>
              <w:rPr>
                <w:noProof/>
                <w:webHidden/>
              </w:rPr>
              <w:instrText xml:space="preserve"> PAGEREF _Toc215821566 \h </w:instrText>
            </w:r>
            <w:r>
              <w:rPr>
                <w:noProof/>
                <w:webHidden/>
              </w:rPr>
            </w:r>
            <w:r>
              <w:rPr>
                <w:noProof/>
                <w:webHidden/>
              </w:rPr>
              <w:fldChar w:fldCharType="separate"/>
            </w:r>
            <w:r>
              <w:rPr>
                <w:noProof/>
                <w:webHidden/>
              </w:rPr>
              <w:t>2</w:t>
            </w:r>
            <w:r>
              <w:rPr>
                <w:noProof/>
                <w:webHidden/>
              </w:rPr>
              <w:fldChar w:fldCharType="end"/>
            </w:r>
          </w:hyperlink>
        </w:p>
        <w:p w14:paraId="4F0D9833" w14:textId="0280DAB2" w:rsidR="00326364" w:rsidRDefault="00326364">
          <w:pPr>
            <w:pStyle w:val="TOC2"/>
            <w:tabs>
              <w:tab w:val="right" w:leader="dot" w:pos="9016"/>
            </w:tabs>
            <w:rPr>
              <w:rFonts w:asciiTheme="minorHAnsi" w:eastAsiaTheme="minorEastAsia" w:hAnsiTheme="minorHAnsi" w:cstheme="minorBidi"/>
              <w:noProof/>
              <w:kern w:val="2"/>
              <w14:ligatures w14:val="standardContextual"/>
            </w:rPr>
          </w:pPr>
          <w:hyperlink w:anchor="_Toc215821567" w:history="1">
            <w:r w:rsidRPr="00DB170D">
              <w:rPr>
                <w:rStyle w:val="Hyperlink"/>
                <w:noProof/>
              </w:rPr>
              <w:t>Information Sources and Justification</w:t>
            </w:r>
            <w:r>
              <w:rPr>
                <w:noProof/>
                <w:webHidden/>
              </w:rPr>
              <w:tab/>
            </w:r>
            <w:r>
              <w:rPr>
                <w:noProof/>
                <w:webHidden/>
              </w:rPr>
              <w:fldChar w:fldCharType="begin"/>
            </w:r>
            <w:r>
              <w:rPr>
                <w:noProof/>
                <w:webHidden/>
              </w:rPr>
              <w:instrText xml:space="preserve"> PAGEREF _Toc215821567 \h </w:instrText>
            </w:r>
            <w:r>
              <w:rPr>
                <w:noProof/>
                <w:webHidden/>
              </w:rPr>
            </w:r>
            <w:r>
              <w:rPr>
                <w:noProof/>
                <w:webHidden/>
              </w:rPr>
              <w:fldChar w:fldCharType="separate"/>
            </w:r>
            <w:r>
              <w:rPr>
                <w:noProof/>
                <w:webHidden/>
              </w:rPr>
              <w:t>3</w:t>
            </w:r>
            <w:r>
              <w:rPr>
                <w:noProof/>
                <w:webHidden/>
              </w:rPr>
              <w:fldChar w:fldCharType="end"/>
            </w:r>
          </w:hyperlink>
        </w:p>
        <w:p w14:paraId="5794BD09" w14:textId="0E3BE693" w:rsidR="00326364" w:rsidRDefault="00326364">
          <w:pPr>
            <w:pStyle w:val="TOC1"/>
            <w:tabs>
              <w:tab w:val="right" w:leader="dot" w:pos="9016"/>
            </w:tabs>
            <w:rPr>
              <w:rFonts w:asciiTheme="minorHAnsi" w:eastAsiaTheme="minorEastAsia" w:hAnsiTheme="minorHAnsi" w:cstheme="minorBidi"/>
              <w:noProof/>
              <w:kern w:val="2"/>
              <w14:ligatures w14:val="standardContextual"/>
            </w:rPr>
          </w:pPr>
          <w:hyperlink w:anchor="_Toc215821568" w:history="1">
            <w:r w:rsidRPr="00DB170D">
              <w:rPr>
                <w:rStyle w:val="Hyperlink"/>
                <w:noProof/>
              </w:rPr>
              <w:t xml:space="preserve">Task 2: </w:t>
            </w:r>
            <w:r w:rsidRPr="00DB170D">
              <w:rPr>
                <w:rStyle w:val="Hyperlink"/>
                <w:rFonts w:cs="Arial"/>
                <w:bCs/>
                <w:noProof/>
                <w:lang w:eastAsia="en-US"/>
              </w:rPr>
              <w:t>Research Methodologies</w:t>
            </w:r>
            <w:r>
              <w:rPr>
                <w:noProof/>
                <w:webHidden/>
              </w:rPr>
              <w:tab/>
            </w:r>
            <w:r>
              <w:rPr>
                <w:noProof/>
                <w:webHidden/>
              </w:rPr>
              <w:fldChar w:fldCharType="begin"/>
            </w:r>
            <w:r>
              <w:rPr>
                <w:noProof/>
                <w:webHidden/>
              </w:rPr>
              <w:instrText xml:space="preserve"> PAGEREF _Toc215821568 \h </w:instrText>
            </w:r>
            <w:r>
              <w:rPr>
                <w:noProof/>
                <w:webHidden/>
              </w:rPr>
            </w:r>
            <w:r>
              <w:rPr>
                <w:noProof/>
                <w:webHidden/>
              </w:rPr>
              <w:fldChar w:fldCharType="separate"/>
            </w:r>
            <w:r>
              <w:rPr>
                <w:noProof/>
                <w:webHidden/>
              </w:rPr>
              <w:t>3</w:t>
            </w:r>
            <w:r>
              <w:rPr>
                <w:noProof/>
                <w:webHidden/>
              </w:rPr>
              <w:fldChar w:fldCharType="end"/>
            </w:r>
          </w:hyperlink>
        </w:p>
        <w:p w14:paraId="0024DA51" w14:textId="20AA957A" w:rsidR="00326364" w:rsidRDefault="00326364">
          <w:pPr>
            <w:pStyle w:val="TOC2"/>
            <w:tabs>
              <w:tab w:val="right" w:leader="dot" w:pos="9016"/>
            </w:tabs>
            <w:rPr>
              <w:rFonts w:asciiTheme="minorHAnsi" w:eastAsiaTheme="minorEastAsia" w:hAnsiTheme="minorHAnsi" w:cstheme="minorBidi"/>
              <w:noProof/>
              <w:kern w:val="2"/>
              <w14:ligatures w14:val="standardContextual"/>
            </w:rPr>
          </w:pPr>
          <w:hyperlink w:anchor="_Toc215821569" w:history="1">
            <w:r w:rsidRPr="00DB170D">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_Toc215821569 \h </w:instrText>
            </w:r>
            <w:r>
              <w:rPr>
                <w:noProof/>
                <w:webHidden/>
              </w:rPr>
            </w:r>
            <w:r>
              <w:rPr>
                <w:noProof/>
                <w:webHidden/>
              </w:rPr>
              <w:fldChar w:fldCharType="separate"/>
            </w:r>
            <w:r>
              <w:rPr>
                <w:noProof/>
                <w:webHidden/>
              </w:rPr>
              <w:t>4</w:t>
            </w:r>
            <w:r>
              <w:rPr>
                <w:noProof/>
                <w:webHidden/>
              </w:rPr>
              <w:fldChar w:fldCharType="end"/>
            </w:r>
          </w:hyperlink>
        </w:p>
        <w:p w14:paraId="20D7F2F3" w14:textId="54221BCB" w:rsidR="00326364" w:rsidRDefault="00326364">
          <w:pPr>
            <w:pStyle w:val="TOC1"/>
            <w:tabs>
              <w:tab w:val="right" w:leader="dot" w:pos="9016"/>
            </w:tabs>
            <w:rPr>
              <w:rFonts w:asciiTheme="minorHAnsi" w:eastAsiaTheme="minorEastAsia" w:hAnsiTheme="minorHAnsi" w:cstheme="minorBidi"/>
              <w:noProof/>
              <w:kern w:val="2"/>
              <w14:ligatures w14:val="standardContextual"/>
            </w:rPr>
          </w:pPr>
          <w:hyperlink w:anchor="_Toc215821570" w:history="1">
            <w:r w:rsidRPr="00DB170D">
              <w:rPr>
                <w:rStyle w:val="Hyperlink"/>
                <w:noProof/>
              </w:rPr>
              <w:t>Task 3: Data Collection</w:t>
            </w:r>
            <w:r>
              <w:rPr>
                <w:noProof/>
                <w:webHidden/>
              </w:rPr>
              <w:tab/>
            </w:r>
            <w:r>
              <w:rPr>
                <w:noProof/>
                <w:webHidden/>
              </w:rPr>
              <w:fldChar w:fldCharType="begin"/>
            </w:r>
            <w:r>
              <w:rPr>
                <w:noProof/>
                <w:webHidden/>
              </w:rPr>
              <w:instrText xml:space="preserve"> PAGEREF _Toc215821570 \h </w:instrText>
            </w:r>
            <w:r>
              <w:rPr>
                <w:noProof/>
                <w:webHidden/>
              </w:rPr>
            </w:r>
            <w:r>
              <w:rPr>
                <w:noProof/>
                <w:webHidden/>
              </w:rPr>
              <w:fldChar w:fldCharType="separate"/>
            </w:r>
            <w:r>
              <w:rPr>
                <w:noProof/>
                <w:webHidden/>
              </w:rPr>
              <w:t>5</w:t>
            </w:r>
            <w:r>
              <w:rPr>
                <w:noProof/>
                <w:webHidden/>
              </w:rPr>
              <w:fldChar w:fldCharType="end"/>
            </w:r>
          </w:hyperlink>
        </w:p>
        <w:p w14:paraId="17901D7D" w14:textId="46B01D19" w:rsidR="00326364" w:rsidRDefault="00326364">
          <w:pPr>
            <w:pStyle w:val="TOC2"/>
            <w:tabs>
              <w:tab w:val="right" w:leader="dot" w:pos="9016"/>
            </w:tabs>
            <w:rPr>
              <w:rFonts w:asciiTheme="minorHAnsi" w:eastAsiaTheme="minorEastAsia" w:hAnsiTheme="minorHAnsi" w:cstheme="minorBidi"/>
              <w:noProof/>
              <w:kern w:val="2"/>
              <w14:ligatures w14:val="standardContextual"/>
            </w:rPr>
          </w:pPr>
          <w:hyperlink w:anchor="_Toc215821571" w:history="1">
            <w:r w:rsidRPr="00DB170D">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_Toc215821571 \h </w:instrText>
            </w:r>
            <w:r>
              <w:rPr>
                <w:noProof/>
                <w:webHidden/>
              </w:rPr>
            </w:r>
            <w:r>
              <w:rPr>
                <w:noProof/>
                <w:webHidden/>
              </w:rPr>
              <w:fldChar w:fldCharType="separate"/>
            </w:r>
            <w:r>
              <w:rPr>
                <w:noProof/>
                <w:webHidden/>
              </w:rPr>
              <w:t>5</w:t>
            </w:r>
            <w:r>
              <w:rPr>
                <w:noProof/>
                <w:webHidden/>
              </w:rPr>
              <w:fldChar w:fldCharType="end"/>
            </w:r>
          </w:hyperlink>
        </w:p>
        <w:p w14:paraId="0EC7F1AC" w14:textId="0DEA7E42" w:rsidR="00326364" w:rsidRDefault="00326364">
          <w:pPr>
            <w:pStyle w:val="TOC2"/>
            <w:tabs>
              <w:tab w:val="right" w:leader="dot" w:pos="9016"/>
            </w:tabs>
            <w:rPr>
              <w:rFonts w:asciiTheme="minorHAnsi" w:eastAsiaTheme="minorEastAsia" w:hAnsiTheme="minorHAnsi" w:cstheme="minorBidi"/>
              <w:noProof/>
              <w:kern w:val="2"/>
              <w14:ligatures w14:val="standardContextual"/>
            </w:rPr>
          </w:pPr>
          <w:hyperlink w:anchor="_Toc215821572" w:history="1">
            <w:r w:rsidRPr="00DB170D">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_Toc215821572 \h </w:instrText>
            </w:r>
            <w:r>
              <w:rPr>
                <w:noProof/>
                <w:webHidden/>
              </w:rPr>
            </w:r>
            <w:r>
              <w:rPr>
                <w:noProof/>
                <w:webHidden/>
              </w:rPr>
              <w:fldChar w:fldCharType="separate"/>
            </w:r>
            <w:r>
              <w:rPr>
                <w:noProof/>
                <w:webHidden/>
              </w:rPr>
              <w:t>6</w:t>
            </w:r>
            <w:r>
              <w:rPr>
                <w:noProof/>
                <w:webHidden/>
              </w:rPr>
              <w:fldChar w:fldCharType="end"/>
            </w:r>
          </w:hyperlink>
        </w:p>
        <w:p w14:paraId="278EFBDF" w14:textId="59CC093A" w:rsidR="00326364" w:rsidRDefault="00326364">
          <w:pPr>
            <w:pStyle w:val="TOC1"/>
            <w:tabs>
              <w:tab w:val="right" w:leader="dot" w:pos="9016"/>
            </w:tabs>
            <w:rPr>
              <w:rFonts w:asciiTheme="minorHAnsi" w:eastAsiaTheme="minorEastAsia" w:hAnsiTheme="minorHAnsi" w:cstheme="minorBidi"/>
              <w:noProof/>
              <w:kern w:val="2"/>
              <w14:ligatures w14:val="standardContextual"/>
            </w:rPr>
          </w:pPr>
          <w:hyperlink w:anchor="_Toc215821573" w:history="1">
            <w:r w:rsidRPr="00DB170D">
              <w:rPr>
                <w:rStyle w:val="Hyperlink"/>
                <w:noProof/>
              </w:rPr>
              <w:t>Conclusion</w:t>
            </w:r>
            <w:r>
              <w:rPr>
                <w:noProof/>
                <w:webHidden/>
              </w:rPr>
              <w:tab/>
            </w:r>
            <w:r>
              <w:rPr>
                <w:noProof/>
                <w:webHidden/>
              </w:rPr>
              <w:fldChar w:fldCharType="begin"/>
            </w:r>
            <w:r>
              <w:rPr>
                <w:noProof/>
                <w:webHidden/>
              </w:rPr>
              <w:instrText xml:space="preserve"> PAGEREF _Toc215821573 \h </w:instrText>
            </w:r>
            <w:r>
              <w:rPr>
                <w:noProof/>
                <w:webHidden/>
              </w:rPr>
            </w:r>
            <w:r>
              <w:rPr>
                <w:noProof/>
                <w:webHidden/>
              </w:rPr>
              <w:fldChar w:fldCharType="separate"/>
            </w:r>
            <w:r>
              <w:rPr>
                <w:noProof/>
                <w:webHidden/>
              </w:rPr>
              <w:t>6</w:t>
            </w:r>
            <w:r>
              <w:rPr>
                <w:noProof/>
                <w:webHidden/>
              </w:rPr>
              <w:fldChar w:fldCharType="end"/>
            </w:r>
          </w:hyperlink>
        </w:p>
        <w:p w14:paraId="3361702E" w14:textId="01175B25" w:rsidR="00326364" w:rsidRDefault="00326364">
          <w:pPr>
            <w:pStyle w:val="TOC1"/>
            <w:tabs>
              <w:tab w:val="right" w:leader="dot" w:pos="9016"/>
            </w:tabs>
            <w:rPr>
              <w:rFonts w:asciiTheme="minorHAnsi" w:eastAsiaTheme="minorEastAsia" w:hAnsiTheme="minorHAnsi" w:cstheme="minorBidi"/>
              <w:noProof/>
              <w:kern w:val="2"/>
              <w14:ligatures w14:val="standardContextual"/>
            </w:rPr>
          </w:pPr>
          <w:hyperlink w:anchor="_Toc215821574" w:history="1">
            <w:r w:rsidRPr="00DB170D">
              <w:rPr>
                <w:rStyle w:val="Hyperlink"/>
                <w:noProof/>
              </w:rPr>
              <w:t>Reference List</w:t>
            </w:r>
            <w:r>
              <w:rPr>
                <w:noProof/>
                <w:webHidden/>
              </w:rPr>
              <w:tab/>
            </w:r>
            <w:r>
              <w:rPr>
                <w:noProof/>
                <w:webHidden/>
              </w:rPr>
              <w:fldChar w:fldCharType="begin"/>
            </w:r>
            <w:r>
              <w:rPr>
                <w:noProof/>
                <w:webHidden/>
              </w:rPr>
              <w:instrText xml:space="preserve"> PAGEREF _Toc215821574 \h </w:instrText>
            </w:r>
            <w:r>
              <w:rPr>
                <w:noProof/>
                <w:webHidden/>
              </w:rPr>
            </w:r>
            <w:r>
              <w:rPr>
                <w:noProof/>
                <w:webHidden/>
              </w:rPr>
              <w:fldChar w:fldCharType="separate"/>
            </w:r>
            <w:r>
              <w:rPr>
                <w:noProof/>
                <w:webHidden/>
              </w:rPr>
              <w:t>7</w:t>
            </w:r>
            <w:r>
              <w:rPr>
                <w:noProof/>
                <w:webHidden/>
              </w:rPr>
              <w:fldChar w:fldCharType="end"/>
            </w:r>
          </w:hyperlink>
        </w:p>
        <w:p w14:paraId="0444B1E5" w14:textId="3C196A34" w:rsidR="00257AD2" w:rsidRDefault="00257AD2">
          <w:r>
            <w:rPr>
              <w:b/>
              <w:bCs/>
            </w:rPr>
            <w:fldChar w:fldCharType="end"/>
          </w:r>
        </w:p>
      </w:sdtContent>
    </w:sdt>
    <w:p w14:paraId="65AE2D25" w14:textId="77777777" w:rsidR="00530E16" w:rsidRDefault="00530E16">
      <w:pPr>
        <w:rPr>
          <w:rFonts w:ascii="Arial" w:eastAsia="Arial" w:hAnsi="Arial" w:cs="Arial"/>
        </w:rPr>
      </w:pPr>
    </w:p>
    <w:p w14:paraId="10E2F9C9" w14:textId="7E10D276" w:rsidR="00257AD2" w:rsidRDefault="00257AD2">
      <w:pPr>
        <w:rPr>
          <w:rFonts w:ascii="Arial" w:eastAsia="Arial" w:hAnsi="Arial" w:cs="Arial"/>
        </w:rPr>
      </w:pPr>
      <w:r>
        <w:rPr>
          <w:rFonts w:ascii="Arial" w:eastAsia="Arial" w:hAnsi="Arial" w:cs="Arial"/>
        </w:rPr>
        <w:br w:type="page"/>
      </w:r>
    </w:p>
    <w:p w14:paraId="66F04B99"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2B912A63" w14:textId="77777777" w:rsidR="00530E16" w:rsidRDefault="00530E16">
      <w:pPr>
        <w:rPr>
          <w:rFonts w:ascii="Arial" w:eastAsia="Arial" w:hAnsi="Arial" w:cs="Arial"/>
        </w:rPr>
      </w:pPr>
    </w:p>
    <w:p w14:paraId="7B13F0D4" w14:textId="5DBD51D0" w:rsidR="00530E16" w:rsidRDefault="004468F8">
      <w:pPr>
        <w:pStyle w:val="Heading1"/>
      </w:pPr>
      <w:bookmarkStart w:id="0" w:name="_Toc213674530"/>
      <w:bookmarkStart w:id="1" w:name="_Toc215821563"/>
      <w:r>
        <w:t xml:space="preserve">Research Topic: </w:t>
      </w:r>
      <w:bookmarkEnd w:id="0"/>
      <w:r w:rsidR="00257AD2" w:rsidRPr="00257AD2">
        <w:t>DIAGNOSIS AND TREATMENT 0F EARLY TYPE 2 DIABETES IN ADULTS IN THE UK</w:t>
      </w:r>
      <w:bookmarkEnd w:id="1"/>
    </w:p>
    <w:p w14:paraId="470ADF30" w14:textId="6448BBA6" w:rsidR="00530E16" w:rsidRPr="004468F8" w:rsidRDefault="001B7B9B">
      <w:pPr>
        <w:pStyle w:val="Heading1"/>
        <w:rPr>
          <w:sz w:val="32"/>
          <w:szCs w:val="32"/>
        </w:rPr>
      </w:pPr>
      <w:bookmarkStart w:id="2" w:name="_Toc215821564"/>
      <w:r>
        <w:rPr>
          <w:sz w:val="32"/>
          <w:szCs w:val="32"/>
        </w:rPr>
        <w:t>Introduction</w:t>
      </w:r>
      <w:bookmarkEnd w:id="2"/>
    </w:p>
    <w:p w14:paraId="31FFBAF6" w14:textId="1D250C73" w:rsidR="00292682" w:rsidRPr="00292682" w:rsidRDefault="00292682" w:rsidP="002C3F2A">
      <w:pPr>
        <w:spacing w:line="360" w:lineRule="auto"/>
        <w:jc w:val="both"/>
        <w:rPr>
          <w:rFonts w:asciiTheme="minorHAnsi" w:eastAsiaTheme="minorEastAsia" w:hAnsiTheme="minorHAnsi" w:cstheme="minorBidi"/>
          <w:noProof/>
          <w:sz w:val="22"/>
          <w:szCs w:val="22"/>
        </w:rPr>
      </w:pPr>
      <w:r w:rsidRPr="00292682">
        <w:rPr>
          <w:rFonts w:asciiTheme="minorHAnsi" w:eastAsiaTheme="minorEastAsia" w:hAnsiTheme="minorHAnsi" w:cstheme="minorBidi"/>
          <w:noProof/>
          <w:sz w:val="22"/>
          <w:szCs w:val="22"/>
        </w:rPr>
        <w:t>Type 2 Diabetes Mellitus (T2DM) is one of the fastest-growing long-term health conditions in the United Kingdom, affecting millions of adults and costing the National Health Service (NHS) billions of pounds annually. The condition occurs when the body is unable to use insulin effectively or fails to produce enough insulin to regulate blood glucose levels. While Type 1 diabetes is caused by the body’s inability to produce insulin, Type 2 diabetes</w:t>
      </w:r>
      <w:r>
        <w:rPr>
          <w:rFonts w:asciiTheme="minorHAnsi" w:eastAsiaTheme="minorEastAsia" w:hAnsiTheme="minorHAnsi" w:cstheme="minorBidi"/>
          <w:noProof/>
          <w:sz w:val="22"/>
          <w:szCs w:val="22"/>
        </w:rPr>
        <w:t xml:space="preserve"> </w:t>
      </w:r>
      <w:r w:rsidRPr="00292682">
        <w:rPr>
          <w:rFonts w:asciiTheme="minorHAnsi" w:eastAsiaTheme="minorEastAsia" w:hAnsiTheme="minorHAnsi" w:cstheme="minorBidi"/>
          <w:noProof/>
          <w:sz w:val="22"/>
          <w:szCs w:val="22"/>
        </w:rPr>
        <w:t>by far the most common form</w:t>
      </w:r>
      <w:r>
        <w:rPr>
          <w:rFonts w:asciiTheme="minorHAnsi" w:eastAsiaTheme="minorEastAsia" w:hAnsiTheme="minorHAnsi" w:cstheme="minorBidi"/>
          <w:noProof/>
          <w:sz w:val="22"/>
          <w:szCs w:val="22"/>
        </w:rPr>
        <w:t xml:space="preserve"> </w:t>
      </w:r>
      <w:r w:rsidRPr="00292682">
        <w:rPr>
          <w:rFonts w:asciiTheme="minorHAnsi" w:eastAsiaTheme="minorEastAsia" w:hAnsiTheme="minorHAnsi" w:cstheme="minorBidi"/>
          <w:noProof/>
          <w:sz w:val="22"/>
          <w:szCs w:val="22"/>
        </w:rPr>
        <w:t>is characterised by insulin resistance, impaired insulin secretion, or both (NICE, 2021). As T2DM progresses, glucose accumulates in the bloodstream, leading to a wide range of complications that can significantly impact an individual’s physical, psychological, and social wellbeing.</w:t>
      </w:r>
    </w:p>
    <w:p w14:paraId="3AB43CD8" w14:textId="77777777" w:rsidR="00292682" w:rsidRPr="00292682" w:rsidRDefault="00292682" w:rsidP="002C3F2A">
      <w:pPr>
        <w:spacing w:line="360" w:lineRule="auto"/>
        <w:jc w:val="both"/>
        <w:rPr>
          <w:rFonts w:asciiTheme="minorHAnsi" w:eastAsiaTheme="minorEastAsia" w:hAnsiTheme="minorHAnsi" w:cstheme="minorBidi"/>
          <w:noProof/>
          <w:sz w:val="22"/>
          <w:szCs w:val="22"/>
        </w:rPr>
      </w:pPr>
      <w:r w:rsidRPr="00292682">
        <w:rPr>
          <w:rFonts w:asciiTheme="minorHAnsi" w:eastAsiaTheme="minorEastAsia" w:hAnsiTheme="minorHAnsi" w:cstheme="minorBidi"/>
          <w:noProof/>
          <w:sz w:val="22"/>
          <w:szCs w:val="22"/>
        </w:rPr>
        <w:t>Early diagnosis and timely intervention are therefore essential components of effective diabetes management. Detecting the condition early allows healthcare professionals to initiate lifestyle modifications, commence appropriate pharmacological therapy, and implement personalised care plans that can prevent or delay long-term complications. This report explores the importance of early diagnosis and treatment of T2DM among adults in the UK and examines research methodologies and data types appropriate for studying the issue.</w:t>
      </w:r>
    </w:p>
    <w:p w14:paraId="77CC1048" w14:textId="77777777" w:rsidR="004468F8" w:rsidRDefault="004468F8" w:rsidP="004468F8"/>
    <w:p w14:paraId="6A999BB4" w14:textId="77777777" w:rsidR="00530E16" w:rsidRDefault="004468F8">
      <w:pPr>
        <w:pStyle w:val="Heading2"/>
        <w:jc w:val="both"/>
      </w:pPr>
      <w:bookmarkStart w:id="3" w:name="_Toc213674532"/>
      <w:bookmarkStart w:id="4" w:name="_Toc215821565"/>
      <w:r>
        <w:t>Problem Statement</w:t>
      </w:r>
      <w:bookmarkEnd w:id="3"/>
      <w:bookmarkEnd w:id="4"/>
    </w:p>
    <w:p w14:paraId="68053904" w14:textId="77777777" w:rsidR="002C3F2A" w:rsidRPr="002C3F2A" w:rsidRDefault="002C3F2A" w:rsidP="002D3905">
      <w:pPr>
        <w:spacing w:line="360" w:lineRule="auto"/>
        <w:jc w:val="both"/>
        <w:rPr>
          <w:sz w:val="22"/>
          <w:szCs w:val="22"/>
        </w:rPr>
      </w:pPr>
      <w:r w:rsidRPr="002C3F2A">
        <w:rPr>
          <w:sz w:val="22"/>
          <w:szCs w:val="22"/>
        </w:rPr>
        <w:t>Despite the existence of evidence-based guidelines, structured screening pathways, and widespread public health campaigns, many adults in the UK continue to be diagnosed with Type 2 diabetes at a late stage. Late diagnosis increases the likelihood of developing severe and life-limiting complications, including cardiovascular disease, chronic kidney disease, neuropathy, and diabetic retinopathy (Public Health England, 2020). These complications not only reduce an individual’s quality of life but also impose a significant financial burden on health and social care services.</w:t>
      </w:r>
    </w:p>
    <w:p w14:paraId="2B693615" w14:textId="77777777" w:rsidR="002C3F2A" w:rsidRPr="002C3F2A" w:rsidRDefault="002C3F2A" w:rsidP="002D3905">
      <w:pPr>
        <w:spacing w:line="360" w:lineRule="auto"/>
        <w:jc w:val="both"/>
        <w:rPr>
          <w:sz w:val="22"/>
          <w:szCs w:val="22"/>
        </w:rPr>
      </w:pPr>
      <w:r w:rsidRPr="002C3F2A">
        <w:rPr>
          <w:sz w:val="22"/>
          <w:szCs w:val="22"/>
        </w:rPr>
        <w:t xml:space="preserve">Research indicates that a substantial proportion of adults are unaware of early symptoms, have limited access to screening services, or face socio-economic and cultural barriers that delay </w:t>
      </w:r>
      <w:r w:rsidRPr="002C3F2A">
        <w:rPr>
          <w:sz w:val="22"/>
          <w:szCs w:val="22"/>
        </w:rPr>
        <w:lastRenderedPageBreak/>
        <w:t>medical attention (Diabetes UK, 2023). Inequalities in health literacy, lifestyle factors, deprivation levels, and cultural perceptions of illness all contribute to lower screening uptake and late detection in certain communities.</w:t>
      </w:r>
    </w:p>
    <w:p w14:paraId="7E4C7F1E" w14:textId="4574D0A2" w:rsidR="002C3F2A" w:rsidRPr="002C3F2A" w:rsidRDefault="002C3F2A" w:rsidP="002D3905">
      <w:pPr>
        <w:spacing w:line="360" w:lineRule="auto"/>
        <w:jc w:val="both"/>
        <w:rPr>
          <w:sz w:val="22"/>
          <w:szCs w:val="22"/>
        </w:rPr>
      </w:pPr>
      <w:r w:rsidRPr="002C3F2A">
        <w:rPr>
          <w:sz w:val="22"/>
          <w:szCs w:val="22"/>
        </w:rPr>
        <w:t>Furthermore, recent analyses reveal that approximately one in five adults in the UK has diabetes or pre-diabetes, with many cases of T2DM remaining undiagnosed until major complications develop (NHS, 2022). These findings raise serious concerns about the effectiveness of current public health strategies, early detection initiatives, and clinical interventions. Investigating the barriers and facilitators to early diagnosis and timely treatment is therefore essential for improving outcomes and reducing long-term health inequalities.</w:t>
      </w:r>
    </w:p>
    <w:p w14:paraId="3F44F7DD" w14:textId="77777777" w:rsidR="004468F8" w:rsidRPr="004468F8" w:rsidRDefault="004468F8" w:rsidP="004468F8"/>
    <w:p w14:paraId="53E5A0EA" w14:textId="77777777" w:rsidR="00530E16" w:rsidRDefault="004468F8">
      <w:pPr>
        <w:pStyle w:val="Heading2"/>
        <w:jc w:val="both"/>
      </w:pPr>
      <w:bookmarkStart w:id="5" w:name="_Toc213674533"/>
      <w:bookmarkStart w:id="6" w:name="_Toc215821566"/>
      <w:r>
        <w:t>Justification</w:t>
      </w:r>
      <w:bookmarkEnd w:id="5"/>
      <w:bookmarkEnd w:id="6"/>
    </w:p>
    <w:p w14:paraId="69340E66" w14:textId="77777777" w:rsidR="00292316" w:rsidRPr="00292316" w:rsidRDefault="00292316" w:rsidP="00292316">
      <w:pPr>
        <w:spacing w:line="360" w:lineRule="auto"/>
        <w:jc w:val="both"/>
        <w:rPr>
          <w:sz w:val="22"/>
          <w:szCs w:val="22"/>
        </w:rPr>
      </w:pPr>
      <w:r w:rsidRPr="00292316">
        <w:rPr>
          <w:sz w:val="22"/>
          <w:szCs w:val="22"/>
        </w:rPr>
        <w:t>The justification for researching early diagnosis and treatment of T2DM stems from multiple factors: increasing prevalence, significant financial implications, and the condition’s profound impact on individual wellbeing and national public health outcomes. The NHS spends a considerable proportion of its annual budget on managing diabetes and its complications—many of which are preventable through early detection (NICE, 2021). Early diagnosis enables individuals to adopt lifestyle changes, such as improved diet and increased physical activity, which are proven to reduce disease progression.</w:t>
      </w:r>
    </w:p>
    <w:p w14:paraId="0D1955F8" w14:textId="77777777" w:rsidR="00292316" w:rsidRPr="00292316" w:rsidRDefault="00292316" w:rsidP="00292316">
      <w:pPr>
        <w:spacing w:line="360" w:lineRule="auto"/>
        <w:jc w:val="both"/>
        <w:rPr>
          <w:sz w:val="22"/>
          <w:szCs w:val="22"/>
        </w:rPr>
      </w:pPr>
      <w:r w:rsidRPr="00292316">
        <w:rPr>
          <w:sz w:val="22"/>
          <w:szCs w:val="22"/>
        </w:rPr>
        <w:t>From a social care perspective, diabetes affects an individual’s ability to maintain independence, participate in daily activities, and sustain employment. Complications resulting from delayed treatment can lead to long-term disability, increased reliance on health and social care services, and reduced mental wellbeing. Therefore, researching effective strategies for early diagnosis and treatment is essential not only for improving clinical outcomes but also for supporting social inclusion and long-term independence among adults.</w:t>
      </w:r>
    </w:p>
    <w:p w14:paraId="2003C8B0" w14:textId="77777777" w:rsidR="00292316" w:rsidRPr="00292316" w:rsidRDefault="00292316" w:rsidP="00292316">
      <w:pPr>
        <w:spacing w:line="360" w:lineRule="auto"/>
        <w:jc w:val="both"/>
        <w:rPr>
          <w:sz w:val="22"/>
          <w:szCs w:val="22"/>
        </w:rPr>
      </w:pPr>
      <w:r w:rsidRPr="00292316">
        <w:rPr>
          <w:sz w:val="22"/>
          <w:szCs w:val="22"/>
        </w:rPr>
        <w:t>Additionally, the UK’s diverse population presents different cultural, economic, and behavioural factors influencing access to healthcare. Studying these variations allows researchers and policymakers to develop interventions that are culturally sensitive, equitable, and effective across diverse communities. This research is therefore crucial for enhancing public health policies, improving service delivery, and reducing long-term inequalities across the UK.</w:t>
      </w:r>
    </w:p>
    <w:p w14:paraId="6F8A99F3" w14:textId="77777777" w:rsidR="004468F8" w:rsidRDefault="004468F8" w:rsidP="004468F8"/>
    <w:p w14:paraId="3340FD28" w14:textId="77777777" w:rsidR="004468F8" w:rsidRPr="004468F8" w:rsidRDefault="004468F8" w:rsidP="004468F8"/>
    <w:p w14:paraId="5F3CC75D" w14:textId="77777777" w:rsidR="00530E16" w:rsidRDefault="004468F8">
      <w:pPr>
        <w:pStyle w:val="Heading2"/>
        <w:jc w:val="both"/>
      </w:pPr>
      <w:bookmarkStart w:id="7" w:name="_Toc213674534"/>
      <w:bookmarkStart w:id="8" w:name="_Toc215821567"/>
      <w:r>
        <w:lastRenderedPageBreak/>
        <w:t>Information Sources and Justification</w:t>
      </w:r>
      <w:bookmarkEnd w:id="7"/>
      <w:bookmarkEnd w:id="8"/>
    </w:p>
    <w:p w14:paraId="3C5C82C7" w14:textId="77777777" w:rsidR="00526E9D" w:rsidRPr="00526E9D" w:rsidRDefault="00526E9D" w:rsidP="0069059D">
      <w:pPr>
        <w:spacing w:line="360" w:lineRule="auto"/>
        <w:jc w:val="both"/>
      </w:pPr>
      <w:bookmarkStart w:id="9" w:name="_Toc213674535"/>
      <w:r w:rsidRPr="00526E9D">
        <w:t>This research draws upon a wide range of credible information sources, including:</w:t>
      </w:r>
    </w:p>
    <w:p w14:paraId="4411E5C2" w14:textId="77777777" w:rsidR="00526E9D" w:rsidRPr="00526E9D" w:rsidRDefault="00526E9D" w:rsidP="0069059D">
      <w:pPr>
        <w:pStyle w:val="ListParagraph"/>
        <w:numPr>
          <w:ilvl w:val="0"/>
          <w:numId w:val="10"/>
        </w:numPr>
        <w:spacing w:after="0" w:line="360" w:lineRule="auto"/>
        <w:jc w:val="both"/>
      </w:pPr>
      <w:r w:rsidRPr="00526E9D">
        <w:t>Academic literature</w:t>
      </w:r>
    </w:p>
    <w:p w14:paraId="7DA818AB" w14:textId="77777777" w:rsidR="00526E9D" w:rsidRPr="00526E9D" w:rsidRDefault="00526E9D" w:rsidP="0069059D">
      <w:pPr>
        <w:pStyle w:val="ListParagraph"/>
        <w:numPr>
          <w:ilvl w:val="0"/>
          <w:numId w:val="10"/>
        </w:numPr>
        <w:spacing w:after="0" w:line="360" w:lineRule="auto"/>
        <w:jc w:val="both"/>
      </w:pPr>
      <w:r w:rsidRPr="00526E9D">
        <w:t>Peer-reviewed journal articles</w:t>
      </w:r>
    </w:p>
    <w:p w14:paraId="34C7461E" w14:textId="77777777" w:rsidR="00526E9D" w:rsidRPr="00526E9D" w:rsidRDefault="00526E9D" w:rsidP="0069059D">
      <w:pPr>
        <w:pStyle w:val="ListParagraph"/>
        <w:numPr>
          <w:ilvl w:val="0"/>
          <w:numId w:val="10"/>
        </w:numPr>
        <w:spacing w:after="0" w:line="360" w:lineRule="auto"/>
        <w:jc w:val="both"/>
      </w:pPr>
      <w:r w:rsidRPr="00526E9D">
        <w:t>NHS clinical guidelines</w:t>
      </w:r>
    </w:p>
    <w:p w14:paraId="5BD9B940" w14:textId="77777777" w:rsidR="00526E9D" w:rsidRPr="00526E9D" w:rsidRDefault="00526E9D" w:rsidP="0069059D">
      <w:pPr>
        <w:pStyle w:val="ListParagraph"/>
        <w:numPr>
          <w:ilvl w:val="0"/>
          <w:numId w:val="10"/>
        </w:numPr>
        <w:spacing w:after="0" w:line="360" w:lineRule="auto"/>
        <w:jc w:val="both"/>
      </w:pPr>
      <w:r w:rsidRPr="00526E9D">
        <w:t>Government reports</w:t>
      </w:r>
    </w:p>
    <w:p w14:paraId="4AA4A99C" w14:textId="77777777" w:rsidR="00526E9D" w:rsidRPr="00526E9D" w:rsidRDefault="00526E9D" w:rsidP="0069059D">
      <w:pPr>
        <w:pStyle w:val="ListParagraph"/>
        <w:numPr>
          <w:ilvl w:val="0"/>
          <w:numId w:val="10"/>
        </w:numPr>
        <w:spacing w:after="0" w:line="360" w:lineRule="auto"/>
        <w:jc w:val="both"/>
      </w:pPr>
      <w:r w:rsidRPr="00526E9D">
        <w:t>Public Health England publications</w:t>
      </w:r>
    </w:p>
    <w:p w14:paraId="2A0BABF3" w14:textId="77777777" w:rsidR="00526E9D" w:rsidRPr="00526E9D" w:rsidRDefault="00526E9D" w:rsidP="0069059D">
      <w:pPr>
        <w:pStyle w:val="ListParagraph"/>
        <w:numPr>
          <w:ilvl w:val="0"/>
          <w:numId w:val="10"/>
        </w:numPr>
        <w:spacing w:after="0" w:line="360" w:lineRule="auto"/>
        <w:jc w:val="both"/>
      </w:pPr>
      <w:r w:rsidRPr="00526E9D">
        <w:t>Data and reports from diabetes charities such as Diabetes UK</w:t>
      </w:r>
    </w:p>
    <w:p w14:paraId="1CD060CC" w14:textId="77777777" w:rsidR="00526E9D" w:rsidRPr="00526E9D" w:rsidRDefault="00526E9D" w:rsidP="0069059D">
      <w:pPr>
        <w:spacing w:line="360" w:lineRule="auto"/>
        <w:jc w:val="both"/>
      </w:pPr>
      <w:r w:rsidRPr="00526E9D">
        <w:t>Academic literature provides theoretical perspectives, evidence-based findings, and methodological insights essential for understanding the complexities of early diagnosis and treatment. NHS and government publications offer up-to-date national statistics, clinical recommendations, and public health strategies tailored to UK healthcare settings. Charitable organisations provide valuable insights into patient experiences, community-level barriers, and lived realities. Using diverse, reputable sources increases the depth, reliability, and validity of the research.</w:t>
      </w:r>
    </w:p>
    <w:p w14:paraId="06954AAE" w14:textId="77777777" w:rsidR="004468F8" w:rsidRDefault="004468F8" w:rsidP="004468F8">
      <w:pPr>
        <w:pStyle w:val="Heading1"/>
        <w:jc w:val="both"/>
        <w:rPr>
          <w:rFonts w:eastAsia="Aptos" w:cs="Arial"/>
          <w:bCs/>
          <w:kern w:val="2"/>
          <w:lang w:eastAsia="en-US"/>
          <w14:ligatures w14:val="standardContextual"/>
        </w:rPr>
      </w:pPr>
      <w:bookmarkStart w:id="10" w:name="_Toc215821568"/>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9"/>
      <w:bookmarkEnd w:id="10"/>
    </w:p>
    <w:p w14:paraId="41219A5C" w14:textId="77777777" w:rsidR="00F60B81" w:rsidRPr="00F60B81" w:rsidRDefault="00F60B81" w:rsidP="002A4892">
      <w:pPr>
        <w:spacing w:line="360" w:lineRule="auto"/>
        <w:rPr>
          <w:rFonts w:asciiTheme="minorHAnsi" w:hAnsiTheme="minorHAnsi"/>
          <w:sz w:val="22"/>
          <w:szCs w:val="22"/>
          <w:lang w:eastAsia="en-US"/>
        </w:rPr>
      </w:pPr>
      <w:r w:rsidRPr="00F60B81">
        <w:rPr>
          <w:rFonts w:asciiTheme="minorHAnsi" w:hAnsiTheme="minorHAnsi"/>
          <w:sz w:val="22"/>
          <w:szCs w:val="22"/>
          <w:lang w:eastAsia="en-US"/>
        </w:rPr>
        <w:t>Research in health and social care frequently utilises both quantitative and qualitative methods. Each provides distinct strengths and contributes to a more holistic understanding of complex health issues.</w:t>
      </w:r>
    </w:p>
    <w:p w14:paraId="412BA2F9" w14:textId="77777777" w:rsidR="00F60B81" w:rsidRPr="00F60B81" w:rsidRDefault="00F60B81" w:rsidP="002A4892">
      <w:pPr>
        <w:spacing w:line="360" w:lineRule="auto"/>
        <w:rPr>
          <w:rFonts w:asciiTheme="minorHAnsi" w:hAnsiTheme="minorHAnsi"/>
          <w:b/>
          <w:bCs/>
          <w:sz w:val="22"/>
          <w:szCs w:val="22"/>
          <w:lang w:eastAsia="en-US"/>
        </w:rPr>
      </w:pPr>
      <w:r w:rsidRPr="00F60B81">
        <w:rPr>
          <w:rFonts w:asciiTheme="minorHAnsi" w:hAnsiTheme="minorHAnsi"/>
          <w:b/>
          <w:bCs/>
          <w:sz w:val="22"/>
          <w:szCs w:val="22"/>
          <w:lang w:eastAsia="en-US"/>
        </w:rPr>
        <w:t>Quantitative Research</w:t>
      </w:r>
    </w:p>
    <w:p w14:paraId="42180558" w14:textId="77777777" w:rsidR="00F60B81" w:rsidRPr="00F60B81" w:rsidRDefault="00F60B81" w:rsidP="002A4892">
      <w:pPr>
        <w:spacing w:line="360" w:lineRule="auto"/>
        <w:rPr>
          <w:rFonts w:asciiTheme="minorHAnsi" w:hAnsiTheme="minorHAnsi"/>
          <w:sz w:val="22"/>
          <w:szCs w:val="22"/>
          <w:lang w:eastAsia="en-US"/>
        </w:rPr>
      </w:pPr>
      <w:r w:rsidRPr="00F60B81">
        <w:rPr>
          <w:rFonts w:asciiTheme="minorHAnsi" w:hAnsiTheme="minorHAnsi"/>
          <w:sz w:val="22"/>
          <w:szCs w:val="22"/>
          <w:lang w:eastAsia="en-US"/>
        </w:rPr>
        <w:t>Quantitative research involves the collection and analysis of numerical data. It is particularly useful for measuring trends, evaluating treatment outcomes, and establishing relationships between variables. Examples of quantitative data relevant to diabetes research include:</w:t>
      </w:r>
    </w:p>
    <w:p w14:paraId="2E91E779" w14:textId="77777777" w:rsidR="00F60B81" w:rsidRPr="00F60B81" w:rsidRDefault="00F60B81" w:rsidP="002A4892">
      <w:pPr>
        <w:numPr>
          <w:ilvl w:val="0"/>
          <w:numId w:val="11"/>
        </w:numPr>
        <w:spacing w:line="360" w:lineRule="auto"/>
        <w:rPr>
          <w:rFonts w:asciiTheme="minorHAnsi" w:hAnsiTheme="minorHAnsi"/>
          <w:sz w:val="22"/>
          <w:szCs w:val="22"/>
          <w:lang w:eastAsia="en-US"/>
        </w:rPr>
      </w:pPr>
      <w:r w:rsidRPr="00F60B81">
        <w:rPr>
          <w:rFonts w:asciiTheme="minorHAnsi" w:hAnsiTheme="minorHAnsi"/>
          <w:sz w:val="22"/>
          <w:szCs w:val="22"/>
          <w:lang w:eastAsia="en-US"/>
        </w:rPr>
        <w:t>Blood glucose measurement</w:t>
      </w:r>
    </w:p>
    <w:p w14:paraId="2E69D304" w14:textId="77777777" w:rsidR="00F60B81" w:rsidRPr="00F60B81" w:rsidRDefault="00F60B81" w:rsidP="002A4892">
      <w:pPr>
        <w:numPr>
          <w:ilvl w:val="0"/>
          <w:numId w:val="11"/>
        </w:numPr>
        <w:spacing w:line="360" w:lineRule="auto"/>
        <w:rPr>
          <w:rFonts w:asciiTheme="minorHAnsi" w:hAnsiTheme="minorHAnsi"/>
          <w:sz w:val="22"/>
          <w:szCs w:val="22"/>
          <w:lang w:eastAsia="en-US"/>
        </w:rPr>
      </w:pPr>
      <w:r w:rsidRPr="00F60B81">
        <w:rPr>
          <w:rFonts w:asciiTheme="minorHAnsi" w:hAnsiTheme="minorHAnsi"/>
          <w:sz w:val="22"/>
          <w:szCs w:val="22"/>
          <w:lang w:eastAsia="en-US"/>
        </w:rPr>
        <w:t>Prevalence and incidence rates</w:t>
      </w:r>
    </w:p>
    <w:p w14:paraId="2CD113ED" w14:textId="77777777" w:rsidR="00F60B81" w:rsidRPr="00F60B81" w:rsidRDefault="00F60B81" w:rsidP="002A4892">
      <w:pPr>
        <w:numPr>
          <w:ilvl w:val="0"/>
          <w:numId w:val="11"/>
        </w:numPr>
        <w:spacing w:line="360" w:lineRule="auto"/>
        <w:rPr>
          <w:rFonts w:asciiTheme="minorHAnsi" w:hAnsiTheme="minorHAnsi"/>
          <w:sz w:val="22"/>
          <w:szCs w:val="22"/>
          <w:lang w:eastAsia="en-US"/>
        </w:rPr>
      </w:pPr>
      <w:r w:rsidRPr="00F60B81">
        <w:rPr>
          <w:rFonts w:asciiTheme="minorHAnsi" w:hAnsiTheme="minorHAnsi"/>
          <w:sz w:val="22"/>
          <w:szCs w:val="22"/>
          <w:lang w:eastAsia="en-US"/>
        </w:rPr>
        <w:t>Screening uptake statistics</w:t>
      </w:r>
    </w:p>
    <w:p w14:paraId="6BF62BE9" w14:textId="77777777" w:rsidR="00F60B81" w:rsidRPr="00F60B81" w:rsidRDefault="00F60B81" w:rsidP="002A4892">
      <w:pPr>
        <w:numPr>
          <w:ilvl w:val="0"/>
          <w:numId w:val="11"/>
        </w:numPr>
        <w:spacing w:line="360" w:lineRule="auto"/>
        <w:rPr>
          <w:rFonts w:asciiTheme="minorHAnsi" w:hAnsiTheme="minorHAnsi"/>
          <w:sz w:val="22"/>
          <w:szCs w:val="22"/>
          <w:lang w:eastAsia="en-US"/>
        </w:rPr>
      </w:pPr>
      <w:r w:rsidRPr="00F60B81">
        <w:rPr>
          <w:rFonts w:asciiTheme="minorHAnsi" w:hAnsiTheme="minorHAnsi"/>
          <w:sz w:val="22"/>
          <w:szCs w:val="22"/>
          <w:lang w:eastAsia="en-US"/>
        </w:rPr>
        <w:t>Clinical trial results</w:t>
      </w:r>
    </w:p>
    <w:p w14:paraId="5DFF680D" w14:textId="77777777" w:rsidR="00F60B81" w:rsidRPr="00F60B81" w:rsidRDefault="00F60B81" w:rsidP="002A4892">
      <w:pPr>
        <w:numPr>
          <w:ilvl w:val="0"/>
          <w:numId w:val="11"/>
        </w:numPr>
        <w:spacing w:line="360" w:lineRule="auto"/>
        <w:rPr>
          <w:rFonts w:asciiTheme="minorHAnsi" w:hAnsiTheme="minorHAnsi"/>
          <w:sz w:val="22"/>
          <w:szCs w:val="22"/>
          <w:lang w:eastAsia="en-US"/>
        </w:rPr>
      </w:pPr>
      <w:r w:rsidRPr="00F60B81">
        <w:rPr>
          <w:rFonts w:asciiTheme="minorHAnsi" w:hAnsiTheme="minorHAnsi"/>
          <w:sz w:val="22"/>
          <w:szCs w:val="22"/>
          <w:lang w:eastAsia="en-US"/>
        </w:rPr>
        <w:t>Hospital admission figures</w:t>
      </w:r>
    </w:p>
    <w:p w14:paraId="2A47B5D5" w14:textId="77777777" w:rsidR="00F60B81" w:rsidRPr="00F60B81" w:rsidRDefault="00F60B81" w:rsidP="002A4892">
      <w:pPr>
        <w:spacing w:line="360" w:lineRule="auto"/>
        <w:rPr>
          <w:rFonts w:asciiTheme="minorHAnsi" w:hAnsiTheme="minorHAnsi"/>
          <w:sz w:val="22"/>
          <w:szCs w:val="22"/>
          <w:lang w:eastAsia="en-US"/>
        </w:rPr>
      </w:pPr>
      <w:r w:rsidRPr="00F60B81">
        <w:rPr>
          <w:rFonts w:asciiTheme="minorHAnsi" w:hAnsiTheme="minorHAnsi"/>
          <w:sz w:val="22"/>
          <w:szCs w:val="22"/>
          <w:lang w:eastAsia="en-US"/>
        </w:rPr>
        <w:lastRenderedPageBreak/>
        <w:t>Quantitative data enables researchers to assess the scale of the problem, identify population-level patterns, and evaluate the effectiveness of early intervention programmes.</w:t>
      </w:r>
    </w:p>
    <w:p w14:paraId="1C177091" w14:textId="77777777" w:rsidR="00F60B81" w:rsidRPr="00F60B81" w:rsidRDefault="00F60B81" w:rsidP="002A4892">
      <w:pPr>
        <w:spacing w:line="360" w:lineRule="auto"/>
        <w:rPr>
          <w:rFonts w:asciiTheme="minorHAnsi" w:hAnsiTheme="minorHAnsi"/>
          <w:b/>
          <w:bCs/>
          <w:sz w:val="22"/>
          <w:szCs w:val="22"/>
          <w:lang w:eastAsia="en-US"/>
        </w:rPr>
      </w:pPr>
      <w:r w:rsidRPr="00F60B81">
        <w:rPr>
          <w:rFonts w:asciiTheme="minorHAnsi" w:hAnsiTheme="minorHAnsi"/>
          <w:b/>
          <w:bCs/>
          <w:sz w:val="22"/>
          <w:szCs w:val="22"/>
          <w:lang w:eastAsia="en-US"/>
        </w:rPr>
        <w:t>Qualitative Research</w:t>
      </w:r>
    </w:p>
    <w:p w14:paraId="4A462964" w14:textId="77777777" w:rsidR="00F60B81" w:rsidRPr="00F60B81" w:rsidRDefault="00F60B81" w:rsidP="002A4892">
      <w:pPr>
        <w:spacing w:line="360" w:lineRule="auto"/>
        <w:rPr>
          <w:rFonts w:asciiTheme="minorHAnsi" w:hAnsiTheme="minorHAnsi"/>
          <w:sz w:val="22"/>
          <w:szCs w:val="22"/>
          <w:lang w:eastAsia="en-US"/>
        </w:rPr>
      </w:pPr>
      <w:r w:rsidRPr="00F60B81">
        <w:rPr>
          <w:rFonts w:asciiTheme="minorHAnsi" w:hAnsiTheme="minorHAnsi"/>
          <w:sz w:val="22"/>
          <w:szCs w:val="22"/>
          <w:lang w:eastAsia="en-US"/>
        </w:rPr>
        <w:t>Qualitative research focuses on understanding human experiences, perceptions, and behaviours. It uses non-numerical data collection methods such as:</w:t>
      </w:r>
    </w:p>
    <w:p w14:paraId="00AEBC72" w14:textId="77777777" w:rsidR="00F60B81" w:rsidRPr="00F60B81" w:rsidRDefault="00F60B81" w:rsidP="002A4892">
      <w:pPr>
        <w:numPr>
          <w:ilvl w:val="0"/>
          <w:numId w:val="12"/>
        </w:numPr>
        <w:spacing w:line="360" w:lineRule="auto"/>
        <w:rPr>
          <w:rFonts w:asciiTheme="minorHAnsi" w:hAnsiTheme="minorHAnsi"/>
          <w:sz w:val="22"/>
          <w:szCs w:val="22"/>
          <w:lang w:eastAsia="en-US"/>
        </w:rPr>
      </w:pPr>
      <w:r w:rsidRPr="00F60B81">
        <w:rPr>
          <w:rFonts w:asciiTheme="minorHAnsi" w:hAnsiTheme="minorHAnsi"/>
          <w:sz w:val="22"/>
          <w:szCs w:val="22"/>
          <w:lang w:eastAsia="en-US"/>
        </w:rPr>
        <w:t>Interviews</w:t>
      </w:r>
    </w:p>
    <w:p w14:paraId="4A801018" w14:textId="77777777" w:rsidR="00F60B81" w:rsidRPr="00F60B81" w:rsidRDefault="00F60B81" w:rsidP="002A4892">
      <w:pPr>
        <w:numPr>
          <w:ilvl w:val="0"/>
          <w:numId w:val="12"/>
        </w:numPr>
        <w:spacing w:line="360" w:lineRule="auto"/>
        <w:rPr>
          <w:rFonts w:asciiTheme="minorHAnsi" w:hAnsiTheme="minorHAnsi"/>
          <w:sz w:val="22"/>
          <w:szCs w:val="22"/>
          <w:lang w:eastAsia="en-US"/>
        </w:rPr>
      </w:pPr>
      <w:r w:rsidRPr="00F60B81">
        <w:rPr>
          <w:rFonts w:asciiTheme="minorHAnsi" w:hAnsiTheme="minorHAnsi"/>
          <w:sz w:val="22"/>
          <w:szCs w:val="22"/>
          <w:lang w:eastAsia="en-US"/>
        </w:rPr>
        <w:t>Focus groups</w:t>
      </w:r>
    </w:p>
    <w:p w14:paraId="2DF648C8" w14:textId="77777777" w:rsidR="00F60B81" w:rsidRPr="00F60B81" w:rsidRDefault="00F60B81" w:rsidP="002A4892">
      <w:pPr>
        <w:numPr>
          <w:ilvl w:val="0"/>
          <w:numId w:val="12"/>
        </w:numPr>
        <w:spacing w:line="360" w:lineRule="auto"/>
        <w:rPr>
          <w:rFonts w:asciiTheme="minorHAnsi" w:hAnsiTheme="minorHAnsi"/>
          <w:sz w:val="22"/>
          <w:szCs w:val="22"/>
          <w:lang w:eastAsia="en-US"/>
        </w:rPr>
      </w:pPr>
      <w:r w:rsidRPr="00F60B81">
        <w:rPr>
          <w:rFonts w:asciiTheme="minorHAnsi" w:hAnsiTheme="minorHAnsi"/>
          <w:sz w:val="22"/>
          <w:szCs w:val="22"/>
          <w:lang w:eastAsia="en-US"/>
        </w:rPr>
        <w:t>Observations</w:t>
      </w:r>
    </w:p>
    <w:p w14:paraId="5C52DA5A" w14:textId="77777777" w:rsidR="00F60B81" w:rsidRPr="00F60B81" w:rsidRDefault="00F60B81" w:rsidP="002A4892">
      <w:pPr>
        <w:numPr>
          <w:ilvl w:val="0"/>
          <w:numId w:val="12"/>
        </w:numPr>
        <w:spacing w:line="360" w:lineRule="auto"/>
        <w:rPr>
          <w:rFonts w:asciiTheme="minorHAnsi" w:hAnsiTheme="minorHAnsi"/>
          <w:sz w:val="22"/>
          <w:szCs w:val="22"/>
          <w:lang w:eastAsia="en-US"/>
        </w:rPr>
      </w:pPr>
      <w:r w:rsidRPr="00F60B81">
        <w:rPr>
          <w:rFonts w:asciiTheme="minorHAnsi" w:hAnsiTheme="minorHAnsi"/>
          <w:sz w:val="22"/>
          <w:szCs w:val="22"/>
          <w:lang w:eastAsia="en-US"/>
        </w:rPr>
        <w:t>Open-ended questionnaires</w:t>
      </w:r>
    </w:p>
    <w:p w14:paraId="6E7758FF" w14:textId="0ED13692" w:rsidR="004468F8" w:rsidRPr="002A4892" w:rsidRDefault="00F60B81" w:rsidP="002A4892">
      <w:pPr>
        <w:spacing w:line="360" w:lineRule="auto"/>
        <w:rPr>
          <w:rFonts w:asciiTheme="minorHAnsi" w:hAnsiTheme="minorHAnsi"/>
          <w:sz w:val="22"/>
          <w:szCs w:val="22"/>
          <w:lang w:eastAsia="en-US"/>
        </w:rPr>
      </w:pPr>
      <w:r w:rsidRPr="00F60B81">
        <w:rPr>
          <w:rFonts w:asciiTheme="minorHAnsi" w:hAnsiTheme="minorHAnsi"/>
          <w:sz w:val="22"/>
          <w:szCs w:val="22"/>
          <w:lang w:eastAsia="en-US"/>
        </w:rPr>
        <w:t>This approach provides rich insights into why individuals may delay seeking care, how they experience diagnosis, and what challenges they face in managing their condition. Qualitative data is especially valuable for exploring social, cultural, and behavioural factors that influence health-seeking behaviour and treatment adherence.</w:t>
      </w:r>
    </w:p>
    <w:p w14:paraId="739E0E18" w14:textId="77777777" w:rsidR="004468F8" w:rsidRPr="002A4892" w:rsidRDefault="004468F8" w:rsidP="002A4892">
      <w:pPr>
        <w:spacing w:line="360" w:lineRule="auto"/>
        <w:rPr>
          <w:rFonts w:asciiTheme="minorHAnsi" w:hAnsiTheme="minorHAnsi"/>
          <w:sz w:val="22"/>
          <w:szCs w:val="22"/>
          <w:lang w:eastAsia="en-US"/>
        </w:rPr>
      </w:pPr>
    </w:p>
    <w:p w14:paraId="118F9872" w14:textId="77777777" w:rsidR="004468F8" w:rsidRPr="002A4892" w:rsidRDefault="004468F8" w:rsidP="002A4892">
      <w:pPr>
        <w:pStyle w:val="Heading2"/>
        <w:spacing w:line="360" w:lineRule="auto"/>
        <w:rPr>
          <w:rFonts w:asciiTheme="minorHAnsi" w:eastAsia="Aptos" w:hAnsiTheme="minorHAnsi"/>
          <w:b/>
          <w:bCs/>
          <w:sz w:val="28"/>
          <w:szCs w:val="28"/>
          <w:lang w:eastAsia="en-US"/>
        </w:rPr>
      </w:pPr>
      <w:bookmarkStart w:id="11" w:name="_Toc213674537"/>
      <w:bookmarkStart w:id="12" w:name="_Toc215821569"/>
      <w:r w:rsidRPr="002A4892">
        <w:rPr>
          <w:rFonts w:asciiTheme="minorHAnsi" w:eastAsia="Aptos" w:hAnsiTheme="minorHAnsi"/>
          <w:sz w:val="28"/>
          <w:szCs w:val="28"/>
          <w:lang w:eastAsia="en-US"/>
        </w:rPr>
        <w:t>What type of research methodology will you use for your research and why?</w:t>
      </w:r>
      <w:bookmarkEnd w:id="11"/>
      <w:bookmarkEnd w:id="12"/>
    </w:p>
    <w:p w14:paraId="1E643D4F" w14:textId="77777777" w:rsidR="002A4892" w:rsidRPr="002A4892" w:rsidRDefault="002A4892" w:rsidP="002A4892">
      <w:pPr>
        <w:spacing w:line="360" w:lineRule="auto"/>
        <w:rPr>
          <w:rFonts w:asciiTheme="minorHAnsi" w:hAnsiTheme="minorHAnsi"/>
          <w:sz w:val="22"/>
          <w:szCs w:val="22"/>
        </w:rPr>
      </w:pPr>
      <w:r w:rsidRPr="002A4892">
        <w:rPr>
          <w:rFonts w:asciiTheme="minorHAnsi" w:hAnsiTheme="minorHAnsi"/>
          <w:sz w:val="22"/>
          <w:szCs w:val="22"/>
        </w:rPr>
        <w:t>For this research, a mixed-methods approach is the most suitable methodology. This approach combines both quantitative and qualitative data to provide a comprehensive understanding of early diagnosis and treatment of T2DM.</w:t>
      </w:r>
    </w:p>
    <w:p w14:paraId="0690B02F" w14:textId="77777777" w:rsidR="002A4892" w:rsidRPr="002A4892" w:rsidRDefault="002A4892" w:rsidP="002A4892">
      <w:pPr>
        <w:spacing w:line="360" w:lineRule="auto"/>
        <w:rPr>
          <w:rFonts w:asciiTheme="minorHAnsi" w:hAnsiTheme="minorHAnsi"/>
          <w:sz w:val="22"/>
          <w:szCs w:val="22"/>
        </w:rPr>
      </w:pPr>
      <w:r w:rsidRPr="002A4892">
        <w:rPr>
          <w:rFonts w:asciiTheme="minorHAnsi" w:hAnsiTheme="minorHAnsi"/>
          <w:sz w:val="22"/>
          <w:szCs w:val="22"/>
        </w:rPr>
        <w:t>Rationale for Mixed Methods</w:t>
      </w:r>
    </w:p>
    <w:p w14:paraId="77C39C30" w14:textId="77777777" w:rsidR="002A4892" w:rsidRPr="002A4892" w:rsidRDefault="002A4892" w:rsidP="002A4892">
      <w:pPr>
        <w:numPr>
          <w:ilvl w:val="0"/>
          <w:numId w:val="13"/>
        </w:numPr>
        <w:spacing w:line="360" w:lineRule="auto"/>
        <w:rPr>
          <w:rFonts w:asciiTheme="minorHAnsi" w:hAnsiTheme="minorHAnsi"/>
          <w:sz w:val="22"/>
          <w:szCs w:val="22"/>
        </w:rPr>
      </w:pPr>
      <w:r w:rsidRPr="002A4892">
        <w:rPr>
          <w:rFonts w:asciiTheme="minorHAnsi" w:hAnsiTheme="minorHAnsi"/>
          <w:sz w:val="22"/>
          <w:szCs w:val="22"/>
        </w:rPr>
        <w:t>Captures both scale and experience</w:t>
      </w:r>
      <w:r w:rsidRPr="002A4892">
        <w:rPr>
          <w:rFonts w:asciiTheme="minorHAnsi" w:hAnsiTheme="minorHAnsi"/>
          <w:sz w:val="22"/>
          <w:szCs w:val="22"/>
        </w:rPr>
        <w:br/>
        <w:t>Quantitative data reveals the prevalence of late diagnosis and the effectiveness of treatment interventions, while qualitative data provides insight into individual experiences, barriers, and motivations.</w:t>
      </w:r>
    </w:p>
    <w:p w14:paraId="264BE895" w14:textId="77777777" w:rsidR="002A4892" w:rsidRPr="002A4892" w:rsidRDefault="002A4892" w:rsidP="002A4892">
      <w:pPr>
        <w:numPr>
          <w:ilvl w:val="0"/>
          <w:numId w:val="13"/>
        </w:numPr>
        <w:spacing w:line="360" w:lineRule="auto"/>
        <w:rPr>
          <w:rFonts w:asciiTheme="minorHAnsi" w:hAnsiTheme="minorHAnsi"/>
          <w:sz w:val="22"/>
          <w:szCs w:val="22"/>
        </w:rPr>
      </w:pPr>
      <w:r w:rsidRPr="002A4892">
        <w:rPr>
          <w:rFonts w:asciiTheme="minorHAnsi" w:hAnsiTheme="minorHAnsi"/>
          <w:sz w:val="22"/>
          <w:szCs w:val="22"/>
        </w:rPr>
        <w:t>Addresses medical and social factors</w:t>
      </w:r>
      <w:r w:rsidRPr="002A4892">
        <w:rPr>
          <w:rFonts w:asciiTheme="minorHAnsi" w:hAnsiTheme="minorHAnsi"/>
          <w:sz w:val="22"/>
          <w:szCs w:val="22"/>
        </w:rPr>
        <w:br/>
        <w:t>Early diagnosis is influenced not only by clinical factors but also by social determinants such as culture, income, education, and access to healthcare.</w:t>
      </w:r>
    </w:p>
    <w:p w14:paraId="49265B71" w14:textId="77777777" w:rsidR="002A4892" w:rsidRPr="002A4892" w:rsidRDefault="002A4892" w:rsidP="002A4892">
      <w:pPr>
        <w:numPr>
          <w:ilvl w:val="0"/>
          <w:numId w:val="13"/>
        </w:numPr>
        <w:spacing w:line="360" w:lineRule="auto"/>
        <w:rPr>
          <w:rFonts w:asciiTheme="minorHAnsi" w:hAnsiTheme="minorHAnsi"/>
          <w:sz w:val="22"/>
          <w:szCs w:val="22"/>
        </w:rPr>
      </w:pPr>
      <w:r w:rsidRPr="002A4892">
        <w:rPr>
          <w:rFonts w:asciiTheme="minorHAnsi" w:hAnsiTheme="minorHAnsi"/>
          <w:sz w:val="22"/>
          <w:szCs w:val="22"/>
        </w:rPr>
        <w:t>Improves validity and reliability</w:t>
      </w:r>
      <w:r w:rsidRPr="002A4892">
        <w:rPr>
          <w:rFonts w:asciiTheme="minorHAnsi" w:hAnsiTheme="minorHAnsi"/>
          <w:sz w:val="22"/>
          <w:szCs w:val="22"/>
        </w:rPr>
        <w:br/>
        <w:t>Mixed methods strengthen conclusions by triangulating data from multiple sources.</w:t>
      </w:r>
    </w:p>
    <w:p w14:paraId="5F8EEA8C" w14:textId="77777777" w:rsidR="002A4892" w:rsidRPr="002A4892" w:rsidRDefault="002A4892" w:rsidP="002A4892">
      <w:pPr>
        <w:numPr>
          <w:ilvl w:val="0"/>
          <w:numId w:val="13"/>
        </w:numPr>
        <w:spacing w:line="360" w:lineRule="auto"/>
        <w:rPr>
          <w:rFonts w:asciiTheme="minorHAnsi" w:hAnsiTheme="minorHAnsi"/>
          <w:sz w:val="22"/>
          <w:szCs w:val="22"/>
        </w:rPr>
      </w:pPr>
      <w:r w:rsidRPr="002A4892">
        <w:rPr>
          <w:rFonts w:asciiTheme="minorHAnsi" w:hAnsiTheme="minorHAnsi"/>
          <w:sz w:val="22"/>
          <w:szCs w:val="22"/>
        </w:rPr>
        <w:lastRenderedPageBreak/>
        <w:t>Supports evidence-based recommendations</w:t>
      </w:r>
      <w:r w:rsidRPr="002A4892">
        <w:rPr>
          <w:rFonts w:asciiTheme="minorHAnsi" w:hAnsiTheme="minorHAnsi"/>
          <w:sz w:val="22"/>
          <w:szCs w:val="22"/>
        </w:rPr>
        <w:br/>
        <w:t>Combining numerical trends with personal perspectives enables researchers to suggest practical, patient-centred interventions.</w:t>
      </w:r>
    </w:p>
    <w:p w14:paraId="1DABF1F0" w14:textId="4F70103D" w:rsidR="004468F8" w:rsidRPr="002A4892" w:rsidRDefault="002A4892" w:rsidP="002A4892">
      <w:pPr>
        <w:spacing w:line="360" w:lineRule="auto"/>
        <w:rPr>
          <w:rFonts w:asciiTheme="minorHAnsi" w:hAnsiTheme="minorHAnsi"/>
          <w:sz w:val="22"/>
          <w:szCs w:val="22"/>
        </w:rPr>
      </w:pPr>
      <w:r w:rsidRPr="002A4892">
        <w:rPr>
          <w:rFonts w:asciiTheme="minorHAnsi" w:hAnsiTheme="minorHAnsi"/>
          <w:sz w:val="22"/>
          <w:szCs w:val="22"/>
        </w:rPr>
        <w:t>Thus, a mixed-methods approach provides a detailed, accurate, and holistic understanding of the research problem.</w:t>
      </w:r>
    </w:p>
    <w:p w14:paraId="686D55DB" w14:textId="77777777" w:rsidR="00530E16" w:rsidRDefault="004468F8">
      <w:pPr>
        <w:pStyle w:val="Heading1"/>
        <w:jc w:val="both"/>
      </w:pPr>
      <w:bookmarkStart w:id="13" w:name="_Toc213674538"/>
      <w:bookmarkStart w:id="14" w:name="_Toc215821570"/>
      <w:r>
        <w:t>Task 3: Data Collection</w:t>
      </w:r>
      <w:bookmarkEnd w:id="13"/>
      <w:bookmarkEnd w:id="14"/>
      <w:r>
        <w:t xml:space="preserve"> </w:t>
      </w:r>
    </w:p>
    <w:p w14:paraId="4583B250" w14:textId="77777777" w:rsidR="004468F8" w:rsidRDefault="00BA0043" w:rsidP="004468F8">
      <w:pPr>
        <w:pStyle w:val="Heading2"/>
        <w:rPr>
          <w:rFonts w:eastAsia="Aptos"/>
          <w:lang w:eastAsia="en-US"/>
        </w:rPr>
      </w:pPr>
      <w:bookmarkStart w:id="15" w:name="_Toc213674539"/>
      <w:bookmarkStart w:id="16" w:name="_Toc215821571"/>
      <w:r>
        <w:rPr>
          <w:rFonts w:eastAsia="Aptos"/>
          <w:lang w:eastAsia="en-US"/>
        </w:rPr>
        <w:t>Overview of primary and secondary data collection</w:t>
      </w:r>
      <w:bookmarkEnd w:id="15"/>
      <w:bookmarkEnd w:id="16"/>
    </w:p>
    <w:p w14:paraId="0964FA6A" w14:textId="77777777" w:rsidR="00742806" w:rsidRPr="00742806" w:rsidRDefault="00742806" w:rsidP="00742806">
      <w:pPr>
        <w:spacing w:line="360" w:lineRule="auto"/>
        <w:rPr>
          <w:b/>
          <w:bCs/>
          <w:sz w:val="22"/>
          <w:szCs w:val="22"/>
          <w:lang w:eastAsia="en-US"/>
        </w:rPr>
      </w:pPr>
      <w:r w:rsidRPr="00742806">
        <w:rPr>
          <w:b/>
          <w:bCs/>
          <w:sz w:val="22"/>
          <w:szCs w:val="22"/>
          <w:lang w:eastAsia="en-US"/>
        </w:rPr>
        <w:t>Primary Data</w:t>
      </w:r>
    </w:p>
    <w:p w14:paraId="01E75B2D" w14:textId="77777777" w:rsidR="00742806" w:rsidRPr="00742806" w:rsidRDefault="00742806" w:rsidP="00742806">
      <w:pPr>
        <w:spacing w:line="360" w:lineRule="auto"/>
        <w:rPr>
          <w:sz w:val="22"/>
          <w:szCs w:val="22"/>
          <w:lang w:eastAsia="en-US"/>
        </w:rPr>
      </w:pPr>
      <w:r w:rsidRPr="00742806">
        <w:rPr>
          <w:sz w:val="22"/>
          <w:szCs w:val="22"/>
          <w:lang w:eastAsia="en-US"/>
        </w:rPr>
        <w:t>Primary data refers to information collected directly by the researcher for a specific study. Examples include:</w:t>
      </w:r>
    </w:p>
    <w:p w14:paraId="23A17656" w14:textId="77777777" w:rsidR="00742806" w:rsidRPr="00742806" w:rsidRDefault="00742806" w:rsidP="00742806">
      <w:pPr>
        <w:numPr>
          <w:ilvl w:val="0"/>
          <w:numId w:val="14"/>
        </w:numPr>
        <w:spacing w:line="360" w:lineRule="auto"/>
        <w:rPr>
          <w:sz w:val="22"/>
          <w:szCs w:val="22"/>
          <w:lang w:eastAsia="en-US"/>
        </w:rPr>
      </w:pPr>
      <w:r w:rsidRPr="00742806">
        <w:rPr>
          <w:sz w:val="22"/>
          <w:szCs w:val="22"/>
          <w:lang w:eastAsia="en-US"/>
        </w:rPr>
        <w:t>Surveys</w:t>
      </w:r>
    </w:p>
    <w:p w14:paraId="04458270" w14:textId="77777777" w:rsidR="00742806" w:rsidRPr="00742806" w:rsidRDefault="00742806" w:rsidP="00742806">
      <w:pPr>
        <w:numPr>
          <w:ilvl w:val="0"/>
          <w:numId w:val="14"/>
        </w:numPr>
        <w:spacing w:line="360" w:lineRule="auto"/>
        <w:rPr>
          <w:sz w:val="22"/>
          <w:szCs w:val="22"/>
          <w:lang w:eastAsia="en-US"/>
        </w:rPr>
      </w:pPr>
      <w:r w:rsidRPr="00742806">
        <w:rPr>
          <w:sz w:val="22"/>
          <w:szCs w:val="22"/>
          <w:lang w:eastAsia="en-US"/>
        </w:rPr>
        <w:t>Interviews</w:t>
      </w:r>
    </w:p>
    <w:p w14:paraId="79A9A7D9" w14:textId="77777777" w:rsidR="00742806" w:rsidRPr="00742806" w:rsidRDefault="00742806" w:rsidP="00742806">
      <w:pPr>
        <w:numPr>
          <w:ilvl w:val="0"/>
          <w:numId w:val="14"/>
        </w:numPr>
        <w:spacing w:line="360" w:lineRule="auto"/>
        <w:rPr>
          <w:sz w:val="22"/>
          <w:szCs w:val="22"/>
          <w:lang w:eastAsia="en-US"/>
        </w:rPr>
      </w:pPr>
      <w:r w:rsidRPr="00742806">
        <w:rPr>
          <w:sz w:val="22"/>
          <w:szCs w:val="22"/>
          <w:lang w:eastAsia="en-US"/>
        </w:rPr>
        <w:t>Focus groups</w:t>
      </w:r>
    </w:p>
    <w:p w14:paraId="7C9933A1" w14:textId="77777777" w:rsidR="00742806" w:rsidRPr="00742806" w:rsidRDefault="00742806" w:rsidP="00742806">
      <w:pPr>
        <w:numPr>
          <w:ilvl w:val="0"/>
          <w:numId w:val="14"/>
        </w:numPr>
        <w:spacing w:line="360" w:lineRule="auto"/>
        <w:rPr>
          <w:sz w:val="22"/>
          <w:szCs w:val="22"/>
          <w:lang w:eastAsia="en-US"/>
        </w:rPr>
      </w:pPr>
      <w:r w:rsidRPr="00742806">
        <w:rPr>
          <w:sz w:val="22"/>
          <w:szCs w:val="22"/>
          <w:lang w:eastAsia="en-US"/>
        </w:rPr>
        <w:t>Observations</w:t>
      </w:r>
    </w:p>
    <w:p w14:paraId="1C5E94D0" w14:textId="77777777" w:rsidR="00742806" w:rsidRPr="00742806" w:rsidRDefault="00742806" w:rsidP="00742806">
      <w:pPr>
        <w:numPr>
          <w:ilvl w:val="0"/>
          <w:numId w:val="14"/>
        </w:numPr>
        <w:spacing w:line="360" w:lineRule="auto"/>
        <w:rPr>
          <w:sz w:val="22"/>
          <w:szCs w:val="22"/>
          <w:lang w:eastAsia="en-US"/>
        </w:rPr>
      </w:pPr>
      <w:r w:rsidRPr="00742806">
        <w:rPr>
          <w:sz w:val="22"/>
          <w:szCs w:val="22"/>
          <w:lang w:eastAsia="en-US"/>
        </w:rPr>
        <w:t>Clinical measurements</w:t>
      </w:r>
    </w:p>
    <w:p w14:paraId="737FA3A3" w14:textId="77777777" w:rsidR="00742806" w:rsidRPr="00742806" w:rsidRDefault="00742806" w:rsidP="00742806">
      <w:pPr>
        <w:spacing w:line="360" w:lineRule="auto"/>
        <w:rPr>
          <w:sz w:val="22"/>
          <w:szCs w:val="22"/>
          <w:lang w:eastAsia="en-US"/>
        </w:rPr>
      </w:pPr>
      <w:r w:rsidRPr="00742806">
        <w:rPr>
          <w:sz w:val="22"/>
          <w:szCs w:val="22"/>
          <w:lang w:eastAsia="en-US"/>
        </w:rPr>
        <w:t>Primary data offers original insights that are tailored to the specific research question. In the context of diabetes, primary research might involve interviewing patients about their diagnostic journey or surveying healthcare professionals about screening practices.</w:t>
      </w:r>
    </w:p>
    <w:p w14:paraId="02B58746" w14:textId="77777777" w:rsidR="00742806" w:rsidRPr="00742806" w:rsidRDefault="00742806" w:rsidP="00742806">
      <w:pPr>
        <w:spacing w:line="360" w:lineRule="auto"/>
        <w:rPr>
          <w:b/>
          <w:bCs/>
          <w:sz w:val="22"/>
          <w:szCs w:val="22"/>
          <w:lang w:eastAsia="en-US"/>
        </w:rPr>
      </w:pPr>
      <w:r w:rsidRPr="00742806">
        <w:rPr>
          <w:b/>
          <w:bCs/>
          <w:sz w:val="22"/>
          <w:szCs w:val="22"/>
          <w:lang w:eastAsia="en-US"/>
        </w:rPr>
        <w:t>Secondary Data</w:t>
      </w:r>
    </w:p>
    <w:p w14:paraId="09134101" w14:textId="77777777" w:rsidR="00742806" w:rsidRPr="00742806" w:rsidRDefault="00742806" w:rsidP="00742806">
      <w:pPr>
        <w:spacing w:line="360" w:lineRule="auto"/>
        <w:rPr>
          <w:sz w:val="22"/>
          <w:szCs w:val="22"/>
          <w:lang w:eastAsia="en-US"/>
        </w:rPr>
      </w:pPr>
      <w:r w:rsidRPr="00742806">
        <w:rPr>
          <w:sz w:val="22"/>
          <w:szCs w:val="22"/>
          <w:lang w:eastAsia="en-US"/>
        </w:rPr>
        <w:t>Secondary data comes from previously published sources such as:</w:t>
      </w:r>
    </w:p>
    <w:p w14:paraId="42B17C29" w14:textId="77777777" w:rsidR="00742806" w:rsidRPr="00742806" w:rsidRDefault="00742806" w:rsidP="00742806">
      <w:pPr>
        <w:numPr>
          <w:ilvl w:val="0"/>
          <w:numId w:val="15"/>
        </w:numPr>
        <w:spacing w:line="360" w:lineRule="auto"/>
        <w:rPr>
          <w:sz w:val="22"/>
          <w:szCs w:val="22"/>
          <w:lang w:eastAsia="en-US"/>
        </w:rPr>
      </w:pPr>
      <w:r w:rsidRPr="00742806">
        <w:rPr>
          <w:sz w:val="22"/>
          <w:szCs w:val="22"/>
          <w:lang w:eastAsia="en-US"/>
        </w:rPr>
        <w:t>Academic articles</w:t>
      </w:r>
    </w:p>
    <w:p w14:paraId="2DF51597" w14:textId="77777777" w:rsidR="00742806" w:rsidRPr="00742806" w:rsidRDefault="00742806" w:rsidP="00742806">
      <w:pPr>
        <w:numPr>
          <w:ilvl w:val="0"/>
          <w:numId w:val="15"/>
        </w:numPr>
        <w:spacing w:line="360" w:lineRule="auto"/>
        <w:rPr>
          <w:sz w:val="22"/>
          <w:szCs w:val="22"/>
          <w:lang w:eastAsia="en-US"/>
        </w:rPr>
      </w:pPr>
      <w:r w:rsidRPr="00742806">
        <w:rPr>
          <w:sz w:val="22"/>
          <w:szCs w:val="22"/>
          <w:lang w:eastAsia="en-US"/>
        </w:rPr>
        <w:t>Government reports</w:t>
      </w:r>
    </w:p>
    <w:p w14:paraId="2E4A1135" w14:textId="77777777" w:rsidR="00742806" w:rsidRPr="00742806" w:rsidRDefault="00742806" w:rsidP="00742806">
      <w:pPr>
        <w:numPr>
          <w:ilvl w:val="0"/>
          <w:numId w:val="15"/>
        </w:numPr>
        <w:spacing w:line="360" w:lineRule="auto"/>
        <w:rPr>
          <w:sz w:val="22"/>
          <w:szCs w:val="22"/>
          <w:lang w:eastAsia="en-US"/>
        </w:rPr>
      </w:pPr>
      <w:r w:rsidRPr="00742806">
        <w:rPr>
          <w:sz w:val="22"/>
          <w:szCs w:val="22"/>
          <w:lang w:eastAsia="en-US"/>
        </w:rPr>
        <w:t>Electronic health records</w:t>
      </w:r>
    </w:p>
    <w:p w14:paraId="6A82DF70" w14:textId="77777777" w:rsidR="00742806" w:rsidRPr="00742806" w:rsidRDefault="00742806" w:rsidP="00742806">
      <w:pPr>
        <w:numPr>
          <w:ilvl w:val="0"/>
          <w:numId w:val="15"/>
        </w:numPr>
        <w:spacing w:line="360" w:lineRule="auto"/>
        <w:rPr>
          <w:sz w:val="22"/>
          <w:szCs w:val="22"/>
          <w:lang w:eastAsia="en-US"/>
        </w:rPr>
      </w:pPr>
      <w:r w:rsidRPr="00742806">
        <w:rPr>
          <w:sz w:val="22"/>
          <w:szCs w:val="22"/>
          <w:lang w:eastAsia="en-US"/>
        </w:rPr>
        <w:t>Statistical databases</w:t>
      </w:r>
    </w:p>
    <w:p w14:paraId="39C2CCF1" w14:textId="77777777" w:rsidR="00742806" w:rsidRPr="00742806" w:rsidRDefault="00742806" w:rsidP="00742806">
      <w:pPr>
        <w:numPr>
          <w:ilvl w:val="0"/>
          <w:numId w:val="15"/>
        </w:numPr>
        <w:spacing w:line="360" w:lineRule="auto"/>
        <w:rPr>
          <w:sz w:val="22"/>
          <w:szCs w:val="22"/>
          <w:lang w:eastAsia="en-US"/>
        </w:rPr>
      </w:pPr>
      <w:r w:rsidRPr="00742806">
        <w:rPr>
          <w:sz w:val="22"/>
          <w:szCs w:val="22"/>
          <w:lang w:eastAsia="en-US"/>
        </w:rPr>
        <w:t>NHS publications</w:t>
      </w:r>
    </w:p>
    <w:p w14:paraId="013CF9B2" w14:textId="77777777" w:rsidR="00742806" w:rsidRPr="00742806" w:rsidRDefault="00742806" w:rsidP="00742806">
      <w:pPr>
        <w:spacing w:line="360" w:lineRule="auto"/>
        <w:rPr>
          <w:sz w:val="22"/>
          <w:szCs w:val="22"/>
          <w:lang w:eastAsia="en-US"/>
        </w:rPr>
      </w:pPr>
      <w:r w:rsidRPr="00742806">
        <w:rPr>
          <w:sz w:val="22"/>
          <w:szCs w:val="22"/>
          <w:lang w:eastAsia="en-US"/>
        </w:rPr>
        <w:lastRenderedPageBreak/>
        <w:t>Secondary data is often large-scale, reliable, and cost-effective. It is particularly useful for understanding national trends and evaluating existing health policies.</w:t>
      </w:r>
    </w:p>
    <w:p w14:paraId="7C573030" w14:textId="77777777" w:rsidR="004468F8" w:rsidRPr="00742806" w:rsidRDefault="004468F8" w:rsidP="00742806">
      <w:pPr>
        <w:spacing w:line="360" w:lineRule="auto"/>
        <w:rPr>
          <w:sz w:val="22"/>
          <w:szCs w:val="22"/>
          <w:lang w:eastAsia="en-US"/>
        </w:rPr>
      </w:pPr>
    </w:p>
    <w:p w14:paraId="37E0A8AF" w14:textId="77777777" w:rsidR="004468F8" w:rsidRPr="004468F8" w:rsidRDefault="004468F8" w:rsidP="004468F8">
      <w:pPr>
        <w:rPr>
          <w:lang w:eastAsia="en-US"/>
        </w:rPr>
      </w:pPr>
    </w:p>
    <w:p w14:paraId="40B4162B" w14:textId="77777777" w:rsidR="004468F8" w:rsidRDefault="004468F8" w:rsidP="004468F8">
      <w:pPr>
        <w:pStyle w:val="Heading2"/>
        <w:rPr>
          <w:rFonts w:eastAsia="Aptos"/>
          <w:lang w:eastAsia="en-US"/>
        </w:rPr>
      </w:pPr>
      <w:bookmarkStart w:id="17" w:name="_Toc213674540"/>
      <w:bookmarkStart w:id="18" w:name="_Toc215821572"/>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7"/>
      <w:bookmarkEnd w:id="18"/>
    </w:p>
    <w:p w14:paraId="4E432BA0" w14:textId="77777777" w:rsidR="00661551" w:rsidRPr="00661551" w:rsidRDefault="00661551" w:rsidP="002E2BE5">
      <w:pPr>
        <w:spacing w:line="360" w:lineRule="auto"/>
        <w:rPr>
          <w:sz w:val="22"/>
          <w:szCs w:val="22"/>
        </w:rPr>
      </w:pPr>
      <w:r w:rsidRPr="00661551">
        <w:rPr>
          <w:sz w:val="22"/>
          <w:szCs w:val="22"/>
        </w:rPr>
        <w:t>This research primarily relies on secondary data, supported by hypothetical examples of primary data to enhance understanding. This choice is based on several considerations:</w:t>
      </w:r>
    </w:p>
    <w:p w14:paraId="01ED7A76" w14:textId="77777777" w:rsidR="00661551" w:rsidRPr="00661551" w:rsidRDefault="00661551" w:rsidP="002E2BE5">
      <w:pPr>
        <w:numPr>
          <w:ilvl w:val="0"/>
          <w:numId w:val="16"/>
        </w:numPr>
        <w:spacing w:line="360" w:lineRule="auto"/>
        <w:rPr>
          <w:sz w:val="22"/>
          <w:szCs w:val="22"/>
        </w:rPr>
      </w:pPr>
      <w:r w:rsidRPr="00661551">
        <w:rPr>
          <w:sz w:val="22"/>
          <w:szCs w:val="22"/>
        </w:rPr>
        <w:t>Relevance to National Public Health</w:t>
      </w:r>
      <w:r w:rsidRPr="00661551">
        <w:rPr>
          <w:sz w:val="22"/>
          <w:szCs w:val="22"/>
        </w:rPr>
        <w:br/>
        <w:t>Secondary sources such as NHS England and Public Health England provide robust statistics essential for evaluating early diagnosis strategies.</w:t>
      </w:r>
    </w:p>
    <w:p w14:paraId="0E7FB279" w14:textId="77777777" w:rsidR="00661551" w:rsidRPr="00661551" w:rsidRDefault="00661551" w:rsidP="002E2BE5">
      <w:pPr>
        <w:numPr>
          <w:ilvl w:val="0"/>
          <w:numId w:val="16"/>
        </w:numPr>
        <w:spacing w:line="360" w:lineRule="auto"/>
        <w:rPr>
          <w:sz w:val="22"/>
          <w:szCs w:val="22"/>
        </w:rPr>
      </w:pPr>
      <w:r w:rsidRPr="00661551">
        <w:rPr>
          <w:sz w:val="22"/>
          <w:szCs w:val="22"/>
        </w:rPr>
        <w:t>Availability of reliable datasets</w:t>
      </w:r>
      <w:r w:rsidRPr="00661551">
        <w:rPr>
          <w:sz w:val="22"/>
          <w:szCs w:val="22"/>
        </w:rPr>
        <w:br/>
        <w:t>The UK maintains comprehensive diabetes datasets, making secondary data highly valuable for gaining accurate insights.</w:t>
      </w:r>
    </w:p>
    <w:p w14:paraId="53EE88E0" w14:textId="77777777" w:rsidR="00661551" w:rsidRPr="00661551" w:rsidRDefault="00661551" w:rsidP="002E2BE5">
      <w:pPr>
        <w:numPr>
          <w:ilvl w:val="0"/>
          <w:numId w:val="16"/>
        </w:numPr>
        <w:spacing w:line="360" w:lineRule="auto"/>
        <w:rPr>
          <w:sz w:val="22"/>
          <w:szCs w:val="22"/>
        </w:rPr>
      </w:pPr>
      <w:r w:rsidRPr="00661551">
        <w:rPr>
          <w:sz w:val="22"/>
          <w:szCs w:val="22"/>
        </w:rPr>
        <w:t>Ethical and practical constraints</w:t>
      </w:r>
      <w:r w:rsidRPr="00661551">
        <w:rPr>
          <w:sz w:val="22"/>
          <w:szCs w:val="22"/>
        </w:rPr>
        <w:br/>
        <w:t>Conducting primary research with diabetic patients requires extensive ethical approval, time, and financial resources.</w:t>
      </w:r>
    </w:p>
    <w:p w14:paraId="0105DDB5" w14:textId="77777777" w:rsidR="00661551" w:rsidRPr="00661551" w:rsidRDefault="00661551" w:rsidP="002E2BE5">
      <w:pPr>
        <w:numPr>
          <w:ilvl w:val="0"/>
          <w:numId w:val="16"/>
        </w:numPr>
        <w:spacing w:line="360" w:lineRule="auto"/>
        <w:rPr>
          <w:sz w:val="22"/>
          <w:szCs w:val="22"/>
        </w:rPr>
      </w:pPr>
      <w:r w:rsidRPr="00661551">
        <w:rPr>
          <w:sz w:val="22"/>
          <w:szCs w:val="22"/>
        </w:rPr>
        <w:t>Ability to compare across populations</w:t>
      </w:r>
      <w:r w:rsidRPr="00661551">
        <w:rPr>
          <w:sz w:val="22"/>
          <w:szCs w:val="22"/>
        </w:rPr>
        <w:br/>
        <w:t>Secondary data enables broad comparative analysis that would be difficult to achieve using only primary data.</w:t>
      </w:r>
    </w:p>
    <w:p w14:paraId="5917248C" w14:textId="77777777" w:rsidR="00661551" w:rsidRPr="00661551" w:rsidRDefault="00661551" w:rsidP="002E2BE5">
      <w:pPr>
        <w:spacing w:line="360" w:lineRule="auto"/>
        <w:rPr>
          <w:sz w:val="22"/>
          <w:szCs w:val="22"/>
        </w:rPr>
      </w:pPr>
      <w:r w:rsidRPr="00661551">
        <w:rPr>
          <w:sz w:val="22"/>
          <w:szCs w:val="22"/>
        </w:rPr>
        <w:t>While secondary data forms the foundation of the research, hypothetical primary examples (e.g., potential interview findings) help illustrate patient experiences and strengthen contextual understanding.</w:t>
      </w:r>
    </w:p>
    <w:p w14:paraId="2CAB728F" w14:textId="77777777" w:rsidR="004468F8" w:rsidRDefault="004468F8" w:rsidP="004468F8"/>
    <w:p w14:paraId="4856A281" w14:textId="77777777" w:rsidR="00530E16" w:rsidRDefault="004468F8">
      <w:pPr>
        <w:pStyle w:val="Heading1"/>
        <w:jc w:val="both"/>
      </w:pPr>
      <w:bookmarkStart w:id="19" w:name="_Toc213674541"/>
      <w:bookmarkStart w:id="20" w:name="_Toc215821573"/>
      <w:r>
        <w:t>Conclusion</w:t>
      </w:r>
      <w:bookmarkEnd w:id="19"/>
      <w:bookmarkEnd w:id="20"/>
    </w:p>
    <w:p w14:paraId="392737F8" w14:textId="77777777" w:rsidR="00B61D16" w:rsidRPr="00B61D16" w:rsidRDefault="00B61D16" w:rsidP="00B61D16">
      <w:pPr>
        <w:spacing w:line="360" w:lineRule="auto"/>
        <w:jc w:val="both"/>
        <w:rPr>
          <w:sz w:val="22"/>
          <w:szCs w:val="22"/>
        </w:rPr>
      </w:pPr>
      <w:r w:rsidRPr="00B61D16">
        <w:rPr>
          <w:sz w:val="22"/>
          <w:szCs w:val="22"/>
        </w:rPr>
        <w:t xml:space="preserve">Early diagnosis and timely treatment of Type 2 diabetes in adults are essential for reducing long-term complications, improving quality of life, and minimising the financial burden on the NHS. Despite significant advancements in screening tools and treatment guidelines, many adults in the UK continue to be diagnosed late due to social, cultural, and behavioural factors. This </w:t>
      </w:r>
      <w:r w:rsidRPr="00B61D16">
        <w:rPr>
          <w:sz w:val="22"/>
          <w:szCs w:val="22"/>
        </w:rPr>
        <w:lastRenderedPageBreak/>
        <w:t>highlights the need for improved public education, enhanced screening programmes, and more accessible healthcare services.</w:t>
      </w:r>
    </w:p>
    <w:p w14:paraId="309AFD83" w14:textId="77777777" w:rsidR="00B61D16" w:rsidRPr="00B61D16" w:rsidRDefault="00B61D16" w:rsidP="00B61D16">
      <w:pPr>
        <w:spacing w:line="360" w:lineRule="auto"/>
        <w:jc w:val="both"/>
        <w:rPr>
          <w:sz w:val="22"/>
          <w:szCs w:val="22"/>
        </w:rPr>
      </w:pPr>
      <w:r w:rsidRPr="00B61D16">
        <w:rPr>
          <w:sz w:val="22"/>
          <w:szCs w:val="22"/>
        </w:rPr>
        <w:t>A mixed-methods research approach is most appropriate for studying this issue, as it captures both numerical data relating to prevalence and trends, and qualitative insights into patient experiences and barriers to care. Secondary data provides a strong foundation for understanding national patterns and policies, while qualitative perspectives add depth and explain underlying causes of delayed diagnosis.</w:t>
      </w:r>
    </w:p>
    <w:p w14:paraId="44FC4AF4" w14:textId="77777777" w:rsidR="00B61D16" w:rsidRPr="00B61D16" w:rsidRDefault="00B61D16" w:rsidP="00B61D16">
      <w:pPr>
        <w:spacing w:line="360" w:lineRule="auto"/>
        <w:jc w:val="both"/>
        <w:rPr>
          <w:sz w:val="22"/>
          <w:szCs w:val="22"/>
        </w:rPr>
      </w:pPr>
      <w:r w:rsidRPr="00B61D16">
        <w:rPr>
          <w:sz w:val="22"/>
          <w:szCs w:val="22"/>
        </w:rPr>
        <w:t>To reduce the long-term burden of Type 2 diabetes, health and social care services must prioritise early detection, expand outreach programmes, and tailor interventions to address inequalities across communities. Collaborative efforts involving healthcare providers, policymakers, community organisations, and public health bodies will be essential for improving early diagnosis rates and securing better health outcomes for adults across the UK.</w:t>
      </w:r>
    </w:p>
    <w:p w14:paraId="5B729B2E" w14:textId="58B6FBCF" w:rsidR="00530E16" w:rsidRDefault="00257AD2" w:rsidP="00257AD2">
      <w:pPr>
        <w:pStyle w:val="Heading1"/>
        <w:jc w:val="both"/>
      </w:pPr>
      <w:bookmarkStart w:id="21" w:name="_Toc215821574"/>
      <w:r>
        <w:t>Reference List</w:t>
      </w:r>
      <w:bookmarkEnd w:id="21"/>
    </w:p>
    <w:p w14:paraId="50DC3674" w14:textId="77777777" w:rsidR="00326364" w:rsidRPr="00326364" w:rsidRDefault="00326364" w:rsidP="00326364">
      <w:r w:rsidRPr="00326364">
        <w:t xml:space="preserve">Diabetes UK (2023) </w:t>
      </w:r>
      <w:r w:rsidRPr="00326364">
        <w:rPr>
          <w:i/>
          <w:iCs/>
        </w:rPr>
        <w:t>State of the Nation: Diabetes Report</w:t>
      </w:r>
      <w:r w:rsidRPr="00326364">
        <w:t>. London: Diabetes UK.</w:t>
      </w:r>
    </w:p>
    <w:p w14:paraId="2B21E31F" w14:textId="6C81963F" w:rsidR="00326364" w:rsidRPr="00326364" w:rsidRDefault="00326364" w:rsidP="00326364">
      <w:r w:rsidRPr="00326364">
        <w:t xml:space="preserve">NHS England (2022) </w:t>
      </w:r>
      <w:r w:rsidRPr="00326364">
        <w:rPr>
          <w:i/>
          <w:iCs/>
        </w:rPr>
        <w:t>NHS Diabetes Prevention Programme: Annual Report</w:t>
      </w:r>
      <w:r w:rsidRPr="00326364">
        <w:t xml:space="preserve">. Available at: </w:t>
      </w:r>
      <w:hyperlink r:id="rId10" w:tgtFrame="_new" w:history="1">
        <w:r w:rsidRPr="00326364">
          <w:rPr>
            <w:rStyle w:val="Hyperlink"/>
          </w:rPr>
          <w:t>https://www.england.nhs.uk</w:t>
        </w:r>
      </w:hyperlink>
      <w:r w:rsidRPr="00326364">
        <w:t xml:space="preserve"> (Accessed: </w:t>
      </w:r>
      <w:r>
        <w:t>26 November 2025</w:t>
      </w:r>
      <w:r w:rsidRPr="00326364">
        <w:t>).</w:t>
      </w:r>
    </w:p>
    <w:p w14:paraId="4E12F414" w14:textId="77777777" w:rsidR="00326364" w:rsidRPr="00326364" w:rsidRDefault="00326364" w:rsidP="00326364">
      <w:r w:rsidRPr="00326364">
        <w:t xml:space="preserve">National Institute for Health and Care Excellence (2021) </w:t>
      </w:r>
      <w:r w:rsidRPr="00326364">
        <w:rPr>
          <w:i/>
          <w:iCs/>
        </w:rPr>
        <w:t>Type 2 Diabetes in Adults: Management (NG28)</w:t>
      </w:r>
      <w:r w:rsidRPr="00326364">
        <w:t>. London: NICE.</w:t>
      </w:r>
    </w:p>
    <w:p w14:paraId="482A789C" w14:textId="77777777" w:rsidR="00326364" w:rsidRPr="00326364" w:rsidRDefault="00326364" w:rsidP="00326364">
      <w:r w:rsidRPr="00326364">
        <w:t xml:space="preserve">Public Health England (2020) </w:t>
      </w:r>
      <w:r w:rsidRPr="00326364">
        <w:rPr>
          <w:i/>
          <w:iCs/>
        </w:rPr>
        <w:t>Health Matters: Preventing Type 2 Diabetes</w:t>
      </w:r>
      <w:r w:rsidRPr="00326364">
        <w:t>. London: PHE.</w:t>
      </w:r>
    </w:p>
    <w:p w14:paraId="2061CE3E" w14:textId="77777777" w:rsidR="00326364" w:rsidRPr="00326364" w:rsidRDefault="00326364" w:rsidP="00326364">
      <w:r w:rsidRPr="00326364">
        <w:t xml:space="preserve">Whittemore, R. and Roy, S. (2020) ‘Diabetes self-management and health outcomes’, </w:t>
      </w:r>
      <w:r w:rsidRPr="00326364">
        <w:rPr>
          <w:i/>
          <w:iCs/>
        </w:rPr>
        <w:t>Journal of Clinical Nursing</w:t>
      </w:r>
      <w:r w:rsidRPr="00326364">
        <w:t>, 29(13–14), pp. 2340–2350.</w:t>
      </w:r>
    </w:p>
    <w:p w14:paraId="6331E4A2" w14:textId="77777777" w:rsidR="00326364" w:rsidRPr="00326364" w:rsidRDefault="00326364" w:rsidP="00326364">
      <w:r w:rsidRPr="00326364">
        <w:t xml:space="preserve">World Health Organisation (2021) </w:t>
      </w:r>
      <w:r w:rsidRPr="00326364">
        <w:rPr>
          <w:i/>
          <w:iCs/>
        </w:rPr>
        <w:t>Global Report on Diabetes</w:t>
      </w:r>
      <w:r w:rsidRPr="00326364">
        <w:t>. Geneva: WHO.</w:t>
      </w:r>
    </w:p>
    <w:p w14:paraId="20E05B08" w14:textId="77777777" w:rsidR="00D64317" w:rsidRDefault="00D64317" w:rsidP="00D64317"/>
    <w:p w14:paraId="57F2FEA7" w14:textId="77777777" w:rsidR="00D64317" w:rsidRDefault="00D64317" w:rsidP="00D64317"/>
    <w:p w14:paraId="0C555C32" w14:textId="77777777" w:rsidR="00D64317" w:rsidRDefault="00D64317" w:rsidP="00D64317"/>
    <w:p w14:paraId="76503CF7" w14:textId="1E35AE94" w:rsidR="00D64317" w:rsidRPr="00D64317" w:rsidRDefault="00D64317" w:rsidP="00D64317"/>
    <w:p w14:paraId="56B81B56" w14:textId="780CF1E2" w:rsidR="00530E16" w:rsidRPr="007637E9" w:rsidRDefault="00530E16">
      <w:pPr>
        <w:rPr>
          <w:rFonts w:ascii="Arial" w:eastAsia="Arial" w:hAnsi="Arial" w:cs="Arial"/>
          <w:color w:val="FF0000"/>
          <w:sz w:val="22"/>
          <w:szCs w:val="22"/>
        </w:rPr>
      </w:pPr>
    </w:p>
    <w:sectPr w:rsidR="00530E16" w:rsidRPr="007637E9" w:rsidSect="00722EFE">
      <w:footerReference w:type="first" r:id="rId1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0F275" w14:textId="77777777" w:rsidR="00AD6F6B" w:rsidRDefault="00AD6F6B" w:rsidP="002A1842">
      <w:pPr>
        <w:spacing w:after="0" w:line="240" w:lineRule="auto"/>
      </w:pPr>
      <w:r>
        <w:separator/>
      </w:r>
    </w:p>
  </w:endnote>
  <w:endnote w:type="continuationSeparator" w:id="0">
    <w:p w14:paraId="1DBB8CFB" w14:textId="77777777" w:rsidR="00AD6F6B" w:rsidRDefault="00AD6F6B"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D432DBF"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53EC0C4"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28C0DE3"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1FDA77D"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060DEE" w14:textId="77777777" w:rsidR="00AD6F6B" w:rsidRDefault="00AD6F6B" w:rsidP="002A1842">
      <w:pPr>
        <w:spacing w:after="0" w:line="240" w:lineRule="auto"/>
      </w:pPr>
      <w:r>
        <w:separator/>
      </w:r>
    </w:p>
  </w:footnote>
  <w:footnote w:type="continuationSeparator" w:id="0">
    <w:p w14:paraId="3375C6F9" w14:textId="77777777" w:rsidR="00AD6F6B" w:rsidRDefault="00AD6F6B"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6F935A1"/>
    <w:multiLevelType w:val="hybridMultilevel"/>
    <w:tmpl w:val="27B0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47823"/>
    <w:multiLevelType w:val="multilevel"/>
    <w:tmpl w:val="2C004E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2F2316BC"/>
    <w:multiLevelType w:val="multilevel"/>
    <w:tmpl w:val="9A32E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7"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5D100BD0"/>
    <w:multiLevelType w:val="multilevel"/>
    <w:tmpl w:val="B7362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DB66B5E"/>
    <w:multiLevelType w:val="multilevel"/>
    <w:tmpl w:val="87BE1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373A2C"/>
    <w:multiLevelType w:val="multilevel"/>
    <w:tmpl w:val="DD1C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6841A8"/>
    <w:multiLevelType w:val="multilevel"/>
    <w:tmpl w:val="09C64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3"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4"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5" w15:restartNumberingAfterBreak="0">
    <w:nsid w:val="7E234EB7"/>
    <w:multiLevelType w:val="multilevel"/>
    <w:tmpl w:val="F1F60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5554751">
    <w:abstractNumId w:val="12"/>
  </w:num>
  <w:num w:numId="2" w16cid:durableId="909970887">
    <w:abstractNumId w:val="6"/>
  </w:num>
  <w:num w:numId="3" w16cid:durableId="983973570">
    <w:abstractNumId w:val="4"/>
  </w:num>
  <w:num w:numId="4" w16cid:durableId="320239433">
    <w:abstractNumId w:val="3"/>
  </w:num>
  <w:num w:numId="5" w16cid:durableId="984314629">
    <w:abstractNumId w:val="7"/>
  </w:num>
  <w:num w:numId="6" w16cid:durableId="1776711616">
    <w:abstractNumId w:val="0"/>
  </w:num>
  <w:num w:numId="7" w16cid:durableId="561404544">
    <w:abstractNumId w:val="14"/>
  </w:num>
  <w:num w:numId="8" w16cid:durableId="1381829822">
    <w:abstractNumId w:val="13"/>
  </w:num>
  <w:num w:numId="9" w16cid:durableId="275138698">
    <w:abstractNumId w:val="11"/>
  </w:num>
  <w:num w:numId="10" w16cid:durableId="2129473645">
    <w:abstractNumId w:val="1"/>
  </w:num>
  <w:num w:numId="11" w16cid:durableId="1589119595">
    <w:abstractNumId w:val="8"/>
  </w:num>
  <w:num w:numId="12" w16cid:durableId="489293597">
    <w:abstractNumId w:val="10"/>
  </w:num>
  <w:num w:numId="13" w16cid:durableId="2124569197">
    <w:abstractNumId w:val="2"/>
  </w:num>
  <w:num w:numId="14" w16cid:durableId="1762264240">
    <w:abstractNumId w:val="5"/>
  </w:num>
  <w:num w:numId="15" w16cid:durableId="1225216073">
    <w:abstractNumId w:val="15"/>
  </w:num>
  <w:num w:numId="16" w16cid:durableId="1209266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97BC5"/>
    <w:rsid w:val="00100267"/>
    <w:rsid w:val="0012536C"/>
    <w:rsid w:val="00136C44"/>
    <w:rsid w:val="00172AD1"/>
    <w:rsid w:val="00180D17"/>
    <w:rsid w:val="001813E7"/>
    <w:rsid w:val="001B6708"/>
    <w:rsid w:val="001B7B9B"/>
    <w:rsid w:val="001C66F7"/>
    <w:rsid w:val="002353F3"/>
    <w:rsid w:val="00242569"/>
    <w:rsid w:val="00257AD2"/>
    <w:rsid w:val="002650E4"/>
    <w:rsid w:val="00292316"/>
    <w:rsid w:val="00292682"/>
    <w:rsid w:val="0029734B"/>
    <w:rsid w:val="002A1842"/>
    <w:rsid w:val="002A43E7"/>
    <w:rsid w:val="002A4892"/>
    <w:rsid w:val="002B021D"/>
    <w:rsid w:val="002C3F2A"/>
    <w:rsid w:val="002C56EF"/>
    <w:rsid w:val="002D3905"/>
    <w:rsid w:val="002D3E45"/>
    <w:rsid w:val="002E2BE5"/>
    <w:rsid w:val="00326364"/>
    <w:rsid w:val="0034273F"/>
    <w:rsid w:val="003A0E9B"/>
    <w:rsid w:val="003C0350"/>
    <w:rsid w:val="003C23D6"/>
    <w:rsid w:val="004468F8"/>
    <w:rsid w:val="0044720F"/>
    <w:rsid w:val="004901DE"/>
    <w:rsid w:val="00515B22"/>
    <w:rsid w:val="00526E9D"/>
    <w:rsid w:val="00530E16"/>
    <w:rsid w:val="00543C85"/>
    <w:rsid w:val="0057406A"/>
    <w:rsid w:val="005E06DA"/>
    <w:rsid w:val="0060278E"/>
    <w:rsid w:val="00635675"/>
    <w:rsid w:val="00643935"/>
    <w:rsid w:val="006477C6"/>
    <w:rsid w:val="00661551"/>
    <w:rsid w:val="0069059D"/>
    <w:rsid w:val="006914B5"/>
    <w:rsid w:val="006C2F43"/>
    <w:rsid w:val="006C6731"/>
    <w:rsid w:val="006C6CCF"/>
    <w:rsid w:val="00722EFE"/>
    <w:rsid w:val="007313A3"/>
    <w:rsid w:val="00732FCB"/>
    <w:rsid w:val="007356A3"/>
    <w:rsid w:val="00742806"/>
    <w:rsid w:val="007637E9"/>
    <w:rsid w:val="00777FB8"/>
    <w:rsid w:val="008031DD"/>
    <w:rsid w:val="008649D3"/>
    <w:rsid w:val="00875960"/>
    <w:rsid w:val="00882544"/>
    <w:rsid w:val="0089154F"/>
    <w:rsid w:val="00893C69"/>
    <w:rsid w:val="008B2A61"/>
    <w:rsid w:val="008D1C36"/>
    <w:rsid w:val="008E7834"/>
    <w:rsid w:val="008F2E11"/>
    <w:rsid w:val="00962CE2"/>
    <w:rsid w:val="0097151F"/>
    <w:rsid w:val="009D1D99"/>
    <w:rsid w:val="009F52E3"/>
    <w:rsid w:val="009F60D1"/>
    <w:rsid w:val="00A71EF2"/>
    <w:rsid w:val="00A75B15"/>
    <w:rsid w:val="00A97337"/>
    <w:rsid w:val="00AD6F6B"/>
    <w:rsid w:val="00AE06EA"/>
    <w:rsid w:val="00B43866"/>
    <w:rsid w:val="00B55EFE"/>
    <w:rsid w:val="00B612F5"/>
    <w:rsid w:val="00B61D16"/>
    <w:rsid w:val="00B65ED6"/>
    <w:rsid w:val="00B81D13"/>
    <w:rsid w:val="00B86E6E"/>
    <w:rsid w:val="00BA0043"/>
    <w:rsid w:val="00BC668E"/>
    <w:rsid w:val="00BE0E9B"/>
    <w:rsid w:val="00C032AD"/>
    <w:rsid w:val="00C057CD"/>
    <w:rsid w:val="00C33442"/>
    <w:rsid w:val="00C65A85"/>
    <w:rsid w:val="00CF650B"/>
    <w:rsid w:val="00D060D0"/>
    <w:rsid w:val="00D156D6"/>
    <w:rsid w:val="00D204AF"/>
    <w:rsid w:val="00D62A9C"/>
    <w:rsid w:val="00D62CFB"/>
    <w:rsid w:val="00D64317"/>
    <w:rsid w:val="00D673E6"/>
    <w:rsid w:val="00D744B9"/>
    <w:rsid w:val="00DA5379"/>
    <w:rsid w:val="00DB181C"/>
    <w:rsid w:val="00E11C50"/>
    <w:rsid w:val="00E244EE"/>
    <w:rsid w:val="00E5667E"/>
    <w:rsid w:val="00EA0954"/>
    <w:rsid w:val="00EB006A"/>
    <w:rsid w:val="00F17FD9"/>
    <w:rsid w:val="00F47869"/>
    <w:rsid w:val="00F57826"/>
    <w:rsid w:val="00F60B81"/>
    <w:rsid w:val="00F618F2"/>
    <w:rsid w:val="00F75F87"/>
    <w:rsid w:val="00F819CA"/>
    <w:rsid w:val="00F938C5"/>
    <w:rsid w:val="00FB6163"/>
    <w:rsid w:val="00FC550A"/>
    <w:rsid w:val="00FC7A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47AF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3263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5" Type="http://schemas.openxmlformats.org/officeDocument/2006/relationships/settings" Target="settings.xml"/><Relationship Id="rId10" Type="http://schemas.openxmlformats.org/officeDocument/2006/relationships/hyperlink" Target="https://www.england.nhs.uk" TargetMode="Externa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9</Pages>
  <Words>1872</Words>
  <Characters>11458</Characters>
  <Application>Microsoft Office Word</Application>
  <DocSecurity>0</DocSecurity>
  <Lines>216</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Prince Peter Ojeabulu Okhueidiata (2509560)</cp:lastModifiedBy>
  <cp:revision>17</cp:revision>
  <dcterms:created xsi:type="dcterms:W3CDTF">2025-12-05T09:44:00Z</dcterms:created>
  <dcterms:modified xsi:type="dcterms:W3CDTF">2025-12-05T10:06:00Z</dcterms:modified>
</cp:coreProperties>
</file>