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81BCC" w14:textId="588D5763" w:rsidR="00876B5D" w:rsidRDefault="006079FA" w:rsidP="00936EBE">
      <w:pPr>
        <w:spacing w:line="276" w:lineRule="auto"/>
        <w:jc w:val="center"/>
        <w:rPr>
          <w:b/>
          <w:bCs/>
          <w:color w:val="000000" w:themeColor="text1"/>
          <w:sz w:val="40"/>
          <w:szCs w:val="40"/>
          <w:u w:val="dotted"/>
          <w:lang w:val="en-IN"/>
        </w:rPr>
      </w:pPr>
      <w:bookmarkStart w:id="0" w:name="_Hlk220341460"/>
      <w:bookmarkEnd w:id="0"/>
      <w:r>
        <w:rPr>
          <w:b/>
          <w:bCs/>
          <w:noProof/>
          <w:color w:val="000000" w:themeColor="text1"/>
          <w:sz w:val="40"/>
          <w:szCs w:val="40"/>
          <w:u w:val="dotted"/>
          <w:lang w:val="en-IN"/>
          <w14:ligatures w14:val="standardContextual"/>
        </w:rPr>
        <w:drawing>
          <wp:inline distT="0" distB="0" distL="0" distR="0" wp14:anchorId="415E4E67" wp14:editId="59F28C4D">
            <wp:extent cx="3794686" cy="1280160"/>
            <wp:effectExtent l="0" t="0" r="0" b="0"/>
            <wp:docPr id="985928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928660" name="Picture 985928660"/>
                    <pic:cNvPicPr/>
                  </pic:nvPicPr>
                  <pic:blipFill>
                    <a:blip r:embed="rId8">
                      <a:extLst>
                        <a:ext uri="{28A0092B-C50C-407E-A947-70E740481C1C}">
                          <a14:useLocalDpi xmlns:a14="http://schemas.microsoft.com/office/drawing/2010/main" val="0"/>
                        </a:ext>
                      </a:extLst>
                    </a:blip>
                    <a:stretch>
                      <a:fillRect/>
                    </a:stretch>
                  </pic:blipFill>
                  <pic:spPr>
                    <a:xfrm>
                      <a:off x="0" y="0"/>
                      <a:ext cx="3853741" cy="1300082"/>
                    </a:xfrm>
                    <a:prstGeom prst="rect">
                      <a:avLst/>
                    </a:prstGeom>
                  </pic:spPr>
                </pic:pic>
              </a:graphicData>
            </a:graphic>
          </wp:inline>
        </w:drawing>
      </w:r>
    </w:p>
    <w:p w14:paraId="36D9B383" w14:textId="77777777" w:rsidR="00876B5D" w:rsidRDefault="00876B5D" w:rsidP="00936EBE">
      <w:pPr>
        <w:spacing w:line="276" w:lineRule="auto"/>
        <w:jc w:val="center"/>
        <w:rPr>
          <w:b/>
          <w:bCs/>
          <w:color w:val="000000" w:themeColor="text1"/>
          <w:sz w:val="40"/>
          <w:szCs w:val="40"/>
          <w:u w:val="dotted"/>
          <w:lang w:val="en-IN"/>
        </w:rPr>
      </w:pPr>
    </w:p>
    <w:p w14:paraId="1CFEC1A1" w14:textId="77777777" w:rsidR="00876B5D" w:rsidRDefault="00876B5D" w:rsidP="00936EBE">
      <w:pPr>
        <w:spacing w:line="276" w:lineRule="auto"/>
        <w:jc w:val="center"/>
        <w:rPr>
          <w:b/>
          <w:bCs/>
          <w:color w:val="000000" w:themeColor="text1"/>
          <w:sz w:val="40"/>
          <w:szCs w:val="40"/>
          <w:u w:val="dotted"/>
          <w:lang w:val="en-IN"/>
        </w:rPr>
      </w:pPr>
    </w:p>
    <w:p w14:paraId="49BCBEFE" w14:textId="3A13EDE5" w:rsidR="00876B5D" w:rsidRDefault="00876B5D" w:rsidP="00936EBE">
      <w:pPr>
        <w:spacing w:line="276" w:lineRule="auto"/>
        <w:jc w:val="center"/>
        <w:rPr>
          <w:b/>
          <w:bCs/>
          <w:color w:val="000000" w:themeColor="text1"/>
          <w:sz w:val="40"/>
          <w:szCs w:val="40"/>
          <w:u w:val="dotted"/>
          <w:lang w:val="en-IN"/>
        </w:rPr>
      </w:pPr>
    </w:p>
    <w:p w14:paraId="5E401D9B" w14:textId="14E8EB71" w:rsidR="00735123" w:rsidRDefault="00735123" w:rsidP="00936EBE">
      <w:pPr>
        <w:spacing w:line="276" w:lineRule="auto"/>
        <w:jc w:val="center"/>
        <w:rPr>
          <w:b/>
          <w:bCs/>
          <w:color w:val="000000" w:themeColor="text1"/>
          <w:sz w:val="40"/>
          <w:szCs w:val="40"/>
          <w:u w:val="dotted"/>
          <w:lang w:val="en-IN"/>
        </w:rPr>
      </w:pPr>
    </w:p>
    <w:p w14:paraId="57B69D69" w14:textId="77777777" w:rsidR="00936EBE" w:rsidRPr="00936EBE" w:rsidRDefault="00936EBE" w:rsidP="00936EBE">
      <w:pPr>
        <w:spacing w:line="276" w:lineRule="auto"/>
        <w:jc w:val="center"/>
        <w:rPr>
          <w:b/>
          <w:bCs/>
          <w:color w:val="000000" w:themeColor="text1"/>
          <w:lang w:val="en-IN"/>
        </w:rPr>
      </w:pPr>
    </w:p>
    <w:p w14:paraId="13C1A462" w14:textId="77777777" w:rsidR="00936EBE" w:rsidRPr="00936EBE" w:rsidRDefault="00936EBE" w:rsidP="006079FA">
      <w:pPr>
        <w:spacing w:line="276" w:lineRule="auto"/>
        <w:rPr>
          <w:b/>
          <w:bCs/>
          <w:color w:val="000000" w:themeColor="text1"/>
          <w:sz w:val="36"/>
          <w:szCs w:val="36"/>
          <w:lang w:val="en-IN"/>
        </w:rPr>
      </w:pPr>
      <w:r w:rsidRPr="00936EBE">
        <w:rPr>
          <w:b/>
          <w:bCs/>
          <w:color w:val="000000" w:themeColor="text1"/>
          <w:sz w:val="36"/>
          <w:szCs w:val="36"/>
          <w:lang w:val="en-IN"/>
        </w:rPr>
        <w:t xml:space="preserve">Name: </w:t>
      </w:r>
      <w:proofErr w:type="spellStart"/>
      <w:r w:rsidRPr="00936EBE">
        <w:rPr>
          <w:b/>
          <w:bCs/>
          <w:color w:val="000000" w:themeColor="text1"/>
          <w:sz w:val="36"/>
          <w:szCs w:val="36"/>
          <w:lang w:val="en-IN"/>
        </w:rPr>
        <w:t>Panktibahen</w:t>
      </w:r>
      <w:proofErr w:type="spellEnd"/>
      <w:r w:rsidRPr="00936EBE">
        <w:rPr>
          <w:b/>
          <w:bCs/>
          <w:color w:val="000000" w:themeColor="text1"/>
          <w:sz w:val="36"/>
          <w:szCs w:val="36"/>
          <w:lang w:val="en-IN"/>
        </w:rPr>
        <w:t xml:space="preserve"> </w:t>
      </w:r>
      <w:proofErr w:type="spellStart"/>
      <w:r w:rsidRPr="00936EBE">
        <w:rPr>
          <w:b/>
          <w:bCs/>
          <w:color w:val="000000" w:themeColor="text1"/>
          <w:sz w:val="36"/>
          <w:szCs w:val="36"/>
          <w:lang w:val="en-IN"/>
        </w:rPr>
        <w:t>Mihirkumar</w:t>
      </w:r>
      <w:proofErr w:type="spellEnd"/>
      <w:r w:rsidRPr="00936EBE">
        <w:rPr>
          <w:b/>
          <w:bCs/>
          <w:color w:val="000000" w:themeColor="text1"/>
          <w:sz w:val="36"/>
          <w:szCs w:val="36"/>
          <w:lang w:val="en-IN"/>
        </w:rPr>
        <w:t xml:space="preserve"> Chaudhari</w:t>
      </w:r>
    </w:p>
    <w:p w14:paraId="06CBF1E9" w14:textId="77777777" w:rsidR="00936EBE" w:rsidRPr="00936EBE" w:rsidRDefault="00936EBE" w:rsidP="006079FA">
      <w:pPr>
        <w:spacing w:line="276" w:lineRule="auto"/>
        <w:rPr>
          <w:b/>
          <w:bCs/>
          <w:color w:val="000000" w:themeColor="text1"/>
          <w:sz w:val="36"/>
          <w:szCs w:val="36"/>
          <w:lang w:val="en-IN"/>
        </w:rPr>
      </w:pPr>
      <w:r w:rsidRPr="00936EBE">
        <w:rPr>
          <w:b/>
          <w:bCs/>
          <w:color w:val="000000" w:themeColor="text1"/>
          <w:sz w:val="36"/>
          <w:szCs w:val="36"/>
          <w:lang w:val="en-IN"/>
        </w:rPr>
        <w:t>Student id: 2504333</w:t>
      </w:r>
    </w:p>
    <w:p w14:paraId="590C34DC" w14:textId="7335399A" w:rsidR="00936EBE" w:rsidRPr="00936EBE" w:rsidRDefault="00936EBE" w:rsidP="006079FA">
      <w:pPr>
        <w:spacing w:line="276" w:lineRule="auto"/>
        <w:rPr>
          <w:b/>
          <w:bCs/>
          <w:color w:val="000000" w:themeColor="text1"/>
          <w:sz w:val="36"/>
          <w:szCs w:val="36"/>
          <w:lang w:val="en-IN"/>
        </w:rPr>
      </w:pPr>
      <w:r w:rsidRPr="00936EBE">
        <w:rPr>
          <w:b/>
          <w:bCs/>
          <w:color w:val="000000" w:themeColor="text1"/>
          <w:sz w:val="36"/>
          <w:szCs w:val="36"/>
          <w:lang w:val="en-IN"/>
        </w:rPr>
        <w:t xml:space="preserve">Supervisor: </w:t>
      </w:r>
      <w:proofErr w:type="spellStart"/>
      <w:proofErr w:type="gramStart"/>
      <w:r w:rsidRPr="00936EBE">
        <w:rPr>
          <w:b/>
          <w:bCs/>
          <w:color w:val="000000" w:themeColor="text1"/>
          <w:sz w:val="36"/>
          <w:szCs w:val="36"/>
          <w:lang w:val="en-IN"/>
        </w:rPr>
        <w:t>Dr.Caroline</w:t>
      </w:r>
      <w:proofErr w:type="spellEnd"/>
      <w:proofErr w:type="gramEnd"/>
      <w:r w:rsidRPr="00936EBE">
        <w:rPr>
          <w:b/>
          <w:bCs/>
          <w:color w:val="000000" w:themeColor="text1"/>
          <w:sz w:val="36"/>
          <w:szCs w:val="36"/>
          <w:lang w:val="en-IN"/>
        </w:rPr>
        <w:t xml:space="preserve"> Jawad</w:t>
      </w:r>
    </w:p>
    <w:p w14:paraId="4454C51F" w14:textId="29AAE404" w:rsidR="00936EBE" w:rsidRPr="00936EBE" w:rsidRDefault="00B97545" w:rsidP="006079FA">
      <w:pPr>
        <w:spacing w:line="276" w:lineRule="auto"/>
        <w:rPr>
          <w:b/>
          <w:bCs/>
          <w:color w:val="000000" w:themeColor="text1"/>
          <w:sz w:val="36"/>
          <w:szCs w:val="36"/>
          <w:lang w:val="en-IN"/>
        </w:rPr>
      </w:pPr>
      <w:r>
        <w:rPr>
          <w:b/>
          <w:bCs/>
          <w:color w:val="000000" w:themeColor="text1"/>
          <w:sz w:val="36"/>
          <w:szCs w:val="36"/>
          <w:lang w:val="en-IN"/>
        </w:rPr>
        <w:t>Module</w:t>
      </w:r>
      <w:r w:rsidR="00936EBE" w:rsidRPr="00936EBE">
        <w:rPr>
          <w:b/>
          <w:bCs/>
          <w:color w:val="000000" w:themeColor="text1"/>
          <w:sz w:val="36"/>
          <w:szCs w:val="36"/>
          <w:lang w:val="en-IN"/>
        </w:rPr>
        <w:t xml:space="preserve">: </w:t>
      </w:r>
      <w:r w:rsidR="004D047E">
        <w:rPr>
          <w:b/>
          <w:bCs/>
          <w:color w:val="000000" w:themeColor="text1"/>
          <w:sz w:val="36"/>
          <w:szCs w:val="36"/>
          <w:lang w:val="en-IN"/>
        </w:rPr>
        <w:t>Research principles and philosophy</w:t>
      </w:r>
      <w:r w:rsidR="00876B5D">
        <w:rPr>
          <w:b/>
          <w:bCs/>
          <w:color w:val="000000" w:themeColor="text1"/>
          <w:sz w:val="36"/>
          <w:szCs w:val="36"/>
          <w:lang w:val="en-IN"/>
        </w:rPr>
        <w:t xml:space="preserve"> </w:t>
      </w:r>
      <w:r w:rsidR="004D047E">
        <w:rPr>
          <w:b/>
          <w:bCs/>
          <w:color w:val="000000" w:themeColor="text1"/>
          <w:sz w:val="36"/>
          <w:szCs w:val="36"/>
          <w:lang w:val="en-IN"/>
        </w:rPr>
        <w:t>(LCDB</w:t>
      </w:r>
      <w:r w:rsidR="00876B5D">
        <w:rPr>
          <w:b/>
          <w:bCs/>
          <w:color w:val="000000" w:themeColor="text1"/>
          <w:sz w:val="36"/>
          <w:szCs w:val="36"/>
          <w:lang w:val="en-IN"/>
        </w:rPr>
        <w:t>7007)</w:t>
      </w:r>
    </w:p>
    <w:p w14:paraId="2E884584" w14:textId="5C2E2C96" w:rsidR="00936EBE" w:rsidRPr="00A72364" w:rsidRDefault="00936EBE" w:rsidP="006079FA">
      <w:pPr>
        <w:spacing w:line="276" w:lineRule="auto"/>
        <w:rPr>
          <w:b/>
          <w:bCs/>
          <w:color w:val="000000" w:themeColor="text1"/>
          <w:sz w:val="36"/>
          <w:szCs w:val="36"/>
          <w:lang w:val="en-IN"/>
        </w:rPr>
      </w:pPr>
      <w:r w:rsidRPr="00936EBE">
        <w:rPr>
          <w:b/>
          <w:bCs/>
          <w:color w:val="000000" w:themeColor="text1"/>
          <w:sz w:val="36"/>
          <w:szCs w:val="36"/>
          <w:lang w:val="en-IN"/>
        </w:rPr>
        <w:t>Topic: Generational Perspectives on QR Code Payment Adoption in Rural Gujarat</w:t>
      </w:r>
      <w:r w:rsidR="00101CE8">
        <w:rPr>
          <w:b/>
          <w:bCs/>
          <w:color w:val="000000" w:themeColor="text1"/>
          <w:sz w:val="36"/>
          <w:szCs w:val="36"/>
          <w:lang w:val="en-IN"/>
        </w:rPr>
        <w:t>.</w:t>
      </w:r>
    </w:p>
    <w:p w14:paraId="3CDF9E90" w14:textId="77777777" w:rsidR="00936EBE" w:rsidRPr="00936EBE" w:rsidRDefault="00936EBE" w:rsidP="006079FA">
      <w:pPr>
        <w:spacing w:line="276" w:lineRule="auto"/>
        <w:rPr>
          <w:b/>
          <w:bCs/>
          <w:color w:val="000000" w:themeColor="text1"/>
          <w:lang w:val="en-IN"/>
        </w:rPr>
      </w:pPr>
    </w:p>
    <w:p w14:paraId="69D2CA55" w14:textId="77777777" w:rsidR="00936EBE" w:rsidRPr="00936EBE" w:rsidRDefault="00936EBE" w:rsidP="006079FA">
      <w:pPr>
        <w:spacing w:line="276" w:lineRule="auto"/>
        <w:rPr>
          <w:b/>
          <w:bCs/>
          <w:color w:val="000000" w:themeColor="text1"/>
          <w:lang w:val="en-IN"/>
        </w:rPr>
      </w:pPr>
    </w:p>
    <w:p w14:paraId="56A91EC8" w14:textId="77777777" w:rsidR="00936EBE" w:rsidRPr="00936EBE" w:rsidRDefault="00936EBE" w:rsidP="006079FA">
      <w:pPr>
        <w:spacing w:line="276" w:lineRule="auto"/>
        <w:rPr>
          <w:b/>
          <w:bCs/>
          <w:color w:val="000000" w:themeColor="text1"/>
          <w:lang w:val="en-IN"/>
        </w:rPr>
      </w:pPr>
    </w:p>
    <w:p w14:paraId="310EBAD2" w14:textId="77777777" w:rsidR="00936EBE" w:rsidRPr="00936EBE" w:rsidRDefault="00936EBE" w:rsidP="00936EBE">
      <w:pPr>
        <w:spacing w:line="276" w:lineRule="auto"/>
        <w:jc w:val="both"/>
        <w:rPr>
          <w:b/>
          <w:bCs/>
          <w:color w:val="000000" w:themeColor="text1"/>
          <w:lang w:val="en-IN"/>
        </w:rPr>
      </w:pPr>
    </w:p>
    <w:p w14:paraId="1D21CDCD" w14:textId="77777777" w:rsidR="00936EBE" w:rsidRDefault="00936EBE" w:rsidP="00936EBE">
      <w:pPr>
        <w:spacing w:line="276" w:lineRule="auto"/>
        <w:jc w:val="both"/>
        <w:rPr>
          <w:b/>
          <w:bCs/>
          <w:color w:val="000000" w:themeColor="text1"/>
          <w:lang w:val="en-IN"/>
        </w:rPr>
      </w:pPr>
    </w:p>
    <w:p w14:paraId="615E1687" w14:textId="77777777" w:rsidR="006079FA" w:rsidRPr="00936EBE" w:rsidRDefault="006079FA" w:rsidP="00936EBE">
      <w:pPr>
        <w:spacing w:line="276" w:lineRule="auto"/>
        <w:jc w:val="both"/>
        <w:rPr>
          <w:b/>
          <w:bCs/>
          <w:color w:val="000000" w:themeColor="text1"/>
          <w:lang w:val="en-IN"/>
        </w:rPr>
      </w:pPr>
    </w:p>
    <w:sdt>
      <w:sdtPr>
        <w:rPr>
          <w:color w:val="000000" w:themeColor="text1"/>
        </w:rPr>
        <w:id w:val="-403147654"/>
        <w:docPartObj>
          <w:docPartGallery w:val="Table of Contents"/>
          <w:docPartUnique/>
        </w:docPartObj>
      </w:sdtPr>
      <w:sdtContent>
        <w:p w14:paraId="34E0FE33" w14:textId="77777777" w:rsidR="00936EBE" w:rsidRPr="00936EBE" w:rsidRDefault="00936EBE" w:rsidP="00936EBE">
          <w:pPr>
            <w:keepNext/>
            <w:keepLines/>
            <w:spacing w:before="240" w:after="0" w:line="276" w:lineRule="auto"/>
            <w:jc w:val="both"/>
            <w:rPr>
              <w:rFonts w:eastAsia="DengXian Light"/>
              <w:b/>
              <w:bCs/>
              <w:color w:val="000000" w:themeColor="text1"/>
              <w:sz w:val="32"/>
              <w:szCs w:val="32"/>
              <w:lang w:val="en-US" w:eastAsia="en-US"/>
            </w:rPr>
          </w:pPr>
          <w:r w:rsidRPr="00936EBE">
            <w:rPr>
              <w:rFonts w:eastAsia="DengXian Light"/>
              <w:b/>
              <w:bCs/>
              <w:color w:val="000000" w:themeColor="text1"/>
              <w:sz w:val="32"/>
              <w:szCs w:val="32"/>
              <w:lang w:val="en-US" w:eastAsia="en-US"/>
            </w:rPr>
            <w:t>Table of Contents</w:t>
          </w:r>
        </w:p>
        <w:p w14:paraId="3684C45E" w14:textId="77777777" w:rsidR="00936EBE" w:rsidRPr="00936EBE" w:rsidRDefault="00936EBE" w:rsidP="00936EBE">
          <w:pPr>
            <w:tabs>
              <w:tab w:val="right" w:leader="dot" w:pos="9350"/>
            </w:tabs>
            <w:spacing w:after="100" w:line="256" w:lineRule="auto"/>
            <w:rPr>
              <w:rFonts w:eastAsia="DengXian" w:cs="Shruti"/>
              <w:noProof/>
              <w:lang w:val="en-IN"/>
            </w:rPr>
          </w:pPr>
          <w:r w:rsidRPr="00936EBE">
            <w:rPr>
              <w:rFonts w:eastAsia="DengXian"/>
              <w:color w:val="000000" w:themeColor="text1"/>
              <w:sz w:val="22"/>
              <w:szCs w:val="22"/>
              <w:lang w:val="en-US" w:eastAsia="en-US"/>
            </w:rPr>
            <w:fldChar w:fldCharType="begin"/>
          </w:r>
          <w:r w:rsidRPr="00936EBE">
            <w:rPr>
              <w:rFonts w:eastAsia="DengXian"/>
              <w:color w:val="000000" w:themeColor="text1"/>
              <w:sz w:val="22"/>
              <w:szCs w:val="22"/>
              <w:lang w:val="en-US" w:eastAsia="en-US"/>
            </w:rPr>
            <w:instrText xml:space="preserve"> TOC \o "1-3" \h \z \u </w:instrText>
          </w:r>
          <w:r w:rsidRPr="00936EBE">
            <w:rPr>
              <w:rFonts w:eastAsia="DengXian"/>
              <w:color w:val="000000" w:themeColor="text1"/>
              <w:sz w:val="22"/>
              <w:szCs w:val="22"/>
              <w:lang w:val="en-US" w:eastAsia="en-US"/>
            </w:rPr>
            <w:fldChar w:fldCharType="separate"/>
          </w:r>
          <w:hyperlink r:id="rId9" w:anchor="_Toc220267994" w:history="1">
            <w:r w:rsidRPr="00936EBE">
              <w:rPr>
                <w:rFonts w:eastAsia="DengXian"/>
                <w:b/>
                <w:bCs/>
                <w:noProof/>
                <w:color w:val="0563C1" w:themeColor="hyperlink"/>
                <w:sz w:val="22"/>
                <w:szCs w:val="22"/>
                <w:u w:val="single"/>
                <w:lang w:val="en-IN" w:eastAsia="en-US"/>
              </w:rPr>
              <w:t>Introduction</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_Toc220267994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3</w:t>
            </w:r>
            <w:r w:rsidRPr="00936EBE">
              <w:rPr>
                <w:rFonts w:eastAsia="DengXian" w:cs="Times New Roman"/>
                <w:noProof/>
                <w:webHidden/>
                <w:sz w:val="22"/>
                <w:szCs w:val="22"/>
                <w:u w:val="single"/>
                <w:lang w:val="en-US" w:eastAsia="en-US"/>
              </w:rPr>
              <w:fldChar w:fldCharType="end"/>
            </w:r>
          </w:hyperlink>
        </w:p>
        <w:p w14:paraId="1E6E1BD3"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10" w:anchor="_Toc220267995" w:history="1">
            <w:r w:rsidRPr="00936EBE">
              <w:rPr>
                <w:rFonts w:eastAsia="DengXian"/>
                <w:b/>
                <w:bCs/>
                <w:noProof/>
                <w:color w:val="0563C1" w:themeColor="hyperlink"/>
                <w:sz w:val="22"/>
                <w:szCs w:val="22"/>
                <w:u w:val="single"/>
                <w:lang w:val="en-IN" w:eastAsia="en-US"/>
              </w:rPr>
              <w:t>Background and Context</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_Toc220267995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3</w:t>
            </w:r>
            <w:r w:rsidRPr="00936EBE">
              <w:rPr>
                <w:rFonts w:eastAsia="DengXian" w:cs="Times New Roman"/>
                <w:noProof/>
                <w:webHidden/>
                <w:sz w:val="22"/>
                <w:szCs w:val="22"/>
                <w:u w:val="single"/>
                <w:lang w:val="en-US" w:eastAsia="en-US"/>
              </w:rPr>
              <w:fldChar w:fldCharType="end"/>
            </w:r>
          </w:hyperlink>
        </w:p>
        <w:p w14:paraId="012E20AF"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11" w:anchor="_Toc220267996" w:history="1">
            <w:r w:rsidRPr="00936EBE">
              <w:rPr>
                <w:rFonts w:eastAsia="DengXian"/>
                <w:b/>
                <w:bCs/>
                <w:noProof/>
                <w:color w:val="0563C1" w:themeColor="hyperlink"/>
                <w:sz w:val="22"/>
                <w:szCs w:val="22"/>
                <w:u w:val="single"/>
                <w:lang w:val="en-IN" w:eastAsia="en-US"/>
              </w:rPr>
              <w:t>Research Problem Statement</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_Toc220267996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4</w:t>
            </w:r>
            <w:r w:rsidRPr="00936EBE">
              <w:rPr>
                <w:rFonts w:eastAsia="DengXian" w:cs="Times New Roman"/>
                <w:noProof/>
                <w:webHidden/>
                <w:sz w:val="22"/>
                <w:szCs w:val="22"/>
                <w:u w:val="single"/>
                <w:lang w:val="en-US" w:eastAsia="en-US"/>
              </w:rPr>
              <w:fldChar w:fldCharType="end"/>
            </w:r>
          </w:hyperlink>
        </w:p>
        <w:p w14:paraId="61A8816F"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12" w:anchor="_Toc220267997" w:history="1">
            <w:r w:rsidRPr="00936EBE">
              <w:rPr>
                <w:rFonts w:eastAsia="DengXian"/>
                <w:b/>
                <w:bCs/>
                <w:noProof/>
                <w:color w:val="0563C1" w:themeColor="hyperlink"/>
                <w:sz w:val="22"/>
                <w:szCs w:val="22"/>
                <w:u w:val="single"/>
                <w:lang w:val="en-IN" w:eastAsia="en-US"/>
              </w:rPr>
              <w:t>Research Questions and Objectives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_Toc220267997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5</w:t>
            </w:r>
            <w:r w:rsidRPr="00936EBE">
              <w:rPr>
                <w:rFonts w:eastAsia="DengXian" w:cs="Times New Roman"/>
                <w:noProof/>
                <w:webHidden/>
                <w:sz w:val="22"/>
                <w:szCs w:val="22"/>
                <w:u w:val="single"/>
                <w:lang w:val="en-US" w:eastAsia="en-US"/>
              </w:rPr>
              <w:fldChar w:fldCharType="end"/>
            </w:r>
          </w:hyperlink>
        </w:p>
        <w:p w14:paraId="187A7172"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13" w:anchor="_Toc220267998" w:history="1">
            <w:r w:rsidRPr="00936EBE">
              <w:rPr>
                <w:rFonts w:eastAsia="DengXian"/>
                <w:b/>
                <w:bCs/>
                <w:noProof/>
                <w:color w:val="0563C1" w:themeColor="hyperlink"/>
                <w:sz w:val="22"/>
                <w:szCs w:val="22"/>
                <w:u w:val="single"/>
                <w:lang w:val="en-IN" w:eastAsia="en-US"/>
              </w:rPr>
              <w:t>Significance of Research</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_Toc220267998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6</w:t>
            </w:r>
            <w:r w:rsidRPr="00936EBE">
              <w:rPr>
                <w:rFonts w:eastAsia="DengXian" w:cs="Times New Roman"/>
                <w:noProof/>
                <w:webHidden/>
                <w:sz w:val="22"/>
                <w:szCs w:val="22"/>
                <w:u w:val="single"/>
                <w:lang w:val="en-US" w:eastAsia="en-US"/>
              </w:rPr>
              <w:fldChar w:fldCharType="end"/>
            </w:r>
          </w:hyperlink>
        </w:p>
        <w:p w14:paraId="2C5ED37E" w14:textId="77777777" w:rsidR="00936EBE" w:rsidRPr="00936EBE" w:rsidRDefault="00936EBE" w:rsidP="00936EBE">
          <w:pPr>
            <w:tabs>
              <w:tab w:val="right" w:leader="dot" w:pos="9350"/>
            </w:tabs>
            <w:spacing w:after="100" w:line="256" w:lineRule="auto"/>
            <w:rPr>
              <w:rFonts w:eastAsia="DengXian" w:cs="Shruti"/>
              <w:noProof/>
              <w:lang w:val="en-IN"/>
            </w:rPr>
          </w:pPr>
          <w:hyperlink r:id="rId14" w:anchor="_Toc220267999" w:history="1">
            <w:r w:rsidRPr="00936EBE">
              <w:rPr>
                <w:rFonts w:eastAsia="DengXian"/>
                <w:b/>
                <w:bCs/>
                <w:noProof/>
                <w:color w:val="0563C1" w:themeColor="hyperlink"/>
                <w:sz w:val="22"/>
                <w:szCs w:val="22"/>
                <w:u w:val="single"/>
                <w:lang w:val="en-IN" w:eastAsia="en-US"/>
              </w:rPr>
              <w:t>Literature Review</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_Toc220267999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8</w:t>
            </w:r>
            <w:r w:rsidRPr="00936EBE">
              <w:rPr>
                <w:rFonts w:eastAsia="DengXian" w:cs="Times New Roman"/>
                <w:noProof/>
                <w:webHidden/>
                <w:sz w:val="22"/>
                <w:szCs w:val="22"/>
                <w:u w:val="single"/>
                <w:lang w:val="en-US" w:eastAsia="en-US"/>
              </w:rPr>
              <w:fldChar w:fldCharType="end"/>
            </w:r>
          </w:hyperlink>
        </w:p>
        <w:p w14:paraId="4CE461A3"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15" w:anchor="_Toc220268000" w:history="1">
            <w:r w:rsidRPr="00936EBE">
              <w:rPr>
                <w:rFonts w:eastAsia="DengXian"/>
                <w:b/>
                <w:bCs/>
                <w:noProof/>
                <w:color w:val="0563C1" w:themeColor="hyperlink"/>
                <w:sz w:val="22"/>
                <w:szCs w:val="22"/>
                <w:u w:val="single"/>
                <w:lang w:val="en-IN" w:eastAsia="en-US"/>
              </w:rPr>
              <w:t>Digital Payment Adoption in India</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_Toc220268000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8</w:t>
            </w:r>
            <w:r w:rsidRPr="00936EBE">
              <w:rPr>
                <w:rFonts w:eastAsia="DengXian" w:cs="Times New Roman"/>
                <w:noProof/>
                <w:webHidden/>
                <w:sz w:val="22"/>
                <w:szCs w:val="22"/>
                <w:u w:val="single"/>
                <w:lang w:val="en-US" w:eastAsia="en-US"/>
              </w:rPr>
              <w:fldChar w:fldCharType="end"/>
            </w:r>
          </w:hyperlink>
        </w:p>
        <w:p w14:paraId="70829463"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16" w:anchor="_Toc220268001" w:history="1">
            <w:r w:rsidRPr="00936EBE">
              <w:rPr>
                <w:rFonts w:eastAsia="DengXian"/>
                <w:b/>
                <w:bCs/>
                <w:noProof/>
                <w:color w:val="0563C1" w:themeColor="hyperlink"/>
                <w:sz w:val="22"/>
                <w:szCs w:val="22"/>
                <w:u w:val="single"/>
                <w:lang w:val="en-IN" w:eastAsia="en-US"/>
              </w:rPr>
              <w:t>Generational Differences in Technology Adoption</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_Toc220268001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9</w:t>
            </w:r>
            <w:r w:rsidRPr="00936EBE">
              <w:rPr>
                <w:rFonts w:eastAsia="DengXian" w:cs="Times New Roman"/>
                <w:noProof/>
                <w:webHidden/>
                <w:sz w:val="22"/>
                <w:szCs w:val="22"/>
                <w:u w:val="single"/>
                <w:lang w:val="en-US" w:eastAsia="en-US"/>
              </w:rPr>
              <w:fldChar w:fldCharType="end"/>
            </w:r>
          </w:hyperlink>
        </w:p>
        <w:p w14:paraId="5C838290"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17" w:anchor="_Toc220268002" w:history="1">
            <w:r w:rsidRPr="00936EBE">
              <w:rPr>
                <w:rFonts w:eastAsia="DengXian"/>
                <w:b/>
                <w:bCs/>
                <w:noProof/>
                <w:color w:val="0563C1" w:themeColor="hyperlink"/>
                <w:sz w:val="22"/>
                <w:szCs w:val="22"/>
                <w:u w:val="single"/>
                <w:lang w:val="en-US" w:eastAsia="en-US"/>
              </w:rPr>
              <w:t>Creswell’s five approaches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_Toc220268002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10</w:t>
            </w:r>
            <w:r w:rsidRPr="00936EBE">
              <w:rPr>
                <w:rFonts w:eastAsia="DengXian" w:cs="Times New Roman"/>
                <w:noProof/>
                <w:webHidden/>
                <w:sz w:val="22"/>
                <w:szCs w:val="22"/>
                <w:u w:val="single"/>
                <w:lang w:val="en-US" w:eastAsia="en-US"/>
              </w:rPr>
              <w:fldChar w:fldCharType="end"/>
            </w:r>
          </w:hyperlink>
        </w:p>
        <w:p w14:paraId="3C34BE08"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18" w:anchor="_Toc220268003" w:history="1">
            <w:r w:rsidRPr="00936EBE">
              <w:rPr>
                <w:rFonts w:eastAsia="DengXian"/>
                <w:b/>
                <w:bCs/>
                <w:noProof/>
                <w:color w:val="0563C1" w:themeColor="hyperlink"/>
                <w:sz w:val="22"/>
                <w:szCs w:val="22"/>
                <w:u w:val="single"/>
                <w:lang w:val="en-IN" w:eastAsia="en-US"/>
              </w:rPr>
              <w:t>Technology Acceptance Model and Extensions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_Toc220268003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11</w:t>
            </w:r>
            <w:r w:rsidRPr="00936EBE">
              <w:rPr>
                <w:rFonts w:eastAsia="DengXian" w:cs="Times New Roman"/>
                <w:noProof/>
                <w:webHidden/>
                <w:sz w:val="22"/>
                <w:szCs w:val="22"/>
                <w:u w:val="single"/>
                <w:lang w:val="en-US" w:eastAsia="en-US"/>
              </w:rPr>
              <w:fldChar w:fldCharType="end"/>
            </w:r>
          </w:hyperlink>
        </w:p>
        <w:p w14:paraId="4E6B0C13"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19" w:anchor="_Toc220268004" w:history="1">
            <w:r w:rsidRPr="00936EBE">
              <w:rPr>
                <w:rFonts w:eastAsia="DengXian"/>
                <w:b/>
                <w:bCs/>
                <w:noProof/>
                <w:color w:val="0563C1" w:themeColor="hyperlink"/>
                <w:sz w:val="22"/>
                <w:szCs w:val="22"/>
                <w:u w:val="single"/>
                <w:lang w:val="en-IN" w:eastAsia="en-US"/>
              </w:rPr>
              <w:t>Trust in Digital Financial Systems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_Toc220268004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12</w:t>
            </w:r>
            <w:r w:rsidRPr="00936EBE">
              <w:rPr>
                <w:rFonts w:eastAsia="DengXian" w:cs="Times New Roman"/>
                <w:noProof/>
                <w:webHidden/>
                <w:sz w:val="22"/>
                <w:szCs w:val="22"/>
                <w:u w:val="single"/>
                <w:lang w:val="en-US" w:eastAsia="en-US"/>
              </w:rPr>
              <w:fldChar w:fldCharType="end"/>
            </w:r>
          </w:hyperlink>
        </w:p>
        <w:p w14:paraId="7BBB2691"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20" w:anchor="_Toc220268005" w:history="1">
            <w:r w:rsidRPr="00936EBE">
              <w:rPr>
                <w:rFonts w:eastAsia="DengXian"/>
                <w:b/>
                <w:bCs/>
                <w:noProof/>
                <w:color w:val="0563C1" w:themeColor="hyperlink"/>
                <w:sz w:val="22"/>
                <w:szCs w:val="22"/>
                <w:u w:val="single"/>
                <w:lang w:val="en-IN" w:eastAsia="en-US"/>
              </w:rPr>
              <w:t>Gaps Addressed by This Research</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_Toc220268005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12</w:t>
            </w:r>
            <w:r w:rsidRPr="00936EBE">
              <w:rPr>
                <w:rFonts w:eastAsia="DengXian" w:cs="Times New Roman"/>
                <w:noProof/>
                <w:webHidden/>
                <w:sz w:val="22"/>
                <w:szCs w:val="22"/>
                <w:u w:val="single"/>
                <w:lang w:val="en-US" w:eastAsia="en-US"/>
              </w:rPr>
              <w:fldChar w:fldCharType="end"/>
            </w:r>
          </w:hyperlink>
        </w:p>
        <w:p w14:paraId="55C37792" w14:textId="77777777" w:rsidR="00936EBE" w:rsidRPr="00936EBE" w:rsidRDefault="00936EBE" w:rsidP="00936EBE">
          <w:pPr>
            <w:tabs>
              <w:tab w:val="right" w:leader="dot" w:pos="9350"/>
            </w:tabs>
            <w:spacing w:after="100" w:line="256" w:lineRule="auto"/>
            <w:rPr>
              <w:rFonts w:eastAsia="DengXian" w:cs="Shruti"/>
              <w:noProof/>
              <w:lang w:val="en-IN"/>
            </w:rPr>
          </w:pPr>
          <w:hyperlink r:id="rId21" w:anchor="_Toc220268006" w:history="1">
            <w:r w:rsidRPr="00936EBE">
              <w:rPr>
                <w:rFonts w:eastAsia="DengXian"/>
                <w:b/>
                <w:bCs/>
                <w:noProof/>
                <w:color w:val="0563C1" w:themeColor="hyperlink"/>
                <w:sz w:val="22"/>
                <w:szCs w:val="22"/>
                <w:u w:val="single"/>
                <w:lang w:val="en-IN" w:eastAsia="en-US"/>
              </w:rPr>
              <w:t>Theoretical Framework</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_Toc220268006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13</w:t>
            </w:r>
            <w:r w:rsidRPr="00936EBE">
              <w:rPr>
                <w:rFonts w:eastAsia="DengXian" w:cs="Times New Roman"/>
                <w:noProof/>
                <w:webHidden/>
                <w:sz w:val="22"/>
                <w:szCs w:val="22"/>
                <w:u w:val="single"/>
                <w:lang w:val="en-US" w:eastAsia="en-US"/>
              </w:rPr>
              <w:fldChar w:fldCharType="end"/>
            </w:r>
          </w:hyperlink>
        </w:p>
        <w:p w14:paraId="46CEEF49"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22" w:anchor="_Toc220268007" w:history="1">
            <w:r w:rsidRPr="00936EBE">
              <w:rPr>
                <w:rFonts w:eastAsia="DengXian"/>
                <w:b/>
                <w:bCs/>
                <w:noProof/>
                <w:color w:val="0563C1" w:themeColor="hyperlink"/>
                <w:sz w:val="22"/>
                <w:szCs w:val="22"/>
                <w:u w:val="single"/>
                <w:lang w:val="en-IN" w:eastAsia="en-US"/>
              </w:rPr>
              <w:t>Constructivist Paradigm</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_Toc220268007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13</w:t>
            </w:r>
            <w:r w:rsidRPr="00936EBE">
              <w:rPr>
                <w:rFonts w:eastAsia="DengXian" w:cs="Times New Roman"/>
                <w:noProof/>
                <w:webHidden/>
                <w:sz w:val="22"/>
                <w:szCs w:val="22"/>
                <w:u w:val="single"/>
                <w:lang w:val="en-US" w:eastAsia="en-US"/>
              </w:rPr>
              <w:fldChar w:fldCharType="end"/>
            </w:r>
          </w:hyperlink>
        </w:p>
        <w:p w14:paraId="0BBE95CB"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23" w:anchor="_Toc220268008" w:history="1">
            <w:r w:rsidRPr="00936EBE">
              <w:rPr>
                <w:rFonts w:eastAsia="DengXian"/>
                <w:b/>
                <w:bCs/>
                <w:noProof/>
                <w:color w:val="0563C1" w:themeColor="hyperlink"/>
                <w:sz w:val="22"/>
                <w:szCs w:val="22"/>
                <w:u w:val="single"/>
                <w:lang w:val="en-IN" w:eastAsia="en-US"/>
              </w:rPr>
              <w:t>Relevance to the Research Problem</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_Toc220268008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14</w:t>
            </w:r>
            <w:r w:rsidRPr="00936EBE">
              <w:rPr>
                <w:rFonts w:eastAsia="DengXian" w:cs="Times New Roman"/>
                <w:noProof/>
                <w:webHidden/>
                <w:sz w:val="22"/>
                <w:szCs w:val="22"/>
                <w:u w:val="single"/>
                <w:lang w:val="en-US" w:eastAsia="en-US"/>
              </w:rPr>
              <w:fldChar w:fldCharType="end"/>
            </w:r>
          </w:hyperlink>
        </w:p>
        <w:p w14:paraId="29855128"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24" w:anchor="_Toc220268009" w:history="1">
            <w:r w:rsidRPr="00936EBE">
              <w:rPr>
                <w:rFonts w:eastAsia="DengXian"/>
                <w:b/>
                <w:bCs/>
                <w:noProof/>
                <w:color w:val="0563C1" w:themeColor="hyperlink"/>
                <w:sz w:val="22"/>
                <w:szCs w:val="22"/>
                <w:u w:val="single"/>
                <w:lang w:val="en-IN" w:eastAsia="en-US"/>
              </w:rPr>
              <w:t>Technology Acceptance Model Through a Constructivist Lens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_Toc220268009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14</w:t>
            </w:r>
            <w:r w:rsidRPr="00936EBE">
              <w:rPr>
                <w:rFonts w:eastAsia="DengXian" w:cs="Times New Roman"/>
                <w:noProof/>
                <w:webHidden/>
                <w:sz w:val="22"/>
                <w:szCs w:val="22"/>
                <w:u w:val="single"/>
                <w:lang w:val="en-US" w:eastAsia="en-US"/>
              </w:rPr>
              <w:fldChar w:fldCharType="end"/>
            </w:r>
          </w:hyperlink>
        </w:p>
        <w:p w14:paraId="7A873F26" w14:textId="77777777" w:rsidR="00936EBE" w:rsidRPr="00936EBE" w:rsidRDefault="00936EBE" w:rsidP="00936EBE">
          <w:pPr>
            <w:tabs>
              <w:tab w:val="right" w:leader="dot" w:pos="9350"/>
            </w:tabs>
            <w:spacing w:after="100" w:line="256" w:lineRule="auto"/>
            <w:rPr>
              <w:rFonts w:eastAsia="DengXian" w:cs="Shruti"/>
              <w:noProof/>
              <w:lang w:val="en-IN"/>
            </w:rPr>
          </w:pPr>
          <w:hyperlink r:id="rId25" w:anchor="_Toc220268010" w:history="1">
            <w:r w:rsidRPr="00936EBE">
              <w:rPr>
                <w:rFonts w:eastAsia="DengXian"/>
                <w:b/>
                <w:bCs/>
                <w:noProof/>
                <w:color w:val="0563C1" w:themeColor="hyperlink"/>
                <w:sz w:val="22"/>
                <w:szCs w:val="22"/>
                <w:u w:val="single"/>
                <w:lang w:val="en-IN" w:eastAsia="en-US"/>
              </w:rPr>
              <w:t>Conceptual Framework</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_Toc220268010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15</w:t>
            </w:r>
            <w:r w:rsidRPr="00936EBE">
              <w:rPr>
                <w:rFonts w:eastAsia="DengXian" w:cs="Times New Roman"/>
                <w:noProof/>
                <w:webHidden/>
                <w:sz w:val="22"/>
                <w:szCs w:val="22"/>
                <w:u w:val="single"/>
                <w:lang w:val="en-US" w:eastAsia="en-US"/>
              </w:rPr>
              <w:fldChar w:fldCharType="end"/>
            </w:r>
          </w:hyperlink>
        </w:p>
        <w:p w14:paraId="318E89EB"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26" w:anchor="_Toc220268011" w:history="1">
            <w:r w:rsidRPr="00936EBE">
              <w:rPr>
                <w:rFonts w:eastAsia="DengXian"/>
                <w:b/>
                <w:bCs/>
                <w:noProof/>
                <w:color w:val="0563C1" w:themeColor="hyperlink"/>
                <w:sz w:val="22"/>
                <w:szCs w:val="22"/>
                <w:u w:val="single"/>
                <w:lang w:val="en-US" w:eastAsia="en-US"/>
              </w:rPr>
              <w:t>Figure 1: Conceptual framework</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_Toc220268011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16</w:t>
            </w:r>
            <w:r w:rsidRPr="00936EBE">
              <w:rPr>
                <w:rFonts w:eastAsia="DengXian" w:cs="Times New Roman"/>
                <w:noProof/>
                <w:webHidden/>
                <w:sz w:val="22"/>
                <w:szCs w:val="22"/>
                <w:u w:val="single"/>
                <w:lang w:val="en-US" w:eastAsia="en-US"/>
              </w:rPr>
              <w:fldChar w:fldCharType="end"/>
            </w:r>
          </w:hyperlink>
        </w:p>
        <w:p w14:paraId="444DD29D" w14:textId="77777777" w:rsidR="00936EBE" w:rsidRPr="00936EBE" w:rsidRDefault="00936EBE" w:rsidP="00936EBE">
          <w:pPr>
            <w:tabs>
              <w:tab w:val="right" w:leader="dot" w:pos="9350"/>
            </w:tabs>
            <w:spacing w:after="100" w:line="256" w:lineRule="auto"/>
            <w:rPr>
              <w:rFonts w:eastAsia="DengXian" w:cs="Shruti"/>
              <w:noProof/>
              <w:lang w:val="en-IN"/>
            </w:rPr>
          </w:pPr>
          <w:hyperlink r:id="rId27" w:anchor="_Toc220268012" w:history="1">
            <w:r w:rsidRPr="00936EBE">
              <w:rPr>
                <w:rFonts w:eastAsia="DengXian"/>
                <w:b/>
                <w:bCs/>
                <w:noProof/>
                <w:color w:val="0563C1" w:themeColor="hyperlink"/>
                <w:sz w:val="22"/>
                <w:szCs w:val="22"/>
                <w:u w:val="single"/>
                <w:lang w:val="en-IN" w:eastAsia="en-US"/>
              </w:rPr>
              <w:t>Research Methodology</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_Toc220268012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17</w:t>
            </w:r>
            <w:r w:rsidRPr="00936EBE">
              <w:rPr>
                <w:rFonts w:eastAsia="DengXian" w:cs="Times New Roman"/>
                <w:noProof/>
                <w:webHidden/>
                <w:sz w:val="22"/>
                <w:szCs w:val="22"/>
                <w:u w:val="single"/>
                <w:lang w:val="en-US" w:eastAsia="en-US"/>
              </w:rPr>
              <w:fldChar w:fldCharType="end"/>
            </w:r>
          </w:hyperlink>
        </w:p>
        <w:p w14:paraId="7895AD7E"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28" w:anchor="_Toc220268013" w:history="1">
            <w:r w:rsidRPr="00936EBE">
              <w:rPr>
                <w:rFonts w:eastAsia="DengXian"/>
                <w:b/>
                <w:bCs/>
                <w:noProof/>
                <w:color w:val="0563C1" w:themeColor="hyperlink"/>
                <w:sz w:val="22"/>
                <w:szCs w:val="22"/>
                <w:u w:val="single"/>
                <w:lang w:val="en-IN" w:eastAsia="en-US"/>
              </w:rPr>
              <w:t>Paradigmatic Foundations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_Toc220268013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17</w:t>
            </w:r>
            <w:r w:rsidRPr="00936EBE">
              <w:rPr>
                <w:rFonts w:eastAsia="DengXian" w:cs="Times New Roman"/>
                <w:noProof/>
                <w:webHidden/>
                <w:sz w:val="22"/>
                <w:szCs w:val="22"/>
                <w:u w:val="single"/>
                <w:lang w:val="en-US" w:eastAsia="en-US"/>
              </w:rPr>
              <w:fldChar w:fldCharType="end"/>
            </w:r>
          </w:hyperlink>
        </w:p>
        <w:p w14:paraId="212DC086"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29" w:anchor="_Toc220268014" w:history="1">
            <w:r w:rsidRPr="00936EBE">
              <w:rPr>
                <w:rFonts w:eastAsia="DengXian"/>
                <w:b/>
                <w:bCs/>
                <w:noProof/>
                <w:color w:val="0563C1" w:themeColor="hyperlink"/>
                <w:sz w:val="22"/>
                <w:szCs w:val="22"/>
                <w:u w:val="single"/>
                <w:lang w:val="en-IN" w:eastAsia="en-US"/>
              </w:rPr>
              <w:t>Methodological Approach: Interpretative Phenomenological Analysis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_Toc220268014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18</w:t>
            </w:r>
            <w:r w:rsidRPr="00936EBE">
              <w:rPr>
                <w:rFonts w:eastAsia="DengXian" w:cs="Times New Roman"/>
                <w:noProof/>
                <w:webHidden/>
                <w:sz w:val="22"/>
                <w:szCs w:val="22"/>
                <w:u w:val="single"/>
                <w:lang w:val="en-US" w:eastAsia="en-US"/>
              </w:rPr>
              <w:fldChar w:fldCharType="end"/>
            </w:r>
          </w:hyperlink>
        </w:p>
        <w:p w14:paraId="733F90FF" w14:textId="77777777" w:rsidR="00936EBE" w:rsidRPr="00936EBE" w:rsidRDefault="00936EBE" w:rsidP="00936EBE">
          <w:pPr>
            <w:tabs>
              <w:tab w:val="right" w:leader="dot" w:pos="9350"/>
            </w:tabs>
            <w:spacing w:after="100" w:line="256" w:lineRule="auto"/>
            <w:rPr>
              <w:rFonts w:eastAsia="DengXian" w:cs="Shruti"/>
              <w:noProof/>
              <w:lang w:val="en-IN"/>
            </w:rPr>
          </w:pPr>
          <w:hyperlink r:id="rId30" w:anchor="_Toc220268015" w:history="1">
            <w:r w:rsidRPr="00936EBE">
              <w:rPr>
                <w:rFonts w:eastAsia="DengXian"/>
                <w:b/>
                <w:bCs/>
                <w:noProof/>
                <w:color w:val="0563C1" w:themeColor="hyperlink"/>
                <w:sz w:val="22"/>
                <w:szCs w:val="22"/>
                <w:u w:val="single"/>
                <w:lang w:val="en-IN" w:eastAsia="en-US"/>
              </w:rPr>
              <w:t>Research Design and Sampling</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_Toc220268015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19</w:t>
            </w:r>
            <w:r w:rsidRPr="00936EBE">
              <w:rPr>
                <w:rFonts w:eastAsia="DengXian" w:cs="Times New Roman"/>
                <w:noProof/>
                <w:webHidden/>
                <w:sz w:val="22"/>
                <w:szCs w:val="22"/>
                <w:u w:val="single"/>
                <w:lang w:val="en-US" w:eastAsia="en-US"/>
              </w:rPr>
              <w:fldChar w:fldCharType="end"/>
            </w:r>
          </w:hyperlink>
        </w:p>
        <w:p w14:paraId="68AA68F1" w14:textId="77777777" w:rsidR="00936EBE" w:rsidRPr="00936EBE" w:rsidRDefault="00936EBE" w:rsidP="00936EBE">
          <w:pPr>
            <w:tabs>
              <w:tab w:val="right" w:leader="dot" w:pos="9350"/>
            </w:tabs>
            <w:spacing w:after="100" w:line="256" w:lineRule="auto"/>
            <w:rPr>
              <w:rFonts w:eastAsia="DengXian" w:cs="Shruti"/>
              <w:noProof/>
              <w:lang w:val="en-IN"/>
            </w:rPr>
          </w:pPr>
          <w:hyperlink r:id="rId31" w:anchor="_Toc220268016" w:history="1">
            <w:r w:rsidRPr="00936EBE">
              <w:rPr>
                <w:rFonts w:eastAsia="DengXian"/>
                <w:b/>
                <w:bCs/>
                <w:noProof/>
                <w:color w:val="0563C1" w:themeColor="hyperlink"/>
                <w:sz w:val="22"/>
                <w:szCs w:val="22"/>
                <w:u w:val="single"/>
                <w:lang w:val="en-US" w:eastAsia="en-US"/>
              </w:rPr>
              <w:t xml:space="preserve">Table 1 </w:t>
            </w:r>
            <w:r w:rsidRPr="00936EBE">
              <w:rPr>
                <w:rFonts w:eastAsia="DengXian"/>
                <w:b/>
                <w:bCs/>
                <w:noProof/>
                <w:color w:val="0563C1" w:themeColor="hyperlink"/>
                <w:sz w:val="22"/>
                <w:szCs w:val="22"/>
                <w:u w:val="single"/>
                <w:lang w:val="en-IN" w:eastAsia="en-US"/>
              </w:rPr>
              <w:t xml:space="preserve"> Generational Cohorts and Sampling Framework</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_Toc220268016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20</w:t>
            </w:r>
            <w:r w:rsidRPr="00936EBE">
              <w:rPr>
                <w:rFonts w:eastAsia="DengXian" w:cs="Times New Roman"/>
                <w:noProof/>
                <w:webHidden/>
                <w:sz w:val="22"/>
                <w:szCs w:val="22"/>
                <w:u w:val="single"/>
                <w:lang w:val="en-US" w:eastAsia="en-US"/>
              </w:rPr>
              <w:fldChar w:fldCharType="end"/>
            </w:r>
          </w:hyperlink>
        </w:p>
        <w:p w14:paraId="6C88CB60" w14:textId="77777777" w:rsidR="00936EBE" w:rsidRPr="00936EBE" w:rsidRDefault="00936EBE" w:rsidP="00936EBE">
          <w:pPr>
            <w:tabs>
              <w:tab w:val="right" w:leader="dot" w:pos="9350"/>
            </w:tabs>
            <w:spacing w:after="100" w:line="256" w:lineRule="auto"/>
            <w:rPr>
              <w:rFonts w:eastAsia="DengXian" w:cs="Shruti"/>
              <w:noProof/>
              <w:lang w:val="en-IN"/>
            </w:rPr>
          </w:pPr>
          <w:hyperlink r:id="rId32" w:anchor="_Toc220268017" w:history="1">
            <w:r w:rsidRPr="00936EBE">
              <w:rPr>
                <w:rFonts w:eastAsia="DengXian"/>
                <w:b/>
                <w:bCs/>
                <w:noProof/>
                <w:color w:val="0563C1" w:themeColor="hyperlink"/>
                <w:sz w:val="22"/>
                <w:szCs w:val="22"/>
                <w:u w:val="single"/>
                <w:lang w:val="en-IN" w:eastAsia="en-US"/>
              </w:rPr>
              <w:t>Data Collection Methods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_Toc220268017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20</w:t>
            </w:r>
            <w:r w:rsidRPr="00936EBE">
              <w:rPr>
                <w:rFonts w:eastAsia="DengXian" w:cs="Times New Roman"/>
                <w:noProof/>
                <w:webHidden/>
                <w:sz w:val="22"/>
                <w:szCs w:val="22"/>
                <w:u w:val="single"/>
                <w:lang w:val="en-US" w:eastAsia="en-US"/>
              </w:rPr>
              <w:fldChar w:fldCharType="end"/>
            </w:r>
          </w:hyperlink>
        </w:p>
        <w:p w14:paraId="56EF1C4F"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33" w:anchor="_Toc220268018" w:history="1">
            <w:r w:rsidRPr="00936EBE">
              <w:rPr>
                <w:rFonts w:eastAsia="DengXian"/>
                <w:b/>
                <w:bCs/>
                <w:noProof/>
                <w:color w:val="0563C1" w:themeColor="hyperlink"/>
                <w:sz w:val="22"/>
                <w:szCs w:val="22"/>
                <w:u w:val="single"/>
                <w:lang w:val="en-IN" w:eastAsia="en-US"/>
              </w:rPr>
              <w:t>Sample interview questions: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_Toc220268018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21</w:t>
            </w:r>
            <w:r w:rsidRPr="00936EBE">
              <w:rPr>
                <w:rFonts w:eastAsia="DengXian" w:cs="Times New Roman"/>
                <w:noProof/>
                <w:webHidden/>
                <w:sz w:val="22"/>
                <w:szCs w:val="22"/>
                <w:u w:val="single"/>
                <w:lang w:val="en-US" w:eastAsia="en-US"/>
              </w:rPr>
              <w:fldChar w:fldCharType="end"/>
            </w:r>
          </w:hyperlink>
        </w:p>
        <w:p w14:paraId="2E1DD50C" w14:textId="77777777" w:rsidR="00936EBE" w:rsidRPr="00936EBE" w:rsidRDefault="00936EBE" w:rsidP="00936EBE">
          <w:pPr>
            <w:tabs>
              <w:tab w:val="right" w:leader="dot" w:pos="9350"/>
            </w:tabs>
            <w:spacing w:after="100" w:line="256" w:lineRule="auto"/>
            <w:ind w:left="220"/>
            <w:rPr>
              <w:rFonts w:eastAsia="DengXian" w:cs="Shruti"/>
              <w:noProof/>
              <w:lang w:val="en-IN"/>
            </w:rPr>
          </w:pPr>
          <w:hyperlink r:id="rId34" w:anchor="_Toc220268019" w:history="1">
            <w:r w:rsidRPr="00936EBE">
              <w:rPr>
                <w:rFonts w:eastAsia="DengXian"/>
                <w:b/>
                <w:bCs/>
                <w:noProof/>
                <w:color w:val="0563C1" w:themeColor="hyperlink"/>
                <w:sz w:val="22"/>
                <w:szCs w:val="22"/>
                <w:u w:val="single"/>
                <w:lang w:val="en-IN" w:eastAsia="en-US"/>
              </w:rPr>
              <w:t>Data Analysis Procedures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_Toc220268019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21</w:t>
            </w:r>
            <w:r w:rsidRPr="00936EBE">
              <w:rPr>
                <w:rFonts w:eastAsia="DengXian" w:cs="Times New Roman"/>
                <w:noProof/>
                <w:webHidden/>
                <w:sz w:val="22"/>
                <w:szCs w:val="22"/>
                <w:u w:val="single"/>
                <w:lang w:val="en-US" w:eastAsia="en-US"/>
              </w:rPr>
              <w:fldChar w:fldCharType="end"/>
            </w:r>
          </w:hyperlink>
        </w:p>
        <w:p w14:paraId="4982F8BD" w14:textId="77777777" w:rsidR="00936EBE" w:rsidRPr="00936EBE" w:rsidRDefault="00936EBE" w:rsidP="00936EBE">
          <w:pPr>
            <w:tabs>
              <w:tab w:val="right" w:leader="dot" w:pos="9350"/>
            </w:tabs>
            <w:spacing w:after="100" w:line="256" w:lineRule="auto"/>
            <w:rPr>
              <w:rFonts w:eastAsia="DengXian" w:cs="Shruti"/>
              <w:noProof/>
              <w:lang w:val="en-IN"/>
            </w:rPr>
          </w:pPr>
          <w:hyperlink r:id="rId35" w:anchor="_Toc220268020" w:history="1">
            <w:r w:rsidRPr="00936EBE">
              <w:rPr>
                <w:rFonts w:eastAsia="DengXian"/>
                <w:b/>
                <w:bCs/>
                <w:noProof/>
                <w:color w:val="0563C1" w:themeColor="hyperlink"/>
                <w:sz w:val="22"/>
                <w:szCs w:val="22"/>
                <w:u w:val="single"/>
                <w:lang w:val="en-IN" w:eastAsia="en-US"/>
              </w:rPr>
              <w:t>Ethical Considerations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_Toc220268020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23</w:t>
            </w:r>
            <w:r w:rsidRPr="00936EBE">
              <w:rPr>
                <w:rFonts w:eastAsia="DengXian" w:cs="Times New Roman"/>
                <w:noProof/>
                <w:webHidden/>
                <w:sz w:val="22"/>
                <w:szCs w:val="22"/>
                <w:u w:val="single"/>
                <w:lang w:val="en-US" w:eastAsia="en-US"/>
              </w:rPr>
              <w:fldChar w:fldCharType="end"/>
            </w:r>
          </w:hyperlink>
        </w:p>
        <w:p w14:paraId="408D3A29" w14:textId="77777777" w:rsidR="00936EBE" w:rsidRPr="00936EBE" w:rsidRDefault="00936EBE" w:rsidP="00936EBE">
          <w:pPr>
            <w:tabs>
              <w:tab w:val="right" w:leader="dot" w:pos="9350"/>
            </w:tabs>
            <w:spacing w:after="100" w:line="256" w:lineRule="auto"/>
            <w:rPr>
              <w:rFonts w:eastAsia="DengXian" w:cs="Shruti"/>
              <w:noProof/>
              <w:lang w:val="en-IN"/>
            </w:rPr>
          </w:pPr>
          <w:hyperlink r:id="rId36" w:anchor="_Toc220268021" w:history="1">
            <w:r w:rsidRPr="00936EBE">
              <w:rPr>
                <w:rFonts w:eastAsia="DengXian"/>
                <w:b/>
                <w:bCs/>
                <w:noProof/>
                <w:color w:val="0563C1" w:themeColor="hyperlink"/>
                <w:sz w:val="22"/>
                <w:szCs w:val="22"/>
                <w:u w:val="single"/>
                <w:lang w:val="en-IN" w:eastAsia="en-US"/>
              </w:rPr>
              <w:t>Limitations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_Toc220268021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24</w:t>
            </w:r>
            <w:r w:rsidRPr="00936EBE">
              <w:rPr>
                <w:rFonts w:eastAsia="DengXian" w:cs="Times New Roman"/>
                <w:noProof/>
                <w:webHidden/>
                <w:sz w:val="22"/>
                <w:szCs w:val="22"/>
                <w:u w:val="single"/>
                <w:lang w:val="en-US" w:eastAsia="en-US"/>
              </w:rPr>
              <w:fldChar w:fldCharType="end"/>
            </w:r>
          </w:hyperlink>
        </w:p>
        <w:p w14:paraId="04FD0606" w14:textId="77777777" w:rsidR="00936EBE" w:rsidRPr="00936EBE" w:rsidRDefault="00936EBE" w:rsidP="00936EBE">
          <w:pPr>
            <w:tabs>
              <w:tab w:val="right" w:leader="dot" w:pos="9350"/>
            </w:tabs>
            <w:spacing w:after="100" w:line="256" w:lineRule="auto"/>
            <w:rPr>
              <w:rFonts w:eastAsia="DengXian" w:cs="Shruti"/>
              <w:noProof/>
              <w:lang w:val="en-IN"/>
            </w:rPr>
          </w:pPr>
          <w:hyperlink r:id="rId37" w:anchor="_Toc220268022" w:history="1">
            <w:r w:rsidRPr="00936EBE">
              <w:rPr>
                <w:rFonts w:eastAsia="DengXian"/>
                <w:b/>
                <w:bCs/>
                <w:noProof/>
                <w:color w:val="0563C1" w:themeColor="hyperlink"/>
                <w:sz w:val="22"/>
                <w:szCs w:val="22"/>
                <w:u w:val="single"/>
                <w:lang w:val="en-IN" w:eastAsia="en-US"/>
              </w:rPr>
              <w:t>References</w:t>
            </w:r>
            <w:r w:rsidRPr="00936EBE">
              <w:rPr>
                <w:rFonts w:eastAsia="DengXian" w:cs="Times New Roman"/>
                <w:noProof/>
                <w:webHidden/>
                <w:sz w:val="22"/>
                <w:szCs w:val="22"/>
                <w:u w:val="single"/>
                <w:lang w:val="en-US" w:eastAsia="en-US"/>
              </w:rPr>
              <w:tab/>
            </w:r>
            <w:r w:rsidRPr="00936EBE">
              <w:rPr>
                <w:rFonts w:eastAsia="DengXian" w:cs="Times New Roman"/>
                <w:noProof/>
                <w:webHidden/>
                <w:sz w:val="22"/>
                <w:szCs w:val="22"/>
                <w:u w:val="single"/>
                <w:lang w:val="en-US" w:eastAsia="en-US"/>
              </w:rPr>
              <w:fldChar w:fldCharType="begin"/>
            </w:r>
            <w:r w:rsidRPr="00936EBE">
              <w:rPr>
                <w:rFonts w:eastAsia="DengXian" w:cs="Times New Roman"/>
                <w:noProof/>
                <w:webHidden/>
                <w:sz w:val="22"/>
                <w:szCs w:val="22"/>
                <w:u w:val="single"/>
                <w:lang w:val="en-US" w:eastAsia="en-US"/>
              </w:rPr>
              <w:instrText xml:space="preserve"> PAGEREF _Toc220268022 \h </w:instrText>
            </w:r>
            <w:r w:rsidRPr="00936EBE">
              <w:rPr>
                <w:rFonts w:eastAsia="DengXian" w:cs="Times New Roman"/>
                <w:noProof/>
                <w:webHidden/>
                <w:sz w:val="22"/>
                <w:szCs w:val="22"/>
                <w:u w:val="single"/>
                <w:lang w:val="en-US" w:eastAsia="en-US"/>
              </w:rPr>
            </w:r>
            <w:r w:rsidRPr="00936EBE">
              <w:rPr>
                <w:rFonts w:eastAsia="DengXian" w:cs="Times New Roman"/>
                <w:noProof/>
                <w:webHidden/>
                <w:sz w:val="22"/>
                <w:szCs w:val="22"/>
                <w:u w:val="single"/>
                <w:lang w:val="en-US" w:eastAsia="en-US"/>
              </w:rPr>
              <w:fldChar w:fldCharType="separate"/>
            </w:r>
            <w:r w:rsidRPr="00936EBE">
              <w:rPr>
                <w:rFonts w:eastAsia="DengXian" w:cs="Times New Roman"/>
                <w:noProof/>
                <w:webHidden/>
                <w:sz w:val="22"/>
                <w:szCs w:val="22"/>
                <w:u w:val="single"/>
                <w:lang w:val="en-US" w:eastAsia="en-US"/>
              </w:rPr>
              <w:t>26</w:t>
            </w:r>
            <w:r w:rsidRPr="00936EBE">
              <w:rPr>
                <w:rFonts w:eastAsia="DengXian" w:cs="Times New Roman"/>
                <w:noProof/>
                <w:webHidden/>
                <w:sz w:val="22"/>
                <w:szCs w:val="22"/>
                <w:u w:val="single"/>
                <w:lang w:val="en-US" w:eastAsia="en-US"/>
              </w:rPr>
              <w:fldChar w:fldCharType="end"/>
            </w:r>
          </w:hyperlink>
        </w:p>
        <w:p w14:paraId="79DCC076" w14:textId="77777777" w:rsidR="00936EBE" w:rsidRPr="00936EBE" w:rsidRDefault="00936EBE" w:rsidP="00936EBE">
          <w:pPr>
            <w:spacing w:line="276" w:lineRule="auto"/>
            <w:jc w:val="both"/>
            <w:rPr>
              <w:color w:val="000000" w:themeColor="text1"/>
            </w:rPr>
          </w:pPr>
          <w:r w:rsidRPr="00936EBE">
            <w:rPr>
              <w:b/>
              <w:bCs/>
              <w:noProof/>
              <w:color w:val="000000" w:themeColor="text1"/>
            </w:rPr>
            <w:fldChar w:fldCharType="end"/>
          </w:r>
        </w:p>
      </w:sdtContent>
    </w:sdt>
    <w:p w14:paraId="24D0561F" w14:textId="77777777" w:rsidR="00936EBE" w:rsidRPr="00936EBE" w:rsidRDefault="00936EBE" w:rsidP="00936EBE">
      <w:pPr>
        <w:spacing w:line="276" w:lineRule="auto"/>
        <w:jc w:val="both"/>
        <w:rPr>
          <w:b/>
          <w:bCs/>
          <w:color w:val="000000" w:themeColor="text1"/>
          <w:lang w:val="en-IN"/>
        </w:rPr>
      </w:pPr>
    </w:p>
    <w:p w14:paraId="0E6C6BC1" w14:textId="77777777" w:rsidR="00CD02D4" w:rsidRDefault="00CD02D4" w:rsidP="00CD02D4">
      <w:pPr>
        <w:pStyle w:val="Heading1"/>
        <w:spacing w:line="276" w:lineRule="auto"/>
        <w:jc w:val="both"/>
        <w:rPr>
          <w:rFonts w:ascii="Calibri" w:hAnsi="Calibri" w:cs="Calibri"/>
          <w:b/>
          <w:bCs/>
          <w:color w:val="000000"/>
          <w:sz w:val="32"/>
          <w:szCs w:val="32"/>
        </w:rPr>
      </w:pPr>
      <w:bookmarkStart w:id="1" w:name="_Toc220267994"/>
      <w:r>
        <w:rPr>
          <w:rFonts w:ascii="Calibri" w:hAnsi="Calibri" w:cs="Calibri"/>
          <w:b/>
          <w:bCs/>
          <w:color w:val="000000"/>
          <w:sz w:val="32"/>
          <w:szCs w:val="32"/>
          <w:lang w:val="en-IN"/>
        </w:rPr>
        <w:lastRenderedPageBreak/>
        <w:t>Introduction</w:t>
      </w:r>
      <w:bookmarkEnd w:id="1"/>
      <w:r>
        <w:rPr>
          <w:rFonts w:ascii="Calibri" w:hAnsi="Calibri" w:cs="Calibri"/>
          <w:b/>
          <w:bCs/>
          <w:color w:val="000000"/>
          <w:sz w:val="32"/>
          <w:szCs w:val="32"/>
          <w:lang w:val="en-IN"/>
        </w:rPr>
        <w:t xml:space="preserve"> </w:t>
      </w:r>
    </w:p>
    <w:p w14:paraId="706E7213" w14:textId="77777777" w:rsidR="00CD02D4" w:rsidRDefault="00CD02D4" w:rsidP="00CD02D4">
      <w:pPr>
        <w:pStyle w:val="Heading2"/>
        <w:spacing w:line="276" w:lineRule="auto"/>
        <w:jc w:val="both"/>
        <w:rPr>
          <w:rFonts w:ascii="Calibri" w:hAnsi="Calibri" w:cs="Calibri"/>
          <w:b/>
          <w:bCs/>
          <w:color w:val="000000"/>
          <w:sz w:val="28"/>
          <w:szCs w:val="28"/>
        </w:rPr>
      </w:pPr>
      <w:bookmarkStart w:id="2" w:name="_Toc220267995"/>
      <w:r>
        <w:rPr>
          <w:rFonts w:ascii="Calibri" w:hAnsi="Calibri" w:cs="Calibri"/>
          <w:b/>
          <w:bCs/>
          <w:color w:val="000000"/>
          <w:sz w:val="28"/>
          <w:szCs w:val="28"/>
          <w:lang w:val="en-IN"/>
        </w:rPr>
        <w:t>Background and Context</w:t>
      </w:r>
      <w:bookmarkEnd w:id="2"/>
    </w:p>
    <w:p w14:paraId="581B2E20" w14:textId="77777777" w:rsidR="00CD02D4" w:rsidRDefault="00CD02D4" w:rsidP="00CD02D4">
      <w:pPr>
        <w:spacing w:line="276" w:lineRule="auto"/>
        <w:jc w:val="both"/>
        <w:rPr>
          <w:color w:val="000000"/>
          <w:lang w:val="en-IN"/>
        </w:rPr>
      </w:pPr>
      <w:r>
        <w:rPr>
          <w:color w:val="000000"/>
          <w:lang w:val="en-IN"/>
        </w:rPr>
        <w:t>In 2016, the Indian government initiated a demonetisation policy which significantly influenced people’s willingness to adopt cashless transactions, resulting in the growth of digital payment infrastructures across both urban and rural India (Patil et al., 2020). Payment systems based on Quick Response (QR) Codes are the most important innovations because payment systems are easily integrated into other systems and are inexpensive, making digital financial inclusion much easier in areas where the banking system is poorly developed (Rathore, 2020). According to the Reserve Bank of India, the volume of digital payment transactions doubled to reach about 7,422 crores in the financial year 2021-2022, compared to the previous year (2022). However, the growth of digital financial payments in rural areas is much lower than in urban areas.</w:t>
      </w:r>
    </w:p>
    <w:p w14:paraId="25C558C5" w14:textId="77777777" w:rsidR="00CD02D4" w:rsidRDefault="00CD02D4" w:rsidP="00CD02D4">
      <w:pPr>
        <w:spacing w:line="276" w:lineRule="auto"/>
        <w:jc w:val="both"/>
        <w:rPr>
          <w:color w:val="000000"/>
          <w:lang w:val="en-IN"/>
        </w:rPr>
      </w:pPr>
      <w:r>
        <w:rPr>
          <w:color w:val="000000"/>
          <w:lang w:val="en-IN"/>
        </w:rPr>
        <w:t xml:space="preserve">Gujarat, despite its relative wealth compared to most other states in the country, showcases great disparities in the use of digital payments, especially when comparing the urban to the rural parts of the state (Sharma &amp; Gutiérrez, 2010). There lies a curious rural digital payments phenomenon in Gujarat, in that rural communities, which have access to mobile phones, tend to have little digital literacy, if any, and a lack of trust in any form of transactional virtual (Dodiya &amp; Mistry, 2021). The situation in the rural communities of Gujarat, which have access to the digital devices, creates an unusual paradox where, despite a substantial digital payment infrastructure being available, high levels of rural payment digital infrastructure usage will remain limited if there is little acceptance of technological payment systems </w:t>
      </w:r>
      <w:r>
        <w:t>(Cham et al., 2022)</w:t>
      </w:r>
      <w:r>
        <w:rPr>
          <w:color w:val="000000"/>
          <w:lang w:val="en-IN"/>
        </w:rPr>
        <w:t>.</w:t>
      </w:r>
    </w:p>
    <w:p w14:paraId="1EEB3A8F" w14:textId="77777777" w:rsidR="00CD02D4" w:rsidRDefault="00CD02D4" w:rsidP="00CD02D4">
      <w:pPr>
        <w:spacing w:line="276" w:lineRule="auto"/>
        <w:jc w:val="both"/>
        <w:rPr>
          <w:color w:val="000000"/>
          <w:lang w:val="en-IN"/>
        </w:rPr>
      </w:pPr>
      <w:r>
        <w:rPr>
          <w:color w:val="000000"/>
          <w:lang w:val="en-IN"/>
        </w:rPr>
        <w:t>Much work already exists which illustrates that the absence of digital payments in rural Gujarat is a deliberate choice, rather than the absence of a payment system being a purely technological or economic issue (Venkatesh et al, 2003). Each cohort, having grown up in different generations, tend to have their own unique set of experiences, expectations, and issues concerning the use of, especially, payments systems, which have varying cash or digital payment systems that define their everyday lives (Cham et al, 2023). The cash-dominant older generations likely to have a more sceptical or apprehensive stance towards any digital payments system. In contrast, a more technologically-savvy younger cohort, tends to have greater acceptance of the system if the privacy and security vulnerabilities resulting from the use of the digital payment system have been adequately addressed (Karina, 2024).</w:t>
      </w:r>
    </w:p>
    <w:p w14:paraId="4132543E" w14:textId="77777777" w:rsidR="00CD02D4" w:rsidRDefault="00CD02D4" w:rsidP="00CD02D4">
      <w:pPr>
        <w:spacing w:line="276" w:lineRule="auto"/>
        <w:jc w:val="both"/>
        <w:rPr>
          <w:color w:val="000000"/>
          <w:lang w:val="en-IN"/>
        </w:rPr>
      </w:pPr>
      <w:r>
        <w:rPr>
          <w:color w:val="000000"/>
          <w:lang w:val="en-IN"/>
        </w:rPr>
        <w:t xml:space="preserve">In rural areas, the generational aspect becomes evident as members of the extended family interact daily around financial decision-making. In such contexts, the adoption of new payment technologies should not be seen as a personal decision, but rather, as a social process that involves intergenerational negotiation, teaching, and conflict. (Wang et al. 2021). These intergenerational and social negotiation dynamics call for a move beyond the individualistic </w:t>
      </w:r>
      <w:r>
        <w:rPr>
          <w:color w:val="000000"/>
          <w:lang w:val="en-IN"/>
        </w:rPr>
        <w:lastRenderedPageBreak/>
        <w:t>models of technology acceptance, and towards an understanding of the meaning-making processes that take place within families and communities.</w:t>
      </w:r>
    </w:p>
    <w:p w14:paraId="42D6B5A0" w14:textId="77777777" w:rsidR="00CD02D4" w:rsidRDefault="00CD02D4" w:rsidP="00CD02D4">
      <w:pPr>
        <w:spacing w:line="276" w:lineRule="auto"/>
        <w:jc w:val="both"/>
        <w:rPr>
          <w:color w:val="000000"/>
          <w:lang w:val="en-IN"/>
        </w:rPr>
      </w:pPr>
      <w:r>
        <w:rPr>
          <w:color w:val="000000"/>
          <w:lang w:val="en-IN"/>
        </w:rPr>
        <w:t>In rural Gujarat, the use of QR code payments illustrates the influence of intergenerational and sociocultural dynamics as they interact with technological infrastructure. In rural areas, as opposed to urban areas, where there is a mixture of payment options, QR code payment systems are often the sole and primary alternative to cash. This limited choice of payment options results in heightened socio-economic consequences that stem from the acceptance or rejection of QR code payment systems.</w:t>
      </w:r>
    </w:p>
    <w:p w14:paraId="42029291" w14:textId="77777777" w:rsidR="00CD02D4" w:rsidRDefault="00CD02D4" w:rsidP="00CD02D4">
      <w:pPr>
        <w:spacing w:line="276" w:lineRule="auto"/>
        <w:jc w:val="both"/>
        <w:rPr>
          <w:color w:val="000000"/>
          <w:lang w:val="en-IN"/>
        </w:rPr>
      </w:pPr>
      <w:r>
        <w:rPr>
          <w:color w:val="000000"/>
          <w:lang w:val="en-IN"/>
        </w:rPr>
        <w:t>Insufficient investigation continues to permeate the realms of the emotional and social intricacies surrounding the adoption of digital payment systems in the academic literature. Although demographic and adoption rate correlations have been established in the quantitative literature, researchers have yet to address the complexities of individual and collective encounters with new payment technologies, regarding the fears, hopes, and sense making activities (Davis et al., 1989). Factors such as trust, perceived digital and general system safety, and confidence, require inquiry and measurements beyond the quantitative. These factors are multi-layered, making the investigation challenging, and require the intricacies of qualitative methodologies. Rural populations have varied language competency, formal education, and patterns of deference and relations to authority and financial institutions which, collectively and individually, shape how such populations understand and respond to digital payments (Dodiya and Mistry, 2021).</w:t>
      </w:r>
    </w:p>
    <w:p w14:paraId="77BD9D8A"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3" w:name="_Toc220267996"/>
      <w:r>
        <w:rPr>
          <w:rFonts w:ascii="Calibri" w:hAnsi="Calibri" w:cs="Calibri"/>
          <w:b/>
          <w:bCs/>
          <w:color w:val="000000"/>
          <w:sz w:val="28"/>
          <w:szCs w:val="28"/>
          <w:lang w:val="en-IN"/>
        </w:rPr>
        <w:t>Research Problem Statement</w:t>
      </w:r>
      <w:bookmarkEnd w:id="3"/>
    </w:p>
    <w:p w14:paraId="4051A14E" w14:textId="77777777" w:rsidR="00CD02D4" w:rsidRDefault="00CD02D4" w:rsidP="00CD02D4">
      <w:pPr>
        <w:spacing w:line="276" w:lineRule="auto"/>
        <w:jc w:val="both"/>
        <w:rPr>
          <w:color w:val="000000"/>
          <w:lang w:val="en-IN"/>
        </w:rPr>
      </w:pPr>
      <w:r>
        <w:rPr>
          <w:color w:val="000000"/>
          <w:lang w:val="en-IN"/>
        </w:rPr>
        <w:t>India has advanced its digital payment systems, but there is a gap in understanding how people use QR code payment systems, and how this differs across generations in rural areas. Much of the available research has focused on the automation of correlation analyses of demographic variables and technology use in rural areas (Vatsa et al., 2023). These works provide valuable numerical understanding, but lack insights into the use of payment technologies across generations in rural areas, and the cultural, social, and individual factors affecting that use.</w:t>
      </w:r>
    </w:p>
    <w:p w14:paraId="16A61603" w14:textId="77777777" w:rsidR="00CD02D4" w:rsidRDefault="00CD02D4" w:rsidP="00CD02D4">
      <w:pPr>
        <w:spacing w:line="276" w:lineRule="auto"/>
        <w:jc w:val="both"/>
        <w:rPr>
          <w:color w:val="000000"/>
          <w:lang w:val="en-IN"/>
        </w:rPr>
      </w:pPr>
      <w:r>
        <w:rPr>
          <w:color w:val="000000"/>
          <w:lang w:val="en-IN"/>
        </w:rPr>
        <w:t xml:space="preserve">This gap in scholarship is not due to the inquiry of whether payment technologies are used. Rural communities in Gujarat also have distinct challenges from urban populations, such as lower formal education, and unique social, cultural, and economic relationships and practices of money and trust (Patil et al., 2020). These factors, combined with the rural digital payment technologies, provide unique experiences pertaining to the acceptance and resistance of technology in rural areas </w:t>
      </w:r>
      <w:r>
        <w:t>(Creswell and Poth, 2018)</w:t>
      </w:r>
      <w:r>
        <w:rPr>
          <w:color w:val="000000"/>
          <w:lang w:val="en-IN"/>
        </w:rPr>
        <w:t>.</w:t>
      </w:r>
    </w:p>
    <w:p w14:paraId="7CA74169" w14:textId="77777777" w:rsidR="00CD02D4" w:rsidRDefault="00CD02D4" w:rsidP="00CD02D4">
      <w:pPr>
        <w:spacing w:line="276" w:lineRule="auto"/>
        <w:jc w:val="both"/>
        <w:rPr>
          <w:color w:val="000000"/>
          <w:lang w:val="en-IN"/>
        </w:rPr>
      </w:pPr>
      <w:r>
        <w:rPr>
          <w:color w:val="000000"/>
          <w:lang w:val="en-IN"/>
        </w:rPr>
        <w:t xml:space="preserve">This research problem is particularly important because understanding these lived experiences will inform more culturally sensitive and contextually appropriate ways to assist digital financial inclusion. By centring the voices and perspectives of rural community members across several </w:t>
      </w:r>
      <w:r>
        <w:rPr>
          <w:color w:val="000000"/>
          <w:lang w:val="en-IN"/>
        </w:rPr>
        <w:lastRenderedPageBreak/>
        <w:t>generations, this study aims to offer insights that appreciate the sophistication of the human experience while illuminating the human dimensions of the technology transition in rural India.</w:t>
      </w:r>
    </w:p>
    <w:p w14:paraId="37854E8F"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4" w:name="_Toc220267997"/>
      <w:r>
        <w:rPr>
          <w:rFonts w:ascii="Calibri" w:hAnsi="Calibri" w:cs="Calibri"/>
          <w:b/>
          <w:bCs/>
          <w:color w:val="000000"/>
          <w:sz w:val="28"/>
          <w:szCs w:val="28"/>
          <w:lang w:val="en-IN"/>
        </w:rPr>
        <w:t>Research Questions and Objectives</w:t>
      </w:r>
      <w:bookmarkEnd w:id="4"/>
    </w:p>
    <w:p w14:paraId="10238FB4" w14:textId="77777777" w:rsidR="00CD02D4" w:rsidRDefault="00CD02D4" w:rsidP="00CD02D4">
      <w:pPr>
        <w:spacing w:line="276" w:lineRule="auto"/>
        <w:jc w:val="both"/>
        <w:rPr>
          <w:color w:val="000000"/>
          <w:lang w:val="en-IN"/>
        </w:rPr>
      </w:pPr>
      <w:r>
        <w:rPr>
          <w:color w:val="000000"/>
          <w:lang w:val="en-IN"/>
        </w:rPr>
        <w:t>The central research questions guiding this inquiry are designed to explore the lived experiences and meaning-making processes of individuals across different generations as they encounter and engage with QR code payment systems in rural Gujarat:</w:t>
      </w:r>
    </w:p>
    <w:p w14:paraId="3F4CB85E" w14:textId="77777777" w:rsidR="00CD02D4" w:rsidRDefault="00CD02D4" w:rsidP="00CD02D4">
      <w:pPr>
        <w:numPr>
          <w:ilvl w:val="0"/>
          <w:numId w:val="8"/>
        </w:numPr>
        <w:spacing w:line="276" w:lineRule="auto"/>
        <w:jc w:val="both"/>
        <w:rPr>
          <w:color w:val="000000"/>
          <w:lang w:val="en-IN"/>
        </w:rPr>
      </w:pPr>
      <w:r>
        <w:rPr>
          <w:color w:val="000000"/>
          <w:lang w:val="en-IN"/>
        </w:rPr>
        <w:t>How do lived experiences, habits, and preferences regarding financial transactions across diverse age groups inform their engagement with digital payment systems?</w:t>
      </w:r>
    </w:p>
    <w:p w14:paraId="7D49CF07" w14:textId="77777777" w:rsidR="00CD02D4" w:rsidRDefault="00CD02D4" w:rsidP="00CD02D4">
      <w:pPr>
        <w:numPr>
          <w:ilvl w:val="0"/>
          <w:numId w:val="8"/>
        </w:numPr>
        <w:spacing w:line="276" w:lineRule="auto"/>
        <w:jc w:val="both"/>
        <w:rPr>
          <w:color w:val="000000"/>
          <w:lang w:val="en-IN"/>
        </w:rPr>
      </w:pPr>
      <w:r>
        <w:rPr>
          <w:color w:val="000000"/>
          <w:lang w:val="en-IN"/>
        </w:rPr>
        <w:t>How do individuals across different generations experience the adoption and integration of QR code payments into their daily financial lives?</w:t>
      </w:r>
    </w:p>
    <w:p w14:paraId="13983A6E" w14:textId="77777777" w:rsidR="00CD02D4" w:rsidRDefault="00CD02D4" w:rsidP="00CD02D4">
      <w:pPr>
        <w:numPr>
          <w:ilvl w:val="0"/>
          <w:numId w:val="8"/>
        </w:numPr>
        <w:spacing w:line="276" w:lineRule="auto"/>
        <w:jc w:val="both"/>
        <w:rPr>
          <w:color w:val="000000"/>
          <w:lang w:val="en-IN"/>
        </w:rPr>
      </w:pPr>
      <w:r>
        <w:rPr>
          <w:color w:val="000000"/>
          <w:lang w:val="en-IN"/>
        </w:rPr>
        <w:t>How do participants describe their experiences of trust, safety, and digital confidence when encountering QR payment technologies?</w:t>
      </w:r>
    </w:p>
    <w:p w14:paraId="52063D3D" w14:textId="77777777" w:rsidR="00CD02D4" w:rsidRDefault="00CD02D4" w:rsidP="00CD02D4">
      <w:pPr>
        <w:numPr>
          <w:ilvl w:val="0"/>
          <w:numId w:val="8"/>
        </w:numPr>
        <w:spacing w:line="276" w:lineRule="auto"/>
        <w:jc w:val="both"/>
        <w:rPr>
          <w:color w:val="000000"/>
          <w:lang w:val="en-IN"/>
        </w:rPr>
      </w:pPr>
      <w:r>
        <w:rPr>
          <w:color w:val="000000"/>
          <w:lang w:val="en-IN"/>
        </w:rPr>
        <w:t>How do participants envision meaningful and supportive conditions for engaging with digital payment systems?</w:t>
      </w:r>
    </w:p>
    <w:p w14:paraId="54683E9A" w14:textId="77777777" w:rsidR="00CD02D4" w:rsidRDefault="00CD02D4" w:rsidP="00CD02D4">
      <w:pPr>
        <w:spacing w:line="276" w:lineRule="auto"/>
        <w:jc w:val="both"/>
        <w:rPr>
          <w:color w:val="000000"/>
          <w:lang w:val="en-IN"/>
        </w:rPr>
      </w:pPr>
      <w:r>
        <w:rPr>
          <w:color w:val="000000"/>
          <w:lang w:val="en-IN"/>
        </w:rPr>
        <w:t xml:space="preserve">In accordance with previous interpretations of the theory (Creswell and </w:t>
      </w:r>
      <w:proofErr w:type="spellStart"/>
      <w:r>
        <w:rPr>
          <w:color w:val="000000"/>
          <w:lang w:val="en-IN"/>
        </w:rPr>
        <w:t>Poth</w:t>
      </w:r>
      <w:proofErr w:type="spellEnd"/>
      <w:r>
        <w:rPr>
          <w:color w:val="000000"/>
          <w:lang w:val="en-IN"/>
        </w:rPr>
        <w:t>, 2018), the questions are meant to be general and exploratory. Open the door to understanding (rather than explaining or predicting). The questions are designed to be answered by participants by expressing their own lived experiences, which elicits a process of thematic and meaning discovery that may not be accounted for by prior theory.</w:t>
      </w:r>
    </w:p>
    <w:p w14:paraId="3E3673EF" w14:textId="77777777" w:rsidR="00CD02D4" w:rsidRDefault="00CD02D4" w:rsidP="00CD02D4">
      <w:pPr>
        <w:spacing w:line="276" w:lineRule="auto"/>
        <w:jc w:val="both"/>
        <w:rPr>
          <w:color w:val="000000"/>
          <w:lang w:val="en-IN"/>
        </w:rPr>
      </w:pPr>
      <w:r>
        <w:rPr>
          <w:color w:val="000000"/>
          <w:lang w:val="en-IN"/>
        </w:rPr>
        <w:t xml:space="preserve">These research questions require a qualitative approach because they seek to understand </w:t>
      </w:r>
      <w:r>
        <w:rPr>
          <w:i/>
          <w:iCs/>
          <w:color w:val="000000"/>
          <w:lang w:val="en-IN"/>
        </w:rPr>
        <w:t>how</w:t>
      </w:r>
      <w:r>
        <w:rPr>
          <w:color w:val="000000"/>
          <w:lang w:val="en-IN"/>
        </w:rPr>
        <w:t xml:space="preserve"> individuals experience, interpret, and emotionally respond to QR code payment systems within their everyday lives. Quantitative methods are limited to measuring predefined variables and adoption outcomes and are unable to capture the relational, emotional, and culturally embedded meanings that shape technology use in rural Gujarat </w:t>
      </w:r>
      <w:r>
        <w:t>(Dodiya</w:t>
      </w:r>
      <w:r>
        <w:rPr>
          <w:lang w:val="en-US"/>
        </w:rPr>
        <w:t>e</w:t>
      </w:r>
      <w:r>
        <w:t xml:space="preserve"> and Mistry, 2021)</w:t>
      </w:r>
      <w:r>
        <w:rPr>
          <w:color w:val="000000"/>
          <w:lang w:val="en-IN"/>
        </w:rPr>
        <w:t>.</w:t>
      </w:r>
    </w:p>
    <w:p w14:paraId="4A0A776F" w14:textId="77777777" w:rsidR="00CD02D4" w:rsidRDefault="00CD02D4" w:rsidP="00CD02D4">
      <w:pPr>
        <w:spacing w:line="276" w:lineRule="auto"/>
        <w:jc w:val="both"/>
        <w:rPr>
          <w:color w:val="000000"/>
          <w:lang w:val="en-IN"/>
        </w:rPr>
      </w:pPr>
      <w:r>
        <w:rPr>
          <w:color w:val="000000"/>
          <w:lang w:val="en-IN"/>
        </w:rPr>
        <w:t xml:space="preserve">Issues such as trust, intergenerational negotiation, fear of financial loss, confidence, and moral responsibility within families are not reducible to numerical indicators. As Creswell and </w:t>
      </w:r>
      <w:proofErr w:type="spellStart"/>
      <w:r>
        <w:rPr>
          <w:color w:val="000000"/>
          <w:lang w:val="en-IN"/>
        </w:rPr>
        <w:t>Poth</w:t>
      </w:r>
      <w:proofErr w:type="spellEnd"/>
      <w:r>
        <w:rPr>
          <w:color w:val="000000"/>
          <w:lang w:val="en-IN"/>
        </w:rPr>
        <w:t xml:space="preserve"> (2018) argue, qualitative inquiry is most appropriate when the researcher aims to explore lived experience, meaning-making, and social context. This study therefore adopts a qualitative interpretive design to foreground participants’ voices and experiences rather than imposing externally defined success metrics.</w:t>
      </w:r>
    </w:p>
    <w:p w14:paraId="0E94AE7A" w14:textId="77777777" w:rsidR="00CD02D4" w:rsidRDefault="00CD02D4" w:rsidP="00CD02D4">
      <w:pPr>
        <w:spacing w:line="276" w:lineRule="auto"/>
        <w:jc w:val="both"/>
        <w:rPr>
          <w:color w:val="000000"/>
          <w:lang w:val="en-IN"/>
        </w:rPr>
      </w:pPr>
      <w:r>
        <w:rPr>
          <w:color w:val="000000"/>
          <w:lang w:val="en-IN"/>
        </w:rPr>
        <w:t>The research objectives that support these questions include:</w:t>
      </w:r>
    </w:p>
    <w:p w14:paraId="78F626EE" w14:textId="77777777" w:rsidR="00CD02D4" w:rsidRDefault="00CD02D4" w:rsidP="00CD02D4">
      <w:pPr>
        <w:numPr>
          <w:ilvl w:val="0"/>
          <w:numId w:val="9"/>
        </w:numPr>
        <w:spacing w:line="276" w:lineRule="auto"/>
        <w:jc w:val="both"/>
        <w:rPr>
          <w:color w:val="000000"/>
          <w:lang w:val="en-IN"/>
        </w:rPr>
      </w:pPr>
      <w:r>
        <w:rPr>
          <w:color w:val="000000"/>
          <w:lang w:val="en-IN"/>
        </w:rPr>
        <w:t>To explore and interpret the habits, preferences, and experiences of financial transaction practices across diverse age groups in rural Gujarat.</w:t>
      </w:r>
    </w:p>
    <w:p w14:paraId="16406389" w14:textId="77777777" w:rsidR="00CD02D4" w:rsidRDefault="00CD02D4" w:rsidP="00CD02D4">
      <w:pPr>
        <w:numPr>
          <w:ilvl w:val="0"/>
          <w:numId w:val="9"/>
        </w:numPr>
        <w:spacing w:line="276" w:lineRule="auto"/>
        <w:jc w:val="both"/>
        <w:rPr>
          <w:color w:val="000000"/>
          <w:lang w:val="en-IN"/>
        </w:rPr>
      </w:pPr>
      <w:r>
        <w:rPr>
          <w:color w:val="000000"/>
          <w:lang w:val="en-IN"/>
        </w:rPr>
        <w:lastRenderedPageBreak/>
        <w:t>To analyse how these habits and preferences shape users' subjective experiences of QR code payment adoption by examining their motivations, emotional responses, and cognitive perceptions.</w:t>
      </w:r>
    </w:p>
    <w:p w14:paraId="3F3747FA" w14:textId="77777777" w:rsidR="00CD02D4" w:rsidRDefault="00CD02D4" w:rsidP="00CD02D4">
      <w:pPr>
        <w:numPr>
          <w:ilvl w:val="0"/>
          <w:numId w:val="9"/>
        </w:numPr>
        <w:spacing w:line="276" w:lineRule="auto"/>
        <w:jc w:val="both"/>
        <w:rPr>
          <w:color w:val="000000"/>
          <w:lang w:val="en-IN"/>
        </w:rPr>
      </w:pPr>
      <w:r>
        <w:rPr>
          <w:color w:val="000000"/>
          <w:lang w:val="en-IN"/>
        </w:rPr>
        <w:t>To investigate how participants construct understandings of security, ease of use, and perceived value in relation to QR payment technologies.</w:t>
      </w:r>
    </w:p>
    <w:p w14:paraId="46D1070E" w14:textId="77777777" w:rsidR="00CD02D4" w:rsidRDefault="00CD02D4" w:rsidP="00CD02D4">
      <w:pPr>
        <w:numPr>
          <w:ilvl w:val="0"/>
          <w:numId w:val="9"/>
        </w:numPr>
        <w:spacing w:line="276" w:lineRule="auto"/>
        <w:jc w:val="both"/>
        <w:rPr>
          <w:color w:val="000000"/>
          <w:lang w:val="en-IN"/>
        </w:rPr>
      </w:pPr>
      <w:r>
        <w:rPr>
          <w:color w:val="000000"/>
          <w:lang w:val="en-IN"/>
        </w:rPr>
        <w:t>To understand what participants, describe as supportive conditions for digital payment adoption within their specific cultural and social contexts.</w:t>
      </w:r>
    </w:p>
    <w:p w14:paraId="5C0877A1"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5" w:name="_Toc220267998"/>
      <w:r>
        <w:rPr>
          <w:rFonts w:ascii="Calibri" w:hAnsi="Calibri" w:cs="Calibri"/>
          <w:b/>
          <w:bCs/>
          <w:color w:val="000000"/>
          <w:sz w:val="28"/>
          <w:szCs w:val="28"/>
          <w:lang w:val="en-IN"/>
        </w:rPr>
        <w:t>Significance of Research</w:t>
      </w:r>
      <w:bookmarkEnd w:id="5"/>
    </w:p>
    <w:p w14:paraId="4BE249A2" w14:textId="77777777" w:rsidR="00CD02D4" w:rsidRPr="00CD02D4" w:rsidRDefault="00CD02D4" w:rsidP="00CD02D4">
      <w:pPr>
        <w:spacing w:line="276" w:lineRule="auto"/>
        <w:jc w:val="both"/>
        <w:rPr>
          <w:color w:val="000000"/>
          <w:lang w:val="en-IN"/>
        </w:rPr>
      </w:pPr>
      <w:r>
        <w:rPr>
          <w:color w:val="000000"/>
          <w:lang w:val="en-IN"/>
        </w:rPr>
        <w:t xml:space="preserve">The present research is significant on several counts. From a scholarly perspective, the interpretive scholarship on the adoption of technologies in the Global South is still emerging and contributes to the literature (Venkatesh et al., 2003) which is still largely dominated by numerical and quantitative approaches and Western perspectives. This study, by giving voice to the rural Indian communities, challenges the assumptions of universality and brings to the forefront the cultural and inter-generational aspects of people’s relationships with technology in the modern </w:t>
      </w:r>
      <w:r w:rsidRPr="00CD02D4">
        <w:rPr>
          <w:color w:val="000000"/>
          <w:lang w:val="en-IN"/>
        </w:rPr>
        <w:t xml:space="preserve">world </w:t>
      </w:r>
      <w:r w:rsidRPr="00CD02D4">
        <w:t>(Dodiya and Mistry, 2021)</w:t>
      </w:r>
      <w:r w:rsidRPr="00CD02D4">
        <w:rPr>
          <w:color w:val="000000"/>
          <w:lang w:val="en-IN"/>
        </w:rPr>
        <w:t>.</w:t>
      </w:r>
    </w:p>
    <w:p w14:paraId="432FA624" w14:textId="77777777" w:rsidR="00CD02D4" w:rsidRPr="00CD02D4" w:rsidRDefault="00CD02D4" w:rsidP="00CD02D4">
      <w:pPr>
        <w:spacing w:line="276" w:lineRule="auto"/>
        <w:jc w:val="both"/>
        <w:rPr>
          <w:color w:val="000000"/>
          <w:lang w:val="en-IN"/>
        </w:rPr>
      </w:pPr>
      <w:r w:rsidRPr="00CD02D4">
        <w:rPr>
          <w:color w:val="000000"/>
          <w:lang w:val="en-IN"/>
        </w:rPr>
        <w:t xml:space="preserve">The studies based on the Technology Acceptance Model and the structure have been conducting research on the possible theoretical applications of the effect of age differentiation and its extensive analytical consequences on groups following an exploration as considering no more than a demographic characteristic. The study will be helpful in developing the theoretical in the context of grasping the differences in how the cross-generational historical memories, socio-cultural conditioning, and life stage of the individuals, and the meanings attached to the constructs of digital payment. The socio- technological paradigms that are developed would produce innovations which are created and construed, in the extreme, in the latter generations, and a very large number of economic resources are available in their youth. Economic and technological frames of reference are specific to each successive generation of people based on those years that they were in. That is why, the different cohorts can generate and perceive innovations in different ways (Davis et al., 1989).  </w:t>
      </w:r>
    </w:p>
    <w:p w14:paraId="16058833" w14:textId="77777777" w:rsidR="00CD02D4" w:rsidRPr="00CD02D4" w:rsidRDefault="00CD02D4" w:rsidP="00CD02D4">
      <w:pPr>
        <w:spacing w:line="276" w:lineRule="auto"/>
        <w:jc w:val="both"/>
        <w:rPr>
          <w:color w:val="000000"/>
          <w:lang w:val="en-IN"/>
        </w:rPr>
      </w:pPr>
      <w:r w:rsidRPr="00CD02D4">
        <w:rPr>
          <w:color w:val="000000"/>
          <w:lang w:val="en-IN"/>
        </w:rPr>
        <w:t xml:space="preserve">The given research is an example of phenomenology, where technology is applied </w:t>
      </w:r>
      <w:proofErr w:type="gramStart"/>
      <w:r w:rsidRPr="00CD02D4">
        <w:rPr>
          <w:color w:val="000000"/>
          <w:lang w:val="en-IN"/>
        </w:rPr>
        <w:t>in the area of</w:t>
      </w:r>
      <w:proofErr w:type="gramEnd"/>
      <w:r w:rsidRPr="00CD02D4">
        <w:rPr>
          <w:color w:val="000000"/>
          <w:lang w:val="en-IN"/>
        </w:rPr>
        <w:t xml:space="preserve"> adoption. The methodology is a </w:t>
      </w:r>
      <w:proofErr w:type="spellStart"/>
      <w:r w:rsidRPr="00CD02D4">
        <w:rPr>
          <w:color w:val="000000"/>
          <w:lang w:val="en-IN"/>
        </w:rPr>
        <w:t>modeling</w:t>
      </w:r>
      <w:proofErr w:type="spellEnd"/>
      <w:r w:rsidRPr="00CD02D4">
        <w:rPr>
          <w:color w:val="000000"/>
          <w:lang w:val="en-IN"/>
        </w:rPr>
        <w:t xml:space="preserve"> of an alternative to the prevailing positivistic direction of the extant body of phenomenology. We apply phenomenology in a more reductive and associative way i.e. that way in the present research is value in depth as opposed to value in breadth. This method has been </w:t>
      </w:r>
      <w:proofErr w:type="gramStart"/>
      <w:r w:rsidRPr="00CD02D4">
        <w:rPr>
          <w:color w:val="000000"/>
          <w:lang w:val="en-IN"/>
        </w:rPr>
        <w:t>in a position</w:t>
      </w:r>
      <w:proofErr w:type="gramEnd"/>
      <w:r w:rsidRPr="00CD02D4">
        <w:rPr>
          <w:color w:val="000000"/>
          <w:lang w:val="en-IN"/>
        </w:rPr>
        <w:t xml:space="preserve"> to measure dimensions of experience in the process of adoption that would otherwise be hidden because of larger frameworks or area of study. As a complement to vibrate and contextual facile information, useful findings can contribute to the </w:t>
      </w:r>
      <w:r w:rsidRPr="00CD02D4">
        <w:rPr>
          <w:color w:val="000000"/>
          <w:lang w:val="en-IN"/>
        </w:rPr>
        <w:lastRenderedPageBreak/>
        <w:t>existing body of knowledge and offer social and contextual data which are offered by mathematical data.</w:t>
      </w:r>
    </w:p>
    <w:p w14:paraId="6D46CD30" w14:textId="77777777" w:rsidR="00CD02D4" w:rsidRDefault="00CD02D4" w:rsidP="00CD02D4">
      <w:pPr>
        <w:spacing w:line="276" w:lineRule="auto"/>
        <w:jc w:val="both"/>
        <w:rPr>
          <w:color w:val="000000"/>
          <w:lang w:val="en-IN"/>
        </w:rPr>
      </w:pPr>
      <w:r w:rsidRPr="00CD02D4">
        <w:rPr>
          <w:color w:val="000000"/>
          <w:lang w:val="en-IN"/>
        </w:rPr>
        <w:t>The research conducted in this area has practical consequences as well as the community, policymakers and techno adopters that are engaged in attempts to promote the idea of digital financial inclusion. All generations of people interpret and sense QR payment systems in different ways, and that perception could be used to hone the process of assisting them to adopt in more considerate and tailored modes of approach. The non adoption is considered by the stakeholders through the prism of education and/or incentives, yet the study can make individuals see the sincere issues, culture, and experiences that drive people to make decisions regarding technology. The shift between the deficit thinking to comprehending inquiry is a good step towards more respectful work with rural communities and is an excellent input (Helsper and Eynon, 2010).</w:t>
      </w:r>
    </w:p>
    <w:p w14:paraId="503AA146" w14:textId="77777777" w:rsidR="00CD02D4" w:rsidRDefault="00CD02D4" w:rsidP="00CD02D4">
      <w:pPr>
        <w:pStyle w:val="Heading1"/>
        <w:spacing w:line="276" w:lineRule="auto"/>
        <w:jc w:val="both"/>
        <w:rPr>
          <w:rFonts w:ascii="Calibri" w:hAnsi="Calibri" w:cs="Calibri"/>
          <w:b/>
          <w:bCs/>
          <w:color w:val="000000"/>
          <w:sz w:val="32"/>
          <w:szCs w:val="32"/>
          <w:lang w:val="en-IN"/>
        </w:rPr>
      </w:pPr>
      <w:bookmarkStart w:id="6" w:name="_Toc220267999"/>
      <w:r>
        <w:rPr>
          <w:rFonts w:ascii="Calibri" w:hAnsi="Calibri" w:cs="Calibri"/>
          <w:b/>
          <w:bCs/>
          <w:color w:val="000000"/>
          <w:sz w:val="32"/>
          <w:szCs w:val="32"/>
          <w:lang w:val="en-IN"/>
        </w:rPr>
        <w:t>Literature Review</w:t>
      </w:r>
      <w:bookmarkEnd w:id="6"/>
      <w:r>
        <w:rPr>
          <w:rFonts w:ascii="Calibri" w:hAnsi="Calibri" w:cs="Calibri"/>
          <w:b/>
          <w:bCs/>
          <w:color w:val="000000"/>
          <w:sz w:val="32"/>
          <w:szCs w:val="32"/>
          <w:lang w:val="en-IN"/>
        </w:rPr>
        <w:t xml:space="preserve"> </w:t>
      </w:r>
    </w:p>
    <w:p w14:paraId="7449D790" w14:textId="77777777" w:rsidR="00CD02D4" w:rsidRDefault="00CD02D4" w:rsidP="00CD02D4">
      <w:pPr>
        <w:spacing w:line="276" w:lineRule="auto"/>
        <w:jc w:val="both"/>
        <w:rPr>
          <w:color w:val="000000"/>
        </w:rPr>
      </w:pPr>
      <w:r>
        <w:rPr>
          <w:color w:val="000000"/>
          <w:lang w:val="en-US"/>
        </w:rPr>
        <w:t xml:space="preserve">Recently, the literature on the adoption of digital payments in India has expanded in the context of the increasing importance of the country, the rapid development of digital payment systems, and the need for understanding technology-infused financial inclusion in developing economies. This literature review aims to integrate the main findings across the following four interconnected strands of research: digital payment adoption in India, inter-generational discrepancies regarding the adoption of technology, the Technology Acceptance </w:t>
      </w:r>
      <w:proofErr w:type="gramStart"/>
      <w:r>
        <w:rPr>
          <w:color w:val="000000"/>
          <w:lang w:val="en-US"/>
        </w:rPr>
        <w:t>Model</w:t>
      </w:r>
      <w:proofErr w:type="gramEnd"/>
      <w:r>
        <w:rPr>
          <w:color w:val="000000"/>
          <w:lang w:val="en-US"/>
        </w:rPr>
        <w:t xml:space="preserve"> and its extensions, and finally, trust in digital financial systems </w:t>
      </w:r>
      <w:r>
        <w:t>(Lincoln and Guba, 2000)</w:t>
      </w:r>
      <w:r>
        <w:rPr>
          <w:color w:val="000000"/>
          <w:lang w:val="en-US"/>
        </w:rPr>
        <w:t>. This review has achieved its aim of bringing to the fore some of the significantly under-researched themes, that have been the focus of the present research.</w:t>
      </w:r>
    </w:p>
    <w:p w14:paraId="4FDFA70C"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7" w:name="_Toc220268000"/>
      <w:r>
        <w:rPr>
          <w:rFonts w:ascii="Calibri" w:hAnsi="Calibri" w:cs="Calibri"/>
          <w:b/>
          <w:bCs/>
          <w:color w:val="000000"/>
          <w:sz w:val="28"/>
          <w:szCs w:val="28"/>
          <w:lang w:val="en-IN"/>
        </w:rPr>
        <w:t>Digital Payment Adoption in India</w:t>
      </w:r>
      <w:bookmarkEnd w:id="7"/>
    </w:p>
    <w:p w14:paraId="52185B63" w14:textId="77777777" w:rsidR="00CD02D4" w:rsidRDefault="00CD02D4" w:rsidP="00CD02D4">
      <w:pPr>
        <w:spacing w:line="276" w:lineRule="auto"/>
        <w:jc w:val="both"/>
        <w:rPr>
          <w:color w:val="000000"/>
        </w:rPr>
      </w:pPr>
      <w:r>
        <w:rPr>
          <w:color w:val="000000"/>
          <w:lang w:val="en-US"/>
        </w:rPr>
        <w:t xml:space="preserve">Research inquiries into the phenomenon of digital payments and their adoption practices in India post the 2016 demonetization exercises, which have the characteristics of a ‘natural’ experimental study (Patil et al., 2019), in addition to the explanation and predictions made in Polat et al, (2019) regarding the impact of a ‘policy shock’ on the immediate </w:t>
      </w:r>
      <w:proofErr w:type="spellStart"/>
      <w:r>
        <w:rPr>
          <w:color w:val="000000"/>
          <w:lang w:val="en-US"/>
        </w:rPr>
        <w:t>behavioural</w:t>
      </w:r>
      <w:proofErr w:type="spellEnd"/>
      <w:r>
        <w:rPr>
          <w:color w:val="000000"/>
          <w:lang w:val="en-US"/>
        </w:rPr>
        <w:t xml:space="preserve"> disruptions on payment practices in India. Studies immediately post demonetization focused on and employed primary quantitative methods and techniques, including but not limited to large scale surveys and secondary transactional data analyses which aided in the mapping of demographic and socio-economic regional adoption of payment practices on a continuum. Rapid adoption of payment practices in urban areas, and continued disparate rural- urban digital payment use, were documented in the published works </w:t>
      </w:r>
      <w:r>
        <w:t>(Priya et al., 2018)</w:t>
      </w:r>
      <w:r>
        <w:rPr>
          <w:color w:val="000000"/>
          <w:lang w:val="en-US"/>
        </w:rPr>
        <w:t xml:space="preserve">.  </w:t>
      </w:r>
    </w:p>
    <w:p w14:paraId="0B76D19D" w14:textId="77777777" w:rsidR="00CD02D4" w:rsidRDefault="00CD02D4" w:rsidP="00CD02D4">
      <w:pPr>
        <w:spacing w:line="276" w:lineRule="auto"/>
        <w:jc w:val="both"/>
        <w:rPr>
          <w:color w:val="000000"/>
        </w:rPr>
      </w:pPr>
      <w:r>
        <w:rPr>
          <w:color w:val="000000"/>
          <w:lang w:val="en-US"/>
        </w:rPr>
        <w:t xml:space="preserve">Rathore went on to present digital payment adoption use in India, through the empirical evidence provided, and the Technology Acceptance Model in which he postulates the perceived ease of </w:t>
      </w:r>
      <w:r>
        <w:rPr>
          <w:color w:val="000000"/>
          <w:lang w:val="en-US"/>
        </w:rPr>
        <w:lastRenderedPageBreak/>
        <w:t xml:space="preserve">use, safety and security, social factors, and perceived value, as strong predictors of digital payment adoption intention (Rathore, 2020). This provided evidence that the factors were present, and hence </w:t>
      </w:r>
      <w:proofErr w:type="gramStart"/>
      <w:r>
        <w:rPr>
          <w:color w:val="000000"/>
          <w:lang w:val="en-US"/>
        </w:rPr>
        <w:t>similar to</w:t>
      </w:r>
      <w:proofErr w:type="gramEnd"/>
      <w:r>
        <w:rPr>
          <w:color w:val="000000"/>
          <w:lang w:val="en-US"/>
        </w:rPr>
        <w:t xml:space="preserve"> the western world. However, the study also provided details of the unique use of digital payments in relation to cash social economies and the cash use culture in India, as well as their complexity as factors that do not ease the narrative of the simple diffusion of technology.</w:t>
      </w:r>
    </w:p>
    <w:p w14:paraId="6854360B" w14:textId="77777777" w:rsidR="00CD02D4" w:rsidRDefault="00CD02D4" w:rsidP="00CD02D4">
      <w:pPr>
        <w:spacing w:line="276" w:lineRule="auto"/>
        <w:jc w:val="both"/>
        <w:rPr>
          <w:color w:val="000000"/>
        </w:rPr>
      </w:pPr>
      <w:proofErr w:type="gramStart"/>
      <w:r>
        <w:rPr>
          <w:color w:val="000000"/>
          <w:lang w:val="en-US"/>
        </w:rPr>
        <w:t>With regard to</w:t>
      </w:r>
      <w:proofErr w:type="gramEnd"/>
      <w:r>
        <w:rPr>
          <w:color w:val="000000"/>
          <w:lang w:val="en-US"/>
        </w:rPr>
        <w:t xml:space="preserve"> research on rural contexts, the additional intricacies that the urban studies lack come to the fore. Dodiya and Mistry (2021) identify major barriers such as low levels of digital literacy, worries about the safety of transactions, lack of appropriate technology, and cultural inclinations toward cash. Particularly noteworthy is the fact that their research showed that the rural sector is not constrained by such barriers on the individual level, but by higher order, structural barriers of no or low internet connectivity, a lack of infrastructure to support merchant acceptance, and a lack of tiered support to guide users on functions, systems, and applications, which, in turn, highlights the lack of adequate infrastructure that sustains such barriers on adoption as an individual choice or willingness </w:t>
      </w:r>
      <w:r>
        <w:t>(Dwivedi et al., 2017)</w:t>
      </w:r>
      <w:r>
        <w:rPr>
          <w:color w:val="000000"/>
          <w:lang w:val="en-US"/>
        </w:rPr>
        <w:t xml:space="preserve">.  </w:t>
      </w:r>
    </w:p>
    <w:p w14:paraId="01AA452D" w14:textId="77777777" w:rsidR="00CD02D4" w:rsidRDefault="00CD02D4" w:rsidP="00CD02D4">
      <w:pPr>
        <w:spacing w:line="276" w:lineRule="auto"/>
        <w:jc w:val="both"/>
        <w:rPr>
          <w:color w:val="000000"/>
        </w:rPr>
      </w:pPr>
      <w:r w:rsidRPr="00CD02D4">
        <w:rPr>
          <w:color w:val="000000"/>
          <w:lang w:val="en-US"/>
        </w:rPr>
        <w:t xml:space="preserve">The study by Priya et al. (2018) assessed the rural m-banking adoption in India in the context of the Unified Theory of Acceptance and Use of Technology and concluded that performance expectancy, effort expectancy, and social influence had considerable effects on the m-banking adoption intention; facilitated condition moderated the relationship between the m-banking adoption intention and its actual application. The emphasis on peer pressure and social expectations, in these rural settings, whereby technological decisions are made in a social unit, not alone, emphasized the necessity to reformulate the models of adoption of collectivistic social settings that do not follow the same path as the West models of individualistic social environments. The recent studies discuss the sustainability of digital payments adoption (Patil et al., 2020). The adoption of digital payment has been researched in different perspectives, yet the first one is not sufficient satisfaction. Singh and Sinha examined the variables that have an influence on the further usage of the mobile payments and defined previous experiences and habitual using the service, perceived usefulness of the service, and usefulness to the community as the key ones (Singh and Sinha, 2020). The authors demonstrate that there is </w:t>
      </w:r>
      <w:proofErr w:type="gramStart"/>
      <w:r w:rsidRPr="00CD02D4">
        <w:rPr>
          <w:color w:val="000000"/>
          <w:lang w:val="en-US"/>
        </w:rPr>
        <w:t>a large number of</w:t>
      </w:r>
      <w:proofErr w:type="gramEnd"/>
      <w:r w:rsidRPr="00CD02D4">
        <w:rPr>
          <w:color w:val="000000"/>
          <w:lang w:val="en-US"/>
        </w:rPr>
        <w:t xml:space="preserve"> rural citizens who experiment with digital payments and after some time, they return to using cash. The authors emphasize the necessity of the support that extends beyond promotion tools.</w:t>
      </w:r>
    </w:p>
    <w:p w14:paraId="7C2C8884"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8" w:name="_Toc220268001"/>
      <w:r>
        <w:rPr>
          <w:rFonts w:ascii="Calibri" w:hAnsi="Calibri" w:cs="Calibri"/>
          <w:b/>
          <w:bCs/>
          <w:color w:val="000000"/>
          <w:sz w:val="28"/>
          <w:szCs w:val="28"/>
          <w:lang w:val="en-IN"/>
        </w:rPr>
        <w:t>Generational Differences in Technology Adoption</w:t>
      </w:r>
      <w:bookmarkEnd w:id="8"/>
    </w:p>
    <w:p w14:paraId="537E207F" w14:textId="77777777" w:rsidR="00CD02D4" w:rsidRDefault="00CD02D4" w:rsidP="00CD02D4">
      <w:pPr>
        <w:spacing w:line="276" w:lineRule="auto"/>
        <w:jc w:val="both"/>
        <w:rPr>
          <w:color w:val="000000"/>
        </w:rPr>
      </w:pPr>
      <w:r>
        <w:rPr>
          <w:color w:val="000000"/>
          <w:lang w:val="en-US"/>
        </w:rPr>
        <w:t xml:space="preserve">While the phenomenon that various generational cohorts show different patterns of technology adoption is common knowledge, it has, however, been mainly studied in the Western world. It is in this context that Prensky's valuable distinction between digital natives and digital immigrants, which claims that these groups think and process information in fundamentally different ways, </w:t>
      </w:r>
      <w:r>
        <w:rPr>
          <w:color w:val="000000"/>
          <w:lang w:val="en-US"/>
        </w:rPr>
        <w:lastRenderedPageBreak/>
        <w:t xml:space="preserve">comes into play (Prensky, 2001). Although this binary approach has been rightfully criticized for oversimplifying the situation and for treating the generations as a single entity, it still raises critical questions about the impact of the technology that was present in the formative years of one's life on the attitude one has toward problems and innovations that arise in the world </w:t>
      </w:r>
      <w:r>
        <w:t>(Faqih and Jaradat, 2021)</w:t>
      </w:r>
      <w:r>
        <w:rPr>
          <w:color w:val="000000"/>
          <w:lang w:val="en-US"/>
        </w:rPr>
        <w:t>.</w:t>
      </w:r>
    </w:p>
    <w:p w14:paraId="28B186C6" w14:textId="77777777" w:rsidR="00CD02D4" w:rsidRDefault="00CD02D4" w:rsidP="00CD02D4">
      <w:pPr>
        <w:spacing w:line="276" w:lineRule="auto"/>
        <w:jc w:val="both"/>
        <w:rPr>
          <w:color w:val="000000"/>
        </w:rPr>
      </w:pPr>
      <w:r>
        <w:rPr>
          <w:color w:val="000000"/>
          <w:lang w:val="en-US"/>
        </w:rPr>
        <w:t xml:space="preserve">Studies examining older adults and the technology they adopt have shown low rates of technology adoption and have outlined specific barriers. One of these studies was conducted by Cham and others and it described the barriers older adults face in adopting mobile payment methods to which they cite the complexity of the technology, concerns of security, lack of perceived need, and a tendency to prefer traditional methods (Cham et al., 2022). The value of this research is that it investigated the thought process and experience of older adults, and consequently </w:t>
      </w:r>
      <w:proofErr w:type="gramStart"/>
      <w:r>
        <w:rPr>
          <w:color w:val="000000"/>
          <w:lang w:val="en-US"/>
        </w:rPr>
        <w:t>is able to</w:t>
      </w:r>
      <w:proofErr w:type="gramEnd"/>
      <w:r>
        <w:rPr>
          <w:color w:val="000000"/>
          <w:lang w:val="en-US"/>
        </w:rPr>
        <w:t xml:space="preserve"> show that the opposition does not owe itself to a fear of technology, which is a common misconception, but it is simply a rational approach to the challenges of mobile payment methods </w:t>
      </w:r>
      <w:r>
        <w:t>(Faqih and Jaradat, 2021)</w:t>
      </w:r>
      <w:r>
        <w:rPr>
          <w:color w:val="000000"/>
          <w:lang w:val="en-US"/>
        </w:rPr>
        <w:t>.</w:t>
      </w:r>
    </w:p>
    <w:p w14:paraId="3D8C1D37" w14:textId="77777777" w:rsidR="00CD02D4" w:rsidRDefault="00CD02D4" w:rsidP="00CD02D4">
      <w:pPr>
        <w:spacing w:line="276" w:lineRule="auto"/>
        <w:jc w:val="both"/>
        <w:rPr>
          <w:color w:val="000000"/>
        </w:rPr>
      </w:pPr>
      <w:r>
        <w:rPr>
          <w:color w:val="000000"/>
          <w:lang w:val="en-US"/>
        </w:rPr>
        <w:t xml:space="preserve">The relationship between generations technology adoption and usage in families in India by Kumar and Sharma (2019) has been documented and an observation has been made that it is the younger members of the family, who the authors describe as technological intermediaries, that assist older family members in using new technology. It is the older family members that rely on the younger members for assistance in using new technology. There is a paradox in this relationship as the older family members assist in using new technology, and at the same time, lose their autonomy in the process and experience a reduction in self-competence. The authors argue that in a collectivist culture, technology adoption rests on the family as a social unit, and in this case, it is the younger members of the family who lose their autonomy </w:t>
      </w:r>
      <w:r>
        <w:t>(Rathore, 2020)</w:t>
      </w:r>
      <w:r>
        <w:rPr>
          <w:color w:val="000000"/>
          <w:lang w:val="en-US"/>
        </w:rPr>
        <w:t>.</w:t>
      </w:r>
    </w:p>
    <w:p w14:paraId="4349A52A" w14:textId="77777777" w:rsidR="00CD02D4" w:rsidRDefault="00CD02D4" w:rsidP="00CD02D4">
      <w:pPr>
        <w:spacing w:line="276" w:lineRule="auto"/>
        <w:jc w:val="both"/>
        <w:rPr>
          <w:color w:val="000000"/>
        </w:rPr>
      </w:pPr>
      <w:r>
        <w:rPr>
          <w:color w:val="000000"/>
          <w:lang w:val="en-US"/>
        </w:rPr>
        <w:t xml:space="preserve">Recent studies have scrutinized the tendency to view differences in generations' attitudes and behavior from a singular deterministic perspective and noted that the variation </w:t>
      </w:r>
      <w:proofErr w:type="gramStart"/>
      <w:r>
        <w:rPr>
          <w:color w:val="000000"/>
          <w:lang w:val="en-US"/>
        </w:rPr>
        <w:t>in a given</w:t>
      </w:r>
      <w:proofErr w:type="gramEnd"/>
      <w:r>
        <w:rPr>
          <w:color w:val="000000"/>
          <w:lang w:val="en-US"/>
        </w:rPr>
        <w:t xml:space="preserve"> generation is frequently greater than the variation that spans generations. Further, the studies posit that education, prior technology experience, and individual openness to new experiences are more important than the generation a person belongs to (Helsper and Eynon, 2010). This perspective calls for a methodological approach that explores generational differences while avoiding the improper and disproportionate construction of generational boxes, and the assumption of homogeneity among the members of a given cohort.</w:t>
      </w:r>
    </w:p>
    <w:p w14:paraId="7B522275" w14:textId="77777777" w:rsidR="00CD02D4" w:rsidRDefault="00CD02D4" w:rsidP="00CD02D4">
      <w:pPr>
        <w:pStyle w:val="Heading2"/>
        <w:spacing w:line="276" w:lineRule="auto"/>
        <w:jc w:val="both"/>
        <w:rPr>
          <w:rFonts w:ascii="Calibri" w:hAnsi="Calibri" w:cs="Calibri"/>
          <w:b/>
          <w:bCs/>
          <w:color w:val="000000"/>
          <w:sz w:val="28"/>
          <w:szCs w:val="28"/>
        </w:rPr>
      </w:pPr>
      <w:bookmarkStart w:id="9" w:name="_Toc220268002"/>
      <w:r>
        <w:rPr>
          <w:rFonts w:ascii="Calibri" w:hAnsi="Calibri" w:cs="Calibri"/>
          <w:b/>
          <w:bCs/>
          <w:color w:val="000000"/>
          <w:sz w:val="28"/>
          <w:szCs w:val="28"/>
        </w:rPr>
        <w:t>Creswell’s five approaches</w:t>
      </w:r>
      <w:bookmarkEnd w:id="9"/>
    </w:p>
    <w:p w14:paraId="1900D96B" w14:textId="77777777" w:rsidR="00CD02D4" w:rsidRDefault="00CD02D4" w:rsidP="00CD02D4">
      <w:pPr>
        <w:spacing w:line="276" w:lineRule="auto"/>
        <w:jc w:val="both"/>
        <w:rPr>
          <w:color w:val="000000"/>
        </w:rPr>
      </w:pPr>
      <w:r w:rsidRPr="00CD02D4">
        <w:rPr>
          <w:color w:val="000000"/>
        </w:rPr>
        <w:t xml:space="preserve">As Creswell and Poth (2018) say, qualitative inquiry can typically be designed based on five big methodologies narrative inquiry, phenomenology, grounded theory, ethnography, and case study. Narrative inquiry is based on the life stories of individuals, grounded theory aims at creating theory inductively </w:t>
      </w:r>
      <w:proofErr w:type="gramStart"/>
      <w:r w:rsidRPr="00CD02D4">
        <w:rPr>
          <w:color w:val="000000"/>
        </w:rPr>
        <w:t>on the basis of</w:t>
      </w:r>
      <w:proofErr w:type="gramEnd"/>
      <w:r w:rsidRPr="00CD02D4">
        <w:rPr>
          <w:color w:val="000000"/>
        </w:rPr>
        <w:t xml:space="preserve"> data, ethnography studies common cultural patterns </w:t>
      </w:r>
      <w:r w:rsidRPr="00CD02D4">
        <w:rPr>
          <w:color w:val="000000"/>
        </w:rPr>
        <w:lastRenderedPageBreak/>
        <w:t xml:space="preserve">within a group, and case study is a comprehensive study of a limited system or case (Kumar and Sharma, 2019). Of these methods, phenomenology is the one that is especially interested in the nature of the lived experience and the process of sense-making that people experience when confronted with a certain phenomenon. The study concurs with the phenomenological tradition the most since its main intention is to investigate how people of various generations in rural Gujarat live, perceive, and ascribe meanings to QR code payment systems in their daily lives. As such an interpretative phenomenological analysis (IPA) is adopted, as it allows considering the detailed, idiosyncratic study of the experiences that participants underwent, as well as taking into consideration the active nature of interpretation in the discernment of meaning-making processes. </w:t>
      </w:r>
      <w:proofErr w:type="spellStart"/>
      <w:r w:rsidRPr="00CD02D4">
        <w:rPr>
          <w:color w:val="000000"/>
        </w:rPr>
        <w:t>Ipa</w:t>
      </w:r>
      <w:proofErr w:type="spellEnd"/>
      <w:r w:rsidRPr="00CD02D4">
        <w:rPr>
          <w:color w:val="000000"/>
        </w:rPr>
        <w:t xml:space="preserve"> is most appropriate to this study compared to the other qualitative methods described by Creswell since it is the approach that predicts the subjective experience, reflexivity, and sense-making in the context, as opposed to theory generation, cultural description, and bounded case analysis (Gefen et al., 2003).</w:t>
      </w:r>
    </w:p>
    <w:p w14:paraId="50A19B89"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10" w:name="_Toc220268003"/>
      <w:r>
        <w:rPr>
          <w:rFonts w:ascii="Calibri" w:hAnsi="Calibri" w:cs="Calibri"/>
          <w:b/>
          <w:bCs/>
          <w:color w:val="000000"/>
          <w:sz w:val="28"/>
          <w:szCs w:val="28"/>
          <w:lang w:val="en-IN"/>
        </w:rPr>
        <w:t>Technology Acceptance Model and Extensions</w:t>
      </w:r>
      <w:bookmarkEnd w:id="10"/>
    </w:p>
    <w:p w14:paraId="62D8C36A" w14:textId="77777777" w:rsidR="00CD02D4" w:rsidRDefault="00CD02D4" w:rsidP="00CD02D4">
      <w:pPr>
        <w:spacing w:line="276" w:lineRule="auto"/>
        <w:jc w:val="both"/>
        <w:rPr>
          <w:color w:val="000000"/>
        </w:rPr>
      </w:pPr>
      <w:r>
        <w:rPr>
          <w:color w:val="000000"/>
          <w:lang w:val="en-US"/>
        </w:rPr>
        <w:t>For over thirty years, the Technology Acceptance Model, conceived by Davis and his colleagues, has reigned as the leading model in technology adoption (Davis et al. 1989). Perceived usefulness and perceived ease of use are the variables the model suggests are the most important in shaping attitudes toward new technologies, influencing the intentions to use those technologies, and ultimately, the actual usage of those technologies. The model has been researched, confirmed, and implemented in numerous settings and technologies, and among various demographics.</w:t>
      </w:r>
    </w:p>
    <w:p w14:paraId="30CDA1E2" w14:textId="77777777" w:rsidR="00CD02D4" w:rsidRDefault="00CD02D4" w:rsidP="00CD02D4">
      <w:pPr>
        <w:spacing w:line="276" w:lineRule="auto"/>
        <w:jc w:val="both"/>
        <w:rPr>
          <w:color w:val="000000"/>
        </w:rPr>
      </w:pPr>
      <w:r>
        <w:rPr>
          <w:color w:val="000000"/>
          <w:lang w:val="en-US"/>
        </w:rPr>
        <w:t xml:space="preserve">Gefen et al. (2003) expanded the model by including trust, which contributes to one’s perceived ease of use and perceived usefulness, and, in the case of digital payments, is quite essential, as the user </w:t>
      </w:r>
      <w:proofErr w:type="gramStart"/>
      <w:r>
        <w:rPr>
          <w:color w:val="000000"/>
          <w:lang w:val="en-US"/>
        </w:rPr>
        <w:t>has to</w:t>
      </w:r>
      <w:proofErr w:type="gramEnd"/>
      <w:r>
        <w:rPr>
          <w:color w:val="000000"/>
          <w:lang w:val="en-US"/>
        </w:rPr>
        <w:t xml:space="preserve"> trust the technology with sensitive personal and financial data. This interaction demonstrated how trust has a direct impact on one’s perceived usefulness and perceived ease of use, as well as one’s intentions to use the technology </w:t>
      </w:r>
      <w:r>
        <w:t>(Reserve Bank of India, 2022)</w:t>
      </w:r>
      <w:r>
        <w:rPr>
          <w:color w:val="000000"/>
          <w:lang w:val="en-US"/>
        </w:rPr>
        <w:t>.</w:t>
      </w:r>
    </w:p>
    <w:p w14:paraId="5BC835EA" w14:textId="77777777" w:rsidR="00CD02D4" w:rsidRDefault="00CD02D4" w:rsidP="00CD02D4">
      <w:pPr>
        <w:spacing w:line="276" w:lineRule="auto"/>
        <w:jc w:val="both"/>
        <w:rPr>
          <w:color w:val="000000"/>
        </w:rPr>
      </w:pPr>
      <w:r>
        <w:rPr>
          <w:color w:val="000000"/>
          <w:lang w:val="en-US"/>
        </w:rPr>
        <w:t>In the development of the Unified Theory of Acceptance and Use of Technology, performance expectancy, effort expectancy, social influence, and facilitating conditions were the most prominent variables and the most important of which were moderated by gender, age, experience, and voluntariness (Venkatesh et al, 2003). With the inclusion of social variables and those contextual to the environment, this model, however, also explained adoption factors beyond those captured in the Technology Acceptance Model as were psychological factors.</w:t>
      </w:r>
    </w:p>
    <w:p w14:paraId="2AC9318B" w14:textId="77777777" w:rsidR="00CD02D4" w:rsidRDefault="00CD02D4" w:rsidP="00CD02D4">
      <w:pPr>
        <w:spacing w:line="276" w:lineRule="auto"/>
        <w:jc w:val="both"/>
        <w:rPr>
          <w:color w:val="000000"/>
        </w:rPr>
      </w:pPr>
      <w:r>
        <w:rPr>
          <w:color w:val="000000"/>
          <w:lang w:val="en-US"/>
        </w:rPr>
        <w:t xml:space="preserve">The Technology Acceptance Model, however, has attracted criticism in both the Technology Acceptance Model and technology adoption in general. For example, the model assumes that emotional and social factors of the individual are static and fail to influence the adoption of new technologies which in turn drives the model (Dwivedi et al., 2017). While the model assumes that cognitions and perceptions of the individual become static and defined within a “box,” the model </w:t>
      </w:r>
      <w:r>
        <w:rPr>
          <w:color w:val="000000"/>
          <w:lang w:val="en-US"/>
        </w:rPr>
        <w:lastRenderedPageBreak/>
        <w:t>also neglects to explore how these perceptions are defined or shaped culturally or how they are constructed and negotiated socially within a community.</w:t>
      </w:r>
    </w:p>
    <w:p w14:paraId="037E6BAE" w14:textId="77777777" w:rsidR="00CD02D4" w:rsidRDefault="00CD02D4" w:rsidP="00CD02D4">
      <w:pPr>
        <w:spacing w:line="276" w:lineRule="auto"/>
        <w:jc w:val="both"/>
        <w:rPr>
          <w:color w:val="000000"/>
        </w:rPr>
      </w:pPr>
      <w:r>
        <w:rPr>
          <w:color w:val="000000"/>
          <w:lang w:val="en-US"/>
        </w:rPr>
        <w:t xml:space="preserve">While TAM and UTAUT have provided valuable insights into technology adoption, scholars increasingly critique their individualistic and cognitively reductionist assumptions, particularly in collectivist societies where technology decisions are negotiated within families and communities </w:t>
      </w:r>
      <w:r>
        <w:t>(Sharma and Gutiérrez, 2010)</w:t>
      </w:r>
      <w:r>
        <w:rPr>
          <w:color w:val="000000"/>
          <w:lang w:val="en-US"/>
        </w:rPr>
        <w:t xml:space="preserve">. These models overlook emotional </w:t>
      </w:r>
      <w:proofErr w:type="spellStart"/>
      <w:r>
        <w:rPr>
          <w:color w:val="000000"/>
          <w:lang w:val="en-US"/>
        </w:rPr>
        <w:t>labour</w:t>
      </w:r>
      <w:proofErr w:type="spellEnd"/>
      <w:r>
        <w:rPr>
          <w:color w:val="000000"/>
          <w:lang w:val="en-US"/>
        </w:rPr>
        <w:t>, relational power, and moral responsibility—dimensions that are central to QR payment adoption in rural Gujarat.</w:t>
      </w:r>
    </w:p>
    <w:p w14:paraId="23F59EF2"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11" w:name="_Toc220268004"/>
      <w:r>
        <w:rPr>
          <w:rFonts w:ascii="Calibri" w:hAnsi="Calibri" w:cs="Calibri"/>
          <w:b/>
          <w:bCs/>
          <w:color w:val="000000"/>
          <w:sz w:val="28"/>
          <w:szCs w:val="28"/>
          <w:lang w:val="en-IN"/>
        </w:rPr>
        <w:t>Trust in Digital Financial Systems</w:t>
      </w:r>
      <w:bookmarkEnd w:id="11"/>
    </w:p>
    <w:p w14:paraId="20DF6E40" w14:textId="77777777" w:rsidR="00CD02D4" w:rsidRDefault="00CD02D4" w:rsidP="00CD02D4">
      <w:pPr>
        <w:spacing w:line="276" w:lineRule="auto"/>
        <w:jc w:val="both"/>
        <w:rPr>
          <w:color w:val="000000"/>
        </w:rPr>
      </w:pPr>
      <w:r>
        <w:rPr>
          <w:color w:val="000000"/>
          <w:lang w:val="en-US"/>
        </w:rPr>
        <w:t>The role of trust in the adoption of new digital financial technologies is especially salient. Unlike other technologies, financial technologies pose real threats to the users’ financial health. Hence, trust is even more of a consideration. Trust encompasses a variety of dimensions, such as the technologies working as claimed, the technology service providers keeping users’ interest protected, the trust in the technology of the frameworks, the trust in oneself to use technology properly.</w:t>
      </w:r>
    </w:p>
    <w:p w14:paraId="369559E7" w14:textId="77777777" w:rsidR="00CD02D4" w:rsidRDefault="00CD02D4" w:rsidP="00CD02D4">
      <w:pPr>
        <w:spacing w:line="276" w:lineRule="auto"/>
        <w:jc w:val="both"/>
        <w:rPr>
          <w:color w:val="000000"/>
        </w:rPr>
      </w:pPr>
      <w:r>
        <w:rPr>
          <w:color w:val="000000"/>
          <w:lang w:val="en-US"/>
        </w:rPr>
        <w:t xml:space="preserve">The literature shows that trust functions quite differently in different parts of the world. In collectivist societies where there are social relationships of a close nature, trust may be more susceptible to the advocacy of community members that are perceived to be trusted, as well as people’s observation of the experiences of others (Senyo and Osabutey, 2020). In rural areas where relationships and reputations are tied to one another in a close manner, the digital nature of transactions that are not face to face can be more challenging, and can create trust that is often not there in cash transactions that are face to face </w:t>
      </w:r>
      <w:r>
        <w:t>(Vyas, 2024)</w:t>
      </w:r>
      <w:r>
        <w:rPr>
          <w:color w:val="000000"/>
          <w:lang w:val="en-US"/>
        </w:rPr>
        <w:t>.</w:t>
      </w:r>
    </w:p>
    <w:p w14:paraId="1AA6C5CB"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12" w:name="_Toc220268005"/>
      <w:r>
        <w:rPr>
          <w:rFonts w:ascii="Calibri" w:hAnsi="Calibri" w:cs="Calibri"/>
          <w:b/>
          <w:bCs/>
          <w:color w:val="000000"/>
          <w:sz w:val="28"/>
          <w:szCs w:val="28"/>
          <w:lang w:val="en-IN"/>
        </w:rPr>
        <w:t>Gaps Addressed by This Research</w:t>
      </w:r>
      <w:bookmarkEnd w:id="12"/>
    </w:p>
    <w:p w14:paraId="0AFEAC2E" w14:textId="77777777" w:rsidR="00CD02D4" w:rsidRDefault="00CD02D4" w:rsidP="00CD02D4">
      <w:pPr>
        <w:spacing w:line="276" w:lineRule="auto"/>
        <w:jc w:val="both"/>
        <w:rPr>
          <w:color w:val="000000"/>
        </w:rPr>
      </w:pPr>
      <w:r>
        <w:rPr>
          <w:color w:val="000000"/>
          <w:lang w:val="en-US"/>
        </w:rPr>
        <w:t xml:space="preserve">There is much literature on the adoption of digital payments, but there is also much literature that remains unexamined. There is the issue of measurement validity. Respondents of the </w:t>
      </w:r>
      <w:proofErr w:type="spellStart"/>
      <w:r>
        <w:rPr>
          <w:color w:val="000000"/>
          <w:lang w:val="en-US"/>
        </w:rPr>
        <w:t>the</w:t>
      </w:r>
      <w:proofErr w:type="spellEnd"/>
      <w:r>
        <w:rPr>
          <w:color w:val="000000"/>
          <w:lang w:val="en-US"/>
        </w:rPr>
        <w:t xml:space="preserve"> provided data claims may not have meaningfully engaged with the theoretical underpinnings of the instruments used to capture their lived phenomena (Schwandt, 2000). There is also the issue concerning the way scholars have treated age. As few have explored the ways in which different age cohorts generate different digital technologies. There is also the issue of the research context. Most depopulated rural settings in the global south have also received scant attention the same as their counterparts in the global north that are urbanized. Finally, the issue of examining the emotional and affective dimensions of the adoption of digital payments remains under researched </w:t>
      </w:r>
      <w:r>
        <w:t>(Senyo and Osabutey, 2020)</w:t>
      </w:r>
      <w:r>
        <w:rPr>
          <w:color w:val="000000"/>
          <w:lang w:val="en-US"/>
        </w:rPr>
        <w:t>.</w:t>
      </w:r>
    </w:p>
    <w:p w14:paraId="6720135C" w14:textId="77777777" w:rsidR="00CD02D4" w:rsidRDefault="00CD02D4" w:rsidP="00CD02D4">
      <w:pPr>
        <w:spacing w:line="276" w:lineRule="auto"/>
        <w:jc w:val="both"/>
        <w:rPr>
          <w:color w:val="000000"/>
        </w:rPr>
      </w:pPr>
      <w:r>
        <w:rPr>
          <w:color w:val="000000"/>
          <w:lang w:val="en-US"/>
        </w:rPr>
        <w:t xml:space="preserve">The research is designed in such a way as to capture the lived dimensions of digital payment adoption. Qualitative methodologies have been designed to capture the emotional, cultural, </w:t>
      </w:r>
      <w:proofErr w:type="gramStart"/>
      <w:r>
        <w:rPr>
          <w:color w:val="000000"/>
          <w:lang w:val="en-US"/>
        </w:rPr>
        <w:t>meaning</w:t>
      </w:r>
      <w:proofErr w:type="gramEnd"/>
      <w:r>
        <w:rPr>
          <w:color w:val="000000"/>
          <w:lang w:val="en-US"/>
        </w:rPr>
        <w:t xml:space="preserve"> and technological loss of the digital.</w:t>
      </w:r>
    </w:p>
    <w:p w14:paraId="5493A888" w14:textId="77777777" w:rsidR="00CD02D4" w:rsidRDefault="00CD02D4" w:rsidP="00CD02D4">
      <w:pPr>
        <w:pStyle w:val="Heading1"/>
        <w:spacing w:line="276" w:lineRule="auto"/>
        <w:jc w:val="both"/>
        <w:rPr>
          <w:rFonts w:ascii="Calibri" w:hAnsi="Calibri" w:cs="Calibri"/>
          <w:b/>
          <w:bCs/>
          <w:color w:val="000000"/>
          <w:sz w:val="32"/>
          <w:szCs w:val="32"/>
          <w:lang w:val="en-IN"/>
        </w:rPr>
      </w:pPr>
      <w:bookmarkStart w:id="13" w:name="_Toc220268006"/>
      <w:r>
        <w:rPr>
          <w:rFonts w:ascii="Calibri" w:hAnsi="Calibri" w:cs="Calibri"/>
          <w:b/>
          <w:bCs/>
          <w:color w:val="000000"/>
          <w:sz w:val="32"/>
          <w:szCs w:val="32"/>
          <w:lang w:val="en-IN"/>
        </w:rPr>
        <w:lastRenderedPageBreak/>
        <w:t>Theoretical Framework</w:t>
      </w:r>
      <w:bookmarkEnd w:id="13"/>
    </w:p>
    <w:p w14:paraId="3FB549C4"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14" w:name="_Toc220268007"/>
      <w:r>
        <w:rPr>
          <w:rFonts w:ascii="Calibri" w:hAnsi="Calibri" w:cs="Calibri"/>
          <w:b/>
          <w:bCs/>
          <w:color w:val="000000"/>
          <w:sz w:val="28"/>
          <w:szCs w:val="28"/>
          <w:lang w:val="en-IN"/>
        </w:rPr>
        <w:t>Constructivist Paradigm</w:t>
      </w:r>
      <w:bookmarkEnd w:id="14"/>
    </w:p>
    <w:p w14:paraId="28DBAE4F" w14:textId="77777777" w:rsidR="00CD02D4" w:rsidRPr="00CD02D4" w:rsidRDefault="00CD02D4" w:rsidP="00CD02D4">
      <w:pPr>
        <w:spacing w:line="276" w:lineRule="auto"/>
        <w:jc w:val="both"/>
        <w:rPr>
          <w:color w:val="000000"/>
        </w:rPr>
      </w:pPr>
      <w:r w:rsidRPr="00CD02D4">
        <w:rPr>
          <w:color w:val="000000"/>
          <w:lang w:val="en-US"/>
        </w:rPr>
        <w:t xml:space="preserve">There is a need to contextualize this research within the framework of the constructivist paradigm, which is a specific philosophical viewpoint that guides the understanding of knowledge, </w:t>
      </w:r>
      <w:proofErr w:type="gramStart"/>
      <w:r w:rsidRPr="00CD02D4">
        <w:rPr>
          <w:color w:val="000000"/>
          <w:lang w:val="en-US"/>
        </w:rPr>
        <w:t>reality</w:t>
      </w:r>
      <w:proofErr w:type="gramEnd"/>
      <w:r w:rsidRPr="00CD02D4">
        <w:rPr>
          <w:color w:val="000000"/>
          <w:lang w:val="en-US"/>
        </w:rPr>
        <w:t xml:space="preserve"> and the research process as such. Constructivists such as Schwandt and Lincoln explain such a worldview by stating that knowledge is construed and meaning is constructed out of experience and social interactions of the individual and the individual does not just discover existing knowledge and objective truths. According to constructivism, reality is not an absolute settled thing, nor is it an objective thing that just exists outside interpretation of human and exists in vacuum. Instead, easily in constructivism, reality is a social construction which is determined by meaning and interpretation people give it and that meaning is determined by the social construct consciousness of the people, and the enormous plethora of their interactions (Prensky, 2001).  </w:t>
      </w:r>
    </w:p>
    <w:p w14:paraId="0EBAD8D4" w14:textId="77777777" w:rsidR="00CD02D4" w:rsidRPr="00CD02D4" w:rsidRDefault="00CD02D4" w:rsidP="00CD02D4">
      <w:pPr>
        <w:spacing w:line="276" w:lineRule="auto"/>
        <w:jc w:val="both"/>
        <w:rPr>
          <w:color w:val="000000"/>
        </w:rPr>
      </w:pPr>
      <w:r w:rsidRPr="00CD02D4">
        <w:rPr>
          <w:color w:val="000000"/>
          <w:lang w:val="en-US"/>
        </w:rPr>
        <w:t xml:space="preserve">Constructivist paradigm has several basic salient features which can be differentiated in comparison with positivism and post positivism.  To start with, constructivism considers knowledge as a product of interaction between the researcher and the study participants compared to the construct being an objective reality which is remote, neutrally draped, and merely looks through a glass and quantifies in observable unitary amounts. The researcher is not an impartial observer and his/her role in informing the creation of the knowledge is inherent in the form of his/her self-knowledge, </w:t>
      </w:r>
      <w:proofErr w:type="gramStart"/>
      <w:r w:rsidRPr="00CD02D4">
        <w:rPr>
          <w:color w:val="000000"/>
          <w:lang w:val="en-US"/>
        </w:rPr>
        <w:t>supposition</w:t>
      </w:r>
      <w:proofErr w:type="gramEnd"/>
      <w:r w:rsidRPr="00CD02D4">
        <w:rPr>
          <w:color w:val="000000"/>
          <w:lang w:val="en-US"/>
        </w:rPr>
        <w:t xml:space="preserve"> and interpretative perspectives.</w:t>
      </w:r>
    </w:p>
    <w:p w14:paraId="311D0579" w14:textId="77777777" w:rsidR="00CD02D4" w:rsidRPr="00CD02D4" w:rsidRDefault="00CD02D4" w:rsidP="00CD02D4">
      <w:pPr>
        <w:spacing w:line="276" w:lineRule="auto"/>
        <w:jc w:val="both"/>
        <w:rPr>
          <w:color w:val="000000"/>
        </w:rPr>
      </w:pPr>
      <w:r w:rsidRPr="00CD02D4">
        <w:rPr>
          <w:color w:val="000000"/>
          <w:lang w:val="en-US"/>
        </w:rPr>
        <w:t xml:space="preserve">The second constructivism assumption is the absence of single non-privileged positions that may be accepted as ultimate ones. Different individuals or groups of people might have different understandings of the same phenomenon that are based on various factors, including unique life experiences, </w:t>
      </w:r>
      <w:proofErr w:type="gramStart"/>
      <w:r w:rsidRPr="00CD02D4">
        <w:rPr>
          <w:color w:val="000000"/>
          <w:lang w:val="en-US"/>
        </w:rPr>
        <w:t>culture</w:t>
      </w:r>
      <w:proofErr w:type="gramEnd"/>
      <w:r w:rsidRPr="00CD02D4">
        <w:rPr>
          <w:color w:val="000000"/>
          <w:lang w:val="en-US"/>
        </w:rPr>
        <w:t xml:space="preserve"> and their positions in society. It has been acknowledged that these differing understandings are not incorrect and factual but the other is valid as it is a different real experience. The mentioned assumption applies to the study in the context of the technology adoption research since various generations, due to their exposure to different life experiences, might possess different, and equally valid, perceptions of the digital payment systems (Vatsa et al., 2023).</w:t>
      </w:r>
    </w:p>
    <w:p w14:paraId="4167BF3C" w14:textId="77777777" w:rsidR="00CD02D4" w:rsidRDefault="00CD02D4" w:rsidP="00CD02D4">
      <w:pPr>
        <w:spacing w:line="276" w:lineRule="auto"/>
        <w:jc w:val="both"/>
        <w:rPr>
          <w:color w:val="000000"/>
        </w:rPr>
      </w:pPr>
      <w:r w:rsidRPr="00CD02D4">
        <w:rPr>
          <w:color w:val="000000"/>
          <w:lang w:val="en-US"/>
        </w:rPr>
        <w:t xml:space="preserve">Thirdly, the author goes further to explain how constructivism does not exist in a vacuum and the meaning of all social constructs and how they come into existence in the continuum of history, culture, and society. Structure is meaning, and thus, the meaning-making processes should take care of particular social constructs, which both make possible, but also limit the comprehension of a phenomenon. The cultural values, social order, economics as well as history </w:t>
      </w:r>
      <w:r w:rsidRPr="00CD02D4">
        <w:rPr>
          <w:color w:val="000000"/>
          <w:lang w:val="en-US"/>
        </w:rPr>
        <w:lastRenderedPageBreak/>
        <w:t>that dictate how people of rural Gujarat perceive, hence react to, the digital payment technologies is the phenomenon in this case (Smith et al., 2009).</w:t>
      </w:r>
    </w:p>
    <w:p w14:paraId="44203730"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15" w:name="_Toc220268008"/>
      <w:r>
        <w:rPr>
          <w:rFonts w:ascii="Calibri" w:hAnsi="Calibri" w:cs="Calibri"/>
          <w:b/>
          <w:bCs/>
          <w:color w:val="000000"/>
          <w:sz w:val="28"/>
          <w:szCs w:val="28"/>
          <w:lang w:val="en-IN"/>
        </w:rPr>
        <w:t>Relevance to the Research Problem</w:t>
      </w:r>
      <w:bookmarkEnd w:id="15"/>
    </w:p>
    <w:p w14:paraId="22F216D6" w14:textId="77777777" w:rsidR="00CD02D4" w:rsidRDefault="00CD02D4" w:rsidP="00CD02D4">
      <w:pPr>
        <w:spacing w:line="276" w:lineRule="auto"/>
        <w:jc w:val="both"/>
        <w:rPr>
          <w:color w:val="000000"/>
        </w:rPr>
      </w:pPr>
      <w:r>
        <w:rPr>
          <w:color w:val="000000"/>
          <w:lang w:val="en-US"/>
        </w:rPr>
        <w:t xml:space="preserve">Theoretically, this research is grounded in the constructivist paradigm, particularly because, across generations, the adoption of technology is a process of constructing meaning. Individuals either accept or decline the use of digital payment systems because of their features, but ultimately because of their meaning, in relation to their values and needs, identity, previous experiences, and so forth, such meaning is interpretive. Instead of depicting such interpretation as subjective distortions of reality, constructivism places them at the center of inquiry </w:t>
      </w:r>
      <w:r>
        <w:t>(Nandru et al., 2024)</w:t>
      </w:r>
      <w:r>
        <w:rPr>
          <w:color w:val="000000"/>
          <w:lang w:val="en-US"/>
        </w:rPr>
        <w:t>.</w:t>
      </w:r>
    </w:p>
    <w:p w14:paraId="3C62E6E2" w14:textId="77777777" w:rsidR="00CD02D4" w:rsidRDefault="00CD02D4" w:rsidP="00CD02D4">
      <w:pPr>
        <w:spacing w:line="276" w:lineRule="auto"/>
        <w:jc w:val="both"/>
        <w:rPr>
          <w:color w:val="000000"/>
        </w:rPr>
      </w:pPr>
      <w:proofErr w:type="gramStart"/>
      <w:r>
        <w:rPr>
          <w:color w:val="000000"/>
          <w:lang w:val="en-US"/>
        </w:rPr>
        <w:t>Last but not least</w:t>
      </w:r>
      <w:proofErr w:type="gramEnd"/>
      <w:r>
        <w:rPr>
          <w:color w:val="000000"/>
          <w:lang w:val="en-US"/>
        </w:rPr>
        <w:t xml:space="preserve"> are ethically responsible studies focusing on financial inclusion which must seek to understand how potential users engage with and make sense of digital payments of all types. Constructivism, by focusing on users, offers a plausible strategy to help understand and respect users’ concerns, hopes, and circumstances to produce constructive outcomes when researching positive adoption user experience </w:t>
      </w:r>
      <w:r>
        <w:t>(Smith et al., 2009)</w:t>
      </w:r>
      <w:r>
        <w:rPr>
          <w:color w:val="000000"/>
          <w:lang w:val="en-US"/>
        </w:rPr>
        <w:t>.</w:t>
      </w:r>
    </w:p>
    <w:p w14:paraId="39404F75"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16" w:name="_Toc220268009"/>
      <w:r>
        <w:rPr>
          <w:rFonts w:ascii="Calibri" w:hAnsi="Calibri" w:cs="Calibri"/>
          <w:b/>
          <w:bCs/>
          <w:color w:val="000000"/>
          <w:sz w:val="28"/>
          <w:szCs w:val="28"/>
          <w:lang w:val="en-IN"/>
        </w:rPr>
        <w:t>Technology Acceptance Model Through a Constructivist Lens</w:t>
      </w:r>
      <w:bookmarkEnd w:id="16"/>
    </w:p>
    <w:p w14:paraId="73350FCC" w14:textId="77777777" w:rsidR="00CD02D4" w:rsidRDefault="00CD02D4" w:rsidP="00CD02D4">
      <w:pPr>
        <w:spacing w:line="276" w:lineRule="auto"/>
        <w:jc w:val="both"/>
        <w:rPr>
          <w:color w:val="000000"/>
        </w:rPr>
      </w:pPr>
      <w:r>
        <w:rPr>
          <w:color w:val="000000"/>
          <w:lang w:val="en-US"/>
        </w:rPr>
        <w:t xml:space="preserve">The Technology Acceptance Model is being utilized in this research but from a constructivist perspective, as opposed to a positivist one. Classic versions of the Technology Acceptance Model view perceived usefulness and perceived ease of use as cognitive elements that can be quantitatively assessed using a questionnaire as well as predictably influence a person's intention and/or behavioral adoption of a particular technology (Davis et al., 1989). While this perspective has furthered research in the field, it frequently conflates the theoretical understanding of the problem with a misguided assumption that it relates to a static property, representative of the individual minds of the people involved, possessing uniform significance across varied context </w:t>
      </w:r>
      <w:r>
        <w:t>(Venkatesh et al., 2003)</w:t>
      </w:r>
      <w:r>
        <w:rPr>
          <w:color w:val="000000"/>
          <w:lang w:val="en-US"/>
        </w:rPr>
        <w:t>.</w:t>
      </w:r>
    </w:p>
    <w:p w14:paraId="55ABEC36" w14:textId="77777777" w:rsidR="00CD02D4" w:rsidRDefault="00CD02D4" w:rsidP="00CD02D4">
      <w:pPr>
        <w:spacing w:line="276" w:lineRule="auto"/>
        <w:jc w:val="both"/>
        <w:rPr>
          <w:color w:val="000000"/>
        </w:rPr>
      </w:pPr>
      <w:r>
        <w:rPr>
          <w:color w:val="000000"/>
          <w:lang w:val="en-US"/>
        </w:rPr>
        <w:t>In contrast, a constructivist position posits that perceived usefulness and perceived ease of use are not stable characteristics of individuals, but rather are socially constructed meanings developed through experience, interaction, and sense-making processes (Dwivedi et al., 2017). This line of thinking understands meanings, as useful or ease of use, are not taken for granted, rather it is contested by a person’s unique needs, interests, abilities, and culture. Different generations, for instance, may construct considerably different understandings of usefulness based on their unique financial behaviors, life situations, and priorities. Likewise, ease of use is not an inherent characteristic of a technology, but rather a construct of an individual’s past experiences, skills, and expectations</w:t>
      </w:r>
      <w:r>
        <w:t xml:space="preserve"> (Venkatesh et al., 2003)</w:t>
      </w:r>
      <w:r>
        <w:rPr>
          <w:color w:val="000000"/>
          <w:lang w:val="en-US"/>
        </w:rPr>
        <w:t>.</w:t>
      </w:r>
    </w:p>
    <w:p w14:paraId="3F91AB0F" w14:textId="77777777" w:rsidR="00CD02D4" w:rsidRDefault="00CD02D4" w:rsidP="00CD02D4">
      <w:pPr>
        <w:pStyle w:val="Heading1"/>
        <w:spacing w:line="276" w:lineRule="auto"/>
        <w:jc w:val="both"/>
        <w:rPr>
          <w:rFonts w:ascii="Calibri" w:hAnsi="Calibri" w:cs="Calibri"/>
          <w:b/>
          <w:bCs/>
          <w:color w:val="000000"/>
          <w:sz w:val="32"/>
          <w:szCs w:val="32"/>
        </w:rPr>
      </w:pPr>
      <w:bookmarkStart w:id="17" w:name="_Toc220268010"/>
      <w:r>
        <w:rPr>
          <w:rFonts w:ascii="Calibri" w:hAnsi="Calibri" w:cs="Calibri"/>
          <w:b/>
          <w:bCs/>
          <w:color w:val="000000"/>
          <w:sz w:val="32"/>
          <w:szCs w:val="32"/>
          <w:lang w:val="en-IN"/>
        </w:rPr>
        <w:lastRenderedPageBreak/>
        <w:t>Conceptual Framework</w:t>
      </w:r>
      <w:bookmarkEnd w:id="17"/>
    </w:p>
    <w:p w14:paraId="525C3750" w14:textId="77777777" w:rsidR="00CD02D4" w:rsidRDefault="00CD02D4" w:rsidP="00CD02D4">
      <w:pPr>
        <w:spacing w:line="276" w:lineRule="auto"/>
        <w:jc w:val="both"/>
        <w:rPr>
          <w:b/>
          <w:bCs/>
          <w:i/>
          <w:iCs/>
          <w:color w:val="000000"/>
          <w:lang w:val="en-IN"/>
        </w:rPr>
      </w:pPr>
      <w:r>
        <w:rPr>
          <w:b/>
          <w:bCs/>
          <w:i/>
          <w:iCs/>
          <w:color w:val="000000"/>
          <w:lang w:val="en-IN"/>
        </w:rPr>
        <w:t xml:space="preserve"> </w:t>
      </w:r>
      <w:r>
        <w:rPr>
          <w:i/>
          <w:iCs/>
          <w:color w:val="000000"/>
          <w:lang w:val="en-US"/>
        </w:rPr>
        <w:t xml:space="preserve">Figure </w:t>
      </w:r>
      <w:r>
        <w:rPr>
          <w:i/>
          <w:iCs/>
          <w:color w:val="000000"/>
        </w:rPr>
        <w:fldChar w:fldCharType="begin"/>
      </w:r>
      <w:r>
        <w:rPr>
          <w:i/>
          <w:iCs/>
          <w:color w:val="000000"/>
          <w:lang w:val="en-US"/>
        </w:rPr>
        <w:instrText xml:space="preserve"> SEQ Figure \* ARABIC </w:instrText>
      </w:r>
      <w:r>
        <w:rPr>
          <w:i/>
          <w:iCs/>
          <w:color w:val="000000"/>
        </w:rPr>
        <w:fldChar w:fldCharType="separate"/>
      </w:r>
      <w:r>
        <w:rPr>
          <w:i/>
          <w:iCs/>
          <w:color w:val="000000"/>
          <w:lang w:val="en-US"/>
        </w:rPr>
        <w:t>1</w:t>
      </w:r>
      <w:r>
        <w:rPr>
          <w:color w:val="000000"/>
        </w:rPr>
        <w:fldChar w:fldCharType="end"/>
      </w:r>
      <w:r>
        <w:rPr>
          <w:i/>
          <w:iCs/>
          <w:color w:val="000000"/>
          <w:lang w:val="en-US"/>
        </w:rPr>
        <w:t xml:space="preserve"> </w:t>
      </w:r>
      <w:r>
        <w:rPr>
          <w:b/>
          <w:bCs/>
          <w:i/>
          <w:iCs/>
          <w:color w:val="000000"/>
          <w:lang w:val="en-IN"/>
        </w:rPr>
        <w:t xml:space="preserve"> Conceptual Framework for Understanding Generational QR Code Payment Adoption</w:t>
      </w:r>
    </w:p>
    <w:p w14:paraId="36C2E23D" w14:textId="77777777" w:rsidR="00CD02D4" w:rsidRDefault="00CD02D4" w:rsidP="00CD02D4">
      <w:pPr>
        <w:spacing w:line="276" w:lineRule="auto"/>
        <w:jc w:val="both"/>
        <w:rPr>
          <w:color w:val="000000"/>
          <w:lang w:val="en-IN"/>
        </w:rPr>
      </w:pPr>
      <w:r>
        <w:rPr>
          <w:noProof/>
          <w:color w:val="000000"/>
        </w:rPr>
        <w:drawing>
          <wp:anchor distT="0" distB="0" distL="114300" distR="114300" simplePos="0" relativeHeight="251659264" behindDoc="1" locked="0" layoutInCell="1" allowOverlap="1" wp14:anchorId="755E31FF" wp14:editId="39B103C4">
            <wp:simplePos x="0" y="0"/>
            <wp:positionH relativeFrom="column">
              <wp:posOffset>1320800</wp:posOffset>
            </wp:positionH>
            <wp:positionV relativeFrom="paragraph">
              <wp:posOffset>40640</wp:posOffset>
            </wp:positionV>
            <wp:extent cx="3435350" cy="5152390"/>
            <wp:effectExtent l="0" t="0" r="0" b="0"/>
            <wp:wrapTight wrapText="bothSides">
              <wp:wrapPolygon edited="0">
                <wp:start x="0" y="0"/>
                <wp:lineTo x="0" y="21483"/>
                <wp:lineTo x="21440" y="21483"/>
                <wp:lineTo x="21440" y="0"/>
                <wp:lineTo x="0" y="0"/>
              </wp:wrapPolygon>
            </wp:wrapTight>
            <wp:docPr id="1026"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8" cstate="print"/>
                    <a:srcRect/>
                    <a:stretch/>
                  </pic:blipFill>
                  <pic:spPr>
                    <a:xfrm>
                      <a:off x="0" y="0"/>
                      <a:ext cx="3435350" cy="5152390"/>
                    </a:xfrm>
                    <a:prstGeom prst="rect">
                      <a:avLst/>
                    </a:prstGeom>
                  </pic:spPr>
                </pic:pic>
              </a:graphicData>
            </a:graphic>
            <wp14:sizeRelH relativeFrom="margin">
              <wp14:pctWidth>0</wp14:pctWidth>
            </wp14:sizeRelH>
            <wp14:sizeRelV relativeFrom="margin">
              <wp14:pctHeight>0</wp14:pctHeight>
            </wp14:sizeRelV>
          </wp:anchor>
        </w:drawing>
      </w:r>
    </w:p>
    <w:p w14:paraId="6D6E0065" w14:textId="77777777" w:rsidR="00CD02D4" w:rsidRDefault="00CD02D4" w:rsidP="00CD02D4">
      <w:pPr>
        <w:spacing w:line="276" w:lineRule="auto"/>
        <w:jc w:val="both"/>
        <w:rPr>
          <w:color w:val="000000"/>
        </w:rPr>
      </w:pPr>
    </w:p>
    <w:p w14:paraId="30121269" w14:textId="77777777" w:rsidR="00CD02D4" w:rsidRDefault="00CD02D4" w:rsidP="00CD02D4">
      <w:pPr>
        <w:spacing w:line="276" w:lineRule="auto"/>
        <w:jc w:val="both"/>
        <w:rPr>
          <w:color w:val="000000"/>
        </w:rPr>
      </w:pPr>
    </w:p>
    <w:p w14:paraId="40591964" w14:textId="77777777" w:rsidR="00CD02D4" w:rsidRDefault="00CD02D4" w:rsidP="00CD02D4">
      <w:pPr>
        <w:spacing w:line="276" w:lineRule="auto"/>
        <w:jc w:val="both"/>
        <w:rPr>
          <w:color w:val="000000"/>
        </w:rPr>
      </w:pPr>
    </w:p>
    <w:p w14:paraId="352FE39A" w14:textId="77777777" w:rsidR="00CD02D4" w:rsidRDefault="00CD02D4" w:rsidP="00CD02D4">
      <w:pPr>
        <w:spacing w:line="276" w:lineRule="auto"/>
        <w:jc w:val="both"/>
        <w:rPr>
          <w:color w:val="000000"/>
        </w:rPr>
      </w:pPr>
    </w:p>
    <w:p w14:paraId="093B4F5C" w14:textId="77777777" w:rsidR="00CD02D4" w:rsidRDefault="00CD02D4" w:rsidP="00CD02D4">
      <w:pPr>
        <w:spacing w:line="276" w:lineRule="auto"/>
        <w:jc w:val="both"/>
        <w:rPr>
          <w:color w:val="000000"/>
        </w:rPr>
      </w:pPr>
    </w:p>
    <w:p w14:paraId="436029AE" w14:textId="77777777" w:rsidR="00CD02D4" w:rsidRDefault="00CD02D4" w:rsidP="00CD02D4">
      <w:pPr>
        <w:spacing w:line="276" w:lineRule="auto"/>
        <w:jc w:val="both"/>
        <w:rPr>
          <w:color w:val="000000"/>
        </w:rPr>
      </w:pPr>
    </w:p>
    <w:p w14:paraId="5B2BC6F6" w14:textId="77777777" w:rsidR="00CD02D4" w:rsidRDefault="00CD02D4" w:rsidP="00CD02D4">
      <w:pPr>
        <w:spacing w:line="276" w:lineRule="auto"/>
        <w:jc w:val="both"/>
        <w:rPr>
          <w:color w:val="000000"/>
        </w:rPr>
      </w:pPr>
    </w:p>
    <w:p w14:paraId="397CA189" w14:textId="77777777" w:rsidR="00CD02D4" w:rsidRDefault="00CD02D4" w:rsidP="00CD02D4">
      <w:pPr>
        <w:spacing w:line="276" w:lineRule="auto"/>
        <w:jc w:val="both"/>
        <w:rPr>
          <w:color w:val="000000"/>
        </w:rPr>
      </w:pPr>
    </w:p>
    <w:p w14:paraId="7D4DDA42" w14:textId="77777777" w:rsidR="00CD02D4" w:rsidRDefault="00CD02D4" w:rsidP="00CD02D4">
      <w:pPr>
        <w:spacing w:line="276" w:lineRule="auto"/>
        <w:jc w:val="both"/>
        <w:rPr>
          <w:color w:val="000000"/>
        </w:rPr>
      </w:pPr>
    </w:p>
    <w:p w14:paraId="2EBB1FD9" w14:textId="77777777" w:rsidR="00CD02D4" w:rsidRDefault="00CD02D4" w:rsidP="00CD02D4">
      <w:pPr>
        <w:spacing w:line="276" w:lineRule="auto"/>
        <w:jc w:val="both"/>
        <w:rPr>
          <w:color w:val="000000"/>
        </w:rPr>
      </w:pPr>
    </w:p>
    <w:p w14:paraId="5BC183B3" w14:textId="77777777" w:rsidR="00CD02D4" w:rsidRDefault="00CD02D4" w:rsidP="00CD02D4">
      <w:pPr>
        <w:spacing w:line="276" w:lineRule="auto"/>
        <w:jc w:val="both"/>
        <w:rPr>
          <w:color w:val="000000"/>
        </w:rPr>
      </w:pPr>
    </w:p>
    <w:p w14:paraId="29E648E3" w14:textId="77777777" w:rsidR="00CD02D4" w:rsidRDefault="00CD02D4" w:rsidP="00CD02D4">
      <w:pPr>
        <w:spacing w:line="276" w:lineRule="auto"/>
        <w:jc w:val="both"/>
        <w:rPr>
          <w:color w:val="000000"/>
        </w:rPr>
      </w:pPr>
    </w:p>
    <w:p w14:paraId="028704A9" w14:textId="77777777" w:rsidR="00CD02D4" w:rsidRDefault="00CD02D4" w:rsidP="00CD02D4">
      <w:pPr>
        <w:spacing w:line="276" w:lineRule="auto"/>
        <w:jc w:val="both"/>
        <w:rPr>
          <w:color w:val="000000"/>
        </w:rPr>
      </w:pPr>
    </w:p>
    <w:p w14:paraId="10CA72DB" w14:textId="77777777" w:rsidR="00CD02D4" w:rsidRDefault="00CD02D4" w:rsidP="00CD02D4">
      <w:pPr>
        <w:spacing w:line="276" w:lineRule="auto"/>
        <w:jc w:val="both"/>
        <w:rPr>
          <w:color w:val="000000"/>
        </w:rPr>
      </w:pPr>
    </w:p>
    <w:p w14:paraId="41A4FC86" w14:textId="77777777" w:rsidR="00CD02D4" w:rsidRDefault="00CD02D4" w:rsidP="00CD02D4">
      <w:pPr>
        <w:spacing w:line="276" w:lineRule="auto"/>
        <w:jc w:val="both"/>
        <w:rPr>
          <w:color w:val="000000"/>
        </w:rPr>
      </w:pPr>
    </w:p>
    <w:p w14:paraId="0E58F630" w14:textId="77777777" w:rsidR="00CD02D4" w:rsidRDefault="00CD02D4" w:rsidP="00CD02D4">
      <w:pPr>
        <w:pStyle w:val="Heading2"/>
        <w:spacing w:line="276" w:lineRule="auto"/>
        <w:jc w:val="both"/>
        <w:rPr>
          <w:rFonts w:ascii="Calibri" w:hAnsi="Calibri" w:cs="Calibri"/>
          <w:b/>
          <w:bCs/>
          <w:color w:val="000000"/>
          <w:sz w:val="28"/>
          <w:szCs w:val="28"/>
          <w:lang w:val="en-US"/>
        </w:rPr>
      </w:pPr>
      <w:bookmarkStart w:id="18" w:name="_Toc220268011"/>
      <w:r>
        <w:rPr>
          <w:rFonts w:ascii="Calibri" w:hAnsi="Calibri" w:cs="Calibri"/>
          <w:b/>
          <w:bCs/>
          <w:color w:val="000000"/>
          <w:sz w:val="28"/>
          <w:szCs w:val="28"/>
          <w:lang w:val="en-US"/>
        </w:rPr>
        <w:t xml:space="preserve">Figure 1: </w:t>
      </w:r>
    </w:p>
    <w:p w14:paraId="71787DAA" w14:textId="35F836BE" w:rsidR="00CD02D4" w:rsidRDefault="00CD02D4" w:rsidP="00CD02D4">
      <w:pPr>
        <w:pStyle w:val="Heading2"/>
        <w:spacing w:line="276" w:lineRule="auto"/>
        <w:jc w:val="both"/>
        <w:rPr>
          <w:rFonts w:ascii="Calibri" w:hAnsi="Calibri" w:cs="Calibri"/>
          <w:b/>
          <w:bCs/>
          <w:color w:val="000000"/>
          <w:sz w:val="28"/>
          <w:szCs w:val="28"/>
        </w:rPr>
      </w:pPr>
      <w:r>
        <w:rPr>
          <w:rFonts w:ascii="Calibri" w:hAnsi="Calibri" w:cs="Calibri"/>
          <w:b/>
          <w:bCs/>
          <w:color w:val="000000"/>
          <w:sz w:val="28"/>
          <w:szCs w:val="28"/>
          <w:lang w:val="en-US"/>
        </w:rPr>
        <w:t>Conceptual framework</w:t>
      </w:r>
      <w:bookmarkEnd w:id="18"/>
    </w:p>
    <w:p w14:paraId="3679CC8F" w14:textId="77777777" w:rsidR="00CD02D4" w:rsidRDefault="00CD02D4" w:rsidP="00CD02D4">
      <w:pPr>
        <w:spacing w:line="276" w:lineRule="auto"/>
        <w:jc w:val="both"/>
        <w:rPr>
          <w:color w:val="000000"/>
        </w:rPr>
      </w:pPr>
      <w:r>
        <w:rPr>
          <w:color w:val="000000"/>
          <w:lang w:val="en-US"/>
        </w:rPr>
        <w:t xml:space="preserve">This framework explains how different age groups, cultural considerations, and social arrangements shape experiences regarding QR code payments in rural Gujarat. These analytic experiences inform perspective in construct usefulness, ease, trust, and digital confidence, which overtime mediate varying levels of participation from passive resistance to active participation. The constructivist epistemology evidenced in (Davis et al, 1989, Venkatesh et al, 2003, Smith et al, 2009) explains the framework's focus on the dynamic and bidirectional relationships of the reflexive feedback loop of the framework which explains how engagement activities reshape meaning. The conceptual framework positions lived experience as the central analytical lens </w:t>
      </w:r>
      <w:r>
        <w:rPr>
          <w:color w:val="000000"/>
          <w:lang w:val="en-US"/>
        </w:rPr>
        <w:lastRenderedPageBreak/>
        <w:t xml:space="preserve">through which QR code payment adoption is understood. Rather than assuming linear causality, the framework reflects a constructivist epistemology where meanings are continuously negotiated through social interaction and experience. Engagement patterns emerge not solely from individual attitudes, but from the interaction of generational positioning, cultural norms, and social structures within rural Gujarat </w:t>
      </w:r>
      <w:r>
        <w:t>(Venkatesh et al., 2012)</w:t>
      </w:r>
      <w:r>
        <w:rPr>
          <w:color w:val="000000"/>
          <w:lang w:val="en-US"/>
        </w:rPr>
        <w:t>.</w:t>
      </w:r>
    </w:p>
    <w:p w14:paraId="79A94FB4" w14:textId="77777777" w:rsidR="00CD02D4" w:rsidRDefault="00CD02D4" w:rsidP="00CD02D4">
      <w:pPr>
        <w:spacing w:line="276" w:lineRule="auto"/>
        <w:jc w:val="both"/>
        <w:rPr>
          <w:color w:val="000000"/>
        </w:rPr>
      </w:pPr>
      <w:r>
        <w:rPr>
          <w:color w:val="000000"/>
          <w:lang w:val="en-US"/>
        </w:rPr>
        <w:t xml:space="preserve">The conceptual framework relies on the theory of acceptance of technology, generational studies, and constructivist epistemology. This </w:t>
      </w:r>
      <w:proofErr w:type="gramStart"/>
      <w:r>
        <w:rPr>
          <w:color w:val="000000"/>
          <w:lang w:val="en-US"/>
        </w:rPr>
        <w:t>particular framework</w:t>
      </w:r>
      <w:proofErr w:type="gramEnd"/>
      <w:r>
        <w:rPr>
          <w:color w:val="000000"/>
          <w:lang w:val="en-US"/>
        </w:rPr>
        <w:t xml:space="preserve"> centers lived experiences as the primary phenomenon of interest, consisting of the cognitive, emotional, and physical elements of encounters with digital payment technologies </w:t>
      </w:r>
      <w:r>
        <w:t>(Raut, 2024)</w:t>
      </w:r>
      <w:r>
        <w:rPr>
          <w:color w:val="000000"/>
          <w:lang w:val="en-US"/>
        </w:rPr>
        <w:t xml:space="preserve">.  </w:t>
      </w:r>
    </w:p>
    <w:p w14:paraId="6F63B0B6" w14:textId="77777777" w:rsidR="00CD02D4" w:rsidRDefault="00CD02D4" w:rsidP="00CD02D4">
      <w:pPr>
        <w:spacing w:line="276" w:lineRule="auto"/>
        <w:jc w:val="both"/>
        <w:rPr>
          <w:color w:val="000000"/>
        </w:rPr>
      </w:pPr>
      <w:r>
        <w:rPr>
          <w:color w:val="000000"/>
          <w:lang w:val="en-US"/>
        </w:rPr>
        <w:t xml:space="preserve">The framework uncovered generational position, cultural setting, social structures, and lived experience and the theory of four elements and structures in the theory of structures and systems of experience. Social position pertains to the distinct position of social cohorts in one’s natal cohorts and formative experiences with technology. The cultural setting involves socio-cultural and socio-economic structures and systems of rural Gujarat, which determines levels of trust, financial behavior, and the use of appropriate technology. Social structures such as family, peers, and community determine technology use </w:t>
      </w:r>
      <w:r>
        <w:t>(Wang et al., 2021)</w:t>
      </w:r>
      <w:r>
        <w:rPr>
          <w:color w:val="000000"/>
          <w:lang w:val="en-US"/>
        </w:rPr>
        <w:t xml:space="preserve">. As for the social structures, these include the availability of the technology, the regulatory control, and the social support systems.  </w:t>
      </w:r>
    </w:p>
    <w:p w14:paraId="5E7F2DED" w14:textId="77777777" w:rsidR="00CD02D4" w:rsidRDefault="00CD02D4" w:rsidP="00CD02D4">
      <w:pPr>
        <w:spacing w:line="276" w:lineRule="auto"/>
        <w:jc w:val="both"/>
        <w:rPr>
          <w:color w:val="000000"/>
        </w:rPr>
      </w:pPr>
      <w:r>
        <w:rPr>
          <w:color w:val="000000"/>
          <w:lang w:val="en-US"/>
        </w:rPr>
        <w:t xml:space="preserve">How individuals frame meaning around the concepts of perceived utility, perceived ease, trust, and digital confidence determine their engagement with the use of QR code payments, and their engagement can be enthusiastic adoption, selective and conditional use, or rejection and resistance. Engagement evolves through experience and reflection, and these experiences reconstitute meaning in a continuous loop </w:t>
      </w:r>
      <w:r>
        <w:t>(Venkatesh et al., 2012)</w:t>
      </w:r>
      <w:r>
        <w:rPr>
          <w:color w:val="000000"/>
          <w:lang w:val="en-US"/>
        </w:rPr>
        <w:t>.</w:t>
      </w:r>
    </w:p>
    <w:p w14:paraId="5011C805" w14:textId="77777777" w:rsidR="00CD02D4" w:rsidRDefault="00CD02D4" w:rsidP="00CD02D4">
      <w:pPr>
        <w:spacing w:line="276" w:lineRule="auto"/>
        <w:jc w:val="both"/>
        <w:rPr>
          <w:color w:val="000000"/>
          <w:lang w:val="en-IN"/>
        </w:rPr>
      </w:pPr>
      <w:r>
        <w:rPr>
          <w:color w:val="000000"/>
          <w:lang w:val="en-US"/>
        </w:rPr>
        <w:t>The framework particularly considers all relationships to be bidirectional as well as dynamic rather than being linear and deterministic; congruent with constructivist epistemology which focuses on the constant negotiation of meanings rather than static cause-effect relationships.</w:t>
      </w:r>
    </w:p>
    <w:p w14:paraId="5533495F" w14:textId="77777777" w:rsidR="00CD02D4" w:rsidRDefault="00CD02D4" w:rsidP="00CD02D4">
      <w:pPr>
        <w:pStyle w:val="Heading1"/>
        <w:spacing w:line="276" w:lineRule="auto"/>
        <w:jc w:val="both"/>
        <w:rPr>
          <w:rFonts w:ascii="Calibri" w:hAnsi="Calibri" w:cs="Calibri"/>
          <w:b/>
          <w:bCs/>
          <w:color w:val="000000"/>
          <w:sz w:val="32"/>
          <w:szCs w:val="32"/>
          <w:lang w:val="en-IN"/>
        </w:rPr>
      </w:pPr>
      <w:bookmarkStart w:id="19" w:name="_Toc220268012"/>
      <w:r>
        <w:rPr>
          <w:rFonts w:ascii="Calibri" w:hAnsi="Calibri" w:cs="Calibri"/>
          <w:b/>
          <w:bCs/>
          <w:color w:val="000000"/>
          <w:sz w:val="32"/>
          <w:szCs w:val="32"/>
          <w:lang w:val="en-IN"/>
        </w:rPr>
        <w:t>Research Methodology</w:t>
      </w:r>
      <w:bookmarkEnd w:id="19"/>
    </w:p>
    <w:p w14:paraId="2B92AE62"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20" w:name="_Toc220268013"/>
      <w:r>
        <w:rPr>
          <w:rFonts w:ascii="Calibri" w:hAnsi="Calibri" w:cs="Calibri"/>
          <w:b/>
          <w:bCs/>
          <w:color w:val="000000"/>
          <w:sz w:val="28"/>
          <w:szCs w:val="28"/>
          <w:lang w:val="en-IN"/>
        </w:rPr>
        <w:t>Paradigmatic Foundations</w:t>
      </w:r>
      <w:bookmarkEnd w:id="20"/>
      <w:r>
        <w:rPr>
          <w:rFonts w:ascii="Calibri" w:hAnsi="Calibri" w:cs="Calibri"/>
          <w:b/>
          <w:bCs/>
          <w:color w:val="000000"/>
          <w:sz w:val="28"/>
          <w:szCs w:val="28"/>
          <w:lang w:val="en-IN"/>
        </w:rPr>
        <w:t xml:space="preserve"> </w:t>
      </w:r>
    </w:p>
    <w:p w14:paraId="3538BC85" w14:textId="77777777" w:rsidR="00CD02D4" w:rsidRPr="00CD02D4" w:rsidRDefault="00CD02D4" w:rsidP="00CD02D4">
      <w:pPr>
        <w:spacing w:line="276" w:lineRule="auto"/>
        <w:jc w:val="both"/>
        <w:rPr>
          <w:color w:val="000000"/>
        </w:rPr>
      </w:pPr>
      <w:r w:rsidRPr="00CD02D4">
        <w:rPr>
          <w:color w:val="000000"/>
          <w:lang w:val="en-US"/>
        </w:rPr>
        <w:t xml:space="preserve">All methodological decisions, as well as every technique to make knowledge and comprehend it, are placed in a constructivist paradigm of this very research. Constructivism provides that reality is not a fixed thinking which can be unearthed in a manner that is discoverable, but it is a phenomenon particular to be conceived and created socially by individuals and communities by giving meaning and making sense in their interactions and experiences (Schwandt 2000; Lincoln and Guba 2000). In this paradigm, it is stated that knowledge is created in a participatory model </w:t>
      </w:r>
      <w:r w:rsidRPr="00CD02D4">
        <w:rPr>
          <w:color w:val="000000"/>
          <w:lang w:val="en-US"/>
        </w:rPr>
        <w:lastRenderedPageBreak/>
        <w:t>between the researcher and the participants as opposed to a model where the researcher spectates knowledge as an already existing phenomenon. In this method, the researcher is not just a passive observer, but it is an active participant in the process in which beliefs, attitudes, and paradigms impact the results of observation and thought of the research (Creswell and Poth 2018).</w:t>
      </w:r>
    </w:p>
    <w:p w14:paraId="5CA508C4" w14:textId="77777777" w:rsidR="00CD02D4" w:rsidRDefault="00CD02D4" w:rsidP="00CD02D4">
      <w:pPr>
        <w:spacing w:line="276" w:lineRule="auto"/>
        <w:jc w:val="both"/>
        <w:rPr>
          <w:color w:val="000000"/>
        </w:rPr>
      </w:pPr>
      <w:r w:rsidRPr="00CD02D4">
        <w:rPr>
          <w:color w:val="000000"/>
          <w:lang w:val="en-US"/>
        </w:rPr>
        <w:t xml:space="preserve">As constructivist approach starts, it has a couple of assumptions. Firstly, the constructivist paradigm permits the coexistence of constructs of digital adoption payment to coexist side by side with no single nugget of construct closer to the sun than another </w:t>
      </w:r>
      <w:r w:rsidRPr="00CD02D4">
        <w:t>(Das, 2025)</w:t>
      </w:r>
      <w:r w:rsidRPr="00CD02D4">
        <w:rPr>
          <w:color w:val="000000"/>
          <w:lang w:val="en-US"/>
        </w:rPr>
        <w:t>. The variations in the ages of cohorts can initiate the building of various interpretations of QR code payment systems relative to others, and such interpretations are more than democratically appropriate expressions of various lived realities. This assumption itself indicates the framing of the approach to the research on the generational gaps in the research, and eschews the deficit lens, in which assumptions are made that the growing degrees of technological comfort of younger generations are more valid, and in turn, superior to assumptions of older generations regarding their reluctance, and resistance (Wang et al., 2021).</w:t>
      </w:r>
    </w:p>
    <w:p w14:paraId="424E27DC" w14:textId="77777777" w:rsidR="00CD02D4" w:rsidRDefault="00CD02D4" w:rsidP="00CD02D4">
      <w:pPr>
        <w:spacing w:line="276" w:lineRule="auto"/>
        <w:jc w:val="both"/>
        <w:rPr>
          <w:color w:val="000000"/>
        </w:rPr>
      </w:pPr>
      <w:r>
        <w:rPr>
          <w:color w:val="000000"/>
          <w:lang w:val="en-US"/>
        </w:rPr>
        <w:t xml:space="preserve">Second is the assumption that constructivism in the process about QR adoption espouses the view that all meaning making is a construction of the social, historical, and cultural frameworks within an environment, that are dominated by what is thinkable, what is possible, and of what is deemed to be of true significance (Schwandt, 2000). In the rural region of </w:t>
      </w:r>
      <w:proofErr w:type="gramStart"/>
      <w:r>
        <w:rPr>
          <w:color w:val="000000"/>
          <w:lang w:val="en-US"/>
        </w:rPr>
        <w:t>Gujarat</w:t>
      </w:r>
      <w:proofErr w:type="gramEnd"/>
      <w:r>
        <w:rPr>
          <w:color w:val="000000"/>
          <w:lang w:val="en-US"/>
        </w:rPr>
        <w:t xml:space="preserve"> the adoption of QR payment systems requires the construct to be relevant to the social, economic, and cultural frameworks of where it is applied. The research does not seek of adoption a theory of technology that is universal, and applies across the cultural adoption void, but instead seeks to understand the processes that are involved in technology adoption within that cultural void </w:t>
      </w:r>
      <w:r>
        <w:t>(Malde et al., 2025)</w:t>
      </w:r>
      <w:r>
        <w:rPr>
          <w:color w:val="000000"/>
          <w:lang w:val="en-US"/>
        </w:rPr>
        <w:t>.</w:t>
      </w:r>
    </w:p>
    <w:p w14:paraId="4B5C08E6" w14:textId="77777777" w:rsidR="00CD02D4" w:rsidRDefault="00CD02D4" w:rsidP="00CD02D4">
      <w:pPr>
        <w:spacing w:line="276" w:lineRule="auto"/>
        <w:jc w:val="both"/>
        <w:rPr>
          <w:color w:val="000000"/>
        </w:rPr>
      </w:pPr>
      <w:r>
        <w:rPr>
          <w:color w:val="000000"/>
          <w:lang w:val="en-US"/>
        </w:rPr>
        <w:t xml:space="preserve">A constructivist paradigm, thus, influences not only the philosophical assumptions of the researcher, but the actual methodological decisions as well. It orients the researcher to embrace qualitative approaches that focus on the intricacies of meaning and experiences. It is not concerned with the quantitative attempts that only seek to manipulate variables. It gives priority to what the participants define as important rather than what the researcher imposes. It entails a pluralistic approach that is within the context, as opposed to a generalizable one that is wide. These commitments have been manifested in the specific methodological choices described in following sections </w:t>
      </w:r>
      <w:r>
        <w:t xml:space="preserve">(Patel &amp; </w:t>
      </w:r>
      <w:proofErr w:type="spellStart"/>
      <w:r>
        <w:t>Halvadia</w:t>
      </w:r>
      <w:proofErr w:type="spellEnd"/>
      <w:r>
        <w:t>, 2025)</w:t>
      </w:r>
      <w:r>
        <w:rPr>
          <w:color w:val="000000"/>
          <w:lang w:val="en-US"/>
        </w:rPr>
        <w:t>.</w:t>
      </w:r>
    </w:p>
    <w:p w14:paraId="24CE4190"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21" w:name="_Toc220268014"/>
      <w:r>
        <w:rPr>
          <w:rFonts w:ascii="Calibri" w:hAnsi="Calibri" w:cs="Calibri"/>
          <w:b/>
          <w:bCs/>
          <w:color w:val="000000"/>
          <w:sz w:val="28"/>
          <w:szCs w:val="28"/>
          <w:lang w:val="en-IN"/>
        </w:rPr>
        <w:t>Methodological Approach: Interpretative Phenomenological Analysis</w:t>
      </w:r>
      <w:bookmarkEnd w:id="21"/>
      <w:r>
        <w:rPr>
          <w:rFonts w:ascii="Calibri" w:hAnsi="Calibri" w:cs="Calibri"/>
          <w:b/>
          <w:bCs/>
          <w:color w:val="000000"/>
          <w:sz w:val="28"/>
          <w:szCs w:val="28"/>
          <w:lang w:val="en-IN"/>
        </w:rPr>
        <w:t xml:space="preserve"> </w:t>
      </w:r>
    </w:p>
    <w:p w14:paraId="17B5FB45" w14:textId="77777777" w:rsidR="00CD02D4" w:rsidRDefault="00CD02D4" w:rsidP="00CD02D4">
      <w:pPr>
        <w:spacing w:line="276" w:lineRule="auto"/>
        <w:jc w:val="both"/>
        <w:rPr>
          <w:color w:val="000000"/>
        </w:rPr>
      </w:pPr>
      <w:r>
        <w:rPr>
          <w:color w:val="000000"/>
          <w:lang w:val="en-US"/>
        </w:rPr>
        <w:t xml:space="preserve">In the larger context of the research design, the author intends to employ an IPA, i.e., an Integrative Phenomenological Analysis, within the constructivist paradigm. According to Smith et al. (2009), ‘Phenomenology’ is a particular tradition of both philosophy and methodology, which </w:t>
      </w:r>
      <w:r>
        <w:rPr>
          <w:color w:val="000000"/>
          <w:lang w:val="en-US"/>
        </w:rPr>
        <w:lastRenderedPageBreak/>
        <w:t xml:space="preserve">examines the subjective lived experiences of individuals and seeks to fully understand the core structures and meanings of the </w:t>
      </w:r>
      <w:proofErr w:type="gramStart"/>
      <w:r>
        <w:rPr>
          <w:color w:val="000000"/>
          <w:lang w:val="en-US"/>
        </w:rPr>
        <w:t>particular phenomena</w:t>
      </w:r>
      <w:proofErr w:type="gramEnd"/>
      <w:r>
        <w:rPr>
          <w:color w:val="000000"/>
          <w:lang w:val="en-US"/>
        </w:rPr>
        <w:t xml:space="preserve"> as they are encountered in the daily life of human beings. What makes phenomenology unique are its simple yet profound questions. What is the experience of a particular phenomenon like for the individuals who live through it? With nuances and details in lived experiences, phenomenology attempts to go beyond the surface descriptions and gain access to the core meanings and essences of the experiences lived </w:t>
      </w:r>
      <w:r>
        <w:t>(Bhatia-Kalluri &amp; Caraway, 2023)</w:t>
      </w:r>
      <w:r>
        <w:rPr>
          <w:color w:val="000000"/>
          <w:lang w:val="en-US"/>
        </w:rPr>
        <w:t>.</w:t>
      </w:r>
    </w:p>
    <w:p w14:paraId="3B754442" w14:textId="77777777" w:rsidR="00CD02D4" w:rsidRDefault="00CD02D4" w:rsidP="00CD02D4">
      <w:pPr>
        <w:spacing w:line="276" w:lineRule="auto"/>
        <w:jc w:val="both"/>
        <w:rPr>
          <w:color w:val="000000"/>
        </w:rPr>
      </w:pPr>
      <w:r>
        <w:rPr>
          <w:color w:val="000000"/>
          <w:lang w:val="en-US"/>
        </w:rPr>
        <w:t xml:space="preserve">With the intertwined philosophy of phenomenology and hermeneutics, IPA, as conceived and elaborated by Jonathan Smith and his colleagues, constitutes a unique approach in the tradition of phenomenology </w:t>
      </w:r>
      <w:r>
        <w:t>(Wang et al., 2021)</w:t>
      </w:r>
      <w:r>
        <w:rPr>
          <w:color w:val="000000"/>
          <w:lang w:val="en-US"/>
        </w:rPr>
        <w:t>. Phenomenology, to Smith and his colleagues, is a passionate epistemological interest in experience and its transformative interpretation. It is vital to acknowledge, as Smith et al. (2009) assert, that understanding and having access to the experience of participants involves the interpretation of sense-making processes surrounding it, i.e. the participant’s experience. With the participants engaged in the reflective articulation of their lived experiences, IPA relies on the double hermeneutic to deepen the understanding of the phenomenological experience.</w:t>
      </w:r>
    </w:p>
    <w:p w14:paraId="1CC868AD" w14:textId="77777777" w:rsidR="00CD02D4" w:rsidRDefault="00CD02D4" w:rsidP="00CD02D4">
      <w:pPr>
        <w:spacing w:line="276" w:lineRule="auto"/>
        <w:jc w:val="both"/>
        <w:rPr>
          <w:color w:val="000000"/>
        </w:rPr>
      </w:pPr>
      <w:r>
        <w:rPr>
          <w:color w:val="000000"/>
          <w:lang w:val="en-US"/>
        </w:rPr>
        <w:t xml:space="preserve">Einaudi describes ideography in terms of its focus on particular people in particular settings as opposed to immediately </w:t>
      </w:r>
      <w:r>
        <w:rPr>
          <w:color w:val="000000"/>
          <w:lang w:val="en-GB"/>
        </w:rPr>
        <w:t>generalising</w:t>
      </w:r>
      <w:r>
        <w:rPr>
          <w:color w:val="000000"/>
          <w:lang w:val="en-US"/>
        </w:rPr>
        <w:t xml:space="preserve">. Rather than attempting to </w:t>
      </w:r>
      <w:proofErr w:type="spellStart"/>
      <w:r>
        <w:rPr>
          <w:color w:val="000000"/>
          <w:lang w:val="en-US"/>
        </w:rPr>
        <w:t>generalise</w:t>
      </w:r>
      <w:proofErr w:type="spellEnd"/>
      <w:r>
        <w:rPr>
          <w:color w:val="000000"/>
          <w:lang w:val="en-US"/>
        </w:rPr>
        <w:t xml:space="preserve">, this type of research approach selects a small number of cases and conducts in-depth analyses of each, followed by comparisons between cases. This approach acknowledges health research while also identifying divergences </w:t>
      </w:r>
      <w:r>
        <w:t>(Dei, n.d.)</w:t>
      </w:r>
      <w:r>
        <w:rPr>
          <w:color w:val="000000"/>
          <w:lang w:val="en-US"/>
        </w:rPr>
        <w:t>.</w:t>
      </w:r>
    </w:p>
    <w:p w14:paraId="4F648060" w14:textId="77777777" w:rsidR="00CD02D4" w:rsidRDefault="00CD02D4" w:rsidP="00CD02D4">
      <w:pPr>
        <w:pStyle w:val="Heading1"/>
        <w:spacing w:line="276" w:lineRule="auto"/>
        <w:jc w:val="both"/>
        <w:rPr>
          <w:rFonts w:ascii="Calibri" w:hAnsi="Calibri" w:cs="Calibri"/>
          <w:b/>
          <w:bCs/>
          <w:color w:val="000000"/>
          <w:sz w:val="32"/>
          <w:szCs w:val="32"/>
          <w:lang w:val="en-IN"/>
        </w:rPr>
      </w:pPr>
      <w:bookmarkStart w:id="22" w:name="_Toc220268015"/>
      <w:r>
        <w:rPr>
          <w:rFonts w:ascii="Calibri" w:hAnsi="Calibri" w:cs="Calibri"/>
          <w:b/>
          <w:bCs/>
          <w:color w:val="000000"/>
          <w:sz w:val="32"/>
          <w:szCs w:val="32"/>
          <w:lang w:val="en-IN"/>
        </w:rPr>
        <w:t>Research Design and Sampling</w:t>
      </w:r>
      <w:bookmarkEnd w:id="22"/>
    </w:p>
    <w:p w14:paraId="5D9DC04F" w14:textId="77777777" w:rsidR="00CD02D4" w:rsidRDefault="00CD02D4" w:rsidP="00CD02D4">
      <w:pPr>
        <w:spacing w:line="276" w:lineRule="auto"/>
        <w:jc w:val="both"/>
        <w:rPr>
          <w:color w:val="000000"/>
          <w:lang w:val="en-IN"/>
        </w:rPr>
      </w:pPr>
      <w:r>
        <w:rPr>
          <w:color w:val="000000"/>
          <w:lang w:val="en-US"/>
        </w:rPr>
        <w:t>This study will employ purposive sampling to recruit approximately 15–20 participants across four generational cohorts. IPA prioritizes depth over breadth, and this sample size is consistent with methodological guidance for doctoral-level phenomenological research. Participants will be selected to ensure diversity in gender, education, occupation, and levels of digital engagement.</w:t>
      </w:r>
    </w:p>
    <w:p w14:paraId="07E783F3" w14:textId="77777777" w:rsidR="00CD02D4" w:rsidRDefault="00CD02D4" w:rsidP="00CD02D4">
      <w:pPr>
        <w:spacing w:line="276" w:lineRule="auto"/>
        <w:jc w:val="both"/>
        <w:rPr>
          <w:color w:val="000000"/>
          <w:lang w:val="en-IN"/>
        </w:rPr>
      </w:pPr>
      <w:r>
        <w:rPr>
          <w:color w:val="000000"/>
          <w:lang w:val="en-IN"/>
        </w:rPr>
        <w:t>This study employs a cross-generational comparative design using Interpretative Phenomenological Analysis (IPA) to explore lived experiences across four generational cohorts: Baby Boomers (1946-1964, ages 60-78), Generation X (1965-1980, ages 44-59), Millennials (1981-1996, ages 28-43), and Generation Z (1997-2012, ages 18-27) (Smith et al., 2009). This design enables examination of both convergence and divergence in experiences while acknowledging within-cohort variation.</w:t>
      </w:r>
    </w:p>
    <w:p w14:paraId="57BDAE4F" w14:textId="77777777" w:rsidR="00CD02D4" w:rsidRDefault="00CD02D4" w:rsidP="00CD02D4">
      <w:pPr>
        <w:spacing w:line="276" w:lineRule="auto"/>
        <w:jc w:val="both"/>
        <w:rPr>
          <w:b/>
          <w:bCs/>
          <w:i/>
          <w:iCs/>
          <w:color w:val="000000"/>
          <w:lang w:val="en-IN"/>
        </w:rPr>
      </w:pPr>
    </w:p>
    <w:p w14:paraId="22D4ECE9" w14:textId="77777777" w:rsidR="00CD02D4" w:rsidRDefault="00CD02D4" w:rsidP="00CD02D4">
      <w:pPr>
        <w:spacing w:line="276" w:lineRule="auto"/>
        <w:jc w:val="both"/>
        <w:rPr>
          <w:b/>
          <w:bCs/>
          <w:i/>
          <w:iCs/>
          <w:color w:val="000000"/>
          <w:lang w:val="en-IN"/>
        </w:rPr>
      </w:pPr>
    </w:p>
    <w:p w14:paraId="5D9162CF" w14:textId="77777777" w:rsidR="00CD02D4" w:rsidRDefault="00CD02D4" w:rsidP="00CD02D4">
      <w:pPr>
        <w:spacing w:line="276" w:lineRule="auto"/>
        <w:jc w:val="both"/>
        <w:rPr>
          <w:b/>
          <w:bCs/>
          <w:i/>
          <w:iCs/>
          <w:color w:val="000000"/>
          <w:lang w:val="en-IN"/>
        </w:rPr>
      </w:pPr>
    </w:p>
    <w:p w14:paraId="2D8899EF" w14:textId="77777777" w:rsidR="00CD02D4" w:rsidRDefault="00CD02D4" w:rsidP="00CD02D4">
      <w:pPr>
        <w:pStyle w:val="Heading1"/>
        <w:spacing w:line="276" w:lineRule="auto"/>
        <w:jc w:val="both"/>
        <w:rPr>
          <w:rFonts w:ascii="Calibri" w:hAnsi="Calibri" w:cs="Calibri"/>
          <w:b/>
          <w:bCs/>
          <w:color w:val="000000"/>
          <w:sz w:val="32"/>
          <w:szCs w:val="32"/>
          <w:lang w:val="en-IN"/>
        </w:rPr>
      </w:pPr>
      <w:r>
        <w:rPr>
          <w:rFonts w:ascii="Calibri" w:hAnsi="Calibri" w:cs="Calibri"/>
          <w:color w:val="000000"/>
          <w:lang w:val="en-IN"/>
        </w:rPr>
        <w:t xml:space="preserve"> </w:t>
      </w:r>
      <w:bookmarkStart w:id="23" w:name="_Toc220268016"/>
      <w:r>
        <w:rPr>
          <w:rFonts w:ascii="Calibri" w:hAnsi="Calibri" w:cs="Calibri"/>
          <w:b/>
          <w:bCs/>
          <w:color w:val="000000"/>
          <w:sz w:val="32"/>
          <w:szCs w:val="32"/>
          <w:lang w:val="en-US"/>
        </w:rPr>
        <w:t xml:space="preserve">Table </w:t>
      </w:r>
      <w:r>
        <w:rPr>
          <w:rFonts w:ascii="Calibri" w:hAnsi="Calibri" w:cs="Calibri"/>
          <w:b/>
          <w:bCs/>
          <w:color w:val="000000"/>
          <w:sz w:val="32"/>
          <w:szCs w:val="32"/>
        </w:rPr>
        <w:fldChar w:fldCharType="begin"/>
      </w:r>
      <w:r>
        <w:rPr>
          <w:rFonts w:ascii="Calibri" w:hAnsi="Calibri" w:cs="Calibri"/>
          <w:b/>
          <w:bCs/>
          <w:color w:val="000000"/>
          <w:sz w:val="32"/>
          <w:szCs w:val="32"/>
          <w:lang w:val="en-US"/>
        </w:rPr>
        <w:instrText xml:space="preserve"> SEQ Table \* ARABIC </w:instrText>
      </w:r>
      <w:r>
        <w:rPr>
          <w:rFonts w:ascii="Calibri" w:hAnsi="Calibri" w:cs="Calibri"/>
          <w:b/>
          <w:bCs/>
          <w:color w:val="000000"/>
          <w:sz w:val="32"/>
          <w:szCs w:val="32"/>
        </w:rPr>
        <w:fldChar w:fldCharType="separate"/>
      </w:r>
      <w:r>
        <w:rPr>
          <w:rFonts w:ascii="Calibri" w:hAnsi="Calibri" w:cs="Calibri"/>
          <w:b/>
          <w:bCs/>
          <w:color w:val="000000"/>
          <w:sz w:val="32"/>
          <w:szCs w:val="32"/>
          <w:lang w:val="en-US"/>
        </w:rPr>
        <w:t>1</w:t>
      </w:r>
      <w:r>
        <w:rPr>
          <w:rFonts w:ascii="Calibri" w:hAnsi="Calibri" w:cs="Calibri"/>
          <w:b/>
          <w:bCs/>
          <w:color w:val="000000"/>
          <w:sz w:val="32"/>
          <w:szCs w:val="32"/>
        </w:rPr>
        <w:fldChar w:fldCharType="end"/>
      </w:r>
      <w:r>
        <w:rPr>
          <w:rFonts w:ascii="Calibri" w:hAnsi="Calibri" w:cs="Calibri"/>
          <w:b/>
          <w:bCs/>
          <w:color w:val="000000"/>
          <w:sz w:val="32"/>
          <w:szCs w:val="32"/>
          <w:lang w:val="en-US"/>
        </w:rPr>
        <w:t xml:space="preserve"> </w:t>
      </w:r>
      <w:r>
        <w:rPr>
          <w:rFonts w:ascii="Calibri" w:hAnsi="Calibri" w:cs="Calibri"/>
          <w:b/>
          <w:bCs/>
          <w:color w:val="000000"/>
          <w:sz w:val="32"/>
          <w:szCs w:val="32"/>
          <w:lang w:val="en-IN"/>
        </w:rPr>
        <w:t xml:space="preserve"> Generational Cohorts and Sampling Framework</w:t>
      </w:r>
      <w:bookmarkEnd w:id="23"/>
    </w:p>
    <w:tbl>
      <w:tblPr>
        <w:tblStyle w:val="TableGrid"/>
        <w:tblW w:w="9627" w:type="dxa"/>
        <w:tblLook w:val="04A0" w:firstRow="1" w:lastRow="0" w:firstColumn="1" w:lastColumn="0" w:noHBand="0" w:noVBand="1"/>
      </w:tblPr>
      <w:tblGrid>
        <w:gridCol w:w="1753"/>
        <w:gridCol w:w="1411"/>
        <w:gridCol w:w="1369"/>
        <w:gridCol w:w="1778"/>
        <w:gridCol w:w="3316"/>
      </w:tblGrid>
      <w:tr w:rsidR="00CD02D4" w14:paraId="598CE7EB" w14:textId="77777777" w:rsidTr="009A7EA6">
        <w:trPr>
          <w:trHeight w:val="505"/>
        </w:trPr>
        <w:tc>
          <w:tcPr>
            <w:tcW w:w="0" w:type="auto"/>
            <w:tcBorders>
              <w:top w:val="single" w:sz="4" w:space="0" w:color="auto"/>
              <w:left w:val="single" w:sz="4" w:space="0" w:color="auto"/>
              <w:bottom w:val="single" w:sz="4" w:space="0" w:color="auto"/>
              <w:right w:val="single" w:sz="4" w:space="0" w:color="auto"/>
            </w:tcBorders>
            <w:hideMark/>
          </w:tcPr>
          <w:p w14:paraId="6C862D87" w14:textId="77777777" w:rsidR="00CD02D4" w:rsidRDefault="00CD02D4" w:rsidP="009A7EA6">
            <w:pPr>
              <w:spacing w:after="160" w:line="276" w:lineRule="auto"/>
              <w:jc w:val="both"/>
              <w:rPr>
                <w:b/>
                <w:bCs/>
                <w:color w:val="000000"/>
                <w:lang w:val="en-IN"/>
              </w:rPr>
            </w:pPr>
            <w:r>
              <w:rPr>
                <w:b/>
                <w:bCs/>
                <w:color w:val="000000"/>
                <w:lang w:val="en-IN"/>
              </w:rPr>
              <w:t>Cohort</w:t>
            </w:r>
          </w:p>
        </w:tc>
        <w:tc>
          <w:tcPr>
            <w:tcW w:w="0" w:type="auto"/>
            <w:tcBorders>
              <w:top w:val="single" w:sz="4" w:space="0" w:color="auto"/>
              <w:left w:val="single" w:sz="4" w:space="0" w:color="auto"/>
              <w:bottom w:val="single" w:sz="4" w:space="0" w:color="auto"/>
              <w:right w:val="single" w:sz="4" w:space="0" w:color="auto"/>
            </w:tcBorders>
            <w:hideMark/>
          </w:tcPr>
          <w:p w14:paraId="728D8DB9" w14:textId="77777777" w:rsidR="00CD02D4" w:rsidRDefault="00CD02D4" w:rsidP="009A7EA6">
            <w:pPr>
              <w:spacing w:after="160" w:line="276" w:lineRule="auto"/>
              <w:jc w:val="both"/>
              <w:rPr>
                <w:b/>
                <w:bCs/>
                <w:color w:val="000000"/>
                <w:lang w:val="en-IN"/>
              </w:rPr>
            </w:pPr>
            <w:r>
              <w:rPr>
                <w:b/>
                <w:bCs/>
                <w:color w:val="000000"/>
                <w:lang w:val="en-IN"/>
              </w:rPr>
              <w:t>Birth Years</w:t>
            </w:r>
          </w:p>
        </w:tc>
        <w:tc>
          <w:tcPr>
            <w:tcW w:w="0" w:type="auto"/>
            <w:tcBorders>
              <w:top w:val="single" w:sz="4" w:space="0" w:color="auto"/>
              <w:left w:val="single" w:sz="4" w:space="0" w:color="auto"/>
              <w:bottom w:val="single" w:sz="4" w:space="0" w:color="auto"/>
              <w:right w:val="single" w:sz="4" w:space="0" w:color="auto"/>
            </w:tcBorders>
            <w:hideMark/>
          </w:tcPr>
          <w:p w14:paraId="3B82F1CF" w14:textId="77777777" w:rsidR="00CD02D4" w:rsidRDefault="00CD02D4" w:rsidP="009A7EA6">
            <w:pPr>
              <w:spacing w:after="160" w:line="276" w:lineRule="auto"/>
              <w:jc w:val="both"/>
              <w:rPr>
                <w:b/>
                <w:bCs/>
                <w:color w:val="000000"/>
                <w:lang w:val="en-IN"/>
              </w:rPr>
            </w:pPr>
            <w:r>
              <w:rPr>
                <w:b/>
                <w:bCs/>
                <w:color w:val="000000"/>
                <w:lang w:val="en-IN"/>
              </w:rPr>
              <w:t>Age Range</w:t>
            </w:r>
          </w:p>
        </w:tc>
        <w:tc>
          <w:tcPr>
            <w:tcW w:w="0" w:type="auto"/>
            <w:tcBorders>
              <w:top w:val="single" w:sz="4" w:space="0" w:color="auto"/>
              <w:left w:val="single" w:sz="4" w:space="0" w:color="auto"/>
              <w:bottom w:val="single" w:sz="4" w:space="0" w:color="auto"/>
              <w:right w:val="single" w:sz="4" w:space="0" w:color="auto"/>
            </w:tcBorders>
            <w:hideMark/>
          </w:tcPr>
          <w:p w14:paraId="298378ED" w14:textId="77777777" w:rsidR="00CD02D4" w:rsidRDefault="00CD02D4" w:rsidP="009A7EA6">
            <w:pPr>
              <w:spacing w:after="160" w:line="276" w:lineRule="auto"/>
              <w:jc w:val="both"/>
              <w:rPr>
                <w:b/>
                <w:bCs/>
                <w:color w:val="000000"/>
                <w:lang w:val="en-IN"/>
              </w:rPr>
            </w:pPr>
            <w:r>
              <w:rPr>
                <w:b/>
                <w:bCs/>
                <w:color w:val="000000"/>
                <w:lang w:val="en-IN"/>
              </w:rPr>
              <w:t>Target Sample</w:t>
            </w:r>
          </w:p>
        </w:tc>
        <w:tc>
          <w:tcPr>
            <w:tcW w:w="0" w:type="auto"/>
            <w:tcBorders>
              <w:top w:val="single" w:sz="4" w:space="0" w:color="auto"/>
              <w:left w:val="single" w:sz="4" w:space="0" w:color="auto"/>
              <w:bottom w:val="single" w:sz="4" w:space="0" w:color="auto"/>
              <w:right w:val="single" w:sz="4" w:space="0" w:color="auto"/>
            </w:tcBorders>
            <w:hideMark/>
          </w:tcPr>
          <w:p w14:paraId="33C2F710" w14:textId="77777777" w:rsidR="00CD02D4" w:rsidRDefault="00CD02D4" w:rsidP="009A7EA6">
            <w:pPr>
              <w:spacing w:after="160" w:line="276" w:lineRule="auto"/>
              <w:jc w:val="both"/>
              <w:rPr>
                <w:b/>
                <w:bCs/>
                <w:color w:val="000000"/>
                <w:lang w:val="en-IN"/>
              </w:rPr>
            </w:pPr>
            <w:r>
              <w:rPr>
                <w:b/>
                <w:bCs/>
                <w:color w:val="000000"/>
                <w:lang w:val="en-IN"/>
              </w:rPr>
              <w:t>Key Characteristics</w:t>
            </w:r>
          </w:p>
        </w:tc>
      </w:tr>
      <w:tr w:rsidR="00CD02D4" w14:paraId="10C16BD0" w14:textId="77777777" w:rsidTr="009A7EA6">
        <w:trPr>
          <w:trHeight w:val="505"/>
        </w:trPr>
        <w:tc>
          <w:tcPr>
            <w:tcW w:w="0" w:type="auto"/>
            <w:tcBorders>
              <w:top w:val="single" w:sz="4" w:space="0" w:color="auto"/>
              <w:left w:val="single" w:sz="4" w:space="0" w:color="auto"/>
              <w:bottom w:val="single" w:sz="4" w:space="0" w:color="auto"/>
              <w:right w:val="single" w:sz="4" w:space="0" w:color="auto"/>
            </w:tcBorders>
            <w:hideMark/>
          </w:tcPr>
          <w:p w14:paraId="0DAA0AAD" w14:textId="77777777" w:rsidR="00CD02D4" w:rsidRDefault="00CD02D4" w:rsidP="009A7EA6">
            <w:pPr>
              <w:spacing w:after="160" w:line="276" w:lineRule="auto"/>
              <w:jc w:val="both"/>
              <w:rPr>
                <w:color w:val="000000"/>
                <w:lang w:val="en-IN"/>
              </w:rPr>
            </w:pPr>
            <w:r>
              <w:rPr>
                <w:color w:val="000000"/>
                <w:lang w:val="en-IN"/>
              </w:rPr>
              <w:t>Baby Boomers</w:t>
            </w:r>
          </w:p>
        </w:tc>
        <w:tc>
          <w:tcPr>
            <w:tcW w:w="0" w:type="auto"/>
            <w:tcBorders>
              <w:top w:val="single" w:sz="4" w:space="0" w:color="auto"/>
              <w:left w:val="single" w:sz="4" w:space="0" w:color="auto"/>
              <w:bottom w:val="single" w:sz="4" w:space="0" w:color="auto"/>
              <w:right w:val="single" w:sz="4" w:space="0" w:color="auto"/>
            </w:tcBorders>
            <w:hideMark/>
          </w:tcPr>
          <w:p w14:paraId="4F683C54" w14:textId="77777777" w:rsidR="00CD02D4" w:rsidRDefault="00CD02D4" w:rsidP="009A7EA6">
            <w:pPr>
              <w:spacing w:after="160" w:line="276" w:lineRule="auto"/>
              <w:jc w:val="both"/>
              <w:rPr>
                <w:color w:val="000000"/>
                <w:lang w:val="en-IN"/>
              </w:rPr>
            </w:pPr>
            <w:r>
              <w:rPr>
                <w:color w:val="000000"/>
                <w:lang w:val="en-IN"/>
              </w:rPr>
              <w:t>1946-1964</w:t>
            </w:r>
          </w:p>
        </w:tc>
        <w:tc>
          <w:tcPr>
            <w:tcW w:w="0" w:type="auto"/>
            <w:tcBorders>
              <w:top w:val="single" w:sz="4" w:space="0" w:color="auto"/>
              <w:left w:val="single" w:sz="4" w:space="0" w:color="auto"/>
              <w:bottom w:val="single" w:sz="4" w:space="0" w:color="auto"/>
              <w:right w:val="single" w:sz="4" w:space="0" w:color="auto"/>
            </w:tcBorders>
            <w:hideMark/>
          </w:tcPr>
          <w:p w14:paraId="6CDF462B" w14:textId="77777777" w:rsidR="00CD02D4" w:rsidRDefault="00CD02D4" w:rsidP="009A7EA6">
            <w:pPr>
              <w:spacing w:after="160" w:line="276" w:lineRule="auto"/>
              <w:jc w:val="both"/>
              <w:rPr>
                <w:color w:val="000000"/>
                <w:lang w:val="en-IN"/>
              </w:rPr>
            </w:pPr>
            <w:r>
              <w:rPr>
                <w:color w:val="000000"/>
                <w:lang w:val="en-IN"/>
              </w:rPr>
              <w:t>60-78</w:t>
            </w:r>
          </w:p>
        </w:tc>
        <w:tc>
          <w:tcPr>
            <w:tcW w:w="0" w:type="auto"/>
            <w:tcBorders>
              <w:top w:val="single" w:sz="4" w:space="0" w:color="auto"/>
              <w:left w:val="single" w:sz="4" w:space="0" w:color="auto"/>
              <w:bottom w:val="single" w:sz="4" w:space="0" w:color="auto"/>
              <w:right w:val="single" w:sz="4" w:space="0" w:color="auto"/>
            </w:tcBorders>
            <w:hideMark/>
          </w:tcPr>
          <w:p w14:paraId="4C93CFCA" w14:textId="77777777" w:rsidR="00CD02D4" w:rsidRDefault="00CD02D4" w:rsidP="009A7EA6">
            <w:pPr>
              <w:spacing w:after="160" w:line="276" w:lineRule="auto"/>
              <w:jc w:val="both"/>
              <w:rPr>
                <w:color w:val="000000"/>
                <w:lang w:val="en-IN"/>
              </w:rPr>
            </w:pPr>
            <w:r>
              <w:rPr>
                <w:color w:val="000000"/>
                <w:lang w:val="en-IN"/>
              </w:rPr>
              <w:t>10-15</w:t>
            </w:r>
          </w:p>
        </w:tc>
        <w:tc>
          <w:tcPr>
            <w:tcW w:w="0" w:type="auto"/>
            <w:tcBorders>
              <w:top w:val="single" w:sz="4" w:space="0" w:color="auto"/>
              <w:left w:val="single" w:sz="4" w:space="0" w:color="auto"/>
              <w:bottom w:val="single" w:sz="4" w:space="0" w:color="auto"/>
              <w:right w:val="single" w:sz="4" w:space="0" w:color="auto"/>
            </w:tcBorders>
            <w:hideMark/>
          </w:tcPr>
          <w:p w14:paraId="5D974F13" w14:textId="77777777" w:rsidR="00CD02D4" w:rsidRDefault="00CD02D4" w:rsidP="009A7EA6">
            <w:pPr>
              <w:spacing w:after="160" w:line="276" w:lineRule="auto"/>
              <w:jc w:val="both"/>
              <w:rPr>
                <w:color w:val="000000"/>
                <w:lang w:val="en-IN"/>
              </w:rPr>
            </w:pPr>
            <w:r>
              <w:rPr>
                <w:color w:val="000000"/>
                <w:lang w:val="en-IN"/>
              </w:rPr>
              <w:t>Pre-digital formative years</w:t>
            </w:r>
          </w:p>
        </w:tc>
      </w:tr>
      <w:tr w:rsidR="00CD02D4" w14:paraId="26A72450" w14:textId="77777777" w:rsidTr="009A7EA6">
        <w:trPr>
          <w:trHeight w:val="493"/>
        </w:trPr>
        <w:tc>
          <w:tcPr>
            <w:tcW w:w="0" w:type="auto"/>
            <w:tcBorders>
              <w:top w:val="single" w:sz="4" w:space="0" w:color="auto"/>
              <w:left w:val="single" w:sz="4" w:space="0" w:color="auto"/>
              <w:bottom w:val="single" w:sz="4" w:space="0" w:color="auto"/>
              <w:right w:val="single" w:sz="4" w:space="0" w:color="auto"/>
            </w:tcBorders>
            <w:hideMark/>
          </w:tcPr>
          <w:p w14:paraId="6751D138" w14:textId="77777777" w:rsidR="00CD02D4" w:rsidRDefault="00CD02D4" w:rsidP="009A7EA6">
            <w:pPr>
              <w:spacing w:after="160" w:line="276" w:lineRule="auto"/>
              <w:jc w:val="both"/>
              <w:rPr>
                <w:color w:val="000000"/>
                <w:lang w:val="en-IN"/>
              </w:rPr>
            </w:pPr>
            <w:r>
              <w:rPr>
                <w:color w:val="000000"/>
                <w:lang w:val="en-IN"/>
              </w:rPr>
              <w:t>Generation X</w:t>
            </w:r>
          </w:p>
        </w:tc>
        <w:tc>
          <w:tcPr>
            <w:tcW w:w="0" w:type="auto"/>
            <w:tcBorders>
              <w:top w:val="single" w:sz="4" w:space="0" w:color="auto"/>
              <w:left w:val="single" w:sz="4" w:space="0" w:color="auto"/>
              <w:bottom w:val="single" w:sz="4" w:space="0" w:color="auto"/>
              <w:right w:val="single" w:sz="4" w:space="0" w:color="auto"/>
            </w:tcBorders>
            <w:hideMark/>
          </w:tcPr>
          <w:p w14:paraId="48D43632" w14:textId="77777777" w:rsidR="00CD02D4" w:rsidRDefault="00CD02D4" w:rsidP="009A7EA6">
            <w:pPr>
              <w:spacing w:after="160" w:line="276" w:lineRule="auto"/>
              <w:jc w:val="both"/>
              <w:rPr>
                <w:color w:val="000000"/>
                <w:lang w:val="en-IN"/>
              </w:rPr>
            </w:pPr>
            <w:r>
              <w:rPr>
                <w:color w:val="000000"/>
                <w:lang w:val="en-IN"/>
              </w:rPr>
              <w:t>1965-1980</w:t>
            </w:r>
          </w:p>
        </w:tc>
        <w:tc>
          <w:tcPr>
            <w:tcW w:w="0" w:type="auto"/>
            <w:tcBorders>
              <w:top w:val="single" w:sz="4" w:space="0" w:color="auto"/>
              <w:left w:val="single" w:sz="4" w:space="0" w:color="auto"/>
              <w:bottom w:val="single" w:sz="4" w:space="0" w:color="auto"/>
              <w:right w:val="single" w:sz="4" w:space="0" w:color="auto"/>
            </w:tcBorders>
            <w:hideMark/>
          </w:tcPr>
          <w:p w14:paraId="103008BD" w14:textId="77777777" w:rsidR="00CD02D4" w:rsidRDefault="00CD02D4" w:rsidP="009A7EA6">
            <w:pPr>
              <w:spacing w:after="160" w:line="276" w:lineRule="auto"/>
              <w:jc w:val="both"/>
              <w:rPr>
                <w:color w:val="000000"/>
                <w:lang w:val="en-IN"/>
              </w:rPr>
            </w:pPr>
            <w:r>
              <w:rPr>
                <w:color w:val="000000"/>
                <w:lang w:val="en-IN"/>
              </w:rPr>
              <w:t>44-59</w:t>
            </w:r>
          </w:p>
        </w:tc>
        <w:tc>
          <w:tcPr>
            <w:tcW w:w="0" w:type="auto"/>
            <w:tcBorders>
              <w:top w:val="single" w:sz="4" w:space="0" w:color="auto"/>
              <w:left w:val="single" w:sz="4" w:space="0" w:color="auto"/>
              <w:bottom w:val="single" w:sz="4" w:space="0" w:color="auto"/>
              <w:right w:val="single" w:sz="4" w:space="0" w:color="auto"/>
            </w:tcBorders>
            <w:hideMark/>
          </w:tcPr>
          <w:p w14:paraId="1DCBF5B5" w14:textId="77777777" w:rsidR="00CD02D4" w:rsidRDefault="00CD02D4" w:rsidP="009A7EA6">
            <w:pPr>
              <w:spacing w:after="160" w:line="276" w:lineRule="auto"/>
              <w:jc w:val="both"/>
              <w:rPr>
                <w:color w:val="000000"/>
                <w:lang w:val="en-IN"/>
              </w:rPr>
            </w:pPr>
            <w:r>
              <w:rPr>
                <w:color w:val="000000"/>
                <w:lang w:val="en-IN"/>
              </w:rPr>
              <w:t>10-15</w:t>
            </w:r>
          </w:p>
        </w:tc>
        <w:tc>
          <w:tcPr>
            <w:tcW w:w="0" w:type="auto"/>
            <w:tcBorders>
              <w:top w:val="single" w:sz="4" w:space="0" w:color="auto"/>
              <w:left w:val="single" w:sz="4" w:space="0" w:color="auto"/>
              <w:bottom w:val="single" w:sz="4" w:space="0" w:color="auto"/>
              <w:right w:val="single" w:sz="4" w:space="0" w:color="auto"/>
            </w:tcBorders>
            <w:hideMark/>
          </w:tcPr>
          <w:p w14:paraId="349DD953" w14:textId="77777777" w:rsidR="00CD02D4" w:rsidRDefault="00CD02D4" w:rsidP="009A7EA6">
            <w:pPr>
              <w:spacing w:after="160" w:line="276" w:lineRule="auto"/>
              <w:jc w:val="both"/>
              <w:rPr>
                <w:color w:val="000000"/>
                <w:lang w:val="en-IN"/>
              </w:rPr>
            </w:pPr>
            <w:r>
              <w:rPr>
                <w:color w:val="000000"/>
                <w:lang w:val="en-IN"/>
              </w:rPr>
              <w:t>Analog-to-digital transition</w:t>
            </w:r>
          </w:p>
        </w:tc>
      </w:tr>
      <w:tr w:rsidR="00CD02D4" w14:paraId="600ABA17" w14:textId="77777777" w:rsidTr="009A7EA6">
        <w:trPr>
          <w:trHeight w:val="505"/>
        </w:trPr>
        <w:tc>
          <w:tcPr>
            <w:tcW w:w="0" w:type="auto"/>
            <w:tcBorders>
              <w:top w:val="single" w:sz="4" w:space="0" w:color="auto"/>
              <w:left w:val="single" w:sz="4" w:space="0" w:color="auto"/>
              <w:bottom w:val="single" w:sz="4" w:space="0" w:color="auto"/>
              <w:right w:val="single" w:sz="4" w:space="0" w:color="auto"/>
            </w:tcBorders>
            <w:hideMark/>
          </w:tcPr>
          <w:p w14:paraId="7528DEC3" w14:textId="77777777" w:rsidR="00CD02D4" w:rsidRDefault="00CD02D4" w:rsidP="009A7EA6">
            <w:pPr>
              <w:spacing w:after="160" w:line="276" w:lineRule="auto"/>
              <w:jc w:val="both"/>
              <w:rPr>
                <w:color w:val="000000"/>
                <w:lang w:val="en-IN"/>
              </w:rPr>
            </w:pPr>
            <w:r>
              <w:rPr>
                <w:color w:val="000000"/>
                <w:lang w:val="en-IN"/>
              </w:rPr>
              <w:t>Millennials</w:t>
            </w:r>
          </w:p>
        </w:tc>
        <w:tc>
          <w:tcPr>
            <w:tcW w:w="0" w:type="auto"/>
            <w:tcBorders>
              <w:top w:val="single" w:sz="4" w:space="0" w:color="auto"/>
              <w:left w:val="single" w:sz="4" w:space="0" w:color="auto"/>
              <w:bottom w:val="single" w:sz="4" w:space="0" w:color="auto"/>
              <w:right w:val="single" w:sz="4" w:space="0" w:color="auto"/>
            </w:tcBorders>
            <w:hideMark/>
          </w:tcPr>
          <w:p w14:paraId="3BF6C68B" w14:textId="77777777" w:rsidR="00CD02D4" w:rsidRDefault="00CD02D4" w:rsidP="009A7EA6">
            <w:pPr>
              <w:spacing w:after="160" w:line="276" w:lineRule="auto"/>
              <w:jc w:val="both"/>
              <w:rPr>
                <w:color w:val="000000"/>
                <w:lang w:val="en-IN"/>
              </w:rPr>
            </w:pPr>
            <w:r>
              <w:rPr>
                <w:color w:val="000000"/>
                <w:lang w:val="en-IN"/>
              </w:rPr>
              <w:t>1981-1996</w:t>
            </w:r>
          </w:p>
        </w:tc>
        <w:tc>
          <w:tcPr>
            <w:tcW w:w="0" w:type="auto"/>
            <w:tcBorders>
              <w:top w:val="single" w:sz="4" w:space="0" w:color="auto"/>
              <w:left w:val="single" w:sz="4" w:space="0" w:color="auto"/>
              <w:bottom w:val="single" w:sz="4" w:space="0" w:color="auto"/>
              <w:right w:val="single" w:sz="4" w:space="0" w:color="auto"/>
            </w:tcBorders>
            <w:hideMark/>
          </w:tcPr>
          <w:p w14:paraId="052B84F6" w14:textId="77777777" w:rsidR="00CD02D4" w:rsidRDefault="00CD02D4" w:rsidP="009A7EA6">
            <w:pPr>
              <w:spacing w:after="160" w:line="276" w:lineRule="auto"/>
              <w:jc w:val="both"/>
              <w:rPr>
                <w:color w:val="000000"/>
                <w:lang w:val="en-IN"/>
              </w:rPr>
            </w:pPr>
            <w:r>
              <w:rPr>
                <w:color w:val="000000"/>
                <w:lang w:val="en-IN"/>
              </w:rPr>
              <w:t>28-43</w:t>
            </w:r>
          </w:p>
        </w:tc>
        <w:tc>
          <w:tcPr>
            <w:tcW w:w="0" w:type="auto"/>
            <w:tcBorders>
              <w:top w:val="single" w:sz="4" w:space="0" w:color="auto"/>
              <w:left w:val="single" w:sz="4" w:space="0" w:color="auto"/>
              <w:bottom w:val="single" w:sz="4" w:space="0" w:color="auto"/>
              <w:right w:val="single" w:sz="4" w:space="0" w:color="auto"/>
            </w:tcBorders>
            <w:hideMark/>
          </w:tcPr>
          <w:p w14:paraId="71988943" w14:textId="77777777" w:rsidR="00CD02D4" w:rsidRDefault="00CD02D4" w:rsidP="009A7EA6">
            <w:pPr>
              <w:spacing w:after="160" w:line="276" w:lineRule="auto"/>
              <w:jc w:val="both"/>
              <w:rPr>
                <w:color w:val="000000"/>
                <w:lang w:val="en-IN"/>
              </w:rPr>
            </w:pPr>
            <w:r>
              <w:rPr>
                <w:color w:val="000000"/>
                <w:lang w:val="en-IN"/>
              </w:rPr>
              <w:t>10-15</w:t>
            </w:r>
          </w:p>
        </w:tc>
        <w:tc>
          <w:tcPr>
            <w:tcW w:w="0" w:type="auto"/>
            <w:tcBorders>
              <w:top w:val="single" w:sz="4" w:space="0" w:color="auto"/>
              <w:left w:val="single" w:sz="4" w:space="0" w:color="auto"/>
              <w:bottom w:val="single" w:sz="4" w:space="0" w:color="auto"/>
              <w:right w:val="single" w:sz="4" w:space="0" w:color="auto"/>
            </w:tcBorders>
            <w:hideMark/>
          </w:tcPr>
          <w:p w14:paraId="03D6BC84" w14:textId="77777777" w:rsidR="00CD02D4" w:rsidRDefault="00CD02D4" w:rsidP="009A7EA6">
            <w:pPr>
              <w:spacing w:after="160" w:line="276" w:lineRule="auto"/>
              <w:jc w:val="both"/>
              <w:rPr>
                <w:color w:val="000000"/>
                <w:lang w:val="en-IN"/>
              </w:rPr>
            </w:pPr>
            <w:r>
              <w:rPr>
                <w:color w:val="000000"/>
                <w:lang w:val="en-IN"/>
              </w:rPr>
              <w:t>Digital adoption in adulthood</w:t>
            </w:r>
          </w:p>
        </w:tc>
      </w:tr>
      <w:tr w:rsidR="00CD02D4" w14:paraId="5B2F1A46" w14:textId="77777777" w:rsidTr="009A7EA6">
        <w:trPr>
          <w:trHeight w:val="505"/>
        </w:trPr>
        <w:tc>
          <w:tcPr>
            <w:tcW w:w="0" w:type="auto"/>
            <w:tcBorders>
              <w:top w:val="single" w:sz="4" w:space="0" w:color="auto"/>
              <w:left w:val="single" w:sz="4" w:space="0" w:color="auto"/>
              <w:bottom w:val="single" w:sz="4" w:space="0" w:color="auto"/>
              <w:right w:val="single" w:sz="4" w:space="0" w:color="auto"/>
            </w:tcBorders>
            <w:hideMark/>
          </w:tcPr>
          <w:p w14:paraId="1691EFA8" w14:textId="77777777" w:rsidR="00CD02D4" w:rsidRDefault="00CD02D4" w:rsidP="009A7EA6">
            <w:pPr>
              <w:spacing w:after="160" w:line="276" w:lineRule="auto"/>
              <w:jc w:val="both"/>
              <w:rPr>
                <w:color w:val="000000"/>
                <w:lang w:val="en-IN"/>
              </w:rPr>
            </w:pPr>
            <w:r>
              <w:rPr>
                <w:color w:val="000000"/>
                <w:lang w:val="en-IN"/>
              </w:rPr>
              <w:t>Generation Z</w:t>
            </w:r>
          </w:p>
        </w:tc>
        <w:tc>
          <w:tcPr>
            <w:tcW w:w="0" w:type="auto"/>
            <w:tcBorders>
              <w:top w:val="single" w:sz="4" w:space="0" w:color="auto"/>
              <w:left w:val="single" w:sz="4" w:space="0" w:color="auto"/>
              <w:bottom w:val="single" w:sz="4" w:space="0" w:color="auto"/>
              <w:right w:val="single" w:sz="4" w:space="0" w:color="auto"/>
            </w:tcBorders>
            <w:hideMark/>
          </w:tcPr>
          <w:p w14:paraId="77A3B7B3" w14:textId="77777777" w:rsidR="00CD02D4" w:rsidRDefault="00CD02D4" w:rsidP="009A7EA6">
            <w:pPr>
              <w:spacing w:after="160" w:line="276" w:lineRule="auto"/>
              <w:jc w:val="both"/>
              <w:rPr>
                <w:color w:val="000000"/>
                <w:lang w:val="en-IN"/>
              </w:rPr>
            </w:pPr>
            <w:r>
              <w:rPr>
                <w:color w:val="000000"/>
                <w:lang w:val="en-IN"/>
              </w:rPr>
              <w:t>1997-2012</w:t>
            </w:r>
          </w:p>
        </w:tc>
        <w:tc>
          <w:tcPr>
            <w:tcW w:w="0" w:type="auto"/>
            <w:tcBorders>
              <w:top w:val="single" w:sz="4" w:space="0" w:color="auto"/>
              <w:left w:val="single" w:sz="4" w:space="0" w:color="auto"/>
              <w:bottom w:val="single" w:sz="4" w:space="0" w:color="auto"/>
              <w:right w:val="single" w:sz="4" w:space="0" w:color="auto"/>
            </w:tcBorders>
            <w:hideMark/>
          </w:tcPr>
          <w:p w14:paraId="5ECB4CA8" w14:textId="77777777" w:rsidR="00CD02D4" w:rsidRDefault="00CD02D4" w:rsidP="009A7EA6">
            <w:pPr>
              <w:spacing w:after="160" w:line="276" w:lineRule="auto"/>
              <w:jc w:val="both"/>
              <w:rPr>
                <w:color w:val="000000"/>
                <w:lang w:val="en-IN"/>
              </w:rPr>
            </w:pPr>
            <w:r>
              <w:rPr>
                <w:color w:val="000000"/>
                <w:lang w:val="en-IN"/>
              </w:rPr>
              <w:t>18-27</w:t>
            </w:r>
          </w:p>
        </w:tc>
        <w:tc>
          <w:tcPr>
            <w:tcW w:w="0" w:type="auto"/>
            <w:tcBorders>
              <w:top w:val="single" w:sz="4" w:space="0" w:color="auto"/>
              <w:left w:val="single" w:sz="4" w:space="0" w:color="auto"/>
              <w:bottom w:val="single" w:sz="4" w:space="0" w:color="auto"/>
              <w:right w:val="single" w:sz="4" w:space="0" w:color="auto"/>
            </w:tcBorders>
            <w:hideMark/>
          </w:tcPr>
          <w:p w14:paraId="3848A1F9" w14:textId="77777777" w:rsidR="00CD02D4" w:rsidRDefault="00CD02D4" w:rsidP="009A7EA6">
            <w:pPr>
              <w:spacing w:after="160" w:line="276" w:lineRule="auto"/>
              <w:jc w:val="both"/>
              <w:rPr>
                <w:color w:val="000000"/>
                <w:lang w:val="en-IN"/>
              </w:rPr>
            </w:pPr>
            <w:r>
              <w:rPr>
                <w:color w:val="000000"/>
                <w:lang w:val="en-IN"/>
              </w:rPr>
              <w:t>10-15</w:t>
            </w:r>
          </w:p>
        </w:tc>
        <w:tc>
          <w:tcPr>
            <w:tcW w:w="0" w:type="auto"/>
            <w:tcBorders>
              <w:top w:val="single" w:sz="4" w:space="0" w:color="auto"/>
              <w:left w:val="single" w:sz="4" w:space="0" w:color="auto"/>
              <w:bottom w:val="single" w:sz="4" w:space="0" w:color="auto"/>
              <w:right w:val="single" w:sz="4" w:space="0" w:color="auto"/>
            </w:tcBorders>
            <w:hideMark/>
          </w:tcPr>
          <w:p w14:paraId="557A983C" w14:textId="77777777" w:rsidR="00CD02D4" w:rsidRDefault="00CD02D4" w:rsidP="009A7EA6">
            <w:pPr>
              <w:spacing w:after="160" w:line="276" w:lineRule="auto"/>
              <w:jc w:val="both"/>
              <w:rPr>
                <w:color w:val="000000"/>
                <w:lang w:val="en-IN"/>
              </w:rPr>
            </w:pPr>
            <w:r>
              <w:rPr>
                <w:color w:val="000000"/>
                <w:lang w:val="en-IN"/>
              </w:rPr>
              <w:t>Digital natives</w:t>
            </w:r>
          </w:p>
        </w:tc>
      </w:tr>
    </w:tbl>
    <w:p w14:paraId="390FDF86" w14:textId="77777777" w:rsidR="00CD02D4" w:rsidRDefault="00CD02D4" w:rsidP="00CD02D4">
      <w:pPr>
        <w:spacing w:line="276" w:lineRule="auto"/>
        <w:jc w:val="both"/>
        <w:rPr>
          <w:color w:val="000000"/>
          <w:lang w:val="en-IN"/>
        </w:rPr>
      </w:pPr>
      <w:r>
        <w:rPr>
          <w:i/>
          <w:iCs/>
          <w:color w:val="000000"/>
          <w:lang w:val="en-IN"/>
        </w:rPr>
        <w:t>Source: Adapted from Prensky (2001) and Helsper and Eynon (2010)</w:t>
      </w:r>
    </w:p>
    <w:p w14:paraId="30FEE754" w14:textId="77777777" w:rsidR="00CD02D4" w:rsidRDefault="00CD02D4" w:rsidP="00CD02D4">
      <w:pPr>
        <w:spacing w:line="276" w:lineRule="auto"/>
        <w:jc w:val="both"/>
        <w:rPr>
          <w:color w:val="000000"/>
          <w:lang w:val="en-IN"/>
        </w:rPr>
      </w:pPr>
      <w:r>
        <w:rPr>
          <w:color w:val="000000"/>
          <w:lang w:val="en-IN"/>
        </w:rPr>
        <w:t xml:space="preserve">Purpose sampling will systematically contact organizations across rural Gujarat to obtain participants that fit specified criteria until thematic saturation is reached (Creswell &amp; </w:t>
      </w:r>
      <w:proofErr w:type="spellStart"/>
      <w:r>
        <w:rPr>
          <w:color w:val="000000"/>
          <w:lang w:val="en-IN"/>
        </w:rPr>
        <w:t>Poth</w:t>
      </w:r>
      <w:proofErr w:type="spellEnd"/>
      <w:r>
        <w:rPr>
          <w:color w:val="000000"/>
          <w:lang w:val="en-IN"/>
        </w:rPr>
        <w:t xml:space="preserve">, 2018). The criteria for participants include: living in rural areas, having an experience with QR code payments (considered or actual use), and having some knowledge in Hindi, English, or Gujarati. The sampling and data collection will include participants of all genders, educational backgrounds, professions, and different socioeconomic classes to ensure that there is not overrepresentation of any groups with high levels of technological competency. </w:t>
      </w:r>
    </w:p>
    <w:p w14:paraId="3DFD5E94" w14:textId="77777777" w:rsidR="00CD02D4" w:rsidRDefault="00CD02D4" w:rsidP="00CD02D4">
      <w:pPr>
        <w:pStyle w:val="Heading1"/>
        <w:spacing w:line="276" w:lineRule="auto"/>
        <w:jc w:val="both"/>
        <w:rPr>
          <w:rFonts w:ascii="Calibri" w:hAnsi="Calibri" w:cs="Calibri"/>
          <w:b/>
          <w:bCs/>
          <w:color w:val="000000"/>
          <w:sz w:val="32"/>
          <w:szCs w:val="32"/>
          <w:lang w:val="en-IN"/>
        </w:rPr>
      </w:pPr>
      <w:bookmarkStart w:id="24" w:name="_Toc220268017"/>
      <w:r>
        <w:rPr>
          <w:rFonts w:ascii="Calibri" w:hAnsi="Calibri" w:cs="Calibri"/>
          <w:b/>
          <w:bCs/>
          <w:color w:val="000000"/>
          <w:sz w:val="32"/>
          <w:szCs w:val="32"/>
          <w:lang w:val="en-IN"/>
        </w:rPr>
        <w:t>Data Collection Methods</w:t>
      </w:r>
      <w:bookmarkEnd w:id="24"/>
      <w:r>
        <w:rPr>
          <w:rFonts w:ascii="Calibri" w:hAnsi="Calibri" w:cs="Calibri"/>
          <w:b/>
          <w:bCs/>
          <w:color w:val="000000"/>
          <w:sz w:val="32"/>
          <w:szCs w:val="32"/>
          <w:lang w:val="en-IN"/>
        </w:rPr>
        <w:t xml:space="preserve"> </w:t>
      </w:r>
    </w:p>
    <w:p w14:paraId="3C221E2C" w14:textId="77777777" w:rsidR="00CD02D4" w:rsidRDefault="00CD02D4" w:rsidP="00CD02D4">
      <w:pPr>
        <w:spacing w:line="276" w:lineRule="auto"/>
        <w:jc w:val="both"/>
        <w:rPr>
          <w:color w:val="000000"/>
          <w:lang w:val="en-IN"/>
        </w:rPr>
      </w:pPr>
      <w:r>
        <w:rPr>
          <w:color w:val="000000"/>
          <w:lang w:val="en-IN"/>
        </w:rPr>
        <w:t xml:space="preserve">Semi-structured interviews that focus solely on one participant for 60 to 90 minutes work best, following Smith et al. (2009), and giving us the best opportunities to explore the lived experiences of </w:t>
      </w:r>
      <w:proofErr w:type="gramStart"/>
      <w:r>
        <w:rPr>
          <w:color w:val="000000"/>
          <w:lang w:val="en-IN"/>
        </w:rPr>
        <w:t>each individual</w:t>
      </w:r>
      <w:proofErr w:type="gramEnd"/>
      <w:r>
        <w:rPr>
          <w:color w:val="000000"/>
          <w:lang w:val="en-IN"/>
        </w:rPr>
        <w:t xml:space="preserve">. The questionnaire will have some form of accountability to ensure the questions asked do not stray too far from the topic, with the first question most likely being very broad and general, such as, “How do you handle money and payments normally?” to ensure that the participant is verbally encouraged to go into depth with their response, and then continuing through the questions until there is an opportunity for the interviewer to ask something spontaneous and curious that can steer the conversation a different way based on the participant’s experiences </w:t>
      </w:r>
      <w:r>
        <w:t>(Vyas &amp; Parwani, n.d.)</w:t>
      </w:r>
      <w:r>
        <w:rPr>
          <w:color w:val="000000"/>
          <w:lang w:val="en-IN"/>
        </w:rPr>
        <w:t xml:space="preserve">. </w:t>
      </w:r>
    </w:p>
    <w:p w14:paraId="03EC3FA0" w14:textId="77777777" w:rsidR="00CD02D4" w:rsidRDefault="00CD02D4" w:rsidP="00CD02D4">
      <w:pPr>
        <w:spacing w:line="276" w:lineRule="auto"/>
        <w:jc w:val="both"/>
        <w:rPr>
          <w:color w:val="000000"/>
          <w:lang w:val="en-IN"/>
        </w:rPr>
      </w:pPr>
      <w:r>
        <w:rPr>
          <w:color w:val="000000"/>
          <w:lang w:val="en-IN"/>
        </w:rPr>
        <w:t xml:space="preserve">Creswell &amp; </w:t>
      </w:r>
      <w:proofErr w:type="spellStart"/>
      <w:r>
        <w:rPr>
          <w:color w:val="000000"/>
          <w:lang w:val="en-IN"/>
        </w:rPr>
        <w:t>Poth</w:t>
      </w:r>
      <w:proofErr w:type="spellEnd"/>
      <w:r>
        <w:rPr>
          <w:color w:val="000000"/>
          <w:lang w:val="en-IN"/>
        </w:rPr>
        <w:t xml:space="preserve"> (2018) mention that the participants will be interviewed in the language of their choice to breakdown different language barriers to ensure that the participants can freely express themselves. For the varying levels of access, both to the internet and in relation to their living conditions, there will be some opportunities to hold the interviews in person, with some being filmed over the internet. For each of the interviews, audio will be recorded, following the </w:t>
      </w:r>
      <w:r>
        <w:rPr>
          <w:color w:val="000000"/>
          <w:lang w:val="en-IN"/>
        </w:rPr>
        <w:lastRenderedPageBreak/>
        <w:t xml:space="preserve">interviewer documenting their observations on the participants emotions and any contextual information that help explain the situation </w:t>
      </w:r>
      <w:r>
        <w:t xml:space="preserve">(Banik &amp; </w:t>
      </w:r>
      <w:proofErr w:type="spellStart"/>
      <w:r>
        <w:t>Chandrakar</w:t>
      </w:r>
      <w:proofErr w:type="spellEnd"/>
      <w:r>
        <w:t>, 2025)</w:t>
      </w:r>
      <w:r>
        <w:rPr>
          <w:color w:val="000000"/>
          <w:lang w:val="en-IN"/>
        </w:rPr>
        <w:t>.</w:t>
      </w:r>
    </w:p>
    <w:p w14:paraId="19519519"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25" w:name="_Toc220268018"/>
      <w:r>
        <w:rPr>
          <w:rFonts w:ascii="Calibri" w:hAnsi="Calibri" w:cs="Calibri"/>
          <w:b/>
          <w:bCs/>
          <w:color w:val="000000"/>
          <w:sz w:val="28"/>
          <w:szCs w:val="28"/>
          <w:lang w:val="en-IN"/>
        </w:rPr>
        <w:t>Sample interview questions:</w:t>
      </w:r>
      <w:bookmarkEnd w:id="25"/>
    </w:p>
    <w:p w14:paraId="69D1ADDB" w14:textId="77777777" w:rsidR="00CD02D4" w:rsidRDefault="00CD02D4" w:rsidP="00CD02D4">
      <w:pPr>
        <w:numPr>
          <w:ilvl w:val="0"/>
          <w:numId w:val="10"/>
        </w:numPr>
        <w:spacing w:line="276" w:lineRule="auto"/>
        <w:jc w:val="both"/>
        <w:rPr>
          <w:color w:val="000000"/>
          <w:lang w:val="en-IN"/>
        </w:rPr>
      </w:pPr>
      <w:r>
        <w:rPr>
          <w:color w:val="000000"/>
          <w:lang w:val="en-IN"/>
        </w:rPr>
        <w:t>Can you describe how you usually make payments in your daily life?</w:t>
      </w:r>
    </w:p>
    <w:p w14:paraId="2C07993B" w14:textId="77777777" w:rsidR="00CD02D4" w:rsidRDefault="00CD02D4" w:rsidP="00CD02D4">
      <w:pPr>
        <w:numPr>
          <w:ilvl w:val="0"/>
          <w:numId w:val="10"/>
        </w:numPr>
        <w:spacing w:line="276" w:lineRule="auto"/>
        <w:jc w:val="both"/>
        <w:rPr>
          <w:color w:val="000000"/>
          <w:lang w:val="en-IN"/>
        </w:rPr>
      </w:pPr>
      <w:r>
        <w:rPr>
          <w:color w:val="000000"/>
          <w:lang w:val="en-IN"/>
        </w:rPr>
        <w:t>Tell me about your first experience with QR code payments.</w:t>
      </w:r>
    </w:p>
    <w:p w14:paraId="3A8E2AC6" w14:textId="77777777" w:rsidR="00CD02D4" w:rsidRDefault="00CD02D4" w:rsidP="00CD02D4">
      <w:pPr>
        <w:numPr>
          <w:ilvl w:val="0"/>
          <w:numId w:val="10"/>
        </w:numPr>
        <w:spacing w:line="276" w:lineRule="auto"/>
        <w:jc w:val="both"/>
        <w:rPr>
          <w:color w:val="000000"/>
          <w:lang w:val="en-IN"/>
        </w:rPr>
      </w:pPr>
      <w:r>
        <w:rPr>
          <w:color w:val="000000"/>
          <w:lang w:val="en-IN"/>
        </w:rPr>
        <w:t>How do you feel when using (or avoiding) QR payments?</w:t>
      </w:r>
    </w:p>
    <w:p w14:paraId="7B0BCC90" w14:textId="77777777" w:rsidR="00CD02D4" w:rsidRDefault="00CD02D4" w:rsidP="00CD02D4">
      <w:pPr>
        <w:numPr>
          <w:ilvl w:val="0"/>
          <w:numId w:val="10"/>
        </w:numPr>
        <w:spacing w:line="276" w:lineRule="auto"/>
        <w:jc w:val="both"/>
        <w:rPr>
          <w:color w:val="000000"/>
          <w:lang w:val="en-IN"/>
        </w:rPr>
      </w:pPr>
      <w:r>
        <w:rPr>
          <w:color w:val="000000"/>
          <w:lang w:val="en-IN"/>
        </w:rPr>
        <w:t>Who helps you, if anyone, when using digital payments?</w:t>
      </w:r>
    </w:p>
    <w:p w14:paraId="0EB399F7" w14:textId="77777777" w:rsidR="00CD02D4" w:rsidRDefault="00CD02D4" w:rsidP="00CD02D4">
      <w:pPr>
        <w:numPr>
          <w:ilvl w:val="0"/>
          <w:numId w:val="10"/>
        </w:numPr>
        <w:spacing w:line="276" w:lineRule="auto"/>
        <w:jc w:val="both"/>
        <w:rPr>
          <w:color w:val="000000"/>
          <w:lang w:val="en-IN"/>
        </w:rPr>
      </w:pPr>
      <w:r>
        <w:rPr>
          <w:color w:val="000000"/>
          <w:lang w:val="en-IN"/>
        </w:rPr>
        <w:t>What makes a payment method feel “safe” or “unsafe” to you?</w:t>
      </w:r>
    </w:p>
    <w:p w14:paraId="1B2650B4" w14:textId="77777777" w:rsidR="00CD02D4" w:rsidRDefault="00CD02D4" w:rsidP="00CD02D4">
      <w:pPr>
        <w:spacing w:line="276" w:lineRule="auto"/>
        <w:jc w:val="both"/>
        <w:rPr>
          <w:color w:val="000000"/>
          <w:lang w:val="en-IN"/>
        </w:rPr>
      </w:pPr>
    </w:p>
    <w:p w14:paraId="27F2D72B" w14:textId="77777777" w:rsidR="00CD02D4" w:rsidRDefault="00CD02D4" w:rsidP="00CD02D4">
      <w:pPr>
        <w:pStyle w:val="Heading2"/>
        <w:spacing w:line="276" w:lineRule="auto"/>
        <w:jc w:val="both"/>
        <w:rPr>
          <w:rFonts w:ascii="Calibri" w:hAnsi="Calibri" w:cs="Calibri"/>
          <w:b/>
          <w:bCs/>
          <w:color w:val="000000"/>
          <w:sz w:val="28"/>
          <w:szCs w:val="28"/>
          <w:lang w:val="en-IN"/>
        </w:rPr>
      </w:pPr>
      <w:bookmarkStart w:id="26" w:name="_Toc220268019"/>
      <w:r>
        <w:rPr>
          <w:rFonts w:ascii="Calibri" w:hAnsi="Calibri" w:cs="Calibri"/>
          <w:b/>
          <w:bCs/>
          <w:color w:val="000000"/>
          <w:sz w:val="28"/>
          <w:szCs w:val="28"/>
          <w:lang w:val="en-IN"/>
        </w:rPr>
        <w:t>Data Analysis Procedures</w:t>
      </w:r>
      <w:bookmarkEnd w:id="26"/>
      <w:r>
        <w:rPr>
          <w:rFonts w:ascii="Calibri" w:hAnsi="Calibri" w:cs="Calibri"/>
          <w:b/>
          <w:bCs/>
          <w:color w:val="000000"/>
          <w:sz w:val="28"/>
          <w:szCs w:val="28"/>
          <w:lang w:val="en-IN"/>
        </w:rPr>
        <w:t xml:space="preserve"> </w:t>
      </w:r>
    </w:p>
    <w:p w14:paraId="2A3554EE" w14:textId="77777777" w:rsidR="00CD02D4" w:rsidRDefault="00CD02D4" w:rsidP="00CD02D4">
      <w:pPr>
        <w:spacing w:line="276" w:lineRule="auto"/>
        <w:jc w:val="both"/>
        <w:rPr>
          <w:color w:val="000000"/>
        </w:rPr>
      </w:pPr>
      <w:r>
        <w:rPr>
          <w:color w:val="000000"/>
          <w:lang w:val="en-US"/>
        </w:rPr>
        <w:t xml:space="preserve">Data analysis will follow an Interpretative Phenomenological Analysis approach, supported by Braun and Clarke’s six-phase thematic analysis framework to ensure transparency and </w:t>
      </w:r>
      <w:proofErr w:type="spellStart"/>
      <w:r>
        <w:rPr>
          <w:color w:val="000000"/>
          <w:lang w:val="en-US"/>
        </w:rPr>
        <w:t>rigour</w:t>
      </w:r>
      <w:proofErr w:type="spellEnd"/>
      <w:r>
        <w:rPr>
          <w:color w:val="000000"/>
          <w:lang w:val="en-US"/>
        </w:rPr>
        <w:t xml:space="preserve">. While IPA guides the idiographic and interpretive focus, Braun and Clarke’s framework provides a systematic structure for coding, theme development, and reflexive engagement with the data </w:t>
      </w:r>
      <w:r>
        <w:t>(Dhamala, 2024)</w:t>
      </w:r>
      <w:r>
        <w:rPr>
          <w:color w:val="000000"/>
          <w:lang w:val="en-US"/>
        </w:rPr>
        <w:t xml:space="preserve">. The first of these steps consists of reading and re-reading the transcripts of the interviews to achieve a depth of immersion and familiarity with the data. In this phase, a minimum of three reads of each transcript will be accompanied by listening to the audio recording of the interview, while also reading the transcript, </w:t>
      </w:r>
      <w:proofErr w:type="gramStart"/>
      <w:r>
        <w:rPr>
          <w:color w:val="000000"/>
          <w:lang w:val="en-US"/>
        </w:rPr>
        <w:t>in order to</w:t>
      </w:r>
      <w:proofErr w:type="gramEnd"/>
      <w:r>
        <w:rPr>
          <w:color w:val="000000"/>
          <w:lang w:val="en-US"/>
        </w:rPr>
        <w:t xml:space="preserve"> note the verbal nuances, pauses, emotional tones, and emphatic words that have the potential to color the text significantly </w:t>
      </w:r>
      <w:r>
        <w:t>(Madhani et al., n.d.)</w:t>
      </w:r>
      <w:r>
        <w:rPr>
          <w:color w:val="000000"/>
          <w:lang w:val="en-US"/>
        </w:rPr>
        <w:t xml:space="preserve">. This level of engagement allows the analyst to start to go above and beyond rote data parsing to build a construct for the accounts, perhaps </w:t>
      </w:r>
      <w:proofErr w:type="gramStart"/>
      <w:r>
        <w:rPr>
          <w:color w:val="000000"/>
          <w:lang w:val="en-US"/>
        </w:rPr>
        <w:t>beginning to notice</w:t>
      </w:r>
      <w:proofErr w:type="gramEnd"/>
      <w:r>
        <w:rPr>
          <w:color w:val="000000"/>
          <w:lang w:val="en-US"/>
        </w:rPr>
        <w:t xml:space="preserve"> order, discordance, and patterns in the accounts of the participants.</w:t>
      </w:r>
    </w:p>
    <w:p w14:paraId="5B07ECCD" w14:textId="77777777" w:rsidR="00CD02D4" w:rsidRDefault="00CD02D4" w:rsidP="00CD02D4">
      <w:pPr>
        <w:spacing w:line="276" w:lineRule="auto"/>
        <w:jc w:val="both"/>
        <w:rPr>
          <w:color w:val="000000"/>
        </w:rPr>
      </w:pPr>
      <w:r>
        <w:rPr>
          <w:color w:val="000000"/>
          <w:lang w:val="en-US"/>
        </w:rPr>
        <w:t xml:space="preserve">Analyzing the transcript in detail, alongside participants' accounts in reaction to noted observations, recordings, and the marking of the possible significant features, characterizes the second step of this system. Three forms of comments were captured in the initial noting. These are paraphrased comments, which summarize what participants are saying, comments on the language which capture the use of repetition, hesitancy, and creative language during discourse, and comments of greater synthesis that are more interpretive with respect to the potential connections or meaning. Initial noting is key, since it serves to create a canvas upon which the themes will be developed </w:t>
      </w:r>
      <w:r>
        <w:t>(Shah &amp; Bhatt, 2023)</w:t>
      </w:r>
      <w:r>
        <w:rPr>
          <w:color w:val="000000"/>
          <w:lang w:val="en-US"/>
        </w:rPr>
        <w:t xml:space="preserve">. </w:t>
      </w:r>
    </w:p>
    <w:p w14:paraId="5A14531B" w14:textId="77777777" w:rsidR="00CD02D4" w:rsidRDefault="00CD02D4" w:rsidP="00CD02D4">
      <w:pPr>
        <w:spacing w:line="276" w:lineRule="auto"/>
        <w:jc w:val="both"/>
        <w:rPr>
          <w:color w:val="000000"/>
        </w:rPr>
      </w:pPr>
      <w:r>
        <w:rPr>
          <w:color w:val="000000"/>
          <w:lang w:val="en-US"/>
        </w:rPr>
        <w:t xml:space="preserve">Step three is developing themes that are based on the notes that are comprised. These core themes are the central organizing features of the participants lived experiences. Although these themes are abstract and higher-order in terms of the detailing provided in the themes, that by </w:t>
      </w:r>
      <w:r>
        <w:rPr>
          <w:color w:val="000000"/>
          <w:lang w:val="en-US"/>
        </w:rPr>
        <w:lastRenderedPageBreak/>
        <w:t xml:space="preserve">no means indicates that these themes are no longer grounded on the essence of the participants experience. Therefore, they are an amalgamation of the significant aspects of the experience, in addition to the level of detail provided by the participants </w:t>
      </w:r>
      <w:r>
        <w:t>(Mahesh et al., 2025)</w:t>
      </w:r>
      <w:r>
        <w:rPr>
          <w:color w:val="000000"/>
          <w:lang w:val="en-US"/>
        </w:rPr>
        <w:t>.</w:t>
      </w:r>
    </w:p>
    <w:p w14:paraId="58C51C75" w14:textId="77777777" w:rsidR="00CD02D4" w:rsidRDefault="00CD02D4" w:rsidP="00CD02D4">
      <w:pPr>
        <w:spacing w:line="276" w:lineRule="auto"/>
        <w:jc w:val="both"/>
        <w:rPr>
          <w:color w:val="000000"/>
        </w:rPr>
      </w:pPr>
      <w:r>
        <w:rPr>
          <w:color w:val="000000"/>
          <w:lang w:val="en-US"/>
        </w:rPr>
        <w:t xml:space="preserve">In the fourth step, the analyst looks for relationships among the different themes in each case, focusing on the themes for relationships such as patterns, clusters, hierarchies, temporal order, and oppositionality. Some themes might be combined as part of superordinate themes which are more general than others, while others might be more in line with each other. This produces a coherent and thematic framework for each case that shows how the different parts of a case are meaningfully integrated and puts the stamp of the analyst on it </w:t>
      </w:r>
      <w:r>
        <w:t>(Bhalodia et al., n.d.)</w:t>
      </w:r>
      <w:r>
        <w:rPr>
          <w:color w:val="000000"/>
          <w:lang w:val="en-US"/>
        </w:rPr>
        <w:t>.</w:t>
      </w:r>
    </w:p>
    <w:p w14:paraId="1CE192B1" w14:textId="77777777" w:rsidR="00CD02D4" w:rsidRDefault="00CD02D4" w:rsidP="00CD02D4">
      <w:pPr>
        <w:spacing w:line="276" w:lineRule="auto"/>
        <w:jc w:val="both"/>
        <w:rPr>
          <w:color w:val="000000"/>
        </w:rPr>
      </w:pPr>
      <w:r>
        <w:rPr>
          <w:color w:val="000000"/>
          <w:lang w:val="en-US"/>
        </w:rPr>
        <w:t>In the fifth step, the analyst moves on to the next case and replicates the entire analytic procedure from the beginning. Interpretive Phenomenological Analysis ensures idiographic commitment by fully attending to each case in isolation before performing any comparisons across cases. This avoids premature analytical closure in which later cases are “pigeonholed, to fit interpretive grids established by earlier cases,” ensuring that each case sheds the light of its individual experiences.</w:t>
      </w:r>
    </w:p>
    <w:p w14:paraId="14C55025" w14:textId="77777777" w:rsidR="00CD02D4" w:rsidRDefault="00CD02D4" w:rsidP="00CD02D4">
      <w:pPr>
        <w:spacing w:line="276" w:lineRule="auto"/>
        <w:jc w:val="both"/>
        <w:rPr>
          <w:color w:val="000000"/>
        </w:rPr>
      </w:pPr>
      <w:r>
        <w:rPr>
          <w:color w:val="000000"/>
          <w:lang w:val="en-US"/>
        </w:rPr>
        <w:t xml:space="preserve">The final section of this research is to discover similarities among the case studies. This involves spotting the themes that keep coming up in the narratives of different participants; as well as bringing to light the differences where participants experienced the phenomenon in different ways. This analysis of multiple cases allows the research to present more generalized conclusions about the phenomenon and still pay respect to the different ways in which people endure and understand it </w:t>
      </w:r>
      <w:r>
        <w:t>(Anjaneyulu &amp; Gurumurthy, 2025)</w:t>
      </w:r>
      <w:r>
        <w:rPr>
          <w:color w:val="000000"/>
          <w:lang w:val="en-US"/>
        </w:rPr>
        <w:t xml:space="preserve">. </w:t>
      </w:r>
    </w:p>
    <w:p w14:paraId="70A045A0" w14:textId="77777777" w:rsidR="00CD02D4" w:rsidRPr="00CD02D4" w:rsidRDefault="00CD02D4" w:rsidP="00CD02D4">
      <w:pPr>
        <w:spacing w:line="276" w:lineRule="auto"/>
        <w:jc w:val="both"/>
        <w:rPr>
          <w:b/>
          <w:bCs/>
          <w:color w:val="000000"/>
        </w:rPr>
      </w:pPr>
      <w:r w:rsidRPr="00CD02D4">
        <w:rPr>
          <w:b/>
          <w:bCs/>
          <w:color w:val="000000"/>
          <w:lang w:val="en-US"/>
        </w:rPr>
        <w:t>Elucidating the incorporation of IPA and Framework of Braun and Clarke.</w:t>
      </w:r>
    </w:p>
    <w:p w14:paraId="4F9BEF14" w14:textId="77777777" w:rsidR="00CD02D4" w:rsidRPr="00CD02D4" w:rsidRDefault="00CD02D4" w:rsidP="00CD02D4">
      <w:pPr>
        <w:spacing w:line="276" w:lineRule="auto"/>
        <w:jc w:val="both"/>
        <w:rPr>
          <w:color w:val="000000"/>
        </w:rPr>
      </w:pPr>
      <w:r w:rsidRPr="00CD02D4">
        <w:rPr>
          <w:color w:val="000000"/>
          <w:lang w:val="en-US"/>
        </w:rPr>
        <w:t xml:space="preserve">The proposed research uses the Interpretative Phenomenological Analysis (IPA) as the main methodological approach. It is based on phenomenology, hermeneutics and ideography and is interested in investigating how people make sense of their lived experiences </w:t>
      </w:r>
      <w:proofErr w:type="gramStart"/>
      <w:r w:rsidRPr="00CD02D4">
        <w:rPr>
          <w:color w:val="000000"/>
          <w:lang w:val="en-US"/>
        </w:rPr>
        <w:t>in a given</w:t>
      </w:r>
      <w:proofErr w:type="gramEnd"/>
      <w:r w:rsidRPr="00CD02D4">
        <w:rPr>
          <w:color w:val="000000"/>
          <w:lang w:val="en-US"/>
        </w:rPr>
        <w:t xml:space="preserve"> social and cultural context (Smith et al., 2009). Transplanted to the epistemological underpinnings of IPA, this study aims at producing idiographic, interpretive, and experiential knowledge instead of </w:t>
      </w:r>
      <w:proofErr w:type="spellStart"/>
      <w:r w:rsidRPr="00CD02D4">
        <w:rPr>
          <w:color w:val="000000"/>
          <w:lang w:val="en-US"/>
        </w:rPr>
        <w:t>generalisable</w:t>
      </w:r>
      <w:proofErr w:type="spellEnd"/>
      <w:r w:rsidRPr="00CD02D4">
        <w:rPr>
          <w:color w:val="000000"/>
          <w:lang w:val="en-US"/>
        </w:rPr>
        <w:t xml:space="preserve"> or predictive results. Analytic emphasis thus continues to be on the processes of meaning-making of participants when they experience and negotiate the QR code payment technologies in their daily lives.</w:t>
      </w:r>
    </w:p>
    <w:p w14:paraId="2C2FB818" w14:textId="77777777" w:rsidR="00CD02D4" w:rsidRPr="00CD02D4" w:rsidRDefault="00CD02D4" w:rsidP="00CD02D4">
      <w:pPr>
        <w:spacing w:line="276" w:lineRule="auto"/>
        <w:jc w:val="both"/>
        <w:rPr>
          <w:color w:val="000000"/>
        </w:rPr>
      </w:pPr>
      <w:r w:rsidRPr="00CD02D4">
        <w:rPr>
          <w:color w:val="000000"/>
          <w:lang w:val="en-US"/>
        </w:rPr>
        <w:t xml:space="preserve">In this general IPA framework, the six-phase thematic analysis paradigm of Braun and Clarke (2006) is used procedurally to allow transparency, </w:t>
      </w:r>
      <w:proofErr w:type="spellStart"/>
      <w:proofErr w:type="gramStart"/>
      <w:r w:rsidRPr="00CD02D4">
        <w:rPr>
          <w:color w:val="000000"/>
          <w:lang w:val="en-US"/>
        </w:rPr>
        <w:t>rigour</w:t>
      </w:r>
      <w:proofErr w:type="spellEnd"/>
      <w:proofErr w:type="gramEnd"/>
      <w:r w:rsidRPr="00CD02D4">
        <w:rPr>
          <w:color w:val="000000"/>
          <w:lang w:val="en-US"/>
        </w:rPr>
        <w:t xml:space="preserve"> and clarity in analysis. Notably, the framework by Braun and Clarke is not applied as an alternative or rival to the methodology, but as a systematizing tool of analytic coding and theme development in an IPA logic. The established type of knowledge required by IPA is interpretive understanding of lived experience, whereas the </w:t>
      </w:r>
      <w:r w:rsidRPr="00CD02D4">
        <w:rPr>
          <w:color w:val="000000"/>
          <w:lang w:val="en-US"/>
        </w:rPr>
        <w:lastRenderedPageBreak/>
        <w:t xml:space="preserve">framework by Braun and Clarke offers a clear and auditable procedure in how patterns of meaning can be found, </w:t>
      </w:r>
      <w:proofErr w:type="gramStart"/>
      <w:r w:rsidRPr="00CD02D4">
        <w:rPr>
          <w:color w:val="000000"/>
          <w:lang w:val="en-US"/>
        </w:rPr>
        <w:t>structured</w:t>
      </w:r>
      <w:proofErr w:type="gramEnd"/>
      <w:r w:rsidRPr="00CD02D4">
        <w:rPr>
          <w:color w:val="000000"/>
          <w:lang w:val="en-US"/>
        </w:rPr>
        <w:t xml:space="preserve"> and optimized across the data.</w:t>
      </w:r>
    </w:p>
    <w:p w14:paraId="3DB644CA" w14:textId="77777777" w:rsidR="00CD02D4" w:rsidRPr="00CD02D4" w:rsidRDefault="00CD02D4" w:rsidP="00CD02D4">
      <w:pPr>
        <w:spacing w:line="276" w:lineRule="auto"/>
        <w:jc w:val="both"/>
        <w:rPr>
          <w:color w:val="000000"/>
          <w:highlight w:val="yellow"/>
        </w:rPr>
      </w:pPr>
      <w:r w:rsidRPr="00CD02D4">
        <w:rPr>
          <w:color w:val="000000"/>
          <w:lang w:val="en-US"/>
        </w:rPr>
        <w:t xml:space="preserve">Application of the framework by Braun and Clarke is therefore reasonable on pragmatic and epistemological basis. Pragmatically, it presents a clear and best-known framework of work with qualitative information, which improves its plausibility and auditability of the analytic process. Its reflexive and flexible orientation, epistemologically, is consonant to the IPA desire to interpret, not to test theories or positivist code. Themes produced by this procedure are not viewed as surface categories but as interpretive constructions, elaborated by long-term interactions with each case and followed by cross-case comparison, which is in line with the idiographic commitments of IPA </w:t>
      </w:r>
      <w:r w:rsidRPr="00CD02D4">
        <w:t>(Shah &amp; Bhatt, n.d.)</w:t>
      </w:r>
      <w:r w:rsidRPr="00CD02D4">
        <w:rPr>
          <w:color w:val="000000"/>
          <w:lang w:val="en-US"/>
        </w:rPr>
        <w:t>.</w:t>
      </w:r>
    </w:p>
    <w:p w14:paraId="1479CB95" w14:textId="77777777" w:rsidR="00CD02D4" w:rsidRDefault="00CD02D4" w:rsidP="00CD02D4">
      <w:pPr>
        <w:spacing w:line="276" w:lineRule="auto"/>
        <w:jc w:val="both"/>
        <w:rPr>
          <w:color w:val="000000"/>
        </w:rPr>
      </w:pPr>
      <w:r w:rsidRPr="00CD02D4">
        <w:rPr>
          <w:color w:val="000000"/>
          <w:lang w:val="en-US"/>
        </w:rPr>
        <w:t xml:space="preserve">This combined method is in line with the existing principles of qualitative practice since most scholars of the IPA rely on the framework by Braun and Clarke to conceptualizes thematic development without losing the affective richness of phenomenology and interpretive sensitivity. By clearly placing the framework by Braun and Clarke in the context of IPA analytic logic, this paper does not entail the problem of methodological mixing, and rather portrays an analytic coherent and reflexive relation of epistemology, methodology, and analytic procedure </w:t>
      </w:r>
      <w:r w:rsidRPr="00CD02D4">
        <w:t>(James, 2025)</w:t>
      </w:r>
      <w:r w:rsidRPr="00CD02D4">
        <w:rPr>
          <w:color w:val="000000"/>
          <w:lang w:val="en-US"/>
        </w:rPr>
        <w:t>.</w:t>
      </w:r>
    </w:p>
    <w:p w14:paraId="1F83D093" w14:textId="77777777" w:rsidR="00CD02D4" w:rsidRDefault="00CD02D4" w:rsidP="00CD02D4">
      <w:pPr>
        <w:pStyle w:val="Heading1"/>
        <w:spacing w:line="276" w:lineRule="auto"/>
        <w:jc w:val="both"/>
        <w:rPr>
          <w:rFonts w:ascii="Calibri" w:hAnsi="Calibri" w:cs="Calibri"/>
          <w:b/>
          <w:bCs/>
          <w:color w:val="000000"/>
          <w:sz w:val="32"/>
          <w:szCs w:val="32"/>
          <w:lang w:val="en-IN"/>
        </w:rPr>
      </w:pPr>
      <w:bookmarkStart w:id="27" w:name="_Toc220268020"/>
      <w:r>
        <w:rPr>
          <w:rFonts w:ascii="Calibri" w:hAnsi="Calibri" w:cs="Calibri"/>
          <w:b/>
          <w:bCs/>
          <w:color w:val="000000"/>
          <w:sz w:val="32"/>
          <w:szCs w:val="32"/>
          <w:lang w:val="en-IN"/>
        </w:rPr>
        <w:t>Ethical Considerations</w:t>
      </w:r>
      <w:bookmarkEnd w:id="27"/>
    </w:p>
    <w:p w14:paraId="1EE548C8" w14:textId="77777777" w:rsidR="00CD02D4" w:rsidRDefault="00CD02D4" w:rsidP="00CD02D4">
      <w:pPr>
        <w:spacing w:line="276" w:lineRule="auto"/>
        <w:jc w:val="both"/>
        <w:rPr>
          <w:color w:val="000000"/>
          <w:lang w:val="en-IN"/>
        </w:rPr>
      </w:pPr>
      <w:r>
        <w:rPr>
          <w:color w:val="000000"/>
          <w:lang w:val="en-IN"/>
        </w:rPr>
        <w:t xml:space="preserve">The research will be a qualitative investigation into the life experience of people of various generations in rural Gujarat with the use of digital payment systems based on QR code. Due to the financial sensitivity of the issue and the possible vulnerability of the participants, especially the older adults and those with low digital literacy, ethical considerations should be paid close attention to during the research process </w:t>
      </w:r>
      <w:r>
        <w:t>(Kerai &amp; Vidani, 2025)</w:t>
      </w:r>
      <w:r>
        <w:rPr>
          <w:color w:val="000000"/>
          <w:lang w:val="en-IN"/>
        </w:rPr>
        <w:t>.</w:t>
      </w:r>
    </w:p>
    <w:p w14:paraId="5D25EF08" w14:textId="77777777" w:rsidR="00CD02D4" w:rsidRDefault="00CD02D4" w:rsidP="00CD02D4">
      <w:pPr>
        <w:spacing w:line="276" w:lineRule="auto"/>
        <w:jc w:val="both"/>
        <w:rPr>
          <w:color w:val="000000"/>
          <w:lang w:val="en-IN"/>
        </w:rPr>
      </w:pPr>
      <w:r>
        <w:rPr>
          <w:color w:val="000000"/>
          <w:lang w:val="en-IN"/>
        </w:rPr>
        <w:t xml:space="preserve">Both confidentiality and anonymity should be highly accommodated because the discussions might touch on issues regarding personal financial practices, belief in institutions, and concerns regarding fraud or cyber insecurity </w:t>
      </w:r>
      <w:r>
        <w:t>(Gelb et al., 2022)</w:t>
      </w:r>
      <w:r>
        <w:rPr>
          <w:color w:val="000000"/>
          <w:lang w:val="en-IN"/>
        </w:rPr>
        <w:t>. Transcripts and reports will have all the identifying information extracted and participants will be identified by pseudonyms. The information will be saved in coded digital files that can only be accessed by the researcher, and the institutional data protection policies will be followed.</w:t>
      </w:r>
    </w:p>
    <w:p w14:paraId="134FDF99" w14:textId="77777777" w:rsidR="00CD02D4" w:rsidRDefault="00CD02D4" w:rsidP="00CD02D4">
      <w:pPr>
        <w:spacing w:line="276" w:lineRule="auto"/>
        <w:jc w:val="both"/>
        <w:rPr>
          <w:color w:val="000000"/>
          <w:lang w:val="en-IN"/>
        </w:rPr>
      </w:pPr>
      <w:r>
        <w:rPr>
          <w:color w:val="000000"/>
          <w:lang w:val="en-IN"/>
        </w:rPr>
        <w:t xml:space="preserve">Lastly, the study will also aim to make its contribution to the ethics of the wider discourse on digital financial inclusion by ensuring that the voices of participants are represented in a fair and respectable way. </w:t>
      </w:r>
    </w:p>
    <w:p w14:paraId="7A41B450" w14:textId="77777777" w:rsidR="00CD02D4" w:rsidRDefault="00CD02D4" w:rsidP="00CD02D4">
      <w:pPr>
        <w:pStyle w:val="Heading1"/>
        <w:spacing w:line="276" w:lineRule="auto"/>
        <w:jc w:val="both"/>
        <w:rPr>
          <w:rFonts w:ascii="Calibri" w:hAnsi="Calibri" w:cs="Calibri"/>
          <w:b/>
          <w:bCs/>
          <w:color w:val="000000"/>
          <w:sz w:val="32"/>
          <w:szCs w:val="32"/>
          <w:lang w:val="en-IN"/>
        </w:rPr>
      </w:pPr>
      <w:bookmarkStart w:id="28" w:name="_Toc220268021"/>
      <w:r>
        <w:rPr>
          <w:rFonts w:ascii="Calibri" w:hAnsi="Calibri" w:cs="Calibri"/>
          <w:b/>
          <w:bCs/>
          <w:color w:val="000000"/>
          <w:sz w:val="32"/>
          <w:szCs w:val="32"/>
          <w:lang w:val="en-IN"/>
        </w:rPr>
        <w:lastRenderedPageBreak/>
        <w:t>Limitations</w:t>
      </w:r>
      <w:bookmarkEnd w:id="28"/>
    </w:p>
    <w:p w14:paraId="7203C758" w14:textId="37F7BC1B" w:rsidR="00936EBE" w:rsidRPr="00CD02D4" w:rsidRDefault="00CD02D4" w:rsidP="00936EBE">
      <w:pPr>
        <w:spacing w:line="276" w:lineRule="auto"/>
        <w:jc w:val="both"/>
        <w:rPr>
          <w:color w:val="000000"/>
        </w:rPr>
      </w:pPr>
      <w:r>
        <w:rPr>
          <w:color w:val="000000"/>
          <w:lang w:val="en-US"/>
        </w:rPr>
        <w:t xml:space="preserve">As with any study, this work has some limitations which need to be scrutinized: To begin with, this study concerns only rural Gujarat, and its findings cannot be generalized to every rural area of India and other countries.  Each area is different regarding the cultures, the economies, and the adoptions of technologies. The study concentrates on one area and develops a profound comprehension of the context while still being open to the passage of methodology.    The research does not track change over time, and, therefore, is limited to a single study and not a series of studies on the topic </w:t>
      </w:r>
      <w:r>
        <w:t>(Vishwakarma et al., n.d.)</w:t>
      </w:r>
      <w:r>
        <w:rPr>
          <w:color w:val="000000"/>
          <w:lang w:val="en-US"/>
        </w:rPr>
        <w:t xml:space="preserve">. The adoption of technology is always changing, as technologies change, as do the social views towards those technologies and the individuals. While doing a series of studies on a single topic is always the best alternative, it is not possible to do this for a PhD.  The study aimed for more of a diverse sample and representation than was possible to capture the total novelty of the vast, mixed populations. Each of these groups has also been formed </w:t>
      </w:r>
      <w:proofErr w:type="gramStart"/>
      <w:r>
        <w:rPr>
          <w:color w:val="000000"/>
          <w:lang w:val="en-US"/>
        </w:rPr>
        <w:t>on the basis of</w:t>
      </w:r>
      <w:proofErr w:type="gramEnd"/>
      <w:r>
        <w:rPr>
          <w:color w:val="000000"/>
          <w:lang w:val="en-US"/>
        </w:rPr>
        <w:t xml:space="preserve"> other classifications such as gender, caste, class, education, occupation, etc., as there is a social-differentiations which cannot be fully illustrated, and doing so could be misleading especially in the context of a generation system </w:t>
      </w:r>
      <w:r>
        <w:t>(Jadhav &amp; Pawa, 2022)</w:t>
      </w:r>
      <w:r>
        <w:rPr>
          <w:color w:val="000000"/>
          <w:lang w:val="en-US"/>
        </w:rPr>
        <w:t xml:space="preserve">.    </w:t>
      </w:r>
      <w:r w:rsidR="00936EBE" w:rsidRPr="00936EBE">
        <w:rPr>
          <w:color w:val="000000" w:themeColor="text1"/>
          <w:lang w:val="en-US"/>
        </w:rPr>
        <w:br w:type="page"/>
      </w:r>
    </w:p>
    <w:p w14:paraId="3354AACE" w14:textId="37F07791" w:rsidR="009A218B" w:rsidRPr="009A218B" w:rsidRDefault="009A218B" w:rsidP="009A218B">
      <w:pPr>
        <w:keepNext/>
        <w:keepLines/>
        <w:spacing w:before="360" w:after="80" w:line="276" w:lineRule="auto"/>
        <w:jc w:val="both"/>
        <w:outlineLvl w:val="0"/>
        <w:rPr>
          <w:rFonts w:eastAsia="DengXian Light"/>
          <w:b/>
          <w:bCs/>
          <w:color w:val="000000" w:themeColor="text1"/>
          <w:sz w:val="32"/>
          <w:szCs w:val="32"/>
          <w:lang w:val="en-IN"/>
        </w:rPr>
      </w:pPr>
      <w:bookmarkStart w:id="29" w:name="_Toc220268022"/>
      <w:r w:rsidRPr="009A218B">
        <w:rPr>
          <w:rFonts w:eastAsia="DengXian Light"/>
          <w:b/>
          <w:bCs/>
          <w:color w:val="000000" w:themeColor="text1"/>
          <w:sz w:val="32"/>
          <w:szCs w:val="32"/>
          <w:lang w:val="en-IN"/>
        </w:rPr>
        <w:lastRenderedPageBreak/>
        <w:t>References</w:t>
      </w:r>
      <w:bookmarkEnd w:id="29"/>
    </w:p>
    <w:p w14:paraId="6902DCB4" w14:textId="16C3FFC0" w:rsidR="00200493" w:rsidRPr="00834479" w:rsidRDefault="00834479" w:rsidP="00945684">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Anjaneyulu, D., &amp; Gurumurthy, M. (2025). </w:t>
      </w:r>
      <w:r w:rsidRPr="00834479">
        <w:rPr>
          <w:rFonts w:eastAsia="DengXian Light"/>
          <w:i/>
          <w:iCs/>
          <w:color w:val="000000" w:themeColor="text1"/>
        </w:rPr>
        <w:t>DIGITAL PAYMENT SYSTEMS IN INDIA</w:t>
      </w:r>
      <w:r w:rsidRPr="00834479">
        <w:rPr>
          <w:rFonts w:eastAsia="DengXian Light"/>
          <w:color w:val="000000" w:themeColor="text1"/>
        </w:rPr>
        <w:t xml:space="preserve">. Laxmi Book Publication. </w:t>
      </w:r>
      <w:hyperlink r:id="rId39" w:history="1">
        <w:r w:rsidRPr="00834479">
          <w:rPr>
            <w:rStyle w:val="Hyperlink"/>
            <w:rFonts w:eastAsia="DengXian Light"/>
          </w:rPr>
          <w:t>https://books.google.com/books?hl=en&amp;lr=&amp;id=UDOEEQAAQBAJ&amp;oi=fnd&amp;pg=PA42&amp;dq=QR+Code+Payment+Adoption+in+Rural+Gujarat&amp;ots=-N9s9u_r0_&amp;sig=eSReqMKzHGN_NL_vC3HiCb3I2pQ</w:t>
        </w:r>
      </w:hyperlink>
    </w:p>
    <w:p w14:paraId="1B4B2F51"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Banik, N., &amp; </w:t>
      </w:r>
      <w:proofErr w:type="spellStart"/>
      <w:r w:rsidRPr="00834479">
        <w:rPr>
          <w:rFonts w:eastAsia="DengXian Light"/>
          <w:color w:val="000000" w:themeColor="text1"/>
        </w:rPr>
        <w:t>Chandrakar</w:t>
      </w:r>
      <w:proofErr w:type="spellEnd"/>
      <w:r w:rsidRPr="00834479">
        <w:rPr>
          <w:rFonts w:eastAsia="DengXian Light"/>
          <w:color w:val="000000" w:themeColor="text1"/>
        </w:rPr>
        <w:t>, P. (2025). Toward Inclusive Finance: Mapping Digital Disparities Across India. </w:t>
      </w:r>
      <w:r w:rsidRPr="00834479">
        <w:rPr>
          <w:rFonts w:eastAsia="DengXian Light"/>
          <w:i/>
          <w:iCs/>
          <w:color w:val="000000" w:themeColor="text1"/>
        </w:rPr>
        <w:t>Journal of Emerging Market Finance</w:t>
      </w:r>
      <w:r w:rsidRPr="00834479">
        <w:rPr>
          <w:rFonts w:eastAsia="DengXian Light"/>
          <w:color w:val="000000" w:themeColor="text1"/>
        </w:rPr>
        <w:t xml:space="preserve">, 09726527251392740. </w:t>
      </w:r>
      <w:hyperlink r:id="rId40" w:history="1">
        <w:r w:rsidRPr="00834479">
          <w:rPr>
            <w:rStyle w:val="Hyperlink"/>
            <w:rFonts w:eastAsia="DengXian Light"/>
          </w:rPr>
          <w:t>http://www.nilanjanbanik.in/artical/Research-Paper-journal-of-emerging-market-finance.pdf</w:t>
        </w:r>
      </w:hyperlink>
    </w:p>
    <w:p w14:paraId="2E62FB10"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Bhalodia, D., Rajani, C., &amp; Shah, S. </w:t>
      </w:r>
      <w:proofErr w:type="gramStart"/>
      <w:r w:rsidRPr="00834479">
        <w:rPr>
          <w:rFonts w:eastAsia="DengXian Light"/>
          <w:color w:val="000000" w:themeColor="text1"/>
        </w:rPr>
        <w:t>Awareness</w:t>
      </w:r>
      <w:proofErr w:type="gramEnd"/>
      <w:r w:rsidRPr="00834479">
        <w:rPr>
          <w:rFonts w:eastAsia="DengXian Light"/>
          <w:color w:val="000000" w:themeColor="text1"/>
        </w:rPr>
        <w:t xml:space="preserve"> and usage of digital payment modes among people of Rajkot city. In </w:t>
      </w:r>
      <w:r w:rsidRPr="00834479">
        <w:rPr>
          <w:rFonts w:eastAsia="DengXian Light"/>
          <w:i/>
          <w:iCs/>
          <w:color w:val="000000" w:themeColor="text1"/>
        </w:rPr>
        <w:t>Digital Transformation and Sustainability of Business</w:t>
      </w:r>
      <w:r w:rsidRPr="00834479">
        <w:rPr>
          <w:rFonts w:eastAsia="DengXian Light"/>
          <w:color w:val="000000" w:themeColor="text1"/>
        </w:rPr>
        <w:t xml:space="preserve"> (pp. 647-650). CRC Press. </w:t>
      </w:r>
      <w:hyperlink r:id="rId41" w:history="1">
        <w:r w:rsidRPr="00834479">
          <w:rPr>
            <w:rStyle w:val="Hyperlink"/>
            <w:rFonts w:eastAsia="DengXian Light"/>
          </w:rPr>
          <w:t>https://www.taylorfrancis.com/chapters/edit/10.1201/9781003606185-154/awareness-usage-digital-payment-modes-among-people-rajkot-city-dhara-bhalodia-chintan-rajani-sahil-shah</w:t>
        </w:r>
      </w:hyperlink>
    </w:p>
    <w:p w14:paraId="264656FA"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Bhatia-Kalluri, A., &amp; Caraway, B. R. (2023). Transformation of the digital payment ecosystem in India: a case study of Paytm. </w:t>
      </w:r>
      <w:hyperlink r:id="rId42" w:history="1">
        <w:r w:rsidRPr="00834479">
          <w:rPr>
            <w:rStyle w:val="Hyperlink"/>
            <w:rFonts w:eastAsia="DengXian Light"/>
          </w:rPr>
          <w:t>https://utoronto.scholaris.ca/bitstreams/6f86149d-f7bf-4a40-9a11-934734c1b7fc/download</w:t>
        </w:r>
      </w:hyperlink>
    </w:p>
    <w:p w14:paraId="73837734"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Cham, T.H., Cheah, J.H., Cheng, B.L. and Lim, X.J. (2022) 'I am too old for this! Barriers contributing to the non-adoption of mobile payment', </w:t>
      </w:r>
      <w:r w:rsidRPr="00834479">
        <w:rPr>
          <w:rFonts w:eastAsia="DengXian Light"/>
          <w:i/>
          <w:iCs/>
          <w:color w:val="000000" w:themeColor="text1"/>
          <w:lang w:val="en-IN"/>
        </w:rPr>
        <w:t>International Journal of Bank Marketing</w:t>
      </w:r>
      <w:r w:rsidRPr="00834479">
        <w:rPr>
          <w:rFonts w:eastAsia="DengXian Light"/>
          <w:color w:val="000000" w:themeColor="text1"/>
          <w:lang w:val="en-IN"/>
        </w:rPr>
        <w:t xml:space="preserve">, 40(5), pp. 1017–1050. Available at: </w:t>
      </w:r>
      <w:hyperlink r:id="rId43" w:history="1">
        <w:r w:rsidRPr="00834479">
          <w:rPr>
            <w:rStyle w:val="Hyperlink"/>
            <w:rFonts w:eastAsia="DengXian Light"/>
            <w:lang w:val="en-IN"/>
          </w:rPr>
          <w:t>https://doi.org/10.1108/IJBM-06-2021-0283</w:t>
        </w:r>
      </w:hyperlink>
    </w:p>
    <w:p w14:paraId="1581038C"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Creswell, J.W. and </w:t>
      </w:r>
      <w:proofErr w:type="spellStart"/>
      <w:r w:rsidRPr="00834479">
        <w:rPr>
          <w:rFonts w:eastAsia="DengXian Light"/>
          <w:color w:val="000000" w:themeColor="text1"/>
          <w:lang w:val="en-IN"/>
        </w:rPr>
        <w:t>Poth</w:t>
      </w:r>
      <w:proofErr w:type="spellEnd"/>
      <w:r w:rsidRPr="00834479">
        <w:rPr>
          <w:rFonts w:eastAsia="DengXian Light"/>
          <w:color w:val="000000" w:themeColor="text1"/>
          <w:lang w:val="en-IN"/>
        </w:rPr>
        <w:t xml:space="preserve">, C.N. (2018) </w:t>
      </w:r>
      <w:r w:rsidRPr="00834479">
        <w:rPr>
          <w:rFonts w:eastAsia="DengXian Light"/>
          <w:i/>
          <w:iCs/>
          <w:color w:val="000000" w:themeColor="text1"/>
          <w:lang w:val="en-IN"/>
        </w:rPr>
        <w:t>Qualitative inquiry and research design: Choosing among five approaches</w:t>
      </w:r>
      <w:r w:rsidRPr="00834479">
        <w:rPr>
          <w:rFonts w:eastAsia="DengXian Light"/>
          <w:color w:val="000000" w:themeColor="text1"/>
          <w:lang w:val="en-IN"/>
        </w:rPr>
        <w:t xml:space="preserve">. 4th </w:t>
      </w:r>
      <w:proofErr w:type="spellStart"/>
      <w:r w:rsidRPr="00834479">
        <w:rPr>
          <w:rFonts w:eastAsia="DengXian Light"/>
          <w:color w:val="000000" w:themeColor="text1"/>
          <w:lang w:val="en-IN"/>
        </w:rPr>
        <w:t>edn</w:t>
      </w:r>
      <w:proofErr w:type="spellEnd"/>
      <w:r w:rsidRPr="00834479">
        <w:rPr>
          <w:rFonts w:eastAsia="DengXian Light"/>
          <w:color w:val="000000" w:themeColor="text1"/>
          <w:lang w:val="en-IN"/>
        </w:rPr>
        <w:t>. Thousand Oaks, CA: SAGE Publications.</w:t>
      </w:r>
    </w:p>
    <w:p w14:paraId="1171DCDE"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Das, G. (2025). Strategic Integration of FinTech in MSMEs: Enhancing Financial Inclusion and Business Sustainability in India. </w:t>
      </w:r>
      <w:r w:rsidRPr="00834479">
        <w:rPr>
          <w:rFonts w:eastAsia="DengXian Light"/>
          <w:i/>
          <w:iCs/>
          <w:color w:val="000000" w:themeColor="text1"/>
        </w:rPr>
        <w:t>GRWS International National Journal of Applied Commerce and Strategic Management p-ISSN 3051-262X e-ISSN 3051-2638</w:t>
      </w:r>
      <w:r w:rsidRPr="00834479">
        <w:rPr>
          <w:rFonts w:eastAsia="DengXian Light"/>
          <w:color w:val="000000" w:themeColor="text1"/>
        </w:rPr>
        <w:t>, </w:t>
      </w:r>
      <w:r w:rsidRPr="00834479">
        <w:rPr>
          <w:rFonts w:eastAsia="DengXian Light"/>
          <w:i/>
          <w:iCs/>
          <w:color w:val="000000" w:themeColor="text1"/>
        </w:rPr>
        <w:t>1</w:t>
      </w:r>
      <w:r w:rsidRPr="00834479">
        <w:rPr>
          <w:rFonts w:eastAsia="DengXian Light"/>
          <w:color w:val="000000" w:themeColor="text1"/>
        </w:rPr>
        <w:t xml:space="preserve">(01), 1-10. </w:t>
      </w:r>
      <w:hyperlink r:id="rId44" w:history="1">
        <w:r w:rsidRPr="00834479">
          <w:rPr>
            <w:rStyle w:val="Hyperlink"/>
            <w:rFonts w:eastAsia="DengXian Light"/>
          </w:rPr>
          <w:t>https://grwsijacsm.com/journal/index.php/grws/article/download/2/2</w:t>
        </w:r>
      </w:hyperlink>
    </w:p>
    <w:p w14:paraId="5832DD4E"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lastRenderedPageBreak/>
        <w:t xml:space="preserve">Davis, F.D., Bagozzi, R.P. and Warshaw, P.R. (1989) 'User acceptance of computer technology: A comparison of two theoretical models', </w:t>
      </w:r>
      <w:r w:rsidRPr="00834479">
        <w:rPr>
          <w:rFonts w:eastAsia="DengXian Light"/>
          <w:i/>
          <w:iCs/>
          <w:color w:val="000000" w:themeColor="text1"/>
          <w:lang w:val="en-IN"/>
        </w:rPr>
        <w:t>Management Science</w:t>
      </w:r>
      <w:r w:rsidRPr="00834479">
        <w:rPr>
          <w:rFonts w:eastAsia="DengXian Light"/>
          <w:color w:val="000000" w:themeColor="text1"/>
          <w:lang w:val="en-IN"/>
        </w:rPr>
        <w:t xml:space="preserve">, 35(8), pp. 982–1003. Available at: </w:t>
      </w:r>
      <w:hyperlink r:id="rId45" w:history="1">
        <w:r w:rsidRPr="00834479">
          <w:rPr>
            <w:rStyle w:val="Hyperlink"/>
            <w:rFonts w:eastAsia="DengXian Light"/>
            <w:lang w:val="en-IN"/>
          </w:rPr>
          <w:t>https://doi.org/10.1287/mnsc.35.8.982</w:t>
        </w:r>
      </w:hyperlink>
    </w:p>
    <w:p w14:paraId="3260DD11"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Dei, P. R. The evolution of digital payments: Examining user preferences for UPI apps. </w:t>
      </w:r>
      <w:hyperlink r:id="rId46" w:history="1">
        <w:r w:rsidRPr="00834479">
          <w:rPr>
            <w:rStyle w:val="Hyperlink"/>
            <w:rFonts w:eastAsia="DengXian Light"/>
          </w:rPr>
          <w:t>https://www.researchgate.net/profile/Dr-Dei/publication/399881980_The_evolution_of_digital_payments_Examining_user_preferences_for_UPI_apps/links/696e3a0321a46d6f7023859b/The-evolution-of-digital-payments-Examining-user-preferences-for-UPI-apps.pdf</w:t>
        </w:r>
      </w:hyperlink>
    </w:p>
    <w:p w14:paraId="490DA5F3"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Dey, S., Panda, S. K., Sen, D., &amp; Bhatt, A. (2025). Adoption and Future Potential of QR Codes in Academic Libraries: Bridging Physical and Digital Resources. </w:t>
      </w:r>
      <w:r w:rsidRPr="00834479">
        <w:rPr>
          <w:rFonts w:eastAsia="DengXian Light"/>
          <w:i/>
          <w:iCs/>
          <w:color w:val="000000" w:themeColor="text1"/>
        </w:rPr>
        <w:t>DESIDOC Journal of Library &amp; Information Technology</w:t>
      </w:r>
      <w:r w:rsidRPr="00834479">
        <w:rPr>
          <w:rFonts w:eastAsia="DengXian Light"/>
          <w:color w:val="000000" w:themeColor="text1"/>
        </w:rPr>
        <w:t>, </w:t>
      </w:r>
      <w:r w:rsidRPr="00834479">
        <w:rPr>
          <w:rFonts w:eastAsia="DengXian Light"/>
          <w:i/>
          <w:iCs/>
          <w:color w:val="000000" w:themeColor="text1"/>
        </w:rPr>
        <w:t>45</w:t>
      </w:r>
      <w:r w:rsidRPr="00834479">
        <w:rPr>
          <w:rFonts w:eastAsia="DengXian Light"/>
          <w:color w:val="000000" w:themeColor="text1"/>
        </w:rPr>
        <w:t xml:space="preserve">(6), 555-560. </w:t>
      </w:r>
      <w:hyperlink r:id="rId47" w:history="1">
        <w:r w:rsidRPr="00834479">
          <w:rPr>
            <w:rStyle w:val="Hyperlink"/>
            <w:rFonts w:eastAsia="DengXian Light"/>
          </w:rPr>
          <w:t>https://publicationsdrdo.in/index.php/djlit/article/download/20943/8705</w:t>
        </w:r>
      </w:hyperlink>
    </w:p>
    <w:p w14:paraId="2BA42DC6"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Dhamala, M. (2024). Adoption and trust in QR code technology: Insights from Kathmandu. </w:t>
      </w:r>
      <w:r w:rsidRPr="00834479">
        <w:rPr>
          <w:rFonts w:eastAsia="DengXian Light"/>
          <w:i/>
          <w:iCs/>
          <w:color w:val="000000" w:themeColor="text1"/>
        </w:rPr>
        <w:t>NPRC Journal of Multidisciplinary Research</w:t>
      </w:r>
      <w:r w:rsidRPr="00834479">
        <w:rPr>
          <w:rFonts w:eastAsia="DengXian Light"/>
          <w:color w:val="000000" w:themeColor="text1"/>
        </w:rPr>
        <w:t>, </w:t>
      </w:r>
      <w:r w:rsidRPr="00834479">
        <w:rPr>
          <w:rFonts w:eastAsia="DengXian Light"/>
          <w:i/>
          <w:iCs/>
          <w:color w:val="000000" w:themeColor="text1"/>
        </w:rPr>
        <w:t>1</w:t>
      </w:r>
      <w:r w:rsidRPr="00834479">
        <w:rPr>
          <w:rFonts w:eastAsia="DengXian Light"/>
          <w:color w:val="000000" w:themeColor="text1"/>
        </w:rPr>
        <w:t xml:space="preserve">(8), 94-105. </w:t>
      </w:r>
      <w:hyperlink r:id="rId48" w:history="1">
        <w:r w:rsidRPr="00834479">
          <w:rPr>
            <w:rStyle w:val="Hyperlink"/>
            <w:rFonts w:eastAsia="DengXian Light"/>
          </w:rPr>
          <w:t>https://nepjol.info/index.php/nprcjmr/article/download/73040/55830</w:t>
        </w:r>
      </w:hyperlink>
    </w:p>
    <w:p w14:paraId="547CDE3E"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Dodiya, </w:t>
      </w:r>
      <w:proofErr w:type="gramStart"/>
      <w:r w:rsidRPr="00834479">
        <w:rPr>
          <w:rFonts w:eastAsia="DengXian Light"/>
          <w:color w:val="000000" w:themeColor="text1"/>
          <w:lang w:val="en-IN"/>
        </w:rPr>
        <w:t>M.</w:t>
      </w:r>
      <w:proofErr w:type="gramEnd"/>
      <w:r w:rsidRPr="00834479">
        <w:rPr>
          <w:rFonts w:eastAsia="DengXian Light"/>
          <w:color w:val="000000" w:themeColor="text1"/>
          <w:lang w:val="en-IN"/>
        </w:rPr>
        <w:t xml:space="preserve"> and Mistry, V. (2021) 'Digital payment adoption in rural India: A study of barriers and enablers', </w:t>
      </w:r>
      <w:r w:rsidRPr="00834479">
        <w:rPr>
          <w:rFonts w:eastAsia="DengXian Light"/>
          <w:i/>
          <w:iCs/>
          <w:color w:val="000000" w:themeColor="text1"/>
          <w:lang w:val="en-IN"/>
        </w:rPr>
        <w:t>Journal of Rural Studies</w:t>
      </w:r>
      <w:r w:rsidRPr="00834479">
        <w:rPr>
          <w:rFonts w:eastAsia="DengXian Light"/>
          <w:color w:val="000000" w:themeColor="text1"/>
          <w:lang w:val="en-IN"/>
        </w:rPr>
        <w:t xml:space="preserve">, 82, pp. 104–115. Available at: </w:t>
      </w:r>
      <w:hyperlink r:id="rId49" w:history="1">
        <w:r w:rsidRPr="00834479">
          <w:rPr>
            <w:rStyle w:val="Hyperlink"/>
            <w:rFonts w:eastAsia="DengXian Light"/>
            <w:lang w:val="en-IN"/>
          </w:rPr>
          <w:t>https://doi.org/10.1016/j.jrurstud.2021.01.001</w:t>
        </w:r>
      </w:hyperlink>
    </w:p>
    <w:p w14:paraId="5566DE24"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Dutta, N., Kar, S., &amp; Guha, S. (2023). Informal sector in India and adoption of digital technologies. </w:t>
      </w:r>
      <w:r w:rsidRPr="00834479">
        <w:rPr>
          <w:rFonts w:eastAsia="DengXian Light"/>
          <w:i/>
          <w:iCs/>
          <w:color w:val="000000" w:themeColor="text1"/>
        </w:rPr>
        <w:t>Indian Growth and Development Review</w:t>
      </w:r>
      <w:r w:rsidRPr="00834479">
        <w:rPr>
          <w:rFonts w:eastAsia="DengXian Light"/>
          <w:color w:val="000000" w:themeColor="text1"/>
        </w:rPr>
        <w:t>, </w:t>
      </w:r>
      <w:r w:rsidRPr="00834479">
        <w:rPr>
          <w:rFonts w:eastAsia="DengXian Light"/>
          <w:i/>
          <w:iCs/>
          <w:color w:val="000000" w:themeColor="text1"/>
        </w:rPr>
        <w:t>16</w:t>
      </w:r>
      <w:r w:rsidRPr="00834479">
        <w:rPr>
          <w:rFonts w:eastAsia="DengXian Light"/>
          <w:color w:val="000000" w:themeColor="text1"/>
        </w:rPr>
        <w:t xml:space="preserve">(3), 230-246. </w:t>
      </w:r>
      <w:hyperlink r:id="rId50" w:history="1">
        <w:r w:rsidRPr="00834479">
          <w:rPr>
            <w:rStyle w:val="Hyperlink"/>
            <w:rFonts w:eastAsia="DengXian Light"/>
          </w:rPr>
          <w:t>https://www.emerald.com/igdr/article-pdf/16/3/230/1320623/igdr-12-2022-0144.pdf</w:t>
        </w:r>
      </w:hyperlink>
    </w:p>
    <w:p w14:paraId="66650150"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Dwivedi, Y.K., Rana, N.P., Jeyaraj, A., Clement, </w:t>
      </w:r>
      <w:proofErr w:type="gramStart"/>
      <w:r w:rsidRPr="00834479">
        <w:rPr>
          <w:rFonts w:eastAsia="DengXian Light"/>
          <w:color w:val="000000" w:themeColor="text1"/>
          <w:lang w:val="en-IN"/>
        </w:rPr>
        <w:t>M.</w:t>
      </w:r>
      <w:proofErr w:type="gramEnd"/>
      <w:r w:rsidRPr="00834479">
        <w:rPr>
          <w:rFonts w:eastAsia="DengXian Light"/>
          <w:color w:val="000000" w:themeColor="text1"/>
          <w:lang w:val="en-IN"/>
        </w:rPr>
        <w:t xml:space="preserve"> and Williams, M.D. (2017) 'Re-examining the unified theory of acceptance and use of technology (UTAUT): Towards a revised theoretical model', </w:t>
      </w:r>
      <w:r w:rsidRPr="00834479">
        <w:rPr>
          <w:rFonts w:eastAsia="DengXian Light"/>
          <w:i/>
          <w:iCs/>
          <w:color w:val="000000" w:themeColor="text1"/>
          <w:lang w:val="en-IN"/>
        </w:rPr>
        <w:t>Information Systems Frontiers</w:t>
      </w:r>
      <w:r w:rsidRPr="00834479">
        <w:rPr>
          <w:rFonts w:eastAsia="DengXian Light"/>
          <w:color w:val="000000" w:themeColor="text1"/>
          <w:lang w:val="en-IN"/>
        </w:rPr>
        <w:t xml:space="preserve">, 21(3), pp. 719–734. Available at: </w:t>
      </w:r>
      <w:hyperlink r:id="rId51" w:history="1">
        <w:r w:rsidRPr="00834479">
          <w:rPr>
            <w:rStyle w:val="Hyperlink"/>
            <w:rFonts w:eastAsia="DengXian Light"/>
            <w:lang w:val="en-IN"/>
          </w:rPr>
          <w:t>https://doi.org/10.1007/s10796-017-9774-y</w:t>
        </w:r>
      </w:hyperlink>
    </w:p>
    <w:p w14:paraId="4BF04C07"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Faqih, K.M. and Jaradat, M.I.R.M. (2021) 'Assessing the moderating effect of gender differences and individualism-collectivism at individual level on the adoption of mobile commerce technology: TAM3 perspective', </w:t>
      </w:r>
      <w:r w:rsidRPr="00834479">
        <w:rPr>
          <w:rFonts w:eastAsia="DengXian Light"/>
          <w:i/>
          <w:iCs/>
          <w:color w:val="000000" w:themeColor="text1"/>
          <w:lang w:val="en-IN"/>
        </w:rPr>
        <w:t>Journal of Retailing and Consumer Services</w:t>
      </w:r>
      <w:r w:rsidRPr="00834479">
        <w:rPr>
          <w:rFonts w:eastAsia="DengXian Light"/>
          <w:color w:val="000000" w:themeColor="text1"/>
          <w:lang w:val="en-IN"/>
        </w:rPr>
        <w:t xml:space="preserve">, 59, p. 102216. Available at: </w:t>
      </w:r>
      <w:hyperlink r:id="rId52" w:history="1">
        <w:r w:rsidRPr="00834479">
          <w:rPr>
            <w:rStyle w:val="Hyperlink"/>
            <w:rFonts w:eastAsia="DengXian Light"/>
            <w:lang w:val="en-IN"/>
          </w:rPr>
          <w:t>https://doi.org/10.1016/j.jretconser.2020.102216</w:t>
        </w:r>
      </w:hyperlink>
    </w:p>
    <w:p w14:paraId="5CA18CF2"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lastRenderedPageBreak/>
        <w:t xml:space="preserve">Gefen, D., </w:t>
      </w:r>
      <w:proofErr w:type="spellStart"/>
      <w:r w:rsidRPr="00834479">
        <w:rPr>
          <w:rFonts w:eastAsia="DengXian Light"/>
          <w:color w:val="000000" w:themeColor="text1"/>
          <w:lang w:val="en-IN"/>
        </w:rPr>
        <w:t>Karahanna</w:t>
      </w:r>
      <w:proofErr w:type="spellEnd"/>
      <w:r w:rsidRPr="00834479">
        <w:rPr>
          <w:rFonts w:eastAsia="DengXian Light"/>
          <w:color w:val="000000" w:themeColor="text1"/>
          <w:lang w:val="en-IN"/>
        </w:rPr>
        <w:t xml:space="preserve">, E. and Straub, D.W. (2003) 'Trust and TAM in online shopping: An integrated model', </w:t>
      </w:r>
      <w:r w:rsidRPr="00834479">
        <w:rPr>
          <w:rFonts w:eastAsia="DengXian Light"/>
          <w:i/>
          <w:iCs/>
          <w:color w:val="000000" w:themeColor="text1"/>
          <w:lang w:val="en-IN"/>
        </w:rPr>
        <w:t>MIS Quarterly</w:t>
      </w:r>
      <w:r w:rsidRPr="00834479">
        <w:rPr>
          <w:rFonts w:eastAsia="DengXian Light"/>
          <w:color w:val="000000" w:themeColor="text1"/>
          <w:lang w:val="en-IN"/>
        </w:rPr>
        <w:t xml:space="preserve">, 27(1), pp. 51–90. Available at: </w:t>
      </w:r>
      <w:hyperlink r:id="rId53" w:history="1">
        <w:r w:rsidRPr="00834479">
          <w:rPr>
            <w:rStyle w:val="Hyperlink"/>
            <w:rFonts w:eastAsia="DengXian Light"/>
            <w:lang w:val="en-IN"/>
          </w:rPr>
          <w:t>https://doi.org/10.2307/30036519</w:t>
        </w:r>
      </w:hyperlink>
    </w:p>
    <w:p w14:paraId="3CA9090A"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Gelb, A., Mukherjee, A., &amp; Webster, B. (2022). </w:t>
      </w:r>
      <w:r w:rsidRPr="00834479">
        <w:rPr>
          <w:rFonts w:eastAsia="DengXian Light"/>
          <w:i/>
          <w:iCs/>
          <w:color w:val="000000" w:themeColor="text1"/>
        </w:rPr>
        <w:t xml:space="preserve">Can Digital G2P Transfers Drive Financial Inclusion and Digital </w:t>
      </w:r>
      <w:proofErr w:type="gramStart"/>
      <w:r w:rsidRPr="00834479">
        <w:rPr>
          <w:rFonts w:eastAsia="DengXian Light"/>
          <w:i/>
          <w:iCs/>
          <w:color w:val="000000" w:themeColor="text1"/>
        </w:rPr>
        <w:t>Payments?:</w:t>
      </w:r>
      <w:proofErr w:type="gramEnd"/>
      <w:r w:rsidRPr="00834479">
        <w:rPr>
          <w:rFonts w:eastAsia="DengXian Light"/>
          <w:i/>
          <w:iCs/>
          <w:color w:val="000000" w:themeColor="text1"/>
        </w:rPr>
        <w:t xml:space="preserve"> Evidence from India</w:t>
      </w:r>
      <w:r w:rsidRPr="00834479">
        <w:rPr>
          <w:rFonts w:eastAsia="DengXian Light"/>
          <w:color w:val="000000" w:themeColor="text1"/>
        </w:rPr>
        <w:t xml:space="preserve"> (No. 618, p. 20230019276). Center for Global Development. </w:t>
      </w:r>
      <w:hyperlink r:id="rId54" w:history="1">
        <w:r w:rsidRPr="00834479">
          <w:rPr>
            <w:rStyle w:val="Hyperlink"/>
            <w:rFonts w:eastAsia="DengXian Light"/>
          </w:rPr>
          <w:t>https://www.cgdev.org/sites/default/files/can-digital-g2p-transfers-drive-financial-inclusion-and-digital-payments-evidence-india.pdf</w:t>
        </w:r>
      </w:hyperlink>
    </w:p>
    <w:p w14:paraId="3BCC9867"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Helsper, E.J. and Eynon, R. (2010) 'Digital natives: Where is the evidence?', </w:t>
      </w:r>
      <w:r w:rsidRPr="00834479">
        <w:rPr>
          <w:rFonts w:eastAsia="DengXian Light"/>
          <w:i/>
          <w:iCs/>
          <w:color w:val="000000" w:themeColor="text1"/>
          <w:lang w:val="en-IN"/>
        </w:rPr>
        <w:t>British Educational Research Journal</w:t>
      </w:r>
      <w:r w:rsidRPr="00834479">
        <w:rPr>
          <w:rFonts w:eastAsia="DengXian Light"/>
          <w:color w:val="000000" w:themeColor="text1"/>
          <w:lang w:val="en-IN"/>
        </w:rPr>
        <w:t xml:space="preserve">, 36(3), pp. 503–520. Available at: </w:t>
      </w:r>
      <w:hyperlink r:id="rId55" w:history="1">
        <w:r w:rsidRPr="00834479">
          <w:rPr>
            <w:rStyle w:val="Hyperlink"/>
            <w:rFonts w:eastAsia="DengXian Light"/>
            <w:lang w:val="en-IN"/>
          </w:rPr>
          <w:t>https://doi.org/10.1080/01411920902989227</w:t>
        </w:r>
      </w:hyperlink>
    </w:p>
    <w:p w14:paraId="32FF841B"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Jadhav, S. D., &amp; Pawa, N. B. (2022). A study of customer awareness of Payment Apps in rural areas with special reference Satara district. </w:t>
      </w:r>
      <w:r w:rsidRPr="00834479">
        <w:rPr>
          <w:rFonts w:eastAsia="DengXian Light"/>
          <w:i/>
          <w:iCs/>
          <w:color w:val="000000" w:themeColor="text1"/>
        </w:rPr>
        <w:t>ASEAN Journal of Community Service and Education</w:t>
      </w:r>
      <w:r w:rsidRPr="00834479">
        <w:rPr>
          <w:rFonts w:eastAsia="DengXian Light"/>
          <w:color w:val="000000" w:themeColor="text1"/>
        </w:rPr>
        <w:t>, </w:t>
      </w:r>
      <w:r w:rsidRPr="00834479">
        <w:rPr>
          <w:rFonts w:eastAsia="DengXian Light"/>
          <w:i/>
          <w:iCs/>
          <w:color w:val="000000" w:themeColor="text1"/>
        </w:rPr>
        <w:t>1</w:t>
      </w:r>
      <w:r w:rsidRPr="00834479">
        <w:rPr>
          <w:rFonts w:eastAsia="DengXian Light"/>
          <w:color w:val="000000" w:themeColor="text1"/>
        </w:rPr>
        <w:t xml:space="preserve">(2), 121-126. </w:t>
      </w:r>
      <w:hyperlink r:id="rId56" w:history="1">
        <w:r w:rsidRPr="00834479">
          <w:rPr>
            <w:rStyle w:val="Hyperlink"/>
            <w:rFonts w:eastAsia="DengXian Light"/>
          </w:rPr>
          <w:t>https://ejournal.bumipublikasinusantara.id/index.php/ajcse/article/viewFile/152/148</w:t>
        </w:r>
      </w:hyperlink>
    </w:p>
    <w:p w14:paraId="0F7BCDBD"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James, J. (2025). Understanding the Behavioral Drivers of QR-Based UPI Usage Among Gen Z in India: A PLS-SEM Study. </w:t>
      </w:r>
      <w:hyperlink r:id="rId57" w:history="1">
        <w:r w:rsidRPr="00834479">
          <w:rPr>
            <w:rStyle w:val="Hyperlink"/>
            <w:rFonts w:eastAsia="DengXian Light"/>
          </w:rPr>
          <w:t>https://papers.ssrn.com/sol3/Delivery.cfm?abstractid=5353745</w:t>
        </w:r>
      </w:hyperlink>
    </w:p>
    <w:p w14:paraId="1B907B8B"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Karina, Y. (2024) 'Factors that influence the intention of the use of e-CNY among university students in China', </w:t>
      </w:r>
      <w:r w:rsidRPr="00834479">
        <w:rPr>
          <w:rFonts w:eastAsia="DengXian Light"/>
          <w:i/>
          <w:iCs/>
          <w:color w:val="000000" w:themeColor="text1"/>
          <w:lang w:val="en-IN"/>
        </w:rPr>
        <w:t>Theoretical Economics Letters</w:t>
      </w:r>
      <w:r w:rsidRPr="00834479">
        <w:rPr>
          <w:rFonts w:eastAsia="DengXian Light"/>
          <w:color w:val="000000" w:themeColor="text1"/>
          <w:lang w:val="en-IN"/>
        </w:rPr>
        <w:t xml:space="preserve">, 14(3), pp. 1000–1034. Available at: </w:t>
      </w:r>
      <w:hyperlink r:id="rId58" w:history="1">
        <w:r w:rsidRPr="00834479">
          <w:rPr>
            <w:rStyle w:val="Hyperlink"/>
            <w:rFonts w:eastAsia="DengXian Light"/>
            <w:lang w:val="en-IN"/>
          </w:rPr>
          <w:t>https://doi.org/10.4236/tel.2024.143052</w:t>
        </w:r>
      </w:hyperlink>
    </w:p>
    <w:p w14:paraId="10E03999"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Kerai, D., &amp; Vidani, J. (2025). A Study on Impact of Retina and Iris Based Payment Technology Introduced by Digital Payment Apps on Financial Scams in Ahmedabad City. </w:t>
      </w:r>
      <w:hyperlink r:id="rId59" w:history="1">
        <w:r w:rsidRPr="00834479">
          <w:rPr>
            <w:rStyle w:val="Hyperlink"/>
            <w:rFonts w:eastAsia="DengXian Light"/>
          </w:rPr>
          <w:t>https://cosmorsij.com/published/CRSIJ25000029.pdf</w:t>
        </w:r>
      </w:hyperlink>
    </w:p>
    <w:p w14:paraId="050E5B9B"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Kumar, </w:t>
      </w:r>
      <w:proofErr w:type="gramStart"/>
      <w:r w:rsidRPr="00834479">
        <w:rPr>
          <w:rFonts w:eastAsia="DengXian Light"/>
          <w:color w:val="000000" w:themeColor="text1"/>
          <w:lang w:val="en-IN"/>
        </w:rPr>
        <w:t>S.</w:t>
      </w:r>
      <w:proofErr w:type="gramEnd"/>
      <w:r w:rsidRPr="00834479">
        <w:rPr>
          <w:rFonts w:eastAsia="DengXian Light"/>
          <w:color w:val="000000" w:themeColor="text1"/>
          <w:lang w:val="en-IN"/>
        </w:rPr>
        <w:t xml:space="preserve"> and Sharma, M. (2019) 'Examining the role of trust and quality dimensions in the actual usage of mobile banking services: An empirical investigation', </w:t>
      </w:r>
      <w:r w:rsidRPr="00834479">
        <w:rPr>
          <w:rFonts w:eastAsia="DengXian Light"/>
          <w:i/>
          <w:iCs/>
          <w:color w:val="000000" w:themeColor="text1"/>
          <w:lang w:val="en-IN"/>
        </w:rPr>
        <w:t>International Journal of Information Management</w:t>
      </w:r>
      <w:r w:rsidRPr="00834479">
        <w:rPr>
          <w:rFonts w:eastAsia="DengXian Light"/>
          <w:color w:val="000000" w:themeColor="text1"/>
          <w:lang w:val="en-IN"/>
        </w:rPr>
        <w:t xml:space="preserve">, 44, pp. 65–75. Available at: </w:t>
      </w:r>
      <w:hyperlink r:id="rId60" w:history="1">
        <w:r w:rsidRPr="00834479">
          <w:rPr>
            <w:rStyle w:val="Hyperlink"/>
            <w:rFonts w:eastAsia="DengXian Light"/>
            <w:lang w:val="en-IN"/>
          </w:rPr>
          <w:t>https://doi.org/10.1016/j.ijinfomgt.2018.09.013</w:t>
        </w:r>
      </w:hyperlink>
    </w:p>
    <w:p w14:paraId="12DD058E"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Lincoln, Y.S. and Guba, E.G. (2000) 'Paradigmatic controversies, contradictions, and emerging confluences', in Denzin, N.K. and Lincoln, Y.S. (eds.) </w:t>
      </w:r>
      <w:r w:rsidRPr="00834479">
        <w:rPr>
          <w:rFonts w:eastAsia="DengXian Light"/>
          <w:i/>
          <w:iCs/>
          <w:color w:val="000000" w:themeColor="text1"/>
          <w:lang w:val="en-IN"/>
        </w:rPr>
        <w:t>Handbook of qualitative research</w:t>
      </w:r>
      <w:r w:rsidRPr="00834479">
        <w:rPr>
          <w:rFonts w:eastAsia="DengXian Light"/>
          <w:color w:val="000000" w:themeColor="text1"/>
          <w:lang w:val="en-IN"/>
        </w:rPr>
        <w:t xml:space="preserve">. 2nd </w:t>
      </w:r>
      <w:proofErr w:type="spellStart"/>
      <w:r w:rsidRPr="00834479">
        <w:rPr>
          <w:rFonts w:eastAsia="DengXian Light"/>
          <w:color w:val="000000" w:themeColor="text1"/>
          <w:lang w:val="en-IN"/>
        </w:rPr>
        <w:t>edn</w:t>
      </w:r>
      <w:proofErr w:type="spellEnd"/>
      <w:r w:rsidRPr="00834479">
        <w:rPr>
          <w:rFonts w:eastAsia="DengXian Light"/>
          <w:color w:val="000000" w:themeColor="text1"/>
          <w:lang w:val="en-IN"/>
        </w:rPr>
        <w:t>. Thousand Oaks, CA: SAGE Publications, pp. 163–188.</w:t>
      </w:r>
    </w:p>
    <w:p w14:paraId="442ACD8F"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lastRenderedPageBreak/>
        <w:t xml:space="preserve">Madhani, J., </w:t>
      </w:r>
      <w:proofErr w:type="spellStart"/>
      <w:r w:rsidRPr="00834479">
        <w:rPr>
          <w:rFonts w:eastAsia="DengXian Light"/>
          <w:color w:val="000000" w:themeColor="text1"/>
        </w:rPr>
        <w:t>Savjani</w:t>
      </w:r>
      <w:proofErr w:type="spellEnd"/>
      <w:r w:rsidRPr="00834479">
        <w:rPr>
          <w:rFonts w:eastAsia="DengXian Light"/>
          <w:color w:val="000000" w:themeColor="text1"/>
        </w:rPr>
        <w:t>, J., Trivedi, A., &amp; Jobanputra, K. Exploring factors affecting adoption of UPI among Generation Z with special reference to Rajkot city. In </w:t>
      </w:r>
      <w:r w:rsidRPr="00834479">
        <w:rPr>
          <w:rFonts w:eastAsia="DengXian Light"/>
          <w:i/>
          <w:iCs/>
          <w:color w:val="000000" w:themeColor="text1"/>
        </w:rPr>
        <w:t>Digital Transformation and Sustainability of Business</w:t>
      </w:r>
      <w:r w:rsidRPr="00834479">
        <w:rPr>
          <w:rFonts w:eastAsia="DengXian Light"/>
          <w:color w:val="000000" w:themeColor="text1"/>
        </w:rPr>
        <w:t xml:space="preserve"> (pp. 586-588). CRC Press. </w:t>
      </w:r>
      <w:hyperlink r:id="rId61" w:history="1">
        <w:r w:rsidRPr="00834479">
          <w:rPr>
            <w:rStyle w:val="Hyperlink"/>
            <w:rFonts w:eastAsia="DengXian Light"/>
          </w:rPr>
          <w:t>https://www.taylorfrancis.com/chapters/edit/10.1201/9781003606185-139/exploring-factors-affecting-adoption-upi-among-generation-special-reference-rajkot-city-jeet-madhani-janvi-savjani-alankar-trivedi-kuldeep-jobanputra</w:t>
        </w:r>
      </w:hyperlink>
    </w:p>
    <w:p w14:paraId="391CD0E6"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Mahesh, K. M., Aithal, P. S., &amp; Sharma, K. R. S. (2025). Impact of UPI Digital Payment Services in The Karnataka State Road Transportation Corporation: For Promoting Sustainable Development Goals (SDGs). </w:t>
      </w:r>
      <w:proofErr w:type="spellStart"/>
      <w:r w:rsidRPr="00834479">
        <w:rPr>
          <w:rFonts w:eastAsia="DengXian Light"/>
          <w:i/>
          <w:iCs/>
          <w:color w:val="000000" w:themeColor="text1"/>
        </w:rPr>
        <w:t>Poornaprajna</w:t>
      </w:r>
      <w:proofErr w:type="spellEnd"/>
      <w:r w:rsidRPr="00834479">
        <w:rPr>
          <w:rFonts w:eastAsia="DengXian Light"/>
          <w:i/>
          <w:iCs/>
          <w:color w:val="000000" w:themeColor="text1"/>
        </w:rPr>
        <w:t xml:space="preserve"> International Journal of Management, Education &amp; Social Science (PIJMESS)</w:t>
      </w:r>
      <w:r w:rsidRPr="00834479">
        <w:rPr>
          <w:rFonts w:eastAsia="DengXian Light"/>
          <w:color w:val="000000" w:themeColor="text1"/>
        </w:rPr>
        <w:t>, </w:t>
      </w:r>
      <w:r w:rsidRPr="00834479">
        <w:rPr>
          <w:rFonts w:eastAsia="DengXian Light"/>
          <w:i/>
          <w:iCs/>
          <w:color w:val="000000" w:themeColor="text1"/>
        </w:rPr>
        <w:t>2</w:t>
      </w:r>
      <w:r w:rsidRPr="00834479">
        <w:rPr>
          <w:rFonts w:eastAsia="DengXian Light"/>
          <w:color w:val="000000" w:themeColor="text1"/>
        </w:rPr>
        <w:t xml:space="preserve">(2), 131-147. </w:t>
      </w:r>
      <w:hyperlink r:id="rId62" w:history="1">
        <w:r w:rsidRPr="00834479">
          <w:rPr>
            <w:rStyle w:val="Hyperlink"/>
            <w:rFonts w:eastAsia="DengXian Light"/>
          </w:rPr>
          <w:t>http://poornaprajnapublication.com/index.php/pijmess/article/download/138/114</w:t>
        </w:r>
      </w:hyperlink>
    </w:p>
    <w:p w14:paraId="2186DB40"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proofErr w:type="spellStart"/>
      <w:r w:rsidRPr="00834479">
        <w:rPr>
          <w:rFonts w:eastAsia="DengXian Light"/>
          <w:color w:val="000000" w:themeColor="text1"/>
        </w:rPr>
        <w:t>Majithiya</w:t>
      </w:r>
      <w:proofErr w:type="spellEnd"/>
      <w:r w:rsidRPr="00834479">
        <w:rPr>
          <w:rFonts w:eastAsia="DengXian Light"/>
          <w:color w:val="000000" w:themeColor="text1"/>
        </w:rPr>
        <w:t>, D., &amp; Varia, H. (2025). Digital Solutions for Seamless Multimodal Transport in Kachchh: Challenges and Opportunities. </w:t>
      </w:r>
      <w:r w:rsidRPr="00834479">
        <w:rPr>
          <w:rFonts w:eastAsia="DengXian Light"/>
          <w:i/>
          <w:iCs/>
          <w:color w:val="000000" w:themeColor="text1"/>
        </w:rPr>
        <w:t>International Journal of Scientific Research in Science, Engineering and Technology</w:t>
      </w:r>
      <w:r w:rsidRPr="00834479">
        <w:rPr>
          <w:rFonts w:eastAsia="DengXian Light"/>
          <w:color w:val="000000" w:themeColor="text1"/>
        </w:rPr>
        <w:t>, </w:t>
      </w:r>
      <w:r w:rsidRPr="00834479">
        <w:rPr>
          <w:rFonts w:eastAsia="DengXian Light"/>
          <w:i/>
          <w:iCs/>
          <w:color w:val="000000" w:themeColor="text1"/>
        </w:rPr>
        <w:t>12</w:t>
      </w:r>
      <w:r w:rsidRPr="00834479">
        <w:rPr>
          <w:rFonts w:eastAsia="DengXian Light"/>
          <w:color w:val="000000" w:themeColor="text1"/>
        </w:rPr>
        <w:t xml:space="preserve">(5), 241-53. </w:t>
      </w:r>
      <w:hyperlink r:id="rId63" w:history="1">
        <w:r w:rsidRPr="00834479">
          <w:rPr>
            <w:rStyle w:val="Hyperlink"/>
            <w:rFonts w:eastAsia="DengXian Light"/>
          </w:rPr>
          <w:t>https://www.researchgate.net/profile/Devang-Majithiya-3/publication/396652723_Digital_Solutions_for_Seamless_Multimodal_Transport_in_Kachchh_Challenges_and_Opportunities/links/68f3d7067d9a4d4e870ac03b/Digital-Solutions-for-Seamless-Multimodal-Transport-in-Kachchh-Challenges-and-Opportunities.pdf</w:t>
        </w:r>
      </w:hyperlink>
    </w:p>
    <w:p w14:paraId="4D95FBF8"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Malde, J., </w:t>
      </w:r>
      <w:proofErr w:type="spellStart"/>
      <w:r w:rsidRPr="00834479">
        <w:rPr>
          <w:rFonts w:eastAsia="DengXian Light"/>
          <w:color w:val="000000" w:themeColor="text1"/>
          <w:lang w:val="en-IN"/>
        </w:rPr>
        <w:t>Bulchandani</w:t>
      </w:r>
      <w:proofErr w:type="spellEnd"/>
      <w:r w:rsidRPr="00834479">
        <w:rPr>
          <w:rFonts w:eastAsia="DengXian Light"/>
          <w:color w:val="000000" w:themeColor="text1"/>
          <w:lang w:val="en-IN"/>
        </w:rPr>
        <w:t xml:space="preserve">, D., &amp; Vidani, J. (2025). Post COVID-19: Impact of Digital Transformation on Day-to-Day Spending of Consumers in Jamnagar and Ahmedabad Cities. International Journal of Economic, Finance and Business Statistics, 3(5), 307-326. </w:t>
      </w:r>
      <w:hyperlink r:id="rId64" w:history="1">
        <w:r w:rsidRPr="00834479">
          <w:rPr>
            <w:rStyle w:val="Hyperlink"/>
            <w:rFonts w:eastAsia="DengXian Light"/>
            <w:lang w:val="en-IN"/>
          </w:rPr>
          <w:t>https://dmimultitechpublisher.my.id/index.php/ijefbs/article/download/197/241</w:t>
        </w:r>
      </w:hyperlink>
    </w:p>
    <w:p w14:paraId="0DF02B25"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Maru, K. V. UPI as a Tool for Financial Inclusion: Adoption Trends Among Females in Junagadh District. </w:t>
      </w:r>
      <w:hyperlink r:id="rId65" w:history="1">
        <w:r w:rsidRPr="00834479">
          <w:rPr>
            <w:rStyle w:val="Hyperlink"/>
            <w:rFonts w:eastAsia="DengXian Light"/>
          </w:rPr>
          <w:t>https://kcectrust.org/uploads/articleJournal/December2024685.pdf</w:t>
        </w:r>
      </w:hyperlink>
    </w:p>
    <w:p w14:paraId="51B3D9F2"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Nandru, P., SA, S. K., &amp; </w:t>
      </w:r>
      <w:proofErr w:type="spellStart"/>
      <w:r w:rsidRPr="00834479">
        <w:rPr>
          <w:rFonts w:eastAsia="DengXian Light"/>
          <w:color w:val="000000" w:themeColor="text1"/>
        </w:rPr>
        <w:t>Chendragiri</w:t>
      </w:r>
      <w:proofErr w:type="spellEnd"/>
      <w:r w:rsidRPr="00834479">
        <w:rPr>
          <w:rFonts w:eastAsia="DengXian Light"/>
          <w:color w:val="000000" w:themeColor="text1"/>
        </w:rPr>
        <w:t>, M. (2024). Adoption intention of mobile QR code payment system among marginalized street vendors: an empirical investigation from an emerging economy. </w:t>
      </w:r>
      <w:r w:rsidRPr="00834479">
        <w:rPr>
          <w:rFonts w:eastAsia="DengXian Light"/>
          <w:i/>
          <w:iCs/>
          <w:color w:val="000000" w:themeColor="text1"/>
        </w:rPr>
        <w:t>Journal of Science and Technology Policy Management</w:t>
      </w:r>
      <w:r w:rsidRPr="00834479">
        <w:rPr>
          <w:rFonts w:eastAsia="DengXian Light"/>
          <w:color w:val="000000" w:themeColor="text1"/>
        </w:rPr>
        <w:t>, </w:t>
      </w:r>
      <w:r w:rsidRPr="00834479">
        <w:rPr>
          <w:rFonts w:eastAsia="DengXian Light"/>
          <w:i/>
          <w:iCs/>
          <w:color w:val="000000" w:themeColor="text1"/>
        </w:rPr>
        <w:t>15</w:t>
      </w:r>
      <w:r w:rsidRPr="00834479">
        <w:rPr>
          <w:rFonts w:eastAsia="DengXian Light"/>
          <w:color w:val="000000" w:themeColor="text1"/>
        </w:rPr>
        <w:t xml:space="preserve">(6), 1709-1733. </w:t>
      </w:r>
      <w:hyperlink r:id="rId66" w:history="1">
        <w:r w:rsidRPr="00834479">
          <w:rPr>
            <w:rStyle w:val="Hyperlink"/>
            <w:rFonts w:eastAsia="DengXian Light"/>
          </w:rPr>
          <w:t>https://www.emerald.com/jstpm/article-pdf/15/6/1709/9466962/jstpm-03-2023-0035.pdf</w:t>
        </w:r>
      </w:hyperlink>
    </w:p>
    <w:p w14:paraId="7BBCF8E5"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lastRenderedPageBreak/>
        <w:t xml:space="preserve">Patel, P., &amp; </w:t>
      </w:r>
      <w:proofErr w:type="spellStart"/>
      <w:r w:rsidRPr="00834479">
        <w:rPr>
          <w:rFonts w:eastAsia="DengXian Light"/>
          <w:color w:val="000000" w:themeColor="text1"/>
        </w:rPr>
        <w:t>Halvadia</w:t>
      </w:r>
      <w:proofErr w:type="spellEnd"/>
      <w:r w:rsidRPr="00834479">
        <w:rPr>
          <w:rFonts w:eastAsia="DengXian Light"/>
          <w:color w:val="000000" w:themeColor="text1"/>
        </w:rPr>
        <w:t>, N. (2025). Information Systems in Indian Dairy Cooperatives: A Case Study of Sabar. </w:t>
      </w:r>
      <w:r w:rsidRPr="00834479">
        <w:rPr>
          <w:rFonts w:eastAsia="DengXian Light"/>
          <w:i/>
          <w:iCs/>
          <w:color w:val="000000" w:themeColor="text1"/>
        </w:rPr>
        <w:t>Information Systems for Intelligent Systems: Proceedings of ISBM 2024, Volume 4</w:t>
      </w:r>
      <w:r w:rsidRPr="00834479">
        <w:rPr>
          <w:rFonts w:eastAsia="DengXian Light"/>
          <w:color w:val="000000" w:themeColor="text1"/>
        </w:rPr>
        <w:t>, </w:t>
      </w:r>
      <w:r w:rsidRPr="00834479">
        <w:rPr>
          <w:rFonts w:eastAsia="DengXian Light"/>
          <w:i/>
          <w:iCs/>
          <w:color w:val="000000" w:themeColor="text1"/>
        </w:rPr>
        <w:t>1254</w:t>
      </w:r>
      <w:r w:rsidRPr="00834479">
        <w:rPr>
          <w:rFonts w:eastAsia="DengXian Light"/>
          <w:color w:val="000000" w:themeColor="text1"/>
        </w:rPr>
        <w:t xml:space="preserve">, 469. </w:t>
      </w:r>
      <w:hyperlink r:id="rId67" w:history="1">
        <w:r w:rsidRPr="00834479">
          <w:rPr>
            <w:rStyle w:val="Hyperlink"/>
            <w:rFonts w:eastAsia="DengXian Light"/>
          </w:rPr>
          <w:t>https://books.google.com/books?hl=en&amp;lr=&amp;id=x-VhEQAAQBAJ&amp;oi=fnd&amp;pg=PA468&amp;dq=QR+Code+Payment+Adoption+in+Rural+Gujarat&amp;ots=LX2wk1HUoW&amp;sig=za0knm6kT-athRebxzEquYvyrfI</w:t>
        </w:r>
      </w:hyperlink>
    </w:p>
    <w:p w14:paraId="1BA55D2F"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Patil, P.P., Dwivedi, Y.K. and Rana, N.P. (2020) 'Digital payments adoption: An analysis of literature', in Elbanna, A. et al. (eds.) </w:t>
      </w:r>
      <w:r w:rsidRPr="00834479">
        <w:rPr>
          <w:rFonts w:eastAsia="DengXian Light"/>
          <w:i/>
          <w:iCs/>
          <w:color w:val="000000" w:themeColor="text1"/>
          <w:lang w:val="en-IN"/>
        </w:rPr>
        <w:t>Digital and social media marketing</w:t>
      </w:r>
      <w:r w:rsidRPr="00834479">
        <w:rPr>
          <w:rFonts w:eastAsia="DengXian Light"/>
          <w:color w:val="000000" w:themeColor="text1"/>
          <w:lang w:val="en-IN"/>
        </w:rPr>
        <w:t xml:space="preserve">. Cham: Springer, pp. 61–70. Available at: </w:t>
      </w:r>
      <w:hyperlink r:id="rId68" w:history="1">
        <w:r w:rsidRPr="00834479">
          <w:rPr>
            <w:rStyle w:val="Hyperlink"/>
            <w:rFonts w:eastAsia="DengXian Light"/>
            <w:lang w:val="en-IN"/>
          </w:rPr>
          <w:t>https://doi.org/10.1007/978-3-030-24374-6_5</w:t>
        </w:r>
      </w:hyperlink>
    </w:p>
    <w:p w14:paraId="31F48E72"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Prensky, M. (2001) 'Digital natives, digital immigrants', </w:t>
      </w:r>
      <w:r w:rsidRPr="00834479">
        <w:rPr>
          <w:rFonts w:eastAsia="DengXian Light"/>
          <w:i/>
          <w:iCs/>
          <w:color w:val="000000" w:themeColor="text1"/>
          <w:lang w:val="en-IN"/>
        </w:rPr>
        <w:t>On the Horizon</w:t>
      </w:r>
      <w:r w:rsidRPr="00834479">
        <w:rPr>
          <w:rFonts w:eastAsia="DengXian Light"/>
          <w:color w:val="000000" w:themeColor="text1"/>
          <w:lang w:val="en-IN"/>
        </w:rPr>
        <w:t xml:space="preserve">, 9(5), pp. 1–6. Available at: </w:t>
      </w:r>
      <w:hyperlink r:id="rId69" w:history="1">
        <w:r w:rsidRPr="00834479">
          <w:rPr>
            <w:rStyle w:val="Hyperlink"/>
            <w:rFonts w:eastAsia="DengXian Light"/>
            <w:lang w:val="en-IN"/>
          </w:rPr>
          <w:t>https://doi.org/10.1108/10748120110424816</w:t>
        </w:r>
      </w:hyperlink>
    </w:p>
    <w:p w14:paraId="0E097200"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Priya, R., Gandhi, A.V. and Shaikh, A. (2018) 'Mobile banking adoption in an emerging economy: An empirical analysis of young Indian consumers', </w:t>
      </w:r>
      <w:r w:rsidRPr="00834479">
        <w:rPr>
          <w:rFonts w:eastAsia="DengXian Light"/>
          <w:i/>
          <w:iCs/>
          <w:color w:val="000000" w:themeColor="text1"/>
          <w:lang w:val="en-IN"/>
        </w:rPr>
        <w:t>Benchmarking: An International Journal</w:t>
      </w:r>
      <w:r w:rsidRPr="00834479">
        <w:rPr>
          <w:rFonts w:eastAsia="DengXian Light"/>
          <w:color w:val="000000" w:themeColor="text1"/>
          <w:lang w:val="en-IN"/>
        </w:rPr>
        <w:t xml:space="preserve">, 25(2), pp. 743–762. Available at: </w:t>
      </w:r>
      <w:hyperlink r:id="rId70" w:history="1">
        <w:r w:rsidRPr="00834479">
          <w:rPr>
            <w:rStyle w:val="Hyperlink"/>
            <w:rFonts w:eastAsia="DengXian Light"/>
            <w:lang w:val="en-IN"/>
          </w:rPr>
          <w:t>https://doi.org/10.1108/BIJ-01-2016-0009</w:t>
        </w:r>
      </w:hyperlink>
    </w:p>
    <w:p w14:paraId="1B672186"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Rathore, H.S. (2020) 'Adoption of digital payment by Indian consumers: An empirical investigation', </w:t>
      </w:r>
      <w:r w:rsidRPr="00834479">
        <w:rPr>
          <w:rFonts w:eastAsia="DengXian Light"/>
          <w:i/>
          <w:iCs/>
          <w:color w:val="000000" w:themeColor="text1"/>
          <w:lang w:val="en-IN"/>
        </w:rPr>
        <w:t>Journal of Indian Business Research</w:t>
      </w:r>
      <w:r w:rsidRPr="00834479">
        <w:rPr>
          <w:rFonts w:eastAsia="DengXian Light"/>
          <w:color w:val="000000" w:themeColor="text1"/>
          <w:lang w:val="en-IN"/>
        </w:rPr>
        <w:t xml:space="preserve">, 12(3), pp. 309–334. Available at: </w:t>
      </w:r>
      <w:hyperlink r:id="rId71" w:history="1">
        <w:r w:rsidRPr="00834479">
          <w:rPr>
            <w:rStyle w:val="Hyperlink"/>
            <w:rFonts w:eastAsia="DengXian Light"/>
            <w:lang w:val="en-IN"/>
          </w:rPr>
          <w:t>https://doi.org/10.1108/JIBR-01-2019-0029</w:t>
        </w:r>
      </w:hyperlink>
    </w:p>
    <w:p w14:paraId="5E7DDC02"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Raut, N. (2024). DIGITAL PAYMENT SYSTEM IN INDIA–PATHWAY TO DIGITAL INDIA. </w:t>
      </w:r>
      <w:r w:rsidRPr="00834479">
        <w:rPr>
          <w:rFonts w:eastAsia="DengXian Light"/>
          <w:i/>
          <w:iCs/>
          <w:color w:val="000000" w:themeColor="text1"/>
        </w:rPr>
        <w:t>International Journal of Management, Economics and Commerce</w:t>
      </w:r>
      <w:r w:rsidRPr="00834479">
        <w:rPr>
          <w:rFonts w:eastAsia="DengXian Light"/>
          <w:color w:val="000000" w:themeColor="text1"/>
        </w:rPr>
        <w:t>, </w:t>
      </w:r>
      <w:r w:rsidRPr="00834479">
        <w:rPr>
          <w:rFonts w:eastAsia="DengXian Light"/>
          <w:i/>
          <w:iCs/>
          <w:color w:val="000000" w:themeColor="text1"/>
        </w:rPr>
        <w:t>1</w:t>
      </w:r>
      <w:r w:rsidRPr="00834479">
        <w:rPr>
          <w:rFonts w:eastAsia="DengXian Light"/>
          <w:color w:val="000000" w:themeColor="text1"/>
        </w:rPr>
        <w:t xml:space="preserve">(1), 55-58. </w:t>
      </w:r>
      <w:hyperlink r:id="rId72" w:history="1">
        <w:r w:rsidRPr="00834479">
          <w:rPr>
            <w:rStyle w:val="Hyperlink"/>
            <w:rFonts w:eastAsia="DengXian Light"/>
          </w:rPr>
          <w:t>https://pdfs.semanticscholar.org/e74e/d8341841cd47a3377adab2c042626464cbe4.pdf</w:t>
        </w:r>
      </w:hyperlink>
      <w:r w:rsidRPr="00834479">
        <w:rPr>
          <w:rFonts w:eastAsia="DengXian Light"/>
          <w:color w:val="000000" w:themeColor="text1"/>
        </w:rPr>
        <w:t xml:space="preserve"> </w:t>
      </w:r>
    </w:p>
    <w:p w14:paraId="1D6E19C3"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Reserve Bank of India (2022) </w:t>
      </w:r>
      <w:r w:rsidRPr="00834479">
        <w:rPr>
          <w:rFonts w:eastAsia="DengXian Light"/>
          <w:i/>
          <w:iCs/>
          <w:color w:val="000000" w:themeColor="text1"/>
          <w:lang w:val="en-IN"/>
        </w:rPr>
        <w:t>Annual report 2021-2022</w:t>
      </w:r>
      <w:r w:rsidRPr="00834479">
        <w:rPr>
          <w:rFonts w:eastAsia="DengXian Light"/>
          <w:color w:val="000000" w:themeColor="text1"/>
          <w:lang w:val="en-IN"/>
        </w:rPr>
        <w:t xml:space="preserve">. Mumbai: Reserve Bank of India. Available at: </w:t>
      </w:r>
      <w:hyperlink r:id="rId73" w:history="1">
        <w:r w:rsidRPr="00834479">
          <w:rPr>
            <w:rStyle w:val="Hyperlink"/>
            <w:rFonts w:eastAsia="DengXian Light"/>
            <w:lang w:val="en-IN"/>
          </w:rPr>
          <w:t>https://www.rbi.org.in/Scripts/AnnualReportPublications.aspx</w:t>
        </w:r>
      </w:hyperlink>
      <w:r w:rsidRPr="00834479">
        <w:rPr>
          <w:rFonts w:eastAsia="DengXian Light"/>
          <w:color w:val="000000" w:themeColor="text1"/>
          <w:lang w:val="en-IN"/>
        </w:rPr>
        <w:t xml:space="preserve"> (Accessed: 15 October 2024).</w:t>
      </w:r>
    </w:p>
    <w:p w14:paraId="23DF09EF"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Schwandt, T.A. (2000) 'Three epistemological stances for qualitative inquiry: Interpretivism, hermeneutics, and social constructionism', in Denzin, N.K. and Lincoln, Y.S. (eds.) </w:t>
      </w:r>
      <w:r w:rsidRPr="00834479">
        <w:rPr>
          <w:rFonts w:eastAsia="DengXian Light"/>
          <w:i/>
          <w:iCs/>
          <w:color w:val="000000" w:themeColor="text1"/>
          <w:lang w:val="en-IN"/>
        </w:rPr>
        <w:t>Handbook of qualitative research</w:t>
      </w:r>
      <w:r w:rsidRPr="00834479">
        <w:rPr>
          <w:rFonts w:eastAsia="DengXian Light"/>
          <w:color w:val="000000" w:themeColor="text1"/>
          <w:lang w:val="en-IN"/>
        </w:rPr>
        <w:t xml:space="preserve">. 2nd </w:t>
      </w:r>
      <w:proofErr w:type="spellStart"/>
      <w:r w:rsidRPr="00834479">
        <w:rPr>
          <w:rFonts w:eastAsia="DengXian Light"/>
          <w:color w:val="000000" w:themeColor="text1"/>
          <w:lang w:val="en-IN"/>
        </w:rPr>
        <w:t>edn</w:t>
      </w:r>
      <w:proofErr w:type="spellEnd"/>
      <w:r w:rsidRPr="00834479">
        <w:rPr>
          <w:rFonts w:eastAsia="DengXian Light"/>
          <w:color w:val="000000" w:themeColor="text1"/>
          <w:lang w:val="en-IN"/>
        </w:rPr>
        <w:t>. Thousand Oaks, CA: SAGE Publications, pp. 189–213.</w:t>
      </w:r>
    </w:p>
    <w:p w14:paraId="3E8CE33A"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Senyo, P.K. and Osabutey, E.L.C. (2020) 'Unearthing antecedents to financial inclusion through FinTech innovations', </w:t>
      </w:r>
      <w:proofErr w:type="spellStart"/>
      <w:r w:rsidRPr="00834479">
        <w:rPr>
          <w:rFonts w:eastAsia="DengXian Light"/>
          <w:i/>
          <w:iCs/>
          <w:color w:val="000000" w:themeColor="text1"/>
          <w:lang w:val="en-IN"/>
        </w:rPr>
        <w:t>Technovation</w:t>
      </w:r>
      <w:proofErr w:type="spellEnd"/>
      <w:r w:rsidRPr="00834479">
        <w:rPr>
          <w:rFonts w:eastAsia="DengXian Light"/>
          <w:color w:val="000000" w:themeColor="text1"/>
          <w:lang w:val="en-IN"/>
        </w:rPr>
        <w:t xml:space="preserve">, 98, p. 102155. Available at: </w:t>
      </w:r>
      <w:hyperlink r:id="rId74" w:history="1">
        <w:r w:rsidRPr="00834479">
          <w:rPr>
            <w:rStyle w:val="Hyperlink"/>
            <w:rFonts w:eastAsia="DengXian Light"/>
            <w:lang w:val="en-IN"/>
          </w:rPr>
          <w:t>https://doi.org/10.1016/j.technovation.2020.102155</w:t>
        </w:r>
      </w:hyperlink>
    </w:p>
    <w:p w14:paraId="3DF5F3E6"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lastRenderedPageBreak/>
        <w:t xml:space="preserve">Shah, D. S., &amp; Bhatt, C. Empirical Study to Measure user Opinion towards Digital Payment in Rural Gujarat. </w:t>
      </w:r>
      <w:hyperlink r:id="rId75" w:history="1">
        <w:r w:rsidRPr="00834479">
          <w:rPr>
            <w:rStyle w:val="Hyperlink"/>
            <w:rFonts w:eastAsia="DengXian Light"/>
          </w:rPr>
          <w:t>https://aims-international.org/aims20/20aproceedings/PDF/A2505-Final.pdf</w:t>
        </w:r>
      </w:hyperlink>
    </w:p>
    <w:p w14:paraId="1F9A9181"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Shah, D., &amp; Bhatt, C. (2023). Digital payment in rural Gujarat-</w:t>
      </w:r>
      <w:proofErr w:type="gramStart"/>
      <w:r w:rsidRPr="00834479">
        <w:rPr>
          <w:rFonts w:eastAsia="DengXian Light"/>
          <w:color w:val="000000" w:themeColor="text1"/>
        </w:rPr>
        <w:t>an empirical evidence</w:t>
      </w:r>
      <w:proofErr w:type="gramEnd"/>
      <w:r w:rsidRPr="00834479">
        <w:rPr>
          <w:rFonts w:eastAsia="DengXian Light"/>
          <w:color w:val="000000" w:themeColor="text1"/>
        </w:rPr>
        <w:t xml:space="preserve"> for </w:t>
      </w:r>
      <w:proofErr w:type="spellStart"/>
      <w:r w:rsidRPr="00834479">
        <w:rPr>
          <w:rFonts w:eastAsia="DengXian Light"/>
          <w:color w:val="000000" w:themeColor="text1"/>
        </w:rPr>
        <w:t>Atmanirbhar</w:t>
      </w:r>
      <w:proofErr w:type="spellEnd"/>
      <w:r w:rsidRPr="00834479">
        <w:rPr>
          <w:rFonts w:eastAsia="DengXian Light"/>
          <w:color w:val="000000" w:themeColor="text1"/>
        </w:rPr>
        <w:t xml:space="preserve"> Bharat. </w:t>
      </w:r>
      <w:r w:rsidRPr="00834479">
        <w:rPr>
          <w:rFonts w:eastAsia="DengXian Light"/>
          <w:i/>
          <w:iCs/>
          <w:color w:val="000000" w:themeColor="text1"/>
        </w:rPr>
        <w:t>International Journal of Management, Public Policy and Research</w:t>
      </w:r>
      <w:r w:rsidRPr="00834479">
        <w:rPr>
          <w:rFonts w:eastAsia="DengXian Light"/>
          <w:color w:val="000000" w:themeColor="text1"/>
        </w:rPr>
        <w:t>, </w:t>
      </w:r>
      <w:r w:rsidRPr="00834479">
        <w:rPr>
          <w:rFonts w:eastAsia="DengXian Light"/>
          <w:i/>
          <w:iCs/>
          <w:color w:val="000000" w:themeColor="text1"/>
        </w:rPr>
        <w:t>2</w:t>
      </w:r>
      <w:r w:rsidRPr="00834479">
        <w:rPr>
          <w:rFonts w:eastAsia="DengXian Light"/>
          <w:color w:val="000000" w:themeColor="text1"/>
        </w:rPr>
        <w:t xml:space="preserve">(1), 7-16. </w:t>
      </w:r>
      <w:hyperlink r:id="rId76" w:history="1">
        <w:r w:rsidRPr="00834479">
          <w:rPr>
            <w:rStyle w:val="Hyperlink"/>
            <w:rFonts w:eastAsia="DengXian Light"/>
          </w:rPr>
          <w:t>https://ijmpr.org/index.php/IJMPR/article/download/102/58</w:t>
        </w:r>
      </w:hyperlink>
    </w:p>
    <w:p w14:paraId="07CCB844"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Sharma, </w:t>
      </w:r>
      <w:proofErr w:type="gramStart"/>
      <w:r w:rsidRPr="00834479">
        <w:rPr>
          <w:rFonts w:eastAsia="DengXian Light"/>
          <w:color w:val="000000" w:themeColor="text1"/>
          <w:lang w:val="en-IN"/>
        </w:rPr>
        <w:t>A.</w:t>
      </w:r>
      <w:proofErr w:type="gramEnd"/>
      <w:r w:rsidRPr="00834479">
        <w:rPr>
          <w:rFonts w:eastAsia="DengXian Light"/>
          <w:color w:val="000000" w:themeColor="text1"/>
          <w:lang w:val="en-IN"/>
        </w:rPr>
        <w:t xml:space="preserve"> and Gutiérrez, J.A. (2010) 'An evaluation framework for viable business models for m-commerce in the information technology sector', </w:t>
      </w:r>
      <w:r w:rsidRPr="00834479">
        <w:rPr>
          <w:rFonts w:eastAsia="DengXian Light"/>
          <w:i/>
          <w:iCs/>
          <w:color w:val="000000" w:themeColor="text1"/>
          <w:lang w:val="en-IN"/>
        </w:rPr>
        <w:t>Electronic Markets</w:t>
      </w:r>
      <w:r w:rsidRPr="00834479">
        <w:rPr>
          <w:rFonts w:eastAsia="DengXian Light"/>
          <w:color w:val="000000" w:themeColor="text1"/>
          <w:lang w:val="en-IN"/>
        </w:rPr>
        <w:t xml:space="preserve">, 20(1), pp. 33–52. Available at: </w:t>
      </w:r>
      <w:hyperlink r:id="rId77" w:history="1">
        <w:r w:rsidRPr="00834479">
          <w:rPr>
            <w:rStyle w:val="Hyperlink"/>
            <w:rFonts w:eastAsia="DengXian Light"/>
            <w:lang w:val="en-IN"/>
          </w:rPr>
          <w:t>https://doi.org/10.1007/s12525-009-0026-5</w:t>
        </w:r>
      </w:hyperlink>
    </w:p>
    <w:p w14:paraId="53C5B73C"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Singh, </w:t>
      </w:r>
      <w:proofErr w:type="gramStart"/>
      <w:r w:rsidRPr="00834479">
        <w:rPr>
          <w:rFonts w:eastAsia="DengXian Light"/>
          <w:color w:val="000000" w:themeColor="text1"/>
          <w:lang w:val="en-IN"/>
        </w:rPr>
        <w:t>N.</w:t>
      </w:r>
      <w:proofErr w:type="gramEnd"/>
      <w:r w:rsidRPr="00834479">
        <w:rPr>
          <w:rFonts w:eastAsia="DengXian Light"/>
          <w:color w:val="000000" w:themeColor="text1"/>
          <w:lang w:val="en-IN"/>
        </w:rPr>
        <w:t xml:space="preserve"> and Sinha, N. (2020) 'How perceived trust mediates merchant's intention to use a mobile wallet technology', </w:t>
      </w:r>
      <w:r w:rsidRPr="00834479">
        <w:rPr>
          <w:rFonts w:eastAsia="DengXian Light"/>
          <w:i/>
          <w:iCs/>
          <w:color w:val="000000" w:themeColor="text1"/>
          <w:lang w:val="en-IN"/>
        </w:rPr>
        <w:t>Journal of Retailing and Consumer Services</w:t>
      </w:r>
      <w:r w:rsidRPr="00834479">
        <w:rPr>
          <w:rFonts w:eastAsia="DengXian Light"/>
          <w:color w:val="000000" w:themeColor="text1"/>
          <w:lang w:val="en-IN"/>
        </w:rPr>
        <w:t xml:space="preserve">, 52, p. 101894. Available at: </w:t>
      </w:r>
      <w:hyperlink r:id="rId78" w:history="1">
        <w:r w:rsidRPr="00834479">
          <w:rPr>
            <w:rStyle w:val="Hyperlink"/>
            <w:rFonts w:eastAsia="DengXian Light"/>
            <w:lang w:val="en-IN"/>
          </w:rPr>
          <w:t>https://doi.org/10.1016/j.jretconser.2019.101894</w:t>
        </w:r>
      </w:hyperlink>
    </w:p>
    <w:p w14:paraId="63134AEB"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Smith, J.A., Flowers, </w:t>
      </w:r>
      <w:proofErr w:type="gramStart"/>
      <w:r w:rsidRPr="00834479">
        <w:rPr>
          <w:rFonts w:eastAsia="DengXian Light"/>
          <w:color w:val="000000" w:themeColor="text1"/>
          <w:lang w:val="en-IN"/>
        </w:rPr>
        <w:t>P.</w:t>
      </w:r>
      <w:proofErr w:type="gramEnd"/>
      <w:r w:rsidRPr="00834479">
        <w:rPr>
          <w:rFonts w:eastAsia="DengXian Light"/>
          <w:color w:val="000000" w:themeColor="text1"/>
          <w:lang w:val="en-IN"/>
        </w:rPr>
        <w:t xml:space="preserve"> and Larkin, M. (2009) </w:t>
      </w:r>
      <w:r w:rsidRPr="00834479">
        <w:rPr>
          <w:rFonts w:eastAsia="DengXian Light"/>
          <w:i/>
          <w:iCs/>
          <w:color w:val="000000" w:themeColor="text1"/>
          <w:lang w:val="en-IN"/>
        </w:rPr>
        <w:t xml:space="preserve">Interpretative phenomenological analysis: Theory, </w:t>
      </w:r>
      <w:proofErr w:type="gramStart"/>
      <w:r w:rsidRPr="00834479">
        <w:rPr>
          <w:rFonts w:eastAsia="DengXian Light"/>
          <w:i/>
          <w:iCs/>
          <w:color w:val="000000" w:themeColor="text1"/>
          <w:lang w:val="en-IN"/>
        </w:rPr>
        <w:t>method</w:t>
      </w:r>
      <w:proofErr w:type="gramEnd"/>
      <w:r w:rsidRPr="00834479">
        <w:rPr>
          <w:rFonts w:eastAsia="DengXian Light"/>
          <w:i/>
          <w:iCs/>
          <w:color w:val="000000" w:themeColor="text1"/>
          <w:lang w:val="en-IN"/>
        </w:rPr>
        <w:t xml:space="preserve"> and research</w:t>
      </w:r>
      <w:r w:rsidRPr="00834479">
        <w:rPr>
          <w:rFonts w:eastAsia="DengXian Light"/>
          <w:color w:val="000000" w:themeColor="text1"/>
          <w:lang w:val="en-IN"/>
        </w:rPr>
        <w:t>. London: SAGE Publications.</w:t>
      </w:r>
    </w:p>
    <w:p w14:paraId="762DF634"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Vatsa, P., Ma, </w:t>
      </w:r>
      <w:proofErr w:type="gramStart"/>
      <w:r w:rsidRPr="00834479">
        <w:rPr>
          <w:rFonts w:eastAsia="DengXian Light"/>
          <w:color w:val="000000" w:themeColor="text1"/>
          <w:lang w:val="en-IN"/>
        </w:rPr>
        <w:t>W.</w:t>
      </w:r>
      <w:proofErr w:type="gramEnd"/>
      <w:r w:rsidRPr="00834479">
        <w:rPr>
          <w:rFonts w:eastAsia="DengXian Light"/>
          <w:color w:val="000000" w:themeColor="text1"/>
          <w:lang w:val="en-IN"/>
        </w:rPr>
        <w:t xml:space="preserve"> and Zheng, H. (2023) 'Mobile payment adoption in China: Do demographic and socioeconomic factors matter?', </w:t>
      </w:r>
      <w:r w:rsidRPr="00834479">
        <w:rPr>
          <w:rFonts w:eastAsia="DengXian Light"/>
          <w:i/>
          <w:iCs/>
          <w:color w:val="000000" w:themeColor="text1"/>
          <w:lang w:val="en-IN"/>
        </w:rPr>
        <w:t>Managerial and Decision Economics</w:t>
      </w:r>
      <w:r w:rsidRPr="00834479">
        <w:rPr>
          <w:rFonts w:eastAsia="DengXian Light"/>
          <w:color w:val="000000" w:themeColor="text1"/>
          <w:lang w:val="en-IN"/>
        </w:rPr>
        <w:t xml:space="preserve">, 45(3), pp. 1547–1562. Available at: </w:t>
      </w:r>
      <w:hyperlink r:id="rId79" w:history="1">
        <w:r w:rsidRPr="00834479">
          <w:rPr>
            <w:rStyle w:val="Hyperlink"/>
            <w:rFonts w:eastAsia="DengXian Light"/>
            <w:lang w:val="en-IN"/>
          </w:rPr>
          <w:t>https://doi.org/10.1002/mde.4086</w:t>
        </w:r>
      </w:hyperlink>
    </w:p>
    <w:p w14:paraId="5C4B2B1D"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Venkatesh, V., Morris, M.G., Davis, G.B. and Davis, F.D. (2003) 'User acceptance of information technology: Toward a unified view', </w:t>
      </w:r>
      <w:r w:rsidRPr="00834479">
        <w:rPr>
          <w:rFonts w:eastAsia="DengXian Light"/>
          <w:i/>
          <w:iCs/>
          <w:color w:val="000000" w:themeColor="text1"/>
          <w:lang w:val="en-IN"/>
        </w:rPr>
        <w:t>MIS Quarterly</w:t>
      </w:r>
      <w:r w:rsidRPr="00834479">
        <w:rPr>
          <w:rFonts w:eastAsia="DengXian Light"/>
          <w:color w:val="000000" w:themeColor="text1"/>
          <w:lang w:val="en-IN"/>
        </w:rPr>
        <w:t xml:space="preserve">, 27(3), pp. 425–478. Available at: </w:t>
      </w:r>
      <w:hyperlink r:id="rId80" w:history="1">
        <w:r w:rsidRPr="00834479">
          <w:rPr>
            <w:rStyle w:val="Hyperlink"/>
            <w:rFonts w:eastAsia="DengXian Light"/>
            <w:lang w:val="en-IN"/>
          </w:rPr>
          <w:t>https://doi.org/10.2307/30036540</w:t>
        </w:r>
      </w:hyperlink>
    </w:p>
    <w:p w14:paraId="4AC1EC0C"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Venkatesh, V., Thong, J.Y.L. and Xu, X. (2012) 'Consumer acceptance and use of information technology: Extending the unified theory of acceptance and use of technology', </w:t>
      </w:r>
      <w:r w:rsidRPr="00834479">
        <w:rPr>
          <w:rFonts w:eastAsia="DengXian Light"/>
          <w:i/>
          <w:iCs/>
          <w:color w:val="000000" w:themeColor="text1"/>
          <w:lang w:val="en-IN"/>
        </w:rPr>
        <w:t>MIS Quarterly</w:t>
      </w:r>
      <w:r w:rsidRPr="00834479">
        <w:rPr>
          <w:rFonts w:eastAsia="DengXian Light"/>
          <w:color w:val="000000" w:themeColor="text1"/>
          <w:lang w:val="en-IN"/>
        </w:rPr>
        <w:t xml:space="preserve">, 36(1), pp. 157–178. Available at: </w:t>
      </w:r>
      <w:hyperlink r:id="rId81" w:history="1">
        <w:r w:rsidRPr="00834479">
          <w:rPr>
            <w:rStyle w:val="Hyperlink"/>
            <w:rFonts w:eastAsia="DengXian Light"/>
            <w:lang w:val="en-IN"/>
          </w:rPr>
          <w:t>https://doi.org/10.2307/41410412</w:t>
        </w:r>
      </w:hyperlink>
    </w:p>
    <w:p w14:paraId="0C897383"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Vidani, J. (2024). A Study on the Rise and Recent Development in Unified Payments Interface. </w:t>
      </w:r>
      <w:r w:rsidRPr="00834479">
        <w:rPr>
          <w:rFonts w:eastAsia="DengXian Light"/>
          <w:i/>
          <w:iCs/>
          <w:color w:val="000000" w:themeColor="text1"/>
        </w:rPr>
        <w:t>Available at SSRN 4849785</w:t>
      </w:r>
      <w:r w:rsidRPr="00834479">
        <w:rPr>
          <w:rFonts w:eastAsia="DengXian Light"/>
          <w:color w:val="000000" w:themeColor="text1"/>
        </w:rPr>
        <w:t xml:space="preserve">. </w:t>
      </w:r>
      <w:hyperlink r:id="rId82" w:history="1">
        <w:r w:rsidRPr="00834479">
          <w:rPr>
            <w:rStyle w:val="Hyperlink"/>
            <w:rFonts w:eastAsia="DengXian Light"/>
          </w:rPr>
          <w:t>https://papers.ssrn.com/sol3/Delivery.cfm?abstractid=4849785</w:t>
        </w:r>
      </w:hyperlink>
    </w:p>
    <w:p w14:paraId="10211254"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lastRenderedPageBreak/>
        <w:t xml:space="preserve">Vishwakarma, K., Mishra, A., &amp; Shailendra, D. Adoption and Challenges of Digital Payment Systems: A Study of Consumer Perception in Urban and Rural India. </w:t>
      </w:r>
      <w:hyperlink r:id="rId83" w:history="1">
        <w:r w:rsidRPr="00834479">
          <w:rPr>
            <w:rStyle w:val="Hyperlink"/>
            <w:rFonts w:eastAsia="DengXian Light"/>
          </w:rPr>
          <w:t>http://poornaprajnapublication.com/index.php/pijmess/article/download/138/114</w:t>
        </w:r>
      </w:hyperlink>
    </w:p>
    <w:p w14:paraId="5FC8DAA9"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Vyas, Y. (2024). Exploring Consumer Behavior Towards Mobile Wallet Adoption </w:t>
      </w:r>
      <w:proofErr w:type="gramStart"/>
      <w:r w:rsidRPr="00834479">
        <w:rPr>
          <w:rFonts w:eastAsia="DengXian Light"/>
          <w:color w:val="000000" w:themeColor="text1"/>
        </w:rPr>
        <w:t>In</w:t>
      </w:r>
      <w:proofErr w:type="gramEnd"/>
      <w:r w:rsidRPr="00834479">
        <w:rPr>
          <w:rFonts w:eastAsia="DengXian Light"/>
          <w:color w:val="000000" w:themeColor="text1"/>
        </w:rPr>
        <w:t xml:space="preserve"> Rural Surat, Gujarat. </w:t>
      </w:r>
      <w:r w:rsidRPr="00834479">
        <w:rPr>
          <w:rFonts w:eastAsia="DengXian Light"/>
          <w:i/>
          <w:iCs/>
          <w:color w:val="000000" w:themeColor="text1"/>
        </w:rPr>
        <w:t>Educational Administration: Theory and Practice, 30 (1) 3912</w:t>
      </w:r>
      <w:r w:rsidRPr="00834479">
        <w:rPr>
          <w:rFonts w:eastAsia="DengXian Light"/>
          <w:color w:val="000000" w:themeColor="text1"/>
        </w:rPr>
        <w:t>, </w:t>
      </w:r>
      <w:r w:rsidRPr="00834479">
        <w:rPr>
          <w:rFonts w:eastAsia="DengXian Light"/>
          <w:i/>
          <w:iCs/>
          <w:color w:val="000000" w:themeColor="text1"/>
        </w:rPr>
        <w:t>3921</w:t>
      </w:r>
      <w:r w:rsidRPr="00834479">
        <w:rPr>
          <w:rFonts w:eastAsia="DengXian Light"/>
          <w:color w:val="000000" w:themeColor="text1"/>
        </w:rPr>
        <w:t xml:space="preserve">. </w:t>
      </w:r>
      <w:hyperlink r:id="rId84" w:history="1">
        <w:r w:rsidRPr="00834479">
          <w:rPr>
            <w:rStyle w:val="Hyperlink"/>
            <w:rFonts w:eastAsia="DengXian Light"/>
          </w:rPr>
          <w:t>https://www.researchgate.net/profile/Bhavna-Parwani/publication/384024152_Exploring_Consumer_Behavior_Towards_Mobile_Wallet_Adoption_In_Rural_Surat/links/66e52e94b1606e24c228d7c8/Exploring-Consumer-Behavior-Towards-Mobile-Wallet-Adoption-In-Rural-Surat.pdf</w:t>
        </w:r>
      </w:hyperlink>
    </w:p>
    <w:p w14:paraId="37795D70"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rPr>
        <w:t xml:space="preserve">Vyas, Y., &amp; Parwani, B. EXPLORING DIGITAL PAYMENT ADOPTION PATTERNS IN GUJARAT: A CONSUMER INSIGHTS ANALYSIS. </w:t>
      </w:r>
      <w:hyperlink r:id="rId85" w:history="1">
        <w:r w:rsidRPr="00834479">
          <w:rPr>
            <w:rStyle w:val="Hyperlink"/>
            <w:rFonts w:eastAsia="DengXian Light"/>
          </w:rPr>
          <w:t>https://www.researchgate.net/profile/Bhavna-Parwani/publication/387906798_EXPLORING_DIGITAL_PAYMENT_ADOPTION_PATTERNS_IN_GUJARAT_A_CONSUMER_Yesha_Vyas-_DR_BHAVNA_PARWANI/links/678211463e33dd0be9fb34b7/EXPLORING-DIGITAL-PAYMENT-ADOPTION-PATTERNS-IN-GUJARAT-A-CONSUMER-Yesha-Vyas-DR-BHAVNA-PARWANI.pdf</w:t>
        </w:r>
      </w:hyperlink>
    </w:p>
    <w:p w14:paraId="46025593" w14:textId="77777777" w:rsidR="00834479" w:rsidRPr="00834479" w:rsidRDefault="00834479" w:rsidP="00834479">
      <w:pPr>
        <w:keepNext/>
        <w:keepLines/>
        <w:numPr>
          <w:ilvl w:val="0"/>
          <w:numId w:val="7"/>
        </w:numPr>
        <w:spacing w:before="360" w:after="80" w:line="276" w:lineRule="auto"/>
        <w:jc w:val="both"/>
        <w:outlineLvl w:val="0"/>
        <w:rPr>
          <w:rFonts w:eastAsia="DengXian Light"/>
          <w:color w:val="000000" w:themeColor="text1"/>
          <w:lang w:val="en-IN"/>
        </w:rPr>
      </w:pPr>
      <w:r w:rsidRPr="00834479">
        <w:rPr>
          <w:rFonts w:eastAsia="DengXian Light"/>
          <w:color w:val="000000" w:themeColor="text1"/>
          <w:lang w:val="en-IN"/>
        </w:rPr>
        <w:t xml:space="preserve">Wang, Y., Jia, X., Guo, </w:t>
      </w:r>
      <w:proofErr w:type="gramStart"/>
      <w:r w:rsidRPr="00834479">
        <w:rPr>
          <w:rFonts w:eastAsia="DengXian Light"/>
          <w:color w:val="000000" w:themeColor="text1"/>
          <w:lang w:val="en-IN"/>
        </w:rPr>
        <w:t>Q.</w:t>
      </w:r>
      <w:proofErr w:type="gramEnd"/>
      <w:r w:rsidRPr="00834479">
        <w:rPr>
          <w:rFonts w:eastAsia="DengXian Light"/>
          <w:color w:val="000000" w:themeColor="text1"/>
          <w:lang w:val="en-IN"/>
        </w:rPr>
        <w:t xml:space="preserve"> and Guo, G. (2021) 'How the popularity of mobile payments reshapes the way people make purchases: Evidence from China', </w:t>
      </w:r>
      <w:r w:rsidRPr="00834479">
        <w:rPr>
          <w:rFonts w:eastAsia="DengXian Light"/>
          <w:i/>
          <w:iCs/>
          <w:color w:val="000000" w:themeColor="text1"/>
          <w:lang w:val="en-IN"/>
        </w:rPr>
        <w:t>Electronic Commerce Research and Applications</w:t>
      </w:r>
      <w:r w:rsidRPr="00834479">
        <w:rPr>
          <w:rFonts w:eastAsia="DengXian Light"/>
          <w:color w:val="000000" w:themeColor="text1"/>
          <w:lang w:val="en-IN"/>
        </w:rPr>
        <w:t xml:space="preserve">, 48, p. 101068. Available at: </w:t>
      </w:r>
      <w:hyperlink r:id="rId86" w:history="1">
        <w:r w:rsidRPr="00834479">
          <w:rPr>
            <w:rStyle w:val="Hyperlink"/>
            <w:rFonts w:eastAsia="DengXian Light"/>
            <w:lang w:val="en-IN"/>
          </w:rPr>
          <w:t>https://doi.org/10.1016/j.elerap.2021.101068</w:t>
        </w:r>
      </w:hyperlink>
    </w:p>
    <w:p w14:paraId="6299B19B" w14:textId="77777777" w:rsidR="00834479" w:rsidRPr="00834479" w:rsidRDefault="00834479" w:rsidP="00834479">
      <w:pPr>
        <w:keepNext/>
        <w:keepLines/>
        <w:spacing w:before="360" w:after="80" w:line="276" w:lineRule="auto"/>
        <w:jc w:val="both"/>
        <w:outlineLvl w:val="0"/>
        <w:rPr>
          <w:rFonts w:eastAsia="DengXian Light"/>
          <w:color w:val="000000" w:themeColor="text1"/>
          <w:lang w:val="en-IN"/>
        </w:rPr>
      </w:pPr>
    </w:p>
    <w:p w14:paraId="3D3F72E8" w14:textId="77777777" w:rsidR="00834479" w:rsidRPr="00834479" w:rsidRDefault="00834479" w:rsidP="00834479">
      <w:pPr>
        <w:keepNext/>
        <w:keepLines/>
        <w:spacing w:before="360" w:after="80" w:line="276" w:lineRule="auto"/>
        <w:jc w:val="both"/>
        <w:outlineLvl w:val="0"/>
        <w:rPr>
          <w:rFonts w:eastAsia="DengXian Light"/>
          <w:color w:val="000000" w:themeColor="text1"/>
          <w:lang w:val="en-US"/>
        </w:rPr>
      </w:pPr>
    </w:p>
    <w:p w14:paraId="462801D4" w14:textId="77777777" w:rsidR="00834479" w:rsidRPr="00834479" w:rsidRDefault="00834479" w:rsidP="00834479">
      <w:pPr>
        <w:keepNext/>
        <w:keepLines/>
        <w:spacing w:before="360" w:after="80" w:line="276" w:lineRule="auto"/>
        <w:jc w:val="both"/>
        <w:outlineLvl w:val="0"/>
        <w:rPr>
          <w:rFonts w:eastAsia="DengXian Light"/>
          <w:color w:val="000000" w:themeColor="text1"/>
        </w:rPr>
      </w:pPr>
    </w:p>
    <w:p w14:paraId="30FEAA19" w14:textId="5214BD85" w:rsidR="00BF42E7" w:rsidRPr="00936EBE" w:rsidRDefault="00BF42E7" w:rsidP="00834479">
      <w:pPr>
        <w:keepNext/>
        <w:keepLines/>
        <w:spacing w:before="360" w:after="80" w:line="276" w:lineRule="auto"/>
        <w:jc w:val="both"/>
        <w:outlineLvl w:val="0"/>
      </w:pPr>
    </w:p>
    <w:sectPr w:rsidR="00BF42E7" w:rsidRPr="00936EBE">
      <w:headerReference w:type="even" r:id="rId87"/>
      <w:headerReference w:type="default" r:id="rId88"/>
      <w:footerReference w:type="even" r:id="rId89"/>
      <w:footerReference w:type="default" r:id="rId90"/>
      <w:headerReference w:type="first" r:id="rId91"/>
      <w:footerReference w:type="first" r:id="rId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0ABBD" w14:textId="77777777" w:rsidR="00D71FF7" w:rsidRDefault="00D71FF7" w:rsidP="001C045F">
      <w:pPr>
        <w:spacing w:after="0" w:line="240" w:lineRule="auto"/>
      </w:pPr>
      <w:r>
        <w:separator/>
      </w:r>
    </w:p>
  </w:endnote>
  <w:endnote w:type="continuationSeparator" w:id="0">
    <w:p w14:paraId="46098F02" w14:textId="77777777" w:rsidR="00D71FF7" w:rsidRDefault="00D71FF7" w:rsidP="001C0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7581E" w14:textId="77777777" w:rsidR="001C045F" w:rsidRDefault="001C04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907C9" w14:textId="77777777" w:rsidR="001C045F" w:rsidRDefault="001C04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2D9E7" w14:textId="77777777" w:rsidR="001C045F" w:rsidRDefault="001C0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51934" w14:textId="77777777" w:rsidR="00D71FF7" w:rsidRDefault="00D71FF7" w:rsidP="001C045F">
      <w:pPr>
        <w:spacing w:after="0" w:line="240" w:lineRule="auto"/>
      </w:pPr>
      <w:r>
        <w:separator/>
      </w:r>
    </w:p>
  </w:footnote>
  <w:footnote w:type="continuationSeparator" w:id="0">
    <w:p w14:paraId="2CE30BC7" w14:textId="77777777" w:rsidR="00D71FF7" w:rsidRDefault="00D71FF7" w:rsidP="001C0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F7C32" w14:textId="77777777" w:rsidR="001C045F" w:rsidRDefault="001C04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A78B1" w14:textId="77777777" w:rsidR="001C045F" w:rsidRDefault="001C04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DAF6" w14:textId="77777777" w:rsidR="001C045F" w:rsidRDefault="001C04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EF726EF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0000002"/>
    <w:multiLevelType w:val="multilevel"/>
    <w:tmpl w:val="B6A4205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6680D7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13D910C5"/>
    <w:multiLevelType w:val="multilevel"/>
    <w:tmpl w:val="EF726E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0842A8A"/>
    <w:multiLevelType w:val="multilevel"/>
    <w:tmpl w:val="46688E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111196B"/>
    <w:multiLevelType w:val="multilevel"/>
    <w:tmpl w:val="B6A420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4BA26AB"/>
    <w:multiLevelType w:val="hybridMultilevel"/>
    <w:tmpl w:val="6680D7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7" w15:restartNumberingAfterBreak="0">
    <w:nsid w:val="567C1E5F"/>
    <w:multiLevelType w:val="hybridMultilevel"/>
    <w:tmpl w:val="A13276C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75F760D0"/>
    <w:multiLevelType w:val="multilevel"/>
    <w:tmpl w:val="E0A24B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67594047">
    <w:abstractNumId w:val="8"/>
  </w:num>
  <w:num w:numId="2" w16cid:durableId="1686594163">
    <w:abstractNumId w:val="4"/>
  </w:num>
  <w:num w:numId="3" w16cid:durableId="10130665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70533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9033581">
    <w:abstractNumId w:val="6"/>
  </w:num>
  <w:num w:numId="6" w16cid:durableId="2095515405">
    <w:abstractNumId w:val="6"/>
  </w:num>
  <w:num w:numId="7" w16cid:durableId="8181544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41259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152550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4964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60B"/>
    <w:rsid w:val="0003720D"/>
    <w:rsid w:val="000468FD"/>
    <w:rsid w:val="000B20F5"/>
    <w:rsid w:val="000B6FD5"/>
    <w:rsid w:val="000D3E15"/>
    <w:rsid w:val="00101CE8"/>
    <w:rsid w:val="00123B88"/>
    <w:rsid w:val="001330AE"/>
    <w:rsid w:val="00190911"/>
    <w:rsid w:val="001C045F"/>
    <w:rsid w:val="001D560C"/>
    <w:rsid w:val="001D6D4C"/>
    <w:rsid w:val="001F34C2"/>
    <w:rsid w:val="00200493"/>
    <w:rsid w:val="002319B8"/>
    <w:rsid w:val="0024603F"/>
    <w:rsid w:val="002533FF"/>
    <w:rsid w:val="0028664D"/>
    <w:rsid w:val="0029093A"/>
    <w:rsid w:val="002A49C1"/>
    <w:rsid w:val="002A699B"/>
    <w:rsid w:val="00310004"/>
    <w:rsid w:val="003775F0"/>
    <w:rsid w:val="003827F1"/>
    <w:rsid w:val="003921C6"/>
    <w:rsid w:val="003B2D58"/>
    <w:rsid w:val="003D216E"/>
    <w:rsid w:val="003D5494"/>
    <w:rsid w:val="003F4225"/>
    <w:rsid w:val="00415289"/>
    <w:rsid w:val="0044675D"/>
    <w:rsid w:val="0045160B"/>
    <w:rsid w:val="00461854"/>
    <w:rsid w:val="00493D45"/>
    <w:rsid w:val="004A7120"/>
    <w:rsid w:val="004B7D4E"/>
    <w:rsid w:val="004D047E"/>
    <w:rsid w:val="00512697"/>
    <w:rsid w:val="00524CCF"/>
    <w:rsid w:val="00530F7D"/>
    <w:rsid w:val="00543C43"/>
    <w:rsid w:val="00597D28"/>
    <w:rsid w:val="005C0B66"/>
    <w:rsid w:val="005E38E5"/>
    <w:rsid w:val="005F07AB"/>
    <w:rsid w:val="006079FA"/>
    <w:rsid w:val="006103B5"/>
    <w:rsid w:val="00626711"/>
    <w:rsid w:val="006311EF"/>
    <w:rsid w:val="006A5B2C"/>
    <w:rsid w:val="006C51A2"/>
    <w:rsid w:val="006F38B4"/>
    <w:rsid w:val="00735123"/>
    <w:rsid w:val="00772F92"/>
    <w:rsid w:val="007B3B48"/>
    <w:rsid w:val="007D5B43"/>
    <w:rsid w:val="007E76CC"/>
    <w:rsid w:val="00805A72"/>
    <w:rsid w:val="00831E80"/>
    <w:rsid w:val="00834479"/>
    <w:rsid w:val="00837789"/>
    <w:rsid w:val="00856CD7"/>
    <w:rsid w:val="00865ABF"/>
    <w:rsid w:val="00876B5D"/>
    <w:rsid w:val="00895585"/>
    <w:rsid w:val="008B4E79"/>
    <w:rsid w:val="008C23B7"/>
    <w:rsid w:val="008D59FA"/>
    <w:rsid w:val="008E1B08"/>
    <w:rsid w:val="008F151E"/>
    <w:rsid w:val="00902345"/>
    <w:rsid w:val="0091712D"/>
    <w:rsid w:val="00921885"/>
    <w:rsid w:val="00930103"/>
    <w:rsid w:val="00936D12"/>
    <w:rsid w:val="00936EBE"/>
    <w:rsid w:val="00945684"/>
    <w:rsid w:val="00971877"/>
    <w:rsid w:val="0098141C"/>
    <w:rsid w:val="009842A7"/>
    <w:rsid w:val="009950EC"/>
    <w:rsid w:val="009A218B"/>
    <w:rsid w:val="009C237B"/>
    <w:rsid w:val="00A03BD2"/>
    <w:rsid w:val="00A13C88"/>
    <w:rsid w:val="00A23AF5"/>
    <w:rsid w:val="00A561AC"/>
    <w:rsid w:val="00A72364"/>
    <w:rsid w:val="00AA1CFB"/>
    <w:rsid w:val="00AC3BEF"/>
    <w:rsid w:val="00AD383D"/>
    <w:rsid w:val="00AE0F80"/>
    <w:rsid w:val="00AE5092"/>
    <w:rsid w:val="00B97545"/>
    <w:rsid w:val="00BC3C22"/>
    <w:rsid w:val="00BD3686"/>
    <w:rsid w:val="00BE71E8"/>
    <w:rsid w:val="00BF42E7"/>
    <w:rsid w:val="00BF6855"/>
    <w:rsid w:val="00C21F0B"/>
    <w:rsid w:val="00C45B36"/>
    <w:rsid w:val="00C65311"/>
    <w:rsid w:val="00CB317D"/>
    <w:rsid w:val="00CC23B7"/>
    <w:rsid w:val="00CD018A"/>
    <w:rsid w:val="00CD02D4"/>
    <w:rsid w:val="00D71FF7"/>
    <w:rsid w:val="00DA7DEC"/>
    <w:rsid w:val="00DC17CD"/>
    <w:rsid w:val="00E31BC9"/>
    <w:rsid w:val="00E408CC"/>
    <w:rsid w:val="00E42237"/>
    <w:rsid w:val="00EA37B5"/>
    <w:rsid w:val="00EC40E2"/>
    <w:rsid w:val="00ED4BDB"/>
    <w:rsid w:val="00EF6429"/>
    <w:rsid w:val="00F012F8"/>
    <w:rsid w:val="00F0619D"/>
    <w:rsid w:val="00F20857"/>
    <w:rsid w:val="00F274E3"/>
    <w:rsid w:val="00F50F4B"/>
    <w:rsid w:val="00F56E3C"/>
    <w:rsid w:val="00F60589"/>
    <w:rsid w:val="00F84279"/>
    <w:rsid w:val="00F9103E"/>
    <w:rsid w:val="00FA57F3"/>
    <w:rsid w:val="00FD72C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F3B48"/>
  <w15:chartTrackingRefBased/>
  <w15:docId w15:val="{BE6851C1-528B-4A46-A39B-157055BD3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60B"/>
    <w:rPr>
      <w:rFonts w:ascii="Calibri" w:eastAsia="Calibri" w:hAnsi="Calibri" w:cs="Calibri"/>
      <w:kern w:val="0"/>
      <w:lang w:val="en" w:eastAsia="en-IN"/>
      <w14:ligatures w14:val="none"/>
    </w:rPr>
  </w:style>
  <w:style w:type="paragraph" w:styleId="Heading1">
    <w:name w:val="heading 1"/>
    <w:basedOn w:val="Normal"/>
    <w:next w:val="Normal"/>
    <w:link w:val="Heading1Char"/>
    <w:uiPriority w:val="9"/>
    <w:qFormat/>
    <w:rsid w:val="004516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516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516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16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16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16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16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16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16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6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516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516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16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16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1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1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1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160B"/>
    <w:rPr>
      <w:rFonts w:eastAsiaTheme="majorEastAsia" w:cstheme="majorBidi"/>
      <w:color w:val="272727" w:themeColor="text1" w:themeTint="D8"/>
    </w:rPr>
  </w:style>
  <w:style w:type="paragraph" w:styleId="Title">
    <w:name w:val="Title"/>
    <w:basedOn w:val="Normal"/>
    <w:next w:val="Normal"/>
    <w:link w:val="TitleChar"/>
    <w:uiPriority w:val="10"/>
    <w:qFormat/>
    <w:rsid w:val="00451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16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1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160B"/>
    <w:pPr>
      <w:spacing w:before="160"/>
      <w:jc w:val="center"/>
    </w:pPr>
    <w:rPr>
      <w:i/>
      <w:iCs/>
      <w:color w:val="404040" w:themeColor="text1" w:themeTint="BF"/>
    </w:rPr>
  </w:style>
  <w:style w:type="character" w:customStyle="1" w:styleId="QuoteChar">
    <w:name w:val="Quote Char"/>
    <w:basedOn w:val="DefaultParagraphFont"/>
    <w:link w:val="Quote"/>
    <w:uiPriority w:val="29"/>
    <w:rsid w:val="0045160B"/>
    <w:rPr>
      <w:i/>
      <w:iCs/>
      <w:color w:val="404040" w:themeColor="text1" w:themeTint="BF"/>
    </w:rPr>
  </w:style>
  <w:style w:type="paragraph" w:styleId="ListParagraph">
    <w:name w:val="List Paragraph"/>
    <w:basedOn w:val="Normal"/>
    <w:uiPriority w:val="34"/>
    <w:qFormat/>
    <w:rsid w:val="0045160B"/>
    <w:pPr>
      <w:ind w:left="720"/>
      <w:contextualSpacing/>
    </w:pPr>
  </w:style>
  <w:style w:type="character" w:styleId="IntenseEmphasis">
    <w:name w:val="Intense Emphasis"/>
    <w:basedOn w:val="DefaultParagraphFont"/>
    <w:uiPriority w:val="21"/>
    <w:qFormat/>
    <w:rsid w:val="0045160B"/>
    <w:rPr>
      <w:i/>
      <w:iCs/>
      <w:color w:val="2F5496" w:themeColor="accent1" w:themeShade="BF"/>
    </w:rPr>
  </w:style>
  <w:style w:type="paragraph" w:styleId="IntenseQuote">
    <w:name w:val="Intense Quote"/>
    <w:basedOn w:val="Normal"/>
    <w:next w:val="Normal"/>
    <w:link w:val="IntenseQuoteChar"/>
    <w:uiPriority w:val="30"/>
    <w:qFormat/>
    <w:rsid w:val="004516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160B"/>
    <w:rPr>
      <w:i/>
      <w:iCs/>
      <w:color w:val="2F5496" w:themeColor="accent1" w:themeShade="BF"/>
    </w:rPr>
  </w:style>
  <w:style w:type="character" w:styleId="IntenseReference">
    <w:name w:val="Intense Reference"/>
    <w:basedOn w:val="DefaultParagraphFont"/>
    <w:uiPriority w:val="32"/>
    <w:qFormat/>
    <w:rsid w:val="0045160B"/>
    <w:rPr>
      <w:b/>
      <w:bCs/>
      <w:smallCaps/>
      <w:color w:val="2F5496" w:themeColor="accent1" w:themeShade="BF"/>
      <w:spacing w:val="5"/>
    </w:rPr>
  </w:style>
  <w:style w:type="table" w:styleId="TableGrid">
    <w:name w:val="Table Grid"/>
    <w:basedOn w:val="TableNormal"/>
    <w:uiPriority w:val="39"/>
    <w:rsid w:val="00AC3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3BEF"/>
    <w:rPr>
      <w:color w:val="0563C1" w:themeColor="hyperlink"/>
      <w:u w:val="single"/>
    </w:rPr>
  </w:style>
  <w:style w:type="character" w:styleId="UnresolvedMention">
    <w:name w:val="Unresolved Mention"/>
    <w:basedOn w:val="DefaultParagraphFont"/>
    <w:uiPriority w:val="99"/>
    <w:semiHidden/>
    <w:unhideWhenUsed/>
    <w:rsid w:val="00AC3BEF"/>
    <w:rPr>
      <w:color w:val="605E5C"/>
      <w:shd w:val="clear" w:color="auto" w:fill="E1DFDD"/>
    </w:rPr>
  </w:style>
  <w:style w:type="paragraph" w:styleId="TOCHeading">
    <w:name w:val="TOC Heading"/>
    <w:basedOn w:val="Heading1"/>
    <w:next w:val="Normal"/>
    <w:uiPriority w:val="39"/>
    <w:unhideWhenUsed/>
    <w:qFormat/>
    <w:rsid w:val="006103B5"/>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6103B5"/>
    <w:pPr>
      <w:spacing w:after="100" w:line="259" w:lineRule="auto"/>
      <w:ind w:left="220"/>
    </w:pPr>
    <w:rPr>
      <w:rFonts w:asciiTheme="minorHAnsi" w:eastAsiaTheme="minorEastAsia" w:hAnsiTheme="minorHAnsi" w:cs="Times New Roman"/>
      <w:sz w:val="22"/>
      <w:szCs w:val="22"/>
      <w:lang w:val="en-US" w:eastAsia="en-US"/>
    </w:rPr>
  </w:style>
  <w:style w:type="paragraph" w:styleId="TOC1">
    <w:name w:val="toc 1"/>
    <w:basedOn w:val="Normal"/>
    <w:next w:val="Normal"/>
    <w:autoRedefine/>
    <w:uiPriority w:val="39"/>
    <w:unhideWhenUsed/>
    <w:rsid w:val="006103B5"/>
    <w:pPr>
      <w:spacing w:after="100" w:line="259" w:lineRule="auto"/>
    </w:pPr>
    <w:rPr>
      <w:rFonts w:asciiTheme="minorHAnsi" w:eastAsiaTheme="minorEastAsia" w:hAnsiTheme="minorHAnsi" w:cs="Times New Roman"/>
      <w:sz w:val="22"/>
      <w:szCs w:val="22"/>
      <w:lang w:val="en-US" w:eastAsia="en-US"/>
    </w:rPr>
  </w:style>
  <w:style w:type="table" w:customStyle="1" w:styleId="TableGrid1">
    <w:name w:val="Table Grid1"/>
    <w:basedOn w:val="TableNormal"/>
    <w:next w:val="TableGrid"/>
    <w:uiPriority w:val="39"/>
    <w:rsid w:val="00BE71E8"/>
    <w:pPr>
      <w:spacing w:after="0" w:line="240" w:lineRule="auto"/>
    </w:pPr>
    <w:rPr>
      <w:rFonts w:ascii="Calibri" w:eastAsia="Calibri" w:hAnsi="Calibri" w:cs="Shrut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36EBE"/>
    <w:pPr>
      <w:spacing w:after="0" w:line="240" w:lineRule="auto"/>
    </w:pPr>
    <w:rPr>
      <w:rFonts w:ascii="Calibri" w:eastAsia="Calibri" w:hAnsi="Calibri" w:cs="Shrut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0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45F"/>
    <w:rPr>
      <w:rFonts w:ascii="Calibri" w:eastAsia="Calibri" w:hAnsi="Calibri" w:cs="Calibri"/>
      <w:kern w:val="0"/>
      <w:lang w:val="en" w:eastAsia="en-IN"/>
      <w14:ligatures w14:val="none"/>
    </w:rPr>
  </w:style>
  <w:style w:type="paragraph" w:styleId="Footer">
    <w:name w:val="footer"/>
    <w:basedOn w:val="Normal"/>
    <w:link w:val="FooterChar"/>
    <w:uiPriority w:val="99"/>
    <w:unhideWhenUsed/>
    <w:rsid w:val="001C0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45F"/>
    <w:rPr>
      <w:rFonts w:ascii="Calibri" w:eastAsia="Calibri" w:hAnsi="Calibri" w:cs="Calibri"/>
      <w:kern w:val="0"/>
      <w:lang w:val="e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ahip\Downloads\Updated%20PANKTI%20(1)%20(1).docx" TargetMode="External"/><Relationship Id="rId18" Type="http://schemas.openxmlformats.org/officeDocument/2006/relationships/hyperlink" Target="file:///C:\Users\mahip\Downloads\Updated%20PANKTI%20(1)%20(1).docx" TargetMode="External"/><Relationship Id="rId26" Type="http://schemas.openxmlformats.org/officeDocument/2006/relationships/hyperlink" Target="file:///C:\Users\mahip\Downloads\Updated%20PANKTI%20(1)%20(1).docx" TargetMode="External"/><Relationship Id="rId39" Type="http://schemas.openxmlformats.org/officeDocument/2006/relationships/hyperlink" Target="https://books.google.com/books?hl=en&amp;lr=&amp;id=UDOEEQAAQBAJ&amp;oi=fnd&amp;pg=PA42&amp;dq=QR+Code+Payment+Adoption+in+Rural+Gujarat&amp;ots=-N9s9u_r0_&amp;sig=eSReqMKzHGN_NL_vC3HiCb3I2pQ" TargetMode="External"/><Relationship Id="rId21" Type="http://schemas.openxmlformats.org/officeDocument/2006/relationships/hyperlink" Target="file:///C:\Users\mahip\Downloads\Updated%20PANKTI%20(1)%20(1).docx" TargetMode="External"/><Relationship Id="rId34" Type="http://schemas.openxmlformats.org/officeDocument/2006/relationships/hyperlink" Target="file:///C:\Users\mahip\Downloads\Updated%20PANKTI%20(1)%20(1).docx" TargetMode="External"/><Relationship Id="rId42" Type="http://schemas.openxmlformats.org/officeDocument/2006/relationships/hyperlink" Target="https://utoronto.scholaris.ca/bitstreams/6f86149d-f7bf-4a40-9a11-934734c1b7fc/download" TargetMode="External"/><Relationship Id="rId47" Type="http://schemas.openxmlformats.org/officeDocument/2006/relationships/hyperlink" Target="https://publicationsdrdo.in/index.php/djlit/article/download/20943/8705" TargetMode="External"/><Relationship Id="rId50" Type="http://schemas.openxmlformats.org/officeDocument/2006/relationships/hyperlink" Target="https://www.emerald.com/igdr/article-pdf/16/3/230/1320623/igdr-12-2022-0144.pdf" TargetMode="External"/><Relationship Id="rId55" Type="http://schemas.openxmlformats.org/officeDocument/2006/relationships/hyperlink" Target="https://doi.org/10.1080/01411920902989227" TargetMode="External"/><Relationship Id="rId63" Type="http://schemas.openxmlformats.org/officeDocument/2006/relationships/hyperlink" Target="https://www.researchgate.net/profile/Devang-Majithiya-3/publication/396652723_Digital_Solutions_for_Seamless_Multimodal_Transport_in_Kachchh_Challenges_and_Opportunities/links/68f3d7067d9a4d4e870ac03b/Digital-Solutions-for-Seamless-Multimodal-Transport-in-Kachchh-Challenges-and-Opportunities.pdf" TargetMode="External"/><Relationship Id="rId68" Type="http://schemas.openxmlformats.org/officeDocument/2006/relationships/hyperlink" Target="https://doi.org/10.1007/978-3-030-24374-6_5" TargetMode="External"/><Relationship Id="rId76" Type="http://schemas.openxmlformats.org/officeDocument/2006/relationships/hyperlink" Target="https://ijmpr.org/index.php/IJMPR/article/download/102/58" TargetMode="External"/><Relationship Id="rId84" Type="http://schemas.openxmlformats.org/officeDocument/2006/relationships/hyperlink" Target="https://www.researchgate.net/profile/Bhavna-Parwani/publication/384024152_Exploring_Consumer_Behavior_Towards_Mobile_Wallet_Adoption_In_Rural_Surat/links/66e52e94b1606e24c228d7c8/Exploring-Consumer-Behavior-Towards-Mobile-Wallet-Adoption-In-Rural-Surat.pdf" TargetMode="External"/><Relationship Id="rId89"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1108/JIBR-01-2019-0029" TargetMode="External"/><Relationship Id="rId9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file:///C:\Users\mahip\Downloads\Updated%20PANKTI%20(1)%20(1).docx" TargetMode="External"/><Relationship Id="rId29" Type="http://schemas.openxmlformats.org/officeDocument/2006/relationships/hyperlink" Target="file:///C:\Users\mahip\Downloads\Updated%20PANKTI%20(1)%20(1).docx" TargetMode="External"/><Relationship Id="rId11" Type="http://schemas.openxmlformats.org/officeDocument/2006/relationships/hyperlink" Target="file:///C:\Users\mahip\Downloads\Updated%20PANKTI%20(1)%20(1).docx" TargetMode="External"/><Relationship Id="rId24" Type="http://schemas.openxmlformats.org/officeDocument/2006/relationships/hyperlink" Target="file:///C:\Users\mahip\Downloads\Updated%20PANKTI%20(1)%20(1).docx" TargetMode="External"/><Relationship Id="rId32" Type="http://schemas.openxmlformats.org/officeDocument/2006/relationships/hyperlink" Target="file:///C:\Users\mahip\Downloads\Updated%20PANKTI%20(1)%20(1).docx" TargetMode="External"/><Relationship Id="rId37" Type="http://schemas.openxmlformats.org/officeDocument/2006/relationships/hyperlink" Target="file:///C:\Users\mahip\Downloads\Updated%20PANKTI%20(1)%20(1).docx" TargetMode="External"/><Relationship Id="rId40" Type="http://schemas.openxmlformats.org/officeDocument/2006/relationships/hyperlink" Target="http://www.nilanjanbanik.in/artical/Research-Paper-journal-of-emerging-market-finance.pdf" TargetMode="External"/><Relationship Id="rId45" Type="http://schemas.openxmlformats.org/officeDocument/2006/relationships/hyperlink" Target="https://doi.org/10.1287/mnsc.35.8.982" TargetMode="External"/><Relationship Id="rId53" Type="http://schemas.openxmlformats.org/officeDocument/2006/relationships/hyperlink" Target="https://doi.org/10.2307/30036519" TargetMode="External"/><Relationship Id="rId58" Type="http://schemas.openxmlformats.org/officeDocument/2006/relationships/hyperlink" Target="https://doi.org/10.4236/tel.2024.143052" TargetMode="External"/><Relationship Id="rId66" Type="http://schemas.openxmlformats.org/officeDocument/2006/relationships/hyperlink" Target="https://www.emerald.com/jstpm/article-pdf/15/6/1709/9466962/jstpm-03-2023-0035.pdf" TargetMode="External"/><Relationship Id="rId74" Type="http://schemas.openxmlformats.org/officeDocument/2006/relationships/hyperlink" Target="https://doi.org/10.1016/j.technovation.2020.102155" TargetMode="External"/><Relationship Id="rId79" Type="http://schemas.openxmlformats.org/officeDocument/2006/relationships/hyperlink" Target="https://doi.org/10.1002/mde.4086" TargetMode="External"/><Relationship Id="rId87"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taylorfrancis.com/chapters/edit/10.1201/9781003606185-139/exploring-factors-affecting-adoption-upi-among-generation-special-reference-rajkot-city-jeet-madhani-janvi-savjani-alankar-trivedi-kuldeep-jobanputra" TargetMode="External"/><Relationship Id="rId82" Type="http://schemas.openxmlformats.org/officeDocument/2006/relationships/hyperlink" Target="https://papers.ssrn.com/sol3/Delivery.cfm?abstractid=4849785" TargetMode="External"/><Relationship Id="rId90" Type="http://schemas.openxmlformats.org/officeDocument/2006/relationships/footer" Target="footer2.xml"/><Relationship Id="rId19" Type="http://schemas.openxmlformats.org/officeDocument/2006/relationships/hyperlink" Target="file:///C:\Users\mahip\Downloads\Updated%20PANKTI%20(1)%20(1).docx" TargetMode="External"/><Relationship Id="rId14" Type="http://schemas.openxmlformats.org/officeDocument/2006/relationships/hyperlink" Target="file:///C:\Users\mahip\Downloads\Updated%20PANKTI%20(1)%20(1).docx" TargetMode="External"/><Relationship Id="rId22" Type="http://schemas.openxmlformats.org/officeDocument/2006/relationships/hyperlink" Target="file:///C:\Users\mahip\Downloads\Updated%20PANKTI%20(1)%20(1).docx" TargetMode="External"/><Relationship Id="rId27" Type="http://schemas.openxmlformats.org/officeDocument/2006/relationships/hyperlink" Target="file:///C:\Users\mahip\Downloads\Updated%20PANKTI%20(1)%20(1).docx" TargetMode="External"/><Relationship Id="rId30" Type="http://schemas.openxmlformats.org/officeDocument/2006/relationships/hyperlink" Target="file:///C:\Users\mahip\Downloads\Updated%20PANKTI%20(1)%20(1).docx" TargetMode="External"/><Relationship Id="rId35" Type="http://schemas.openxmlformats.org/officeDocument/2006/relationships/hyperlink" Target="file:///C:\Users\mahip\Downloads\Updated%20PANKTI%20(1)%20(1).docx" TargetMode="External"/><Relationship Id="rId43" Type="http://schemas.openxmlformats.org/officeDocument/2006/relationships/hyperlink" Target="https://doi.org/10.1108/IJBM-06-2021-0283" TargetMode="External"/><Relationship Id="rId48" Type="http://schemas.openxmlformats.org/officeDocument/2006/relationships/hyperlink" Target="https://nepjol.info/index.php/nprcjmr/article/download/73040/55830" TargetMode="External"/><Relationship Id="rId56" Type="http://schemas.openxmlformats.org/officeDocument/2006/relationships/hyperlink" Target="https://ejournal.bumipublikasinusantara.id/index.php/ajcse/article/viewFile/152/148" TargetMode="External"/><Relationship Id="rId64" Type="http://schemas.openxmlformats.org/officeDocument/2006/relationships/hyperlink" Target="https://dmimultitechpublisher.my.id/index.php/ijefbs/article/download/197/241" TargetMode="External"/><Relationship Id="rId69" Type="http://schemas.openxmlformats.org/officeDocument/2006/relationships/hyperlink" Target="https://doi.org/10.1108/10748120110424816" TargetMode="External"/><Relationship Id="rId77" Type="http://schemas.openxmlformats.org/officeDocument/2006/relationships/hyperlink" Target="https://doi.org/10.1007/s12525-009-0026-5" TargetMode="External"/><Relationship Id="rId8" Type="http://schemas.openxmlformats.org/officeDocument/2006/relationships/image" Target="media/image1.jpeg"/><Relationship Id="rId51" Type="http://schemas.openxmlformats.org/officeDocument/2006/relationships/hyperlink" Target="https://doi.org/10.1007/s10796-017-9774-y" TargetMode="External"/><Relationship Id="rId72" Type="http://schemas.openxmlformats.org/officeDocument/2006/relationships/hyperlink" Target="https://pdfs.semanticscholar.org/e74e/d8341841cd47a3377adab2c042626464cbe4.pdf" TargetMode="External"/><Relationship Id="rId80" Type="http://schemas.openxmlformats.org/officeDocument/2006/relationships/hyperlink" Target="https://doi.org/10.2307/30036540" TargetMode="External"/><Relationship Id="rId85" Type="http://schemas.openxmlformats.org/officeDocument/2006/relationships/hyperlink" Target="https://www.researchgate.net/profile/Bhavna-Parwani/publication/387906798_EXPLORING_DIGITAL_PAYMENT_ADOPTION_PATTERNS_IN_GUJARAT_A_CONSUMER_Yesha_Vyas-_DR_BHAVNA_PARWANI/links/678211463e33dd0be9fb34b7/EXPLORING-DIGITAL-PAYMENT-ADOPTION-PATTERNS-IN-GUJARAT-A-CONSUMER-Yesha-Vyas-DR-BHAVNA-PARWANI.pdf"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mahip\Downloads\Updated%20PANKTI%20(1)%20(1).docx" TargetMode="External"/><Relationship Id="rId17" Type="http://schemas.openxmlformats.org/officeDocument/2006/relationships/hyperlink" Target="file:///C:\Users\mahip\Downloads\Updated%20PANKTI%20(1)%20(1).docx" TargetMode="External"/><Relationship Id="rId25" Type="http://schemas.openxmlformats.org/officeDocument/2006/relationships/hyperlink" Target="file:///C:\Users\mahip\Downloads\Updated%20PANKTI%20(1)%20(1).docx" TargetMode="External"/><Relationship Id="rId33" Type="http://schemas.openxmlformats.org/officeDocument/2006/relationships/hyperlink" Target="file:///C:\Users\mahip\Downloads\Updated%20PANKTI%20(1)%20(1).docx" TargetMode="External"/><Relationship Id="rId38" Type="http://schemas.openxmlformats.org/officeDocument/2006/relationships/image" Target="media/image2.png"/><Relationship Id="rId46" Type="http://schemas.openxmlformats.org/officeDocument/2006/relationships/hyperlink" Target="https://www.researchgate.net/profile/Dr-Dei/publication/399881980_The_evolution_of_digital_payments_Examining_user_preferences_for_UPI_apps/links/696e3a0321a46d6f7023859b/The-evolution-of-digital-payments-Examining-user-preferences-for-UPI-apps.pdf" TargetMode="External"/><Relationship Id="rId59" Type="http://schemas.openxmlformats.org/officeDocument/2006/relationships/hyperlink" Target="https://cosmorsij.com/published/CRSIJ25000029.pdf" TargetMode="External"/><Relationship Id="rId67" Type="http://schemas.openxmlformats.org/officeDocument/2006/relationships/hyperlink" Target="https://books.google.com/books?hl=en&amp;lr=&amp;id=x-VhEQAAQBAJ&amp;oi=fnd&amp;pg=PA468&amp;dq=QR+Code+Payment+Adoption+in+Rural+Gujarat&amp;ots=LX2wk1HUoW&amp;sig=za0knm6kT-athRebxzEquYvyrfI" TargetMode="External"/><Relationship Id="rId20" Type="http://schemas.openxmlformats.org/officeDocument/2006/relationships/hyperlink" Target="file:///C:\Users\mahip\Downloads\Updated%20PANKTI%20(1)%20(1).docx" TargetMode="External"/><Relationship Id="rId41" Type="http://schemas.openxmlformats.org/officeDocument/2006/relationships/hyperlink" Target="https://www.taylorfrancis.com/chapters/edit/10.1201/9781003606185-154/awareness-usage-digital-payment-modes-among-people-rajkot-city-dhara-bhalodia-chintan-rajani-sahil-shah" TargetMode="External"/><Relationship Id="rId54" Type="http://schemas.openxmlformats.org/officeDocument/2006/relationships/hyperlink" Target="https://www.cgdev.org/sites/default/files/can-digital-g2p-transfers-drive-financial-inclusion-and-digital-payments-evidence-india.pdf" TargetMode="External"/><Relationship Id="rId62" Type="http://schemas.openxmlformats.org/officeDocument/2006/relationships/hyperlink" Target="http://poornaprajnapublication.com/index.php/pijmess/article/download/138/114" TargetMode="External"/><Relationship Id="rId70" Type="http://schemas.openxmlformats.org/officeDocument/2006/relationships/hyperlink" Target="https://doi.org/10.1108/BIJ-01-2016-0009" TargetMode="External"/><Relationship Id="rId75" Type="http://schemas.openxmlformats.org/officeDocument/2006/relationships/hyperlink" Target="https://aims-international.org/aims20/20aproceedings/PDF/A2505-Final.pdf" TargetMode="External"/><Relationship Id="rId83" Type="http://schemas.openxmlformats.org/officeDocument/2006/relationships/hyperlink" Target="http://poornaprajnapublication.com/index.php/pijmess/article/download/138/114" TargetMode="External"/><Relationship Id="rId88" Type="http://schemas.openxmlformats.org/officeDocument/2006/relationships/header" Target="header2.xml"/><Relationship Id="rId9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mahip\Downloads\Updated%20PANKTI%20(1)%20(1).docx" TargetMode="External"/><Relationship Id="rId23" Type="http://schemas.openxmlformats.org/officeDocument/2006/relationships/hyperlink" Target="file:///C:\Users\mahip\Downloads\Updated%20PANKTI%20(1)%20(1).docx" TargetMode="External"/><Relationship Id="rId28" Type="http://schemas.openxmlformats.org/officeDocument/2006/relationships/hyperlink" Target="file:///C:\Users\mahip\Downloads\Updated%20PANKTI%20(1)%20(1).docx" TargetMode="External"/><Relationship Id="rId36" Type="http://schemas.openxmlformats.org/officeDocument/2006/relationships/hyperlink" Target="file:///C:\Users\mahip\Downloads\Updated%20PANKTI%20(1)%20(1).docx" TargetMode="External"/><Relationship Id="rId49" Type="http://schemas.openxmlformats.org/officeDocument/2006/relationships/hyperlink" Target="https://doi.org/10.1016/j.jrurstud.2021.01.001" TargetMode="External"/><Relationship Id="rId57" Type="http://schemas.openxmlformats.org/officeDocument/2006/relationships/hyperlink" Target="https://papers.ssrn.com/sol3/Delivery.cfm?abstractid=5353745" TargetMode="External"/><Relationship Id="rId10" Type="http://schemas.openxmlformats.org/officeDocument/2006/relationships/hyperlink" Target="file:///C:\Users\mahip\Downloads\Updated%20PANKTI%20(1)%20(1).docx" TargetMode="External"/><Relationship Id="rId31" Type="http://schemas.openxmlformats.org/officeDocument/2006/relationships/hyperlink" Target="file:///C:\Users\mahip\Downloads\Updated%20PANKTI%20(1)%20(1).docx" TargetMode="External"/><Relationship Id="rId44" Type="http://schemas.openxmlformats.org/officeDocument/2006/relationships/hyperlink" Target="https://grwsijacsm.com/journal/index.php/grws/article/download/2/2" TargetMode="External"/><Relationship Id="rId52" Type="http://schemas.openxmlformats.org/officeDocument/2006/relationships/hyperlink" Target="https://doi.org/10.1016/j.jretconser.2020.102216" TargetMode="External"/><Relationship Id="rId60" Type="http://schemas.openxmlformats.org/officeDocument/2006/relationships/hyperlink" Target="https://doi.org/10.1016/j.ijinfomgt.2018.09.013" TargetMode="External"/><Relationship Id="rId65" Type="http://schemas.openxmlformats.org/officeDocument/2006/relationships/hyperlink" Target="https://kcectrust.org/uploads/articleJournal/December2024685.pdf" TargetMode="External"/><Relationship Id="rId73" Type="http://schemas.openxmlformats.org/officeDocument/2006/relationships/hyperlink" Target="https://www.rbi.org.in/Scripts/AnnualReportPublications.aspx" TargetMode="External"/><Relationship Id="rId78" Type="http://schemas.openxmlformats.org/officeDocument/2006/relationships/hyperlink" Target="https://doi.org/10.1016/j.jretconser.2019.101894" TargetMode="External"/><Relationship Id="rId81" Type="http://schemas.openxmlformats.org/officeDocument/2006/relationships/hyperlink" Target="https://doi.org/10.2307/41410412" TargetMode="External"/><Relationship Id="rId86" Type="http://schemas.openxmlformats.org/officeDocument/2006/relationships/hyperlink" Target="https://doi.org/10.1016/j.elerap.2021.101068"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mahip\Downloads\Updated%20PANKTI%20(1)%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D7D28-F4AD-41C2-BA1E-5C883ED09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29</Pages>
  <Words>11717</Words>
  <Characters>66789</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panktibahenmchaudhari970@gmail.com</dc:creator>
  <cp:keywords/>
  <dc:description/>
  <cp:lastModifiedBy>mahipal chaudhary</cp:lastModifiedBy>
  <cp:revision>124</cp:revision>
  <dcterms:created xsi:type="dcterms:W3CDTF">2026-01-05T11:20:00Z</dcterms:created>
  <dcterms:modified xsi:type="dcterms:W3CDTF">2026-01-26T18:59:00Z</dcterms:modified>
</cp:coreProperties>
</file>