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lineRule="auto"/>
        <w:rPr/>
      </w:pPr>
      <w:r w:rsidDel="00000000" w:rsidR="00000000" w:rsidRPr="00000000">
        <w:rPr>
          <w:rtl w:val="0"/>
        </w:rPr>
      </w:r>
    </w:p>
    <w:p w:rsidR="00000000" w:rsidDel="00000000" w:rsidP="00000000" w:rsidRDefault="00000000" w:rsidRPr="00000000" w14:paraId="00000002">
      <w:pPr>
        <w:spacing w:after="200" w:before="240" w:lineRule="auto"/>
        <w:jc w:val="center"/>
        <w:rPr/>
      </w:pPr>
      <w:r w:rsidDel="00000000" w:rsidR="00000000" w:rsidRPr="00000000">
        <w:rPr/>
        <w:drawing>
          <wp:inline distB="0" distT="0" distL="0" distR="0">
            <wp:extent cx="3108960" cy="1110342"/>
            <wp:effectExtent b="0" l="0" r="0" t="0"/>
            <wp:docPr id="1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108960" cy="1110342"/>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after="360" w:lineRule="auto"/>
        <w:rPr/>
      </w:pPr>
      <w:r w:rsidDel="00000000" w:rsidR="00000000" w:rsidRPr="00000000">
        <w:rPr>
          <w:rtl w:val="0"/>
        </w:rPr>
      </w:r>
    </w:p>
    <w:p w:rsidR="00000000" w:rsidDel="00000000" w:rsidP="00000000" w:rsidRDefault="00000000" w:rsidRPr="00000000" w14:paraId="00000004">
      <w:pPr>
        <w:spacing w:after="360" w:lineRule="auto"/>
        <w:rPr/>
      </w:pPr>
      <w:r w:rsidDel="00000000" w:rsidR="00000000" w:rsidRPr="00000000">
        <w:rPr>
          <w:rtl w:val="0"/>
        </w:rPr>
      </w:r>
    </w:p>
    <w:p w:rsidR="00000000" w:rsidDel="00000000" w:rsidP="00000000" w:rsidRDefault="00000000" w:rsidRPr="00000000" w14:paraId="00000005">
      <w:pPr>
        <w:spacing w:after="120" w:lineRule="auto"/>
        <w:jc w:val="center"/>
        <w:rPr>
          <w:sz w:val="30"/>
          <w:szCs w:val="30"/>
        </w:rPr>
      </w:pPr>
      <w:r w:rsidDel="00000000" w:rsidR="00000000" w:rsidRPr="00000000">
        <w:rPr>
          <w:b w:val="1"/>
          <w:bCs w:val="1"/>
          <w:sz w:val="34"/>
          <w:szCs w:val="34"/>
          <w:rtl w:val="0"/>
        </w:rPr>
        <w:t xml:space="preserve">Module Name: International Business Concepts</w:t>
      </w:r>
      <w:r w:rsidDel="00000000" w:rsidR="00000000" w:rsidRPr="00000000">
        <w:rPr>
          <w:rtl w:val="0"/>
        </w:rPr>
      </w:r>
    </w:p>
    <w:p w:rsidR="00000000" w:rsidDel="00000000" w:rsidP="00000000" w:rsidRDefault="00000000" w:rsidRPr="00000000" w14:paraId="00000006">
      <w:pPr>
        <w:spacing w:after="120" w:lineRule="auto"/>
        <w:jc w:val="center"/>
        <w:rPr>
          <w:b w:val="1"/>
          <w:bCs w:val="1"/>
          <w:sz w:val="28"/>
          <w:szCs w:val="28"/>
        </w:rPr>
      </w:pPr>
      <w:r w:rsidDel="00000000" w:rsidR="00000000" w:rsidRPr="00000000">
        <w:rPr>
          <w:b w:val="1"/>
          <w:bCs w:val="1"/>
          <w:sz w:val="34"/>
          <w:szCs w:val="34"/>
          <w:rtl w:val="0"/>
        </w:rPr>
        <w:t xml:space="preserve">Module Code: LCMB7034</w:t>
        <w:br w:type="textWrapping"/>
        <w:br w:type="textWrapping"/>
        <w:t xml:space="preserve">Evaluating the International Business Concepts of Greggs plc: Market Entry into the United Arab Emirates</w:t>
      </w:r>
      <w:r w:rsidDel="00000000" w:rsidR="00000000" w:rsidRPr="00000000">
        <w:rPr>
          <w:b w:val="1"/>
          <w:bCs w:val="1"/>
          <w:sz w:val="30"/>
          <w:szCs w:val="30"/>
          <w:rtl w:val="0"/>
        </w:rPr>
        <w:t xml:space="preserve"> </w:t>
      </w:r>
      <w:r w:rsidDel="00000000" w:rsidR="00000000" w:rsidRPr="00000000">
        <w:rPr>
          <w:b w:val="1"/>
          <w:bCs w:val="1"/>
          <w:sz w:val="28"/>
          <w:szCs w:val="28"/>
          <w:rtl w:val="0"/>
        </w:rPr>
        <w:br w:type="textWrapping"/>
      </w:r>
    </w:p>
    <w:p w:rsidR="00000000" w:rsidDel="00000000" w:rsidP="00000000" w:rsidRDefault="00000000" w:rsidRPr="00000000" w14:paraId="00000007">
      <w:pPr>
        <w:spacing w:after="120" w:lineRule="auto"/>
        <w:jc w:val="center"/>
        <w:rPr>
          <w:b w:val="1"/>
          <w:bCs w:val="1"/>
          <w:sz w:val="28"/>
          <w:szCs w:val="28"/>
        </w:rPr>
      </w:pPr>
      <w:r w:rsidDel="00000000" w:rsidR="00000000" w:rsidRPr="00000000">
        <w:rPr>
          <w:rtl w:val="0"/>
        </w:rPr>
      </w:r>
    </w:p>
    <w:p w:rsidR="00000000" w:rsidDel="00000000" w:rsidP="00000000" w:rsidRDefault="00000000" w:rsidRPr="00000000" w14:paraId="00000008">
      <w:pPr>
        <w:spacing w:after="120" w:lineRule="auto"/>
        <w:jc w:val="center"/>
        <w:rPr/>
      </w:pPr>
      <w:r w:rsidDel="00000000" w:rsidR="00000000" w:rsidRPr="00000000">
        <w:rPr>
          <w:b w:val="1"/>
          <w:bCs w:val="1"/>
          <w:sz w:val="28"/>
          <w:szCs w:val="28"/>
          <w:rtl w:val="0"/>
        </w:rPr>
        <w:br w:type="textWrapping"/>
        <w:t xml:space="preserve">Student Name: Hira Akter</w:t>
      </w:r>
      <w:r w:rsidDel="00000000" w:rsidR="00000000" w:rsidRPr="00000000">
        <w:rPr>
          <w:rtl w:val="0"/>
        </w:rPr>
      </w:r>
    </w:p>
    <w:p w:rsidR="00000000" w:rsidDel="00000000" w:rsidP="00000000" w:rsidRDefault="00000000" w:rsidRPr="00000000" w14:paraId="00000009">
      <w:pPr>
        <w:spacing w:after="120" w:lineRule="auto"/>
        <w:jc w:val="center"/>
        <w:rPr/>
      </w:pPr>
      <w:r w:rsidDel="00000000" w:rsidR="00000000" w:rsidRPr="00000000">
        <w:rPr>
          <w:b w:val="1"/>
          <w:bCs w:val="1"/>
          <w:sz w:val="28"/>
          <w:szCs w:val="28"/>
          <w:rtl w:val="0"/>
        </w:rPr>
        <w:t xml:space="preserve">Student ID: 2530059</w:t>
      </w:r>
      <w:r w:rsidDel="00000000" w:rsidR="00000000" w:rsidRPr="00000000">
        <w:rPr>
          <w:rtl w:val="0"/>
        </w:rPr>
      </w:r>
    </w:p>
    <w:p w:rsidR="00000000" w:rsidDel="00000000" w:rsidP="00000000" w:rsidRDefault="00000000" w:rsidRPr="00000000" w14:paraId="0000000A">
      <w:pPr>
        <w:spacing w:after="120" w:lineRule="auto"/>
        <w:jc w:val="center"/>
        <w:rPr/>
      </w:pPr>
      <w:r w:rsidDel="00000000" w:rsidR="00000000" w:rsidRPr="00000000">
        <w:rPr>
          <w:b w:val="1"/>
          <w:bCs w:val="1"/>
          <w:sz w:val="28"/>
          <w:szCs w:val="28"/>
          <w:rtl w:val="0"/>
        </w:rPr>
        <w:t xml:space="preserve">Lecturer’s Name: Akshay Narayanan  </w:t>
      </w:r>
      <w:r w:rsidDel="00000000" w:rsidR="00000000" w:rsidRPr="00000000">
        <w:rPr>
          <w:rtl w:val="0"/>
        </w:rPr>
      </w:r>
    </w:p>
    <w:p w:rsidR="00000000" w:rsidDel="00000000" w:rsidP="00000000" w:rsidRDefault="00000000" w:rsidRPr="00000000" w14:paraId="0000000B">
      <w:pPr>
        <w:spacing w:after="480" w:lineRule="auto"/>
        <w:rPr/>
      </w:pPr>
      <w:r w:rsidDel="00000000" w:rsidR="00000000" w:rsidRPr="00000000">
        <w:rPr>
          <w:rtl w:val="0"/>
        </w:rPr>
      </w:r>
    </w:p>
    <w:p w:rsidR="00000000" w:rsidDel="00000000" w:rsidP="00000000" w:rsidRDefault="00000000" w:rsidRPr="00000000" w14:paraId="0000000C">
      <w:pPr>
        <w:spacing w:after="480" w:lineRule="auto"/>
        <w:rPr/>
      </w:pPr>
      <w:r w:rsidDel="00000000" w:rsidR="00000000" w:rsidRPr="00000000">
        <w:rPr>
          <w:rtl w:val="0"/>
        </w:rPr>
      </w:r>
    </w:p>
    <w:p w:rsidR="00000000" w:rsidDel="00000000" w:rsidP="00000000" w:rsidRDefault="00000000" w:rsidRPr="00000000" w14:paraId="0000000D">
      <w:pPr>
        <w:spacing w:after="120" w:lineRule="auto"/>
        <w:jc w:val="center"/>
        <w:rPr>
          <w:b w:val="1"/>
          <w:bCs w:val="1"/>
          <w:sz w:val="28"/>
          <w:szCs w:val="28"/>
        </w:rPr>
      </w:pPr>
      <w:r w:rsidDel="00000000" w:rsidR="00000000" w:rsidRPr="00000000">
        <w:rPr>
          <w:b w:val="1"/>
          <w:bCs w:val="1"/>
          <w:sz w:val="28"/>
          <w:szCs w:val="28"/>
          <w:rtl w:val="0"/>
        </w:rPr>
        <w:t xml:space="preserve">Word Count: 5,000 words (±10%)</w:t>
      </w:r>
    </w:p>
    <w:p w:rsidR="00000000" w:rsidDel="00000000" w:rsidP="00000000" w:rsidRDefault="00000000" w:rsidRPr="00000000" w14:paraId="0000000E">
      <w:pPr>
        <w:spacing w:after="120" w:lineRule="auto"/>
        <w:jc w:val="center"/>
        <w:rPr/>
      </w:pPr>
      <w:r w:rsidDel="00000000" w:rsidR="00000000" w:rsidRPr="00000000">
        <w:rPr>
          <w:b w:val="1"/>
          <w:bCs w:val="1"/>
          <w:sz w:val="28"/>
          <w:szCs w:val="28"/>
          <w:rtl w:val="0"/>
        </w:rPr>
        <w:br w:type="textWrapping"/>
        <w:t xml:space="preserve">Submission deadline: 14th August 2026 </w:t>
      </w:r>
      <w:r w:rsidDel="00000000" w:rsidR="00000000" w:rsidRPr="00000000">
        <w:rPr>
          <w:rtl w:val="0"/>
        </w:rPr>
      </w:r>
    </w:p>
    <w:p w:rsidR="00000000" w:rsidDel="00000000" w:rsidP="00000000" w:rsidRDefault="00000000" w:rsidRPr="00000000" w14:paraId="0000000F">
      <w:pPr>
        <w:spacing w:after="480" w:lineRule="auto"/>
        <w:rPr/>
      </w:pPr>
      <w:r w:rsidDel="00000000" w:rsidR="00000000" w:rsidRPr="00000000">
        <w:rPr>
          <w:rtl w:val="0"/>
        </w:rPr>
      </w:r>
    </w:p>
    <w:p w:rsidR="00000000" w:rsidDel="00000000" w:rsidP="00000000" w:rsidRDefault="00000000" w:rsidRPr="00000000" w14:paraId="00000010">
      <w:pPr>
        <w:spacing w:after="120" w:lineRule="auto"/>
        <w:jc w:val="center"/>
        <w:rPr>
          <w:b w:val="1"/>
          <w:bCs w:val="1"/>
          <w:sz w:val="28"/>
          <w:szCs w:val="28"/>
        </w:rPr>
      </w:pPr>
      <w:r w:rsidDel="00000000" w:rsidR="00000000" w:rsidRPr="00000000">
        <w:rPr>
          <w:b w:val="1"/>
          <w:bCs w:val="1"/>
          <w:sz w:val="28"/>
          <w:szCs w:val="28"/>
          <w:rtl w:val="0"/>
        </w:rPr>
        <w:t xml:space="preserve">Individual Report</w:t>
      </w:r>
    </w:p>
    <w:p w:rsidR="00000000" w:rsidDel="00000000" w:rsidP="00000000" w:rsidRDefault="00000000" w:rsidRPr="00000000" w14:paraId="00000011">
      <w:pPr>
        <w:spacing w:after="120" w:lineRule="auto"/>
        <w:jc w:val="center"/>
        <w:rPr>
          <w:b w:val="1"/>
          <w:bCs w:val="1"/>
          <w:sz w:val="28"/>
          <w:szCs w:val="28"/>
        </w:rPr>
      </w:pPr>
      <w:r w:rsidDel="00000000" w:rsidR="00000000" w:rsidRPr="00000000">
        <w:rPr>
          <w:rtl w:val="0"/>
        </w:rPr>
      </w:r>
    </w:p>
    <w:p w:rsidR="00000000" w:rsidDel="00000000" w:rsidP="00000000" w:rsidRDefault="00000000" w:rsidRPr="00000000" w14:paraId="00000012">
      <w:pPr>
        <w:spacing w:after="120" w:lineRule="auto"/>
        <w:jc w:val="center"/>
        <w:rPr>
          <w:b w:val="1"/>
          <w:bCs w:val="1"/>
          <w:sz w:val="28"/>
          <w:szCs w:val="28"/>
        </w:rPr>
      </w:pPr>
      <w:r w:rsidDel="00000000" w:rsidR="00000000" w:rsidRPr="00000000">
        <w:rPr>
          <w:rtl w:val="0"/>
        </w:rPr>
      </w:r>
    </w:p>
    <w:p w:rsidR="00000000" w:rsidDel="00000000" w:rsidP="00000000" w:rsidRDefault="00000000" w:rsidRPr="00000000" w14:paraId="00000013">
      <w:pPr>
        <w:spacing w:after="120" w:lineRule="auto"/>
        <w:jc w:val="center"/>
        <w:rPr>
          <w:b w:val="1"/>
          <w:bCs w:val="1"/>
          <w:sz w:val="28"/>
          <w:szCs w:val="28"/>
        </w:rPr>
      </w:pPr>
      <w:r w:rsidDel="00000000" w:rsidR="00000000" w:rsidRPr="00000000">
        <w:rPr>
          <w:rtl w:val="0"/>
        </w:rPr>
      </w:r>
    </w:p>
    <w:p w:rsidR="00000000" w:rsidDel="00000000" w:rsidP="00000000" w:rsidRDefault="00000000" w:rsidRPr="00000000" w14:paraId="00000014">
      <w:pPr>
        <w:spacing w:after="120" w:lineRule="auto"/>
        <w:jc w:val="left"/>
        <w:rPr>
          <w:b w:val="1"/>
          <w:bCs w:val="1"/>
          <w:sz w:val="28"/>
          <w:szCs w:val="28"/>
        </w:rPr>
      </w:pPr>
      <w:r w:rsidDel="00000000" w:rsidR="00000000" w:rsidRPr="00000000">
        <w:rPr>
          <w:rtl w:val="0"/>
        </w:rPr>
      </w:r>
    </w:p>
    <w:p w:rsidR="00000000" w:rsidDel="00000000" w:rsidP="00000000" w:rsidRDefault="00000000" w:rsidRPr="00000000" w14:paraId="00000015">
      <w:pPr>
        <w:spacing w:after="120" w:lineRule="auto"/>
        <w:jc w:val="left"/>
        <w:rPr>
          <w:b w:val="1"/>
          <w:bCs w:val="1"/>
          <w:sz w:val="28"/>
          <w:szCs w:val="28"/>
        </w:rPr>
      </w:pPr>
      <w:r w:rsidDel="00000000" w:rsidR="00000000" w:rsidRPr="00000000">
        <w:rPr>
          <w:rtl w:val="0"/>
        </w:rPr>
      </w:r>
    </w:p>
    <w:p w:rsidR="00000000" w:rsidDel="00000000" w:rsidP="00000000" w:rsidRDefault="00000000" w:rsidRPr="00000000" w14:paraId="00000016">
      <w:pPr>
        <w:pStyle w:val="Heading1"/>
        <w:spacing w:after="240" w:before="240" w:lineRule="auto"/>
        <w:ind w:left="0" w:firstLine="0"/>
        <w:rPr>
          <w:b w:val="0"/>
          <w:bCs w:val="0"/>
          <w:i w:val="1"/>
          <w:iCs w:val="1"/>
          <w:sz w:val="24"/>
          <w:szCs w:val="24"/>
        </w:rPr>
      </w:pPr>
      <w:bookmarkStart w:colFirst="0" w:colLast="0" w:name="_5hf77xv1whfc" w:id="0"/>
      <w:bookmarkEnd w:id="0"/>
      <w:r w:rsidDel="00000000" w:rsidR="00000000" w:rsidRPr="00000000">
        <w:rPr>
          <w:rtl w:val="0"/>
        </w:rPr>
      </w:r>
    </w:p>
    <w:p w:rsidR="00000000" w:rsidDel="00000000" w:rsidP="00000000" w:rsidRDefault="00000000" w:rsidRPr="00000000" w14:paraId="00000017">
      <w:pPr>
        <w:pStyle w:val="Heading1"/>
        <w:spacing w:after="240" w:before="240" w:lineRule="auto"/>
        <w:ind w:left="720" w:firstLine="0"/>
        <w:rPr/>
      </w:pPr>
      <w:bookmarkStart w:colFirst="0" w:colLast="0" w:name="_vp1nh7v9sieb" w:id="1"/>
      <w:bookmarkEnd w:id="1"/>
      <w:r w:rsidDel="00000000" w:rsidR="00000000" w:rsidRPr="00000000">
        <w:rPr>
          <w:rtl w:val="0"/>
        </w:rPr>
      </w:r>
    </w:p>
    <w:p w:rsidR="00000000" w:rsidDel="00000000" w:rsidP="00000000" w:rsidRDefault="00000000" w:rsidRPr="00000000" w14:paraId="00000018">
      <w:pPr>
        <w:pStyle w:val="Heading1"/>
        <w:spacing w:after="240" w:before="240" w:lineRule="auto"/>
        <w:ind w:left="0" w:firstLine="0"/>
        <w:rPr>
          <w:rFonts w:ascii="Arial" w:cs="Arial" w:eastAsia="Arial" w:hAnsi="Arial"/>
          <w:b w:val="1"/>
          <w:bCs w:val="1"/>
          <w:color w:val="000000"/>
          <w:sz w:val="32"/>
          <w:szCs w:val="32"/>
        </w:rPr>
      </w:pPr>
      <w:bookmarkStart w:colFirst="0" w:colLast="0" w:name="_q0f46glmfqai" w:id="2"/>
      <w:bookmarkEnd w:id="2"/>
      <w:r w:rsidDel="00000000" w:rsidR="00000000" w:rsidRPr="00000000">
        <w:rPr>
          <w:rFonts w:ascii="Arial" w:cs="Arial" w:eastAsia="Arial" w:hAnsi="Arial"/>
          <w:b w:val="1"/>
          <w:bCs w:val="1"/>
          <w:color w:val="000000"/>
          <w:sz w:val="32"/>
          <w:szCs w:val="32"/>
          <w:rtl w:val="0"/>
        </w:rPr>
        <w:t xml:space="preserve">Table of Contents</w:t>
        <w:br w:type="textWrapping"/>
      </w:r>
    </w:p>
    <w:sdt>
      <w:sdtPr>
        <w:id w:val="750571093"/>
        <w:docPartObj>
          <w:docPartGallery w:val="Table of Contents"/>
          <w:docPartUnique w:val="1"/>
        </w:docPartObj>
      </w:sdtPr>
      <w:sdtContent>
        <w:p w:rsidR="00000000" w:rsidDel="00000000" w:rsidP="00000000" w:rsidRDefault="00000000" w:rsidRPr="00000000" w14:paraId="00000019">
          <w:pPr>
            <w:widowControl w:val="0"/>
            <w:tabs>
              <w:tab w:val="right" w:leader="none" w:pos="12000"/>
            </w:tabs>
            <w:spacing w:before="60" w:lineRule="auto"/>
            <w:rPr>
              <w:b w:val="1"/>
              <w:bCs w:val="1"/>
              <w:color w:val="000000"/>
              <w:u w:val="none"/>
            </w:rPr>
          </w:pPr>
          <w:r w:rsidDel="00000000" w:rsidR="00000000" w:rsidRPr="00000000">
            <w:fldChar w:fldCharType="begin"/>
            <w:instrText xml:space="preserve"> TOC \h \u \z \t "Heading 1,1,Heading 2,2,Heading 3,3,Heading 4,4,Heading 5,5,Heading 6,6,"</w:instrText>
            <w:fldChar w:fldCharType="separate"/>
          </w:r>
          <w:r w:rsidDel="00000000" w:rsidR="00000000" w:rsidRPr="00000000">
            <w:rPr>
              <w:b w:val="1"/>
              <w:bCs w:val="1"/>
              <w:color w:val="000000"/>
              <w:u w:val="none"/>
              <w:rtl w:val="0"/>
            </w:rPr>
            <w:t xml:space="preserve">Table of Contents</w:t>
            <w:tab/>
          </w:r>
          <w:r w:rsidDel="00000000" w:rsidR="00000000" w:rsidRPr="00000000">
            <w:rPr>
              <w:b w:val="1"/>
              <w:bCs w:val="1"/>
              <w:rtl w:val="0"/>
            </w:rPr>
            <w:t xml:space="preserve">2</w:t>
          </w:r>
          <w:r w:rsidDel="00000000" w:rsidR="00000000" w:rsidRPr="00000000">
            <w:rPr>
              <w:rtl w:val="0"/>
            </w:rPr>
          </w:r>
        </w:p>
        <w:p w:rsidR="00000000" w:rsidDel="00000000" w:rsidP="00000000" w:rsidRDefault="00000000" w:rsidRPr="00000000" w14:paraId="0000001A">
          <w:pPr>
            <w:widowControl w:val="0"/>
            <w:tabs>
              <w:tab w:val="right" w:leader="none" w:pos="12000"/>
            </w:tabs>
            <w:spacing w:before="60" w:lineRule="auto"/>
            <w:rPr>
              <w:b w:val="1"/>
              <w:bCs w:val="1"/>
              <w:color w:val="000000"/>
              <w:u w:val="none"/>
            </w:rPr>
          </w:pPr>
          <w:r w:rsidDel="00000000" w:rsidR="00000000" w:rsidRPr="00000000">
            <w:rPr>
              <w:b w:val="1"/>
              <w:bCs w:val="1"/>
              <w:color w:val="000000"/>
              <w:u w:val="none"/>
              <w:rtl w:val="0"/>
            </w:rPr>
            <w:t xml:space="preserve">List of Figures</w:t>
            <w:tab/>
          </w:r>
          <w:r w:rsidDel="00000000" w:rsidR="00000000" w:rsidRPr="00000000">
            <w:rPr>
              <w:b w:val="1"/>
              <w:bCs w:val="1"/>
              <w:rtl w:val="0"/>
            </w:rPr>
            <w:t xml:space="preserve">3</w:t>
          </w:r>
          <w:r w:rsidDel="00000000" w:rsidR="00000000" w:rsidRPr="00000000">
            <w:rPr>
              <w:rtl w:val="0"/>
            </w:rPr>
          </w:r>
        </w:p>
        <w:p w:rsidR="00000000" w:rsidDel="00000000" w:rsidP="00000000" w:rsidRDefault="00000000" w:rsidRPr="00000000" w14:paraId="0000001B">
          <w:pPr>
            <w:widowControl w:val="0"/>
            <w:tabs>
              <w:tab w:val="right" w:leader="none" w:pos="12000"/>
            </w:tabs>
            <w:spacing w:before="60" w:lineRule="auto"/>
            <w:rPr>
              <w:b w:val="1"/>
              <w:bCs w:val="1"/>
              <w:color w:val="000000"/>
              <w:u w:val="none"/>
            </w:rPr>
          </w:pPr>
          <w:r w:rsidDel="00000000" w:rsidR="00000000" w:rsidRPr="00000000">
            <w:rPr>
              <w:b w:val="1"/>
              <w:bCs w:val="1"/>
              <w:color w:val="000000"/>
              <w:u w:val="none"/>
              <w:rtl w:val="0"/>
            </w:rPr>
            <w:t xml:space="preserve">List of Tables</w:t>
            <w:tab/>
          </w:r>
          <w:r w:rsidDel="00000000" w:rsidR="00000000" w:rsidRPr="00000000">
            <w:rPr>
              <w:b w:val="1"/>
              <w:bCs w:val="1"/>
              <w:rtl w:val="0"/>
            </w:rPr>
            <w:t xml:space="preserve">3</w:t>
          </w:r>
          <w:r w:rsidDel="00000000" w:rsidR="00000000" w:rsidRPr="00000000">
            <w:rPr>
              <w:rtl w:val="0"/>
            </w:rPr>
          </w:r>
        </w:p>
        <w:p w:rsidR="00000000" w:rsidDel="00000000" w:rsidP="00000000" w:rsidRDefault="00000000" w:rsidRPr="00000000" w14:paraId="0000001C">
          <w:pPr>
            <w:widowControl w:val="0"/>
            <w:tabs>
              <w:tab w:val="right" w:leader="none" w:pos="12000"/>
            </w:tabs>
            <w:spacing w:before="60" w:lineRule="auto"/>
            <w:rPr>
              <w:b w:val="1"/>
              <w:bCs w:val="1"/>
              <w:color w:val="000000"/>
              <w:u w:val="none"/>
            </w:rPr>
          </w:pPr>
          <w:r w:rsidDel="00000000" w:rsidR="00000000" w:rsidRPr="00000000">
            <w:rPr>
              <w:b w:val="1"/>
              <w:bCs w:val="1"/>
              <w:color w:val="000000"/>
              <w:u w:val="none"/>
              <w:rtl w:val="0"/>
            </w:rPr>
            <w:t xml:space="preserve">Section 1: Strategic Market Entry Analysis</w:t>
            <w:tab/>
          </w:r>
          <w:r w:rsidDel="00000000" w:rsidR="00000000" w:rsidRPr="00000000">
            <w:rPr>
              <w:b w:val="1"/>
              <w:bCs w:val="1"/>
              <w:rtl w:val="0"/>
            </w:rPr>
            <w:t xml:space="preserve">4</w:t>
          </w:r>
          <w:r w:rsidDel="00000000" w:rsidR="00000000" w:rsidRPr="00000000">
            <w:rPr>
              <w:rtl w:val="0"/>
            </w:rPr>
          </w:r>
        </w:p>
        <w:p w:rsidR="00000000" w:rsidDel="00000000" w:rsidP="00000000" w:rsidRDefault="00000000" w:rsidRPr="00000000" w14:paraId="0000001D">
          <w:pPr>
            <w:widowControl w:val="0"/>
            <w:tabs>
              <w:tab w:val="right" w:leader="none" w:pos="12000"/>
            </w:tabs>
            <w:spacing w:before="60" w:lineRule="auto"/>
            <w:ind w:left="360" w:firstLine="0"/>
            <w:rPr>
              <w:color w:val="000000"/>
              <w:u w:val="none"/>
            </w:rPr>
          </w:pPr>
          <w:r w:rsidDel="00000000" w:rsidR="00000000" w:rsidRPr="00000000">
            <w:rPr>
              <w:color w:val="000000"/>
              <w:u w:val="none"/>
              <w:rtl w:val="0"/>
            </w:rPr>
            <w:t xml:space="preserve">1.1 Organisational Classification and Global Strategy</w:t>
            <w:tab/>
          </w:r>
          <w:r w:rsidDel="00000000" w:rsidR="00000000" w:rsidRPr="00000000">
            <w:rPr>
              <w:rtl w:val="0"/>
            </w:rPr>
            <w:t xml:space="preserve">4</w:t>
          </w:r>
          <w:r w:rsidDel="00000000" w:rsidR="00000000" w:rsidRPr="00000000">
            <w:rPr>
              <w:rtl w:val="0"/>
            </w:rPr>
          </w:r>
        </w:p>
        <w:p w:rsidR="00000000" w:rsidDel="00000000" w:rsidP="00000000" w:rsidRDefault="00000000" w:rsidRPr="00000000" w14:paraId="0000001E">
          <w:pPr>
            <w:widowControl w:val="0"/>
            <w:tabs>
              <w:tab w:val="right" w:leader="none" w:pos="12000"/>
            </w:tabs>
            <w:spacing w:before="60" w:lineRule="auto"/>
            <w:ind w:left="360" w:firstLine="0"/>
            <w:rPr>
              <w:color w:val="000000"/>
              <w:u w:val="none"/>
            </w:rPr>
          </w:pPr>
          <w:r w:rsidDel="00000000" w:rsidR="00000000" w:rsidRPr="00000000">
            <w:rPr>
              <w:color w:val="000000"/>
              <w:u w:val="none"/>
              <w:rtl w:val="0"/>
            </w:rPr>
            <w:t xml:space="preserve">2.1 Macro-Environmental Appraisal and Market Attractiveness</w:t>
            <w:tab/>
          </w:r>
          <w:r w:rsidDel="00000000" w:rsidR="00000000" w:rsidRPr="00000000">
            <w:rPr>
              <w:rtl w:val="0"/>
            </w:rPr>
            <w:t xml:space="preserve">7</w:t>
          </w:r>
          <w:r w:rsidDel="00000000" w:rsidR="00000000" w:rsidRPr="00000000">
            <w:rPr>
              <w:rtl w:val="0"/>
            </w:rPr>
          </w:r>
        </w:p>
        <w:p w:rsidR="00000000" w:rsidDel="00000000" w:rsidP="00000000" w:rsidRDefault="00000000" w:rsidRPr="00000000" w14:paraId="0000001F">
          <w:pPr>
            <w:widowControl w:val="0"/>
            <w:tabs>
              <w:tab w:val="right" w:leader="none" w:pos="12000"/>
            </w:tabs>
            <w:spacing w:before="60" w:lineRule="auto"/>
            <w:ind w:left="360" w:firstLine="0"/>
            <w:rPr>
              <w:color w:val="000000"/>
              <w:u w:val="none"/>
            </w:rPr>
          </w:pPr>
          <w:r w:rsidDel="00000000" w:rsidR="00000000" w:rsidRPr="00000000">
            <w:rPr>
              <w:color w:val="000000"/>
              <w:u w:val="none"/>
              <w:rtl w:val="0"/>
            </w:rPr>
            <w:t xml:space="preserve">PESTEL summary, prioritised rather than exhaustive</w:t>
            <w:tab/>
          </w:r>
          <w:r w:rsidDel="00000000" w:rsidR="00000000" w:rsidRPr="00000000">
            <w:rPr>
              <w:rtl w:val="0"/>
            </w:rPr>
            <w:t xml:space="preserve">7</w:t>
          </w:r>
          <w:r w:rsidDel="00000000" w:rsidR="00000000" w:rsidRPr="00000000">
            <w:rPr>
              <w:rtl w:val="0"/>
            </w:rPr>
          </w:r>
        </w:p>
        <w:p w:rsidR="00000000" w:rsidDel="00000000" w:rsidP="00000000" w:rsidRDefault="00000000" w:rsidRPr="00000000" w14:paraId="00000020">
          <w:pPr>
            <w:widowControl w:val="0"/>
            <w:tabs>
              <w:tab w:val="right" w:leader="none" w:pos="12000"/>
            </w:tabs>
            <w:spacing w:before="60" w:lineRule="auto"/>
            <w:ind w:left="360" w:firstLine="0"/>
            <w:rPr>
              <w:color w:val="000000"/>
              <w:u w:val="none"/>
            </w:rPr>
          </w:pPr>
          <w:r w:rsidDel="00000000" w:rsidR="00000000" w:rsidRPr="00000000">
            <w:rPr>
              <w:color w:val="000000"/>
              <w:u w:val="none"/>
              <w:rtl w:val="0"/>
            </w:rPr>
            <w:t xml:space="preserve">Economic factors: the pull is real and unusually strong</w:t>
            <w:tab/>
          </w:r>
          <w:r w:rsidDel="00000000" w:rsidR="00000000" w:rsidRPr="00000000">
            <w:rPr>
              <w:rtl w:val="0"/>
            </w:rPr>
            <w:t xml:space="preserve">7</w:t>
          </w:r>
          <w:r w:rsidDel="00000000" w:rsidR="00000000" w:rsidRPr="00000000">
            <w:rPr>
              <w:rtl w:val="0"/>
            </w:rPr>
          </w:r>
        </w:p>
        <w:p w:rsidR="00000000" w:rsidDel="00000000" w:rsidP="00000000" w:rsidRDefault="00000000" w:rsidRPr="00000000" w14:paraId="00000021">
          <w:pPr>
            <w:widowControl w:val="0"/>
            <w:tabs>
              <w:tab w:val="right" w:leader="none" w:pos="12000"/>
            </w:tabs>
            <w:spacing w:before="60" w:lineRule="auto"/>
            <w:ind w:left="360" w:firstLine="0"/>
            <w:rPr>
              <w:color w:val="000000"/>
              <w:u w:val="none"/>
            </w:rPr>
          </w:pPr>
          <w:r w:rsidDel="00000000" w:rsidR="00000000" w:rsidRPr="00000000">
            <w:rPr>
              <w:color w:val="000000"/>
              <w:u w:val="none"/>
              <w:rtl w:val="0"/>
            </w:rPr>
            <w:t xml:space="preserve">Social and cultural factors: the positioning problem</w:t>
            <w:tab/>
          </w:r>
          <w:r w:rsidDel="00000000" w:rsidR="00000000" w:rsidRPr="00000000">
            <w:rPr>
              <w:rtl w:val="0"/>
            </w:rPr>
            <w:t xml:space="preserve">9</w:t>
          </w:r>
          <w:r w:rsidDel="00000000" w:rsidR="00000000" w:rsidRPr="00000000">
            <w:rPr>
              <w:rtl w:val="0"/>
            </w:rPr>
          </w:r>
        </w:p>
        <w:p w:rsidR="00000000" w:rsidDel="00000000" w:rsidP="00000000" w:rsidRDefault="00000000" w:rsidRPr="00000000" w14:paraId="00000022">
          <w:pPr>
            <w:widowControl w:val="0"/>
            <w:tabs>
              <w:tab w:val="right" w:leader="none" w:pos="12000"/>
            </w:tabs>
            <w:spacing w:before="60" w:lineRule="auto"/>
            <w:ind w:left="360" w:firstLine="0"/>
            <w:rPr>
              <w:color w:val="000000"/>
              <w:u w:val="none"/>
            </w:rPr>
          </w:pPr>
          <w:r w:rsidDel="00000000" w:rsidR="00000000" w:rsidRPr="00000000">
            <w:rPr>
              <w:color w:val="000000"/>
              <w:u w:val="none"/>
              <w:rtl w:val="0"/>
            </w:rPr>
            <w:t xml:space="preserve">Legal and operational factors: how you enter is prescribed</w:t>
            <w:tab/>
          </w:r>
          <w:r w:rsidDel="00000000" w:rsidR="00000000" w:rsidRPr="00000000">
            <w:rPr>
              <w:rtl w:val="0"/>
            </w:rPr>
            <w:t xml:space="preserve">9</w:t>
          </w:r>
          <w:r w:rsidDel="00000000" w:rsidR="00000000" w:rsidRPr="00000000">
            <w:rPr>
              <w:rtl w:val="0"/>
            </w:rPr>
          </w:r>
        </w:p>
        <w:p w:rsidR="00000000" w:rsidDel="00000000" w:rsidP="00000000" w:rsidRDefault="00000000" w:rsidRPr="00000000" w14:paraId="00000023">
          <w:pPr>
            <w:widowControl w:val="0"/>
            <w:tabs>
              <w:tab w:val="right" w:leader="none" w:pos="12000"/>
            </w:tabs>
            <w:spacing w:before="60" w:lineRule="auto"/>
            <w:ind w:left="360" w:firstLine="0"/>
            <w:rPr>
              <w:color w:val="000000"/>
              <w:u w:val="none"/>
            </w:rPr>
          </w:pPr>
          <w:r w:rsidDel="00000000" w:rsidR="00000000" w:rsidRPr="00000000">
            <w:rPr>
              <w:color w:val="000000"/>
              <w:u w:val="none"/>
              <w:rtl w:val="0"/>
            </w:rPr>
            <w:t xml:space="preserve">Supply-chain factors: the bake-in-store problem</w:t>
            <w:tab/>
          </w:r>
          <w:r w:rsidDel="00000000" w:rsidR="00000000" w:rsidRPr="00000000">
            <w:rPr>
              <w:rtl w:val="0"/>
            </w:rPr>
            <w:t xml:space="preserve">10</w:t>
          </w:r>
          <w:r w:rsidDel="00000000" w:rsidR="00000000" w:rsidRPr="00000000">
            <w:rPr>
              <w:rtl w:val="0"/>
            </w:rPr>
          </w:r>
        </w:p>
        <w:p w:rsidR="00000000" w:rsidDel="00000000" w:rsidP="00000000" w:rsidRDefault="00000000" w:rsidRPr="00000000" w14:paraId="00000024">
          <w:pPr>
            <w:widowControl w:val="0"/>
            <w:tabs>
              <w:tab w:val="right" w:leader="none" w:pos="12000"/>
            </w:tabs>
            <w:spacing w:before="60" w:lineRule="auto"/>
            <w:ind w:left="360" w:firstLine="0"/>
            <w:rPr>
              <w:color w:val="000000"/>
              <w:u w:val="none"/>
            </w:rPr>
          </w:pPr>
          <w:r w:rsidDel="00000000" w:rsidR="00000000" w:rsidRPr="00000000">
            <w:rPr>
              <w:color w:val="000000"/>
              <w:u w:val="none"/>
              <w:rtl w:val="0"/>
            </w:rPr>
            <w:t xml:space="preserve">Competitive context: who Greggs would be up against</w:t>
            <w:tab/>
          </w:r>
          <w:r w:rsidDel="00000000" w:rsidR="00000000" w:rsidRPr="00000000">
            <w:rPr>
              <w:rtl w:val="0"/>
            </w:rPr>
            <w:t xml:space="preserve">10</w:t>
          </w:r>
          <w:r w:rsidDel="00000000" w:rsidR="00000000" w:rsidRPr="00000000">
            <w:rPr>
              <w:rtl w:val="0"/>
            </w:rPr>
          </w:r>
        </w:p>
        <w:p w:rsidR="00000000" w:rsidDel="00000000" w:rsidP="00000000" w:rsidRDefault="00000000" w:rsidRPr="00000000" w14:paraId="00000025">
          <w:pPr>
            <w:widowControl w:val="0"/>
            <w:tabs>
              <w:tab w:val="right" w:leader="none" w:pos="12000"/>
            </w:tabs>
            <w:spacing w:before="60" w:lineRule="auto"/>
            <w:ind w:left="360" w:firstLine="0"/>
            <w:rPr>
              <w:color w:val="000000"/>
              <w:u w:val="none"/>
            </w:rPr>
          </w:pPr>
          <w:r w:rsidDel="00000000" w:rsidR="00000000" w:rsidRPr="00000000">
            <w:rPr>
              <w:color w:val="000000"/>
              <w:u w:val="none"/>
              <w:rtl w:val="0"/>
            </w:rPr>
            <w:t xml:space="preserve">2.2 Market Entry Synthesis: Dunning's Eclectic (OLI) Paradigm</w:t>
            <w:tab/>
          </w:r>
          <w:r w:rsidDel="00000000" w:rsidR="00000000" w:rsidRPr="00000000">
            <w:rPr>
              <w:rtl w:val="0"/>
            </w:rPr>
            <w:t xml:space="preserve">12</w:t>
          </w:r>
          <w:r w:rsidDel="00000000" w:rsidR="00000000" w:rsidRPr="00000000">
            <w:rPr>
              <w:rtl w:val="0"/>
            </w:rPr>
          </w:r>
        </w:p>
        <w:p w:rsidR="00000000" w:rsidDel="00000000" w:rsidP="00000000" w:rsidRDefault="00000000" w:rsidRPr="00000000" w14:paraId="00000026">
          <w:pPr>
            <w:widowControl w:val="0"/>
            <w:tabs>
              <w:tab w:val="right" w:leader="none" w:pos="12000"/>
            </w:tabs>
            <w:spacing w:before="60" w:lineRule="auto"/>
            <w:rPr>
              <w:b w:val="1"/>
              <w:bCs w:val="1"/>
              <w:color w:val="000000"/>
              <w:u w:val="none"/>
            </w:rPr>
          </w:pPr>
          <w:r w:rsidDel="00000000" w:rsidR="00000000" w:rsidRPr="00000000">
            <w:rPr>
              <w:b w:val="1"/>
              <w:bCs w:val="1"/>
              <w:color w:val="000000"/>
              <w:u w:val="none"/>
              <w:rtl w:val="0"/>
            </w:rPr>
            <w:t xml:space="preserve">Section 3: Entry Mode Strategy and Strategic Synthesis</w:t>
            <w:tab/>
          </w:r>
          <w:r w:rsidDel="00000000" w:rsidR="00000000" w:rsidRPr="00000000">
            <w:rPr>
              <w:b w:val="1"/>
              <w:bCs w:val="1"/>
              <w:rtl w:val="0"/>
            </w:rPr>
            <w:t xml:space="preserve">14</w:t>
          </w:r>
          <w:r w:rsidDel="00000000" w:rsidR="00000000" w:rsidRPr="00000000">
            <w:rPr>
              <w:rtl w:val="0"/>
            </w:rPr>
          </w:r>
        </w:p>
        <w:p w:rsidR="00000000" w:rsidDel="00000000" w:rsidP="00000000" w:rsidRDefault="00000000" w:rsidRPr="00000000" w14:paraId="00000027">
          <w:pPr>
            <w:widowControl w:val="0"/>
            <w:tabs>
              <w:tab w:val="right" w:leader="none" w:pos="12000"/>
            </w:tabs>
            <w:spacing w:before="60" w:lineRule="auto"/>
            <w:ind w:left="360" w:firstLine="0"/>
            <w:rPr>
              <w:color w:val="000000"/>
              <w:u w:val="none"/>
            </w:rPr>
          </w:pPr>
          <w:r w:rsidDel="00000000" w:rsidR="00000000" w:rsidRPr="00000000">
            <w:rPr>
              <w:color w:val="000000"/>
              <w:u w:val="none"/>
              <w:rtl w:val="0"/>
            </w:rPr>
            <w:t xml:space="preserve">3.1 Historical pattern recognition</w:t>
            <w:tab/>
          </w:r>
          <w:r w:rsidDel="00000000" w:rsidR="00000000" w:rsidRPr="00000000">
            <w:rPr>
              <w:rtl w:val="0"/>
            </w:rPr>
            <w:t xml:space="preserve">14</w:t>
          </w:r>
          <w:r w:rsidDel="00000000" w:rsidR="00000000" w:rsidRPr="00000000">
            <w:rPr>
              <w:rtl w:val="0"/>
            </w:rPr>
          </w:r>
        </w:p>
        <w:p w:rsidR="00000000" w:rsidDel="00000000" w:rsidP="00000000" w:rsidRDefault="00000000" w:rsidRPr="00000000" w14:paraId="00000028">
          <w:pPr>
            <w:widowControl w:val="0"/>
            <w:tabs>
              <w:tab w:val="right" w:leader="none" w:pos="12000"/>
            </w:tabs>
            <w:spacing w:before="60" w:lineRule="auto"/>
            <w:ind w:left="360" w:firstLine="0"/>
            <w:rPr>
              <w:color w:val="000000"/>
              <w:u w:val="none"/>
            </w:rPr>
          </w:pPr>
          <w:r w:rsidDel="00000000" w:rsidR="00000000" w:rsidRPr="00000000">
            <w:rPr>
              <w:color w:val="000000"/>
              <w:u w:val="none"/>
              <w:rtl w:val="0"/>
            </w:rPr>
            <w:t xml:space="preserve">3.2 Strategic fit and justification</w:t>
            <w:tab/>
          </w:r>
          <w:r w:rsidDel="00000000" w:rsidR="00000000" w:rsidRPr="00000000">
            <w:rPr>
              <w:rtl w:val="0"/>
            </w:rPr>
            <w:t xml:space="preserve">14</w:t>
          </w:r>
          <w:r w:rsidDel="00000000" w:rsidR="00000000" w:rsidRPr="00000000">
            <w:rPr>
              <w:rtl w:val="0"/>
            </w:rPr>
          </w:r>
        </w:p>
        <w:p w:rsidR="00000000" w:rsidDel="00000000" w:rsidP="00000000" w:rsidRDefault="00000000" w:rsidRPr="00000000" w14:paraId="00000029">
          <w:pPr>
            <w:widowControl w:val="0"/>
            <w:tabs>
              <w:tab w:val="right" w:leader="none" w:pos="12000"/>
            </w:tabs>
            <w:spacing w:before="60" w:lineRule="auto"/>
            <w:ind w:left="360" w:firstLine="0"/>
            <w:rPr>
              <w:color w:val="000000"/>
              <w:u w:val="none"/>
            </w:rPr>
          </w:pPr>
          <w:r w:rsidDel="00000000" w:rsidR="00000000" w:rsidRPr="00000000">
            <w:rPr>
              <w:color w:val="000000"/>
              <w:u w:val="none"/>
              <w:rtl w:val="0"/>
            </w:rPr>
            <w:t xml:space="preserve">3.3 Conclusion and recommendations</w:t>
            <w:tab/>
          </w:r>
          <w:r w:rsidDel="00000000" w:rsidR="00000000" w:rsidRPr="00000000">
            <w:rPr>
              <w:rtl w:val="0"/>
            </w:rPr>
            <w:t xml:space="preserve">16</w:t>
          </w:r>
          <w:r w:rsidDel="00000000" w:rsidR="00000000" w:rsidRPr="00000000">
            <w:rPr>
              <w:rtl w:val="0"/>
            </w:rPr>
          </w:r>
        </w:p>
        <w:p w:rsidR="00000000" w:rsidDel="00000000" w:rsidP="00000000" w:rsidRDefault="00000000" w:rsidRPr="00000000" w14:paraId="0000002A">
          <w:pPr>
            <w:widowControl w:val="0"/>
            <w:tabs>
              <w:tab w:val="right" w:leader="none" w:pos="12000"/>
            </w:tabs>
            <w:spacing w:before="60" w:lineRule="auto"/>
            <w:rPr>
              <w:b w:val="1"/>
              <w:bCs w:val="1"/>
              <w:color w:val="000000"/>
              <w:u w:val="none"/>
            </w:rPr>
          </w:pPr>
          <w:r w:rsidDel="00000000" w:rsidR="00000000" w:rsidRPr="00000000">
            <w:rPr>
              <w:b w:val="1"/>
              <w:bCs w:val="1"/>
              <w:color w:val="000000"/>
              <w:u w:val="none"/>
              <w:rtl w:val="0"/>
            </w:rPr>
            <w:t xml:space="preserve">Section 2: Reflective Account</w:t>
            <w:tab/>
          </w:r>
          <w:r w:rsidDel="00000000" w:rsidR="00000000" w:rsidRPr="00000000">
            <w:rPr>
              <w:b w:val="1"/>
              <w:bCs w:val="1"/>
              <w:rtl w:val="0"/>
            </w:rPr>
            <w:t xml:space="preserve">19</w:t>
          </w:r>
          <w:r w:rsidDel="00000000" w:rsidR="00000000" w:rsidRPr="00000000">
            <w:rPr>
              <w:rtl w:val="0"/>
            </w:rPr>
          </w:r>
        </w:p>
        <w:p w:rsidR="00000000" w:rsidDel="00000000" w:rsidP="00000000" w:rsidRDefault="00000000" w:rsidRPr="00000000" w14:paraId="0000002B">
          <w:pPr>
            <w:widowControl w:val="0"/>
            <w:tabs>
              <w:tab w:val="right" w:leader="none" w:pos="12000"/>
            </w:tabs>
            <w:spacing w:before="60" w:lineRule="auto"/>
            <w:ind w:left="360" w:firstLine="0"/>
            <w:rPr>
              <w:color w:val="000000"/>
              <w:u w:val="none"/>
            </w:rPr>
          </w:pPr>
          <w:r w:rsidDel="00000000" w:rsidR="00000000" w:rsidRPr="00000000">
            <w:rPr>
              <w:color w:val="000000"/>
              <w:u w:val="none"/>
              <w:rtl w:val="0"/>
            </w:rPr>
            <w:t xml:space="preserve">Description</w:t>
            <w:tab/>
          </w:r>
          <w:r w:rsidDel="00000000" w:rsidR="00000000" w:rsidRPr="00000000">
            <w:rPr>
              <w:rtl w:val="0"/>
            </w:rPr>
            <w:t xml:space="preserve">19</w:t>
          </w:r>
          <w:r w:rsidDel="00000000" w:rsidR="00000000" w:rsidRPr="00000000">
            <w:rPr>
              <w:rtl w:val="0"/>
            </w:rPr>
          </w:r>
        </w:p>
        <w:p w:rsidR="00000000" w:rsidDel="00000000" w:rsidP="00000000" w:rsidRDefault="00000000" w:rsidRPr="00000000" w14:paraId="0000002C">
          <w:pPr>
            <w:widowControl w:val="0"/>
            <w:tabs>
              <w:tab w:val="right" w:leader="none" w:pos="12000"/>
            </w:tabs>
            <w:spacing w:before="60" w:lineRule="auto"/>
            <w:ind w:left="360" w:firstLine="0"/>
            <w:rPr>
              <w:color w:val="000000"/>
              <w:u w:val="none"/>
            </w:rPr>
          </w:pPr>
          <w:r w:rsidDel="00000000" w:rsidR="00000000" w:rsidRPr="00000000">
            <w:rPr>
              <w:color w:val="000000"/>
              <w:u w:val="none"/>
              <w:rtl w:val="0"/>
            </w:rPr>
            <w:t xml:space="preserve">Feelings</w:t>
            <w:tab/>
          </w:r>
          <w:r w:rsidDel="00000000" w:rsidR="00000000" w:rsidRPr="00000000">
            <w:rPr>
              <w:rtl w:val="0"/>
            </w:rPr>
            <w:t xml:space="preserve">19</w:t>
          </w:r>
          <w:r w:rsidDel="00000000" w:rsidR="00000000" w:rsidRPr="00000000">
            <w:rPr>
              <w:rtl w:val="0"/>
            </w:rPr>
          </w:r>
        </w:p>
        <w:p w:rsidR="00000000" w:rsidDel="00000000" w:rsidP="00000000" w:rsidRDefault="00000000" w:rsidRPr="00000000" w14:paraId="0000002D">
          <w:pPr>
            <w:widowControl w:val="0"/>
            <w:tabs>
              <w:tab w:val="right" w:leader="none" w:pos="12000"/>
            </w:tabs>
            <w:spacing w:before="60" w:lineRule="auto"/>
            <w:ind w:left="360" w:firstLine="0"/>
            <w:rPr>
              <w:color w:val="000000"/>
              <w:u w:val="none"/>
            </w:rPr>
          </w:pPr>
          <w:r w:rsidDel="00000000" w:rsidR="00000000" w:rsidRPr="00000000">
            <w:rPr>
              <w:color w:val="000000"/>
              <w:u w:val="none"/>
              <w:rtl w:val="0"/>
            </w:rPr>
            <w:t xml:space="preserve">Evaluation</w:t>
            <w:tab/>
          </w:r>
          <w:r w:rsidDel="00000000" w:rsidR="00000000" w:rsidRPr="00000000">
            <w:rPr>
              <w:rtl w:val="0"/>
            </w:rPr>
            <w:t xml:space="preserve">19</w:t>
          </w:r>
          <w:r w:rsidDel="00000000" w:rsidR="00000000" w:rsidRPr="00000000">
            <w:rPr>
              <w:rtl w:val="0"/>
            </w:rPr>
          </w:r>
        </w:p>
        <w:p w:rsidR="00000000" w:rsidDel="00000000" w:rsidP="00000000" w:rsidRDefault="00000000" w:rsidRPr="00000000" w14:paraId="0000002E">
          <w:pPr>
            <w:widowControl w:val="0"/>
            <w:tabs>
              <w:tab w:val="right" w:leader="none" w:pos="12000"/>
            </w:tabs>
            <w:spacing w:before="60" w:lineRule="auto"/>
            <w:ind w:left="360" w:firstLine="0"/>
            <w:rPr>
              <w:color w:val="000000"/>
              <w:u w:val="none"/>
            </w:rPr>
          </w:pPr>
          <w:r w:rsidDel="00000000" w:rsidR="00000000" w:rsidRPr="00000000">
            <w:rPr>
              <w:color w:val="000000"/>
              <w:u w:val="none"/>
              <w:rtl w:val="0"/>
            </w:rPr>
            <w:t xml:space="preserve">Analysis</w:t>
            <w:tab/>
          </w:r>
          <w:r w:rsidDel="00000000" w:rsidR="00000000" w:rsidRPr="00000000">
            <w:rPr>
              <w:rtl w:val="0"/>
            </w:rPr>
            <w:t xml:space="preserve">20</w:t>
          </w:r>
          <w:r w:rsidDel="00000000" w:rsidR="00000000" w:rsidRPr="00000000">
            <w:rPr>
              <w:rtl w:val="0"/>
            </w:rPr>
          </w:r>
        </w:p>
        <w:p w:rsidR="00000000" w:rsidDel="00000000" w:rsidP="00000000" w:rsidRDefault="00000000" w:rsidRPr="00000000" w14:paraId="0000002F">
          <w:pPr>
            <w:widowControl w:val="0"/>
            <w:tabs>
              <w:tab w:val="right" w:leader="none" w:pos="12000"/>
            </w:tabs>
            <w:spacing w:before="60" w:lineRule="auto"/>
            <w:ind w:left="360" w:firstLine="0"/>
            <w:rPr>
              <w:color w:val="000000"/>
              <w:u w:val="none"/>
            </w:rPr>
          </w:pPr>
          <w:r w:rsidDel="00000000" w:rsidR="00000000" w:rsidRPr="00000000">
            <w:rPr>
              <w:color w:val="000000"/>
              <w:u w:val="none"/>
              <w:rtl w:val="0"/>
            </w:rPr>
            <w:t xml:space="preserve">Conclusion</w:t>
            <w:tab/>
          </w:r>
          <w:r w:rsidDel="00000000" w:rsidR="00000000" w:rsidRPr="00000000">
            <w:rPr>
              <w:rtl w:val="0"/>
            </w:rPr>
            <w:t xml:space="preserve">21</w:t>
          </w:r>
          <w:r w:rsidDel="00000000" w:rsidR="00000000" w:rsidRPr="00000000">
            <w:rPr>
              <w:rtl w:val="0"/>
            </w:rPr>
          </w:r>
        </w:p>
        <w:p w:rsidR="00000000" w:rsidDel="00000000" w:rsidP="00000000" w:rsidRDefault="00000000" w:rsidRPr="00000000" w14:paraId="00000030">
          <w:pPr>
            <w:widowControl w:val="0"/>
            <w:tabs>
              <w:tab w:val="right" w:leader="none" w:pos="12000"/>
            </w:tabs>
            <w:spacing w:before="60" w:lineRule="auto"/>
            <w:ind w:left="360" w:firstLine="0"/>
            <w:rPr>
              <w:color w:val="000000"/>
              <w:u w:val="none"/>
            </w:rPr>
          </w:pPr>
          <w:r w:rsidDel="00000000" w:rsidR="00000000" w:rsidRPr="00000000">
            <w:rPr>
              <w:color w:val="000000"/>
              <w:u w:val="none"/>
              <w:rtl w:val="0"/>
            </w:rPr>
            <w:t xml:space="preserve">Action Plan</w:t>
            <w:tab/>
          </w:r>
          <w:r w:rsidDel="00000000" w:rsidR="00000000" w:rsidRPr="00000000">
            <w:rPr>
              <w:rtl w:val="0"/>
            </w:rPr>
            <w:t xml:space="preserve">21</w:t>
          </w:r>
          <w:r w:rsidDel="00000000" w:rsidR="00000000" w:rsidRPr="00000000">
            <w:rPr>
              <w:rtl w:val="0"/>
            </w:rPr>
          </w:r>
        </w:p>
        <w:p w:rsidR="00000000" w:rsidDel="00000000" w:rsidP="00000000" w:rsidRDefault="00000000" w:rsidRPr="00000000" w14:paraId="00000031">
          <w:pPr>
            <w:widowControl w:val="0"/>
            <w:tabs>
              <w:tab w:val="right" w:leader="none" w:pos="12000"/>
            </w:tabs>
            <w:spacing w:before="60" w:lineRule="auto"/>
            <w:rPr>
              <w:b w:val="1"/>
              <w:bCs w:val="1"/>
              <w:color w:val="000000"/>
              <w:u w:val="none"/>
            </w:rPr>
          </w:pPr>
          <w:r w:rsidDel="00000000" w:rsidR="00000000" w:rsidRPr="00000000">
            <w:rPr>
              <w:b w:val="1"/>
              <w:bCs w:val="1"/>
              <w:color w:val="000000"/>
              <w:u w:val="none"/>
              <w:rtl w:val="0"/>
            </w:rPr>
            <w:t xml:space="preserve">References</w:t>
            <w:tab/>
          </w:r>
          <w:r w:rsidDel="00000000" w:rsidR="00000000" w:rsidRPr="00000000">
            <w:rPr>
              <w:b w:val="1"/>
              <w:bCs w:val="1"/>
              <w:rtl w:val="0"/>
            </w:rPr>
            <w:t xml:space="preserve">22</w:t>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2">
      <w:pPr>
        <w:pStyle w:val="Heading1"/>
        <w:spacing w:after="140" w:before="280" w:lineRule="auto"/>
        <w:rPr/>
      </w:pPr>
      <w:r w:rsidDel="00000000" w:rsidR="00000000" w:rsidRPr="00000000">
        <w:rPr>
          <w:rtl w:val="0"/>
        </w:rPr>
      </w:r>
    </w:p>
    <w:sdt>
      <w:sdtPr>
        <w:id w:val="1258129074"/>
        <w:docPartObj>
          <w:docPartGallery w:val="Table of Contents"/>
          <w:docPartUnique w:val="1"/>
        </w:docPartObj>
      </w:sdtPr>
      <w:sdtContent>
        <w:p w:rsidR="00000000" w:rsidDel="00000000" w:rsidP="00000000" w:rsidRDefault="00000000" w:rsidRPr="00000000" w14:paraId="00000033">
          <w:pPr>
            <w:rPr/>
          </w:pPr>
          <w:r w:rsidDel="00000000" w:rsidR="00000000" w:rsidRPr="00000000">
            <w:fldChar w:fldCharType="begin"/>
            <w:instrText xml:space="preserve"> TOC \h \u \z \t "Heading 1,1,Heading 2,2,"</w:instrText>
            <w:fldChar w:fldCharType="separate"/>
          </w: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5">
      <w:pPr>
        <w:rPr/>
      </w:pPr>
      <w:r w:rsidDel="00000000" w:rsidR="00000000" w:rsidRPr="00000000">
        <w:br w:type="page"/>
      </w:r>
      <w:r w:rsidDel="00000000" w:rsidR="00000000" w:rsidRPr="00000000">
        <w:rPr>
          <w:rtl w:val="0"/>
        </w:rPr>
      </w:r>
    </w:p>
    <w:p w:rsidR="00000000" w:rsidDel="00000000" w:rsidP="00000000" w:rsidRDefault="00000000" w:rsidRPr="00000000" w14:paraId="00000036">
      <w:pPr>
        <w:pStyle w:val="Heading1"/>
        <w:spacing w:after="140" w:before="280" w:lineRule="auto"/>
        <w:rPr/>
      </w:pPr>
      <w:r w:rsidDel="00000000" w:rsidR="00000000" w:rsidRPr="00000000">
        <w:rPr>
          <w:rFonts w:ascii="Arial" w:cs="Arial" w:eastAsia="Arial" w:hAnsi="Arial"/>
          <w:b w:val="1"/>
          <w:bCs w:val="1"/>
          <w:color w:val="000000"/>
          <w:sz w:val="32"/>
          <w:szCs w:val="32"/>
          <w:rtl w:val="0"/>
        </w:rPr>
        <w:t xml:space="preserve">List of Figures</w:t>
      </w:r>
      <w:r w:rsidDel="00000000" w:rsidR="00000000" w:rsidRPr="00000000">
        <w:rPr>
          <w:rtl w:val="0"/>
        </w:rPr>
      </w:r>
    </w:p>
    <w:p w:rsidR="00000000" w:rsidDel="00000000" w:rsidP="00000000" w:rsidRDefault="00000000" w:rsidRPr="00000000" w14:paraId="00000037">
      <w:pPr>
        <w:spacing w:after="60" w:line="360" w:lineRule="auto"/>
        <w:rPr/>
      </w:pPr>
      <w:r w:rsidDel="00000000" w:rsidR="00000000" w:rsidRPr="00000000">
        <w:rPr>
          <w:rFonts w:ascii="Arial" w:cs="Arial" w:eastAsia="Arial" w:hAnsi="Arial"/>
          <w:sz w:val="24"/>
          <w:szCs w:val="24"/>
          <w:rtl w:val="0"/>
        </w:rPr>
        <w:t xml:space="preserve">Figure 1: Greggs total sales, 2021–2025</w:t>
      </w:r>
      <w:r w:rsidDel="00000000" w:rsidR="00000000" w:rsidRPr="00000000">
        <w:rPr>
          <w:rtl w:val="0"/>
        </w:rPr>
      </w:r>
    </w:p>
    <w:p w:rsidR="00000000" w:rsidDel="00000000" w:rsidP="00000000" w:rsidRDefault="00000000" w:rsidRPr="00000000" w14:paraId="00000038">
      <w:pPr>
        <w:spacing w:after="60" w:line="360" w:lineRule="auto"/>
        <w:rPr/>
      </w:pPr>
      <w:r w:rsidDel="00000000" w:rsidR="00000000" w:rsidRPr="00000000">
        <w:rPr>
          <w:rFonts w:ascii="Arial" w:cs="Arial" w:eastAsia="Arial" w:hAnsi="Arial"/>
          <w:sz w:val="24"/>
          <w:szCs w:val="24"/>
          <w:rtl w:val="0"/>
        </w:rPr>
        <w:t xml:space="preserve">Figure 2: Like-for-like growth, company-managed versus franchise</w:t>
      </w:r>
      <w:r w:rsidDel="00000000" w:rsidR="00000000" w:rsidRPr="00000000">
        <w:rPr>
          <w:rtl w:val="0"/>
        </w:rPr>
      </w:r>
    </w:p>
    <w:p w:rsidR="00000000" w:rsidDel="00000000" w:rsidP="00000000" w:rsidRDefault="00000000" w:rsidRPr="00000000" w14:paraId="00000039">
      <w:pPr>
        <w:spacing w:after="60" w:line="360" w:lineRule="auto"/>
        <w:rPr/>
      </w:pPr>
      <w:r w:rsidDel="00000000" w:rsidR="00000000" w:rsidRPr="00000000">
        <w:rPr>
          <w:rFonts w:ascii="Arial" w:cs="Arial" w:eastAsia="Arial" w:hAnsi="Arial"/>
          <w:sz w:val="24"/>
          <w:szCs w:val="24"/>
          <w:rtl w:val="0"/>
        </w:rPr>
        <w:t xml:space="preserve">Figure 3: UAE quick-service restaurant market, 2025–2034</w:t>
      </w:r>
      <w:r w:rsidDel="00000000" w:rsidR="00000000" w:rsidRPr="00000000">
        <w:rPr>
          <w:rtl w:val="0"/>
        </w:rPr>
      </w:r>
    </w:p>
    <w:p w:rsidR="00000000" w:rsidDel="00000000" w:rsidP="00000000" w:rsidRDefault="00000000" w:rsidRPr="00000000" w14:paraId="0000003A">
      <w:pPr>
        <w:spacing w:after="60" w:line="360" w:lineRule="auto"/>
        <w:rPr/>
      </w:pPr>
      <w:r w:rsidDel="00000000" w:rsidR="00000000" w:rsidRPr="00000000">
        <w:rPr>
          <w:rFonts w:ascii="Arial" w:cs="Arial" w:eastAsia="Arial" w:hAnsi="Arial"/>
          <w:sz w:val="24"/>
          <w:szCs w:val="24"/>
          <w:rtl w:val="0"/>
        </w:rPr>
        <w:t xml:space="preserve">Figure 4: UAE population composition</w:t>
      </w:r>
      <w:r w:rsidDel="00000000" w:rsidR="00000000" w:rsidRPr="00000000">
        <w:rPr>
          <w:rtl w:val="0"/>
        </w:rPr>
      </w:r>
    </w:p>
    <w:p w:rsidR="00000000" w:rsidDel="00000000" w:rsidP="00000000" w:rsidRDefault="00000000" w:rsidRPr="00000000" w14:paraId="0000003B">
      <w:pPr>
        <w:spacing w:after="60" w:line="360" w:lineRule="auto"/>
        <w:rPr/>
      </w:pPr>
      <w:r w:rsidDel="00000000" w:rsidR="00000000" w:rsidRPr="00000000">
        <w:rPr>
          <w:rFonts w:ascii="Arial" w:cs="Arial" w:eastAsia="Arial" w:hAnsi="Arial"/>
          <w:sz w:val="24"/>
          <w:szCs w:val="24"/>
          <w:rtl w:val="0"/>
        </w:rPr>
        <w:t xml:space="preserve">Figure 5: Materiality weighting of macro factors</w:t>
      </w:r>
      <w:r w:rsidDel="00000000" w:rsidR="00000000" w:rsidRPr="00000000">
        <w:rPr>
          <w:rtl w:val="0"/>
        </w:rPr>
      </w:r>
    </w:p>
    <w:p w:rsidR="00000000" w:rsidDel="00000000" w:rsidP="00000000" w:rsidRDefault="00000000" w:rsidRPr="00000000" w14:paraId="0000003C">
      <w:pPr>
        <w:spacing w:after="60" w:line="360" w:lineRule="auto"/>
        <w:rPr/>
      </w:pPr>
      <w:r w:rsidDel="00000000" w:rsidR="00000000" w:rsidRPr="00000000">
        <w:rPr>
          <w:rFonts w:ascii="Arial" w:cs="Arial" w:eastAsia="Arial" w:hAnsi="Arial"/>
          <w:sz w:val="24"/>
          <w:szCs w:val="24"/>
          <w:rtl w:val="0"/>
        </w:rPr>
        <w:t xml:space="preserve">Figure 6: Competitive positioning in the UAE</w:t>
      </w:r>
      <w:r w:rsidDel="00000000" w:rsidR="00000000" w:rsidRPr="00000000">
        <w:rPr>
          <w:rtl w:val="0"/>
        </w:rPr>
      </w:r>
    </w:p>
    <w:p w:rsidR="00000000" w:rsidDel="00000000" w:rsidP="00000000" w:rsidRDefault="00000000" w:rsidRPr="00000000" w14:paraId="0000003D">
      <w:pPr>
        <w:spacing w:after="60" w:line="360" w:lineRule="auto"/>
        <w:rPr/>
      </w:pPr>
      <w:r w:rsidDel="00000000" w:rsidR="00000000" w:rsidRPr="00000000">
        <w:rPr>
          <w:rFonts w:ascii="Arial" w:cs="Arial" w:eastAsia="Arial" w:hAnsi="Arial"/>
          <w:sz w:val="24"/>
          <w:szCs w:val="24"/>
          <w:rtl w:val="0"/>
        </w:rPr>
        <w:t xml:space="preserve">Figure 7: OLI readiness profile for Greggs in the UAE</w:t>
      </w:r>
      <w:r w:rsidDel="00000000" w:rsidR="00000000" w:rsidRPr="00000000">
        <w:rPr>
          <w:rtl w:val="0"/>
        </w:rPr>
      </w:r>
    </w:p>
    <w:p w:rsidR="00000000" w:rsidDel="00000000" w:rsidP="00000000" w:rsidRDefault="00000000" w:rsidRPr="00000000" w14:paraId="0000003E">
      <w:pPr>
        <w:spacing w:after="60" w:line="360" w:lineRule="auto"/>
        <w:rPr/>
      </w:pPr>
      <w:r w:rsidDel="00000000" w:rsidR="00000000" w:rsidRPr="00000000">
        <w:rPr>
          <w:rFonts w:ascii="Arial" w:cs="Arial" w:eastAsia="Arial" w:hAnsi="Arial"/>
          <w:sz w:val="24"/>
          <w:szCs w:val="24"/>
          <w:rtl w:val="0"/>
        </w:rPr>
        <w:t xml:space="preserve">Figure 8: Entry-mode trade-off between control and commitment</w:t>
      </w:r>
      <w:r w:rsidDel="00000000" w:rsidR="00000000" w:rsidRPr="00000000">
        <w:rPr>
          <w:rtl w:val="0"/>
        </w:rPr>
      </w:r>
    </w:p>
    <w:p w:rsidR="00000000" w:rsidDel="00000000" w:rsidP="00000000" w:rsidRDefault="00000000" w:rsidRPr="00000000" w14:paraId="0000003F">
      <w:pPr>
        <w:spacing w:after="60" w:line="360" w:lineRule="auto"/>
        <w:rPr/>
      </w:pPr>
      <w:r w:rsidDel="00000000" w:rsidR="00000000" w:rsidRPr="00000000">
        <w:rPr>
          <w:rFonts w:ascii="Arial" w:cs="Arial" w:eastAsia="Arial" w:hAnsi="Arial"/>
          <w:sz w:val="24"/>
          <w:szCs w:val="24"/>
          <w:rtl w:val="0"/>
        </w:rPr>
        <w:t xml:space="preserve">Figure 9: Ansoff positioning of the UAE entry</w:t>
      </w:r>
      <w:r w:rsidDel="00000000" w:rsidR="00000000" w:rsidRPr="00000000">
        <w:rPr>
          <w:rtl w:val="0"/>
        </w:rPr>
      </w:r>
    </w:p>
    <w:p w:rsidR="00000000" w:rsidDel="00000000" w:rsidP="00000000" w:rsidRDefault="00000000" w:rsidRPr="00000000" w14:paraId="00000040">
      <w:pPr>
        <w:spacing w:after="60" w:line="360" w:lineRule="auto"/>
        <w:rPr/>
      </w:pPr>
      <w:r w:rsidDel="00000000" w:rsidR="00000000" w:rsidRPr="00000000">
        <w:rPr>
          <w:rFonts w:ascii="Arial" w:cs="Arial" w:eastAsia="Arial" w:hAnsi="Arial"/>
          <w:sz w:val="24"/>
          <w:szCs w:val="24"/>
          <w:rtl w:val="0"/>
        </w:rPr>
        <w:t xml:space="preserve">Figure 10: Illustrative balanced-scorecard targets for a phased entry</w:t>
      </w:r>
      <w:r w:rsidDel="00000000" w:rsidR="00000000" w:rsidRPr="00000000">
        <w:rPr>
          <w:rtl w:val="0"/>
        </w:rPr>
      </w:r>
    </w:p>
    <w:p w:rsidR="00000000" w:rsidDel="00000000" w:rsidP="00000000" w:rsidRDefault="00000000" w:rsidRPr="00000000" w14:paraId="00000041">
      <w:pPr>
        <w:spacing w:before="240" w:lineRule="auto"/>
        <w:rPr/>
      </w:pPr>
      <w:r w:rsidDel="00000000" w:rsidR="00000000" w:rsidRPr="00000000">
        <w:rPr>
          <w:rtl w:val="0"/>
        </w:rPr>
      </w:r>
    </w:p>
    <w:p w:rsidR="00000000" w:rsidDel="00000000" w:rsidP="00000000" w:rsidRDefault="00000000" w:rsidRPr="00000000" w14:paraId="00000042">
      <w:pPr>
        <w:pStyle w:val="Heading1"/>
        <w:spacing w:after="140" w:before="280" w:lineRule="auto"/>
        <w:rPr/>
      </w:pPr>
      <w:r w:rsidDel="00000000" w:rsidR="00000000" w:rsidRPr="00000000">
        <w:rPr>
          <w:rFonts w:ascii="Arial" w:cs="Arial" w:eastAsia="Arial" w:hAnsi="Arial"/>
          <w:b w:val="1"/>
          <w:bCs w:val="1"/>
          <w:color w:val="000000"/>
          <w:sz w:val="32"/>
          <w:szCs w:val="32"/>
          <w:rtl w:val="0"/>
        </w:rPr>
        <w:t xml:space="preserve">List of Tables</w:t>
      </w:r>
      <w:r w:rsidDel="00000000" w:rsidR="00000000" w:rsidRPr="00000000">
        <w:rPr>
          <w:rtl w:val="0"/>
        </w:rPr>
      </w:r>
    </w:p>
    <w:p w:rsidR="00000000" w:rsidDel="00000000" w:rsidP="00000000" w:rsidRDefault="00000000" w:rsidRPr="00000000" w14:paraId="00000043">
      <w:pPr>
        <w:spacing w:after="160" w:line="360" w:lineRule="auto"/>
        <w:jc w:val="both"/>
        <w:rPr/>
      </w:pPr>
      <w:r w:rsidDel="00000000" w:rsidR="00000000" w:rsidRPr="00000000">
        <w:rPr>
          <w:rFonts w:ascii="Arial" w:cs="Arial" w:eastAsia="Arial" w:hAnsi="Arial"/>
          <w:sz w:val="24"/>
          <w:szCs w:val="24"/>
          <w:rtl w:val="0"/>
        </w:rPr>
        <w:t xml:space="preserve">Table 1: PESTEL summary, prioritised (Section 2.1)</w:t>
      </w:r>
      <w:r w:rsidDel="00000000" w:rsidR="00000000" w:rsidRPr="00000000">
        <w:rPr>
          <w:rtl w:val="0"/>
        </w:rPr>
      </w:r>
    </w:p>
    <w:p w:rsidR="00000000" w:rsidDel="00000000" w:rsidP="00000000" w:rsidRDefault="00000000" w:rsidRPr="00000000" w14:paraId="00000044">
      <w:pPr>
        <w:spacing w:after="160" w:line="360" w:lineRule="auto"/>
        <w:jc w:val="both"/>
        <w:rPr/>
      </w:pPr>
      <w:r w:rsidDel="00000000" w:rsidR="00000000" w:rsidRPr="00000000">
        <w:rPr>
          <w:rFonts w:ascii="Arial" w:cs="Arial" w:eastAsia="Arial" w:hAnsi="Arial"/>
          <w:sz w:val="24"/>
          <w:szCs w:val="24"/>
          <w:rtl w:val="0"/>
        </w:rPr>
        <w:t xml:space="preserve">Table 2: OLI paradigm assessment (Section 2.2)</w:t>
      </w:r>
      <w:r w:rsidDel="00000000" w:rsidR="00000000" w:rsidRPr="00000000">
        <w:rPr>
          <w:rtl w:val="0"/>
        </w:rPr>
      </w:r>
    </w:p>
    <w:p w:rsidR="00000000" w:rsidDel="00000000" w:rsidP="00000000" w:rsidRDefault="00000000" w:rsidRPr="00000000" w14:paraId="00000045">
      <w:pPr>
        <w:rPr/>
      </w:pPr>
      <w:r w:rsidDel="00000000" w:rsidR="00000000" w:rsidRPr="00000000">
        <w:br w:type="page"/>
      </w:r>
      <w:r w:rsidDel="00000000" w:rsidR="00000000" w:rsidRPr="00000000">
        <w:rPr>
          <w:rtl w:val="0"/>
        </w:rPr>
      </w:r>
    </w:p>
    <w:p w:rsidR="00000000" w:rsidDel="00000000" w:rsidP="00000000" w:rsidRDefault="00000000" w:rsidRPr="00000000" w14:paraId="00000046">
      <w:pPr>
        <w:pStyle w:val="Heading1"/>
        <w:spacing w:after="140" w:before="280" w:lineRule="auto"/>
        <w:rPr/>
      </w:pPr>
      <w:r w:rsidDel="00000000" w:rsidR="00000000" w:rsidRPr="00000000">
        <w:rPr>
          <w:rFonts w:ascii="Arial" w:cs="Arial" w:eastAsia="Arial" w:hAnsi="Arial"/>
          <w:b w:val="1"/>
          <w:bCs w:val="1"/>
          <w:color w:val="000000"/>
          <w:sz w:val="32"/>
          <w:szCs w:val="32"/>
          <w:rtl w:val="0"/>
        </w:rPr>
        <w:t xml:space="preserve">Section 1: Strategic Market Entry Analysis</w:t>
      </w:r>
      <w:r w:rsidDel="00000000" w:rsidR="00000000" w:rsidRPr="00000000">
        <w:rPr>
          <w:rtl w:val="0"/>
        </w:rPr>
      </w:r>
    </w:p>
    <w:p w:rsidR="00000000" w:rsidDel="00000000" w:rsidP="00000000" w:rsidRDefault="00000000" w:rsidRPr="00000000" w14:paraId="00000047">
      <w:pPr>
        <w:spacing w:after="160" w:line="360" w:lineRule="auto"/>
        <w:jc w:val="both"/>
        <w:rPr/>
      </w:pPr>
      <w:r w:rsidDel="00000000" w:rsidR="00000000" w:rsidRPr="00000000">
        <w:rPr>
          <w:rFonts w:ascii="Arial" w:cs="Arial" w:eastAsia="Arial" w:hAnsi="Arial"/>
          <w:sz w:val="24"/>
          <w:szCs w:val="24"/>
          <w:rtl w:val="0"/>
        </w:rPr>
        <w:t xml:space="preserve">Greggs represents an unusual candidate for international expansion, which is precisely what makes the question worth examining. The company sells sausage rolls, steak bakes and affordable coffee to a predominantly</w:t>
      </w:r>
      <w:r w:rsidDel="00000000" w:rsidR="00000000" w:rsidRPr="00000000">
        <w:rPr>
          <w:rtl w:val="0"/>
        </w:rPr>
        <w:t xml:space="preserve"> </w:t>
      </w:r>
      <w:r w:rsidDel="00000000" w:rsidR="00000000" w:rsidRPr="00000000">
        <w:rPr>
          <w:rFonts w:ascii="Arial" w:cs="Arial" w:eastAsia="Arial" w:hAnsi="Arial"/>
          <w:sz w:val="24"/>
          <w:szCs w:val="24"/>
          <w:rtl w:val="0"/>
        </w:rPr>
        <w:t xml:space="preserve">British, </w:t>
      </w:r>
      <w:r w:rsidDel="00000000" w:rsidR="00000000" w:rsidRPr="00000000">
        <w:rPr>
          <w:rtl w:val="0"/>
        </w:rPr>
        <w:t xml:space="preserve">convenience-orientated</w:t>
      </w:r>
      <w:r w:rsidDel="00000000" w:rsidR="00000000" w:rsidRPr="00000000">
        <w:rPr>
          <w:rFonts w:ascii="Arial" w:cs="Arial" w:eastAsia="Arial" w:hAnsi="Arial"/>
          <w:sz w:val="24"/>
          <w:szCs w:val="24"/>
          <w:rtl w:val="0"/>
        </w:rPr>
        <w:t xml:space="preserve"> customer </w:t>
      </w:r>
      <w:r w:rsidDel="00000000" w:rsidR="00000000" w:rsidRPr="00000000">
        <w:rPr>
          <w:rtl w:val="0"/>
        </w:rPr>
        <w:t xml:space="preserve">base and</w:t>
      </w:r>
      <w:r w:rsidDel="00000000" w:rsidR="00000000" w:rsidRPr="00000000">
        <w:rPr>
          <w:rFonts w:ascii="Arial" w:cs="Arial" w:eastAsia="Arial" w:hAnsi="Arial"/>
          <w:sz w:val="24"/>
          <w:szCs w:val="24"/>
          <w:rtl w:val="0"/>
        </w:rPr>
        <w:t xml:space="preserve"> has historically concentrated almost all of its operations within the United Kingdom. For most of its history, the prospect of Greggs operating in Dubai would have appeared implausible. That position has now shifted: the company has recently opened its first overseas outlet in nearly two decades, domestic sales growth is slowing, and the Gulf food-service market is expanding at a rate substantially exceeding that of the British high street. The central question is therefore genuine: whether Greggs should enter the United Arab Emirates, and if so, by what mode. This section addresses that question in three stages, concluding with a qualified endorsement subject to a specific condition.</w:t>
      </w:r>
      <w:r w:rsidDel="00000000" w:rsidR="00000000" w:rsidRPr="00000000">
        <w:rPr>
          <w:rtl w:val="0"/>
        </w:rPr>
      </w:r>
    </w:p>
    <w:p w:rsidR="00000000" w:rsidDel="00000000" w:rsidP="00000000" w:rsidRDefault="00000000" w:rsidRPr="00000000" w14:paraId="00000048">
      <w:pPr>
        <w:spacing w:after="160" w:line="360" w:lineRule="auto"/>
        <w:jc w:val="both"/>
        <w:rPr/>
      </w:pPr>
      <w:r w:rsidDel="00000000" w:rsidR="00000000" w:rsidRPr="00000000">
        <w:rPr>
          <w:rFonts w:ascii="Arial" w:cs="Arial" w:eastAsia="Arial" w:hAnsi="Arial"/>
          <w:sz w:val="24"/>
          <w:szCs w:val="24"/>
          <w:rtl w:val="0"/>
        </w:rPr>
        <w:t xml:space="preserve">The absence of existing market presence should first be established, as the brief requires. As at the June 2026 cut-off, Greggs operated no shops, </w:t>
      </w:r>
      <w:r w:rsidDel="00000000" w:rsidR="00000000" w:rsidRPr="00000000">
        <w:rPr>
          <w:rtl w:val="0"/>
        </w:rPr>
        <w:t xml:space="preserve">subsidiaries</w:t>
      </w:r>
      <w:r w:rsidDel="00000000" w:rsidR="00000000" w:rsidRPr="00000000">
        <w:rPr>
          <w:rFonts w:ascii="Arial" w:cs="Arial" w:eastAsia="Arial" w:hAnsi="Arial"/>
          <w:sz w:val="24"/>
          <w:szCs w:val="24"/>
          <w:rtl w:val="0"/>
        </w:rPr>
        <w:t xml:space="preserve"> or franchise </w:t>
      </w:r>
      <w:r w:rsidDel="00000000" w:rsidR="00000000" w:rsidRPr="00000000">
        <w:rPr>
          <w:rtl w:val="0"/>
        </w:rPr>
        <w:t xml:space="preserve">partnerships</w:t>
      </w:r>
      <w:r w:rsidDel="00000000" w:rsidR="00000000" w:rsidRPr="00000000">
        <w:rPr>
          <w:rFonts w:ascii="Arial" w:cs="Arial" w:eastAsia="Arial" w:hAnsi="Arial"/>
          <w:sz w:val="24"/>
          <w:szCs w:val="24"/>
          <w:rtl w:val="0"/>
        </w:rPr>
        <w:t xml:space="preserve"> in the UAE. A single overseas outlet existed, opened in May 2026 at Tenerife South </w:t>
      </w:r>
      <w:r w:rsidDel="00000000" w:rsidR="00000000" w:rsidRPr="00000000">
        <w:rPr>
          <w:rtl w:val="0"/>
        </w:rPr>
        <w:t xml:space="preserve">Airport</w:t>
      </w:r>
      <w:r w:rsidDel="00000000" w:rsidR="00000000" w:rsidRPr="00000000">
        <w:rPr>
          <w:rFonts w:ascii="Arial" w:cs="Arial" w:eastAsia="Arial" w:hAnsi="Arial"/>
          <w:sz w:val="24"/>
          <w:szCs w:val="24"/>
          <w:rtl w:val="0"/>
        </w:rPr>
        <w:t xml:space="preserve"> in partnership with Lagardère Travel Retail, serving predominantly British holidaymakers returning home (Business Matters, 2026). This constitutes a travel-retail concession aimed at outbound UK travellers rather than entry into any Gulf market, and Greggs itself characterised it as a means of testing international expansion rather than a formal market launch (GB News, 2026). The UAE therefore remains genuinely untouched, and the Tenerife move arguably strengthens the case below, since it demonstrates a willingness to franchise a familiar format into foreign travel hubs, closely analogous to a Dubai entry.</w:t>
      </w:r>
      <w:r w:rsidDel="00000000" w:rsidR="00000000" w:rsidRPr="00000000">
        <w:rPr>
          <w:rtl w:val="0"/>
        </w:rPr>
      </w:r>
    </w:p>
    <w:p w:rsidR="00000000" w:rsidDel="00000000" w:rsidP="00000000" w:rsidRDefault="00000000" w:rsidRPr="00000000" w14:paraId="00000049">
      <w:pPr>
        <w:pStyle w:val="Heading2"/>
        <w:spacing w:after="120" w:before="220" w:lineRule="auto"/>
        <w:rPr/>
      </w:pPr>
      <w:r w:rsidDel="00000000" w:rsidR="00000000" w:rsidRPr="00000000">
        <w:rPr>
          <w:rFonts w:ascii="Arial" w:cs="Arial" w:eastAsia="Arial" w:hAnsi="Arial"/>
          <w:b w:val="1"/>
          <w:bCs w:val="1"/>
          <w:color w:val="000000"/>
          <w:sz w:val="26"/>
          <w:szCs w:val="26"/>
          <w:rtl w:val="0"/>
        </w:rPr>
        <w:t xml:space="preserve">1.1 Organisational Classification and Global Strategy</w:t>
      </w:r>
      <w:r w:rsidDel="00000000" w:rsidR="00000000" w:rsidRPr="00000000">
        <w:rPr>
          <w:rtl w:val="0"/>
        </w:rPr>
      </w:r>
    </w:p>
    <w:p w:rsidR="00000000" w:rsidDel="00000000" w:rsidP="00000000" w:rsidRDefault="00000000" w:rsidRPr="00000000" w14:paraId="0000004A">
      <w:pPr>
        <w:spacing w:after="160" w:line="360" w:lineRule="auto"/>
        <w:jc w:val="both"/>
        <w:rPr/>
      </w:pPr>
      <w:r w:rsidDel="00000000" w:rsidR="00000000" w:rsidRPr="00000000">
        <w:rPr>
          <w:rFonts w:ascii="Arial" w:cs="Arial" w:eastAsia="Arial" w:hAnsi="Arial"/>
          <w:sz w:val="24"/>
          <w:szCs w:val="24"/>
          <w:rtl w:val="0"/>
        </w:rPr>
        <w:t xml:space="preserve">Bartlett and Ghoshal (1989) classify international firms according to two pressures: the pull towards global integration and the pull towards local responsiveness. Multinational firms adapt to local markets, global firms standardise and centralise, international firms export the parent's knowledge, and transnational firms attempt to reconcile all of these demands simultaneously. The difficulty in applying this framework to Greggs is that the company barely qualifies as international at all, and to assume otherwise would be the first analytical error. With 2,759 shops and, until </w:t>
      </w:r>
      <w:r w:rsidDel="00000000" w:rsidR="00000000" w:rsidRPr="00000000">
        <w:rPr>
          <w:rtl w:val="0"/>
        </w:rPr>
        <w:t xml:space="preserve">This</w:t>
      </w:r>
      <w:r w:rsidDel="00000000" w:rsidR="00000000" w:rsidRPr="00000000">
        <w:rPr>
          <w:rFonts w:ascii="Arial" w:cs="Arial" w:eastAsia="Arial" w:hAnsi="Arial"/>
          <w:sz w:val="24"/>
          <w:szCs w:val="24"/>
          <w:rtl w:val="0"/>
        </w:rPr>
        <w:t xml:space="preserve"> year, every one of them located in the UK, Greggs approximates a purely domestic firm (Greggs plc, 2026). The pertinent question is therefore not which category it currently occupies, but which category it would need to move into for a UAE entry to succeed.</w:t>
      </w:r>
      <w:r w:rsidDel="00000000" w:rsidR="00000000" w:rsidRPr="00000000">
        <w:rPr>
          <w:rtl w:val="0"/>
        </w:rPr>
      </w:r>
    </w:p>
    <w:p w:rsidR="00000000" w:rsidDel="00000000" w:rsidP="00000000" w:rsidRDefault="00000000" w:rsidRPr="00000000" w14:paraId="0000004B">
      <w:pPr>
        <w:spacing w:after="160" w:line="360" w:lineRule="auto"/>
        <w:jc w:val="both"/>
        <w:rPr/>
      </w:pPr>
      <w:r w:rsidDel="00000000" w:rsidR="00000000" w:rsidRPr="00000000">
        <w:rPr>
          <w:rFonts w:ascii="Arial" w:cs="Arial" w:eastAsia="Arial" w:hAnsi="Arial"/>
          <w:b w:val="0"/>
          <w:bCs w:val="0"/>
          <w:sz w:val="24"/>
          <w:szCs w:val="24"/>
          <w:rtl w:val="0"/>
        </w:rPr>
        <w:t xml:space="preserve">Should Greggs pursue international expansion, it would be compelled towards the responsive end of the spectrum irrespective of its preferences. Its domestic model rests on three pillars: low prices, a vertically integrated UK bakery supply chain operating from around a dozen regional sites, and a distinctively British brand identity (Greggs plc, 2026). None of these three attributes transfers cleanly to a Gulf context. A </w:t>
      </w:r>
      <w:r w:rsidDel="00000000" w:rsidR="00000000" w:rsidRPr="00000000">
        <w:rPr>
          <w:rtl w:val="0"/>
        </w:rPr>
        <w:t xml:space="preserve">meal deal</w:t>
      </w:r>
      <w:r w:rsidDel="00000000" w:rsidR="00000000" w:rsidRPr="00000000">
        <w:rPr>
          <w:rFonts w:ascii="Arial" w:cs="Arial" w:eastAsia="Arial" w:hAnsi="Arial"/>
          <w:b w:val="0"/>
          <w:bCs w:val="0"/>
          <w:sz w:val="24"/>
          <w:szCs w:val="24"/>
          <w:rtl w:val="0"/>
        </w:rPr>
        <w:t xml:space="preserve"> priced at approximately £3.85 in the UK signals value domestically but would read as mid-market in a Dubai mall, where comparable branded cafe offerings command materially higher prices (Ken Research, 2025). The supply chain does not extend beyond the UK, and the brand associations of familiarity and affordability carry no resonance in a market that has not previously encountered them. A UAE Greggs would therefore need to operate as a locally responsive business carrying a globally consistent product, an inherently difficult balance to which the analysis must repeatedly return.</w:t>
      </w:r>
      <w:r w:rsidDel="00000000" w:rsidR="00000000" w:rsidRPr="00000000">
        <w:rPr>
          <w:rtl w:val="0"/>
        </w:rPr>
      </w:r>
    </w:p>
    <w:p w:rsidR="00000000" w:rsidDel="00000000" w:rsidP="00000000" w:rsidRDefault="00000000" w:rsidRPr="00000000" w14:paraId="0000004C">
      <w:pPr>
        <w:spacing w:after="60" w:before="120" w:lineRule="auto"/>
        <w:jc w:val="center"/>
        <w:rPr/>
      </w:pPr>
      <w:r w:rsidDel="00000000" w:rsidR="00000000" w:rsidRPr="00000000">
        <w:rPr/>
        <w:drawing>
          <wp:inline distB="0" distT="0" distL="0" distR="0">
            <wp:extent cx="4095750" cy="2743200"/>
            <wp:effectExtent b="0" l="0" r="0" t="0"/>
            <wp:docPr id="1"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4095750" cy="2743200"/>
                    </a:xfrm>
                    <a:prstGeom prst="rect"/>
                    <a:ln/>
                  </pic:spPr>
                </pic:pic>
              </a:graphicData>
            </a:graphic>
          </wp:inline>
        </w:drawing>
      </w:r>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555555"/>
          <w:sz w:val="20"/>
          <w:szCs w:val="20"/>
          <w:u w:val="none"/>
          <w:shd w:fill="auto" w:val="clear"/>
          <w:vertAlign w:val="baseline"/>
        </w:rPr>
      </w:pPr>
      <w:r w:rsidDel="00000000" w:rsidR="00000000" w:rsidRPr="00000000">
        <w:rPr>
          <w:rFonts w:ascii="Arial" w:cs="Arial" w:eastAsia="Arial" w:hAnsi="Arial"/>
          <w:b w:val="0"/>
          <w:bCs w:val="0"/>
          <w:i w:val="1"/>
          <w:iCs w:val="1"/>
          <w:smallCaps w:val="0"/>
          <w:strike w:val="0"/>
          <w:color w:val="555555"/>
          <w:sz w:val="20"/>
          <w:szCs w:val="20"/>
          <w:u w:val="none"/>
          <w:shd w:fill="auto" w:val="clear"/>
          <w:vertAlign w:val="baseline"/>
          <w:rtl w:val="0"/>
        </w:rPr>
        <w:t xml:space="preserve">Figure 1: Greggs total sales, 2021–2025 (author's compilation from Greggs plc annual results, 2022–2026).</w:t>
      </w:r>
    </w:p>
    <w:p w:rsidR="00000000" w:rsidDel="00000000" w:rsidP="00000000" w:rsidRDefault="00000000" w:rsidRPr="00000000" w14:paraId="0000004E">
      <w:pPr>
        <w:spacing w:after="160" w:line="360" w:lineRule="auto"/>
        <w:jc w:val="both"/>
        <w:rPr/>
      </w:pPr>
      <w:r w:rsidDel="00000000" w:rsidR="00000000" w:rsidRPr="00000000">
        <w:rPr>
          <w:rFonts w:ascii="Arial" w:cs="Arial" w:eastAsia="Arial" w:hAnsi="Arial"/>
          <w:sz w:val="24"/>
          <w:szCs w:val="24"/>
          <w:rtl w:val="0"/>
        </w:rPr>
        <w:t xml:space="preserve">The company's financial position explains why the board is considering international expansion. Total sales reached £2,151.2m in 2025, an increase of 6.8% year on year, yet underlying profit before tax fell 9.4% to £171.9m under cost inflation, and like-for-like growth in company-managed shops slowed to 2.4% (Greggs plc, 2026; Quartr, 2026). The share price has declined by close to a fifth over twelve months, and Greggs is among the most shorted stocks on the London market (Business Matters, 2026). This is a well-managed business approaching the limits of its domestic market, which is characteristically the point at which firms begin to look overseas, and equally the point at which they risk costly errors by assuming that a domestic formula will transfer intact.</w:t>
      </w:r>
      <w:r w:rsidDel="00000000" w:rsidR="00000000" w:rsidRPr="00000000">
        <w:rPr>
          <w:rtl w:val="0"/>
        </w:rPr>
      </w:r>
    </w:p>
    <w:p w:rsidR="00000000" w:rsidDel="00000000" w:rsidP="00000000" w:rsidRDefault="00000000" w:rsidRPr="00000000" w14:paraId="0000004F">
      <w:pPr>
        <w:spacing w:after="160" w:line="360" w:lineRule="auto"/>
        <w:jc w:val="both"/>
        <w:rPr/>
      </w:pPr>
      <w:r w:rsidDel="00000000" w:rsidR="00000000" w:rsidRPr="00000000">
        <w:rPr>
          <w:rFonts w:ascii="Arial" w:cs="Arial" w:eastAsia="Arial" w:hAnsi="Arial"/>
          <w:sz w:val="24"/>
          <w:szCs w:val="24"/>
          <w:rtl w:val="0"/>
        </w:rPr>
        <w:t xml:space="preserve">One figure within the results carries greater significance than the headline numbers and points towards the eventual recommendation. Franchise system sales grew 4.3% like-for-like in 2025 against 2.4% in company-managed shops, and the franchise estate has proved consistently more resilient to weak footfall (Greggs plc, 2026; Investing.com, 2026). Greggs has quietly developed a capability it did not possess a decade ago: the operation of a franchise model in which partners run shops in locations, such as travel hubs and forecourts, that Greggs cannot easily reach directly. This capability constitutes the transferable asset. The sausage roll, which any competitor can replicate, is not the source of advantage; rather, it is the demonstrated ability to license a tightly specified food-to-go format to a third-party operator while maintaining quality across the estate.</w:t>
      </w:r>
      <w:r w:rsidDel="00000000" w:rsidR="00000000" w:rsidRPr="00000000">
        <w:rPr>
          <w:rtl w:val="0"/>
        </w:rPr>
      </w:r>
    </w:p>
    <w:p w:rsidR="00000000" w:rsidDel="00000000" w:rsidP="00000000" w:rsidRDefault="00000000" w:rsidRPr="00000000" w14:paraId="00000050">
      <w:pPr>
        <w:spacing w:after="60" w:before="120" w:lineRule="auto"/>
        <w:jc w:val="center"/>
        <w:rPr/>
      </w:pPr>
      <w:r w:rsidDel="00000000" w:rsidR="00000000" w:rsidRPr="00000000">
        <w:rPr/>
        <w:drawing>
          <wp:inline distB="0" distT="0" distL="0" distR="0">
            <wp:extent cx="4095750" cy="2762250"/>
            <wp:effectExtent b="0" l="0" r="0" t="0"/>
            <wp:docPr id="3" name="image7.png"/>
            <a:graphic>
              <a:graphicData uri="http://schemas.openxmlformats.org/drawingml/2006/picture">
                <pic:pic>
                  <pic:nvPicPr>
                    <pic:cNvPr id="0" name="image7.png"/>
                    <pic:cNvPicPr preferRelativeResize="0"/>
                  </pic:nvPicPr>
                  <pic:blipFill>
                    <a:blip r:embed="rId8"/>
                    <a:srcRect b="0" l="0" r="0" t="0"/>
                    <a:stretch>
                      <a:fillRect/>
                    </a:stretch>
                  </pic:blipFill>
                  <pic:spPr>
                    <a:xfrm>
                      <a:off x="0" y="0"/>
                      <a:ext cx="4095750" cy="2762250"/>
                    </a:xfrm>
                    <a:prstGeom prst="rect"/>
                    <a:ln/>
                  </pic:spPr>
                </pic:pic>
              </a:graphicData>
            </a:graphic>
          </wp:inline>
        </w:drawing>
      </w:r>
      <w:r w:rsidDel="00000000" w:rsidR="00000000" w:rsidRPr="00000000">
        <w:rPr>
          <w:rtl w:val="0"/>
        </w:rPr>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555555"/>
          <w:sz w:val="20"/>
          <w:szCs w:val="20"/>
          <w:u w:val="none"/>
          <w:shd w:fill="auto" w:val="clear"/>
          <w:vertAlign w:val="baseline"/>
        </w:rPr>
      </w:pPr>
      <w:r w:rsidDel="00000000" w:rsidR="00000000" w:rsidRPr="00000000">
        <w:rPr>
          <w:rFonts w:ascii="Arial" w:cs="Arial" w:eastAsia="Arial" w:hAnsi="Arial"/>
          <w:b w:val="0"/>
          <w:bCs w:val="0"/>
          <w:i w:val="1"/>
          <w:iCs w:val="1"/>
          <w:smallCaps w:val="0"/>
          <w:strike w:val="0"/>
          <w:color w:val="555555"/>
          <w:sz w:val="20"/>
          <w:szCs w:val="20"/>
          <w:u w:val="none"/>
          <w:shd w:fill="auto" w:val="clear"/>
          <w:vertAlign w:val="baseline"/>
          <w:rtl w:val="0"/>
        </w:rPr>
        <w:t xml:space="preserve">Figure 2: Like-for-like growth, company-managed versus franchise shops (Greggs plc, 2026; Investing.com, 2026).</w:t>
      </w:r>
    </w:p>
    <w:p w:rsidR="00000000" w:rsidDel="00000000" w:rsidP="00000000" w:rsidRDefault="00000000" w:rsidRPr="00000000" w14:paraId="00000052">
      <w:pPr>
        <w:spacing w:after="160" w:line="360" w:lineRule="auto"/>
        <w:jc w:val="both"/>
        <w:rPr/>
      </w:pPr>
      <w:r w:rsidDel="00000000" w:rsidR="00000000" w:rsidRPr="00000000">
        <w:rPr>
          <w:rFonts w:ascii="Arial" w:cs="Arial" w:eastAsia="Arial" w:hAnsi="Arial"/>
          <w:sz w:val="24"/>
          <w:szCs w:val="24"/>
          <w:rtl w:val="0"/>
        </w:rPr>
        <w:t xml:space="preserve">The source of competitive advantage warrants careful identification. Applying the resource-based view (Barney, 1991) rigorously yields a modest rather than a heroic conclusion. The Greggs brand is valuable and rare within the UK, but its value is nationally specific and does not transfer, rendering it close to worthless on arrival in a UAE context. The vertically integrated supply chain is likewise valuable and rare, yet it is a UK asset that would become a liability abroad, since it cannot serve the Gulf. What is genuinely valuable, rare and reasonably difficult to imitate is the operational system: the recipes, shop formats, supply specifications and </w:t>
      </w:r>
      <w:r w:rsidDel="00000000" w:rsidR="00000000" w:rsidRPr="00000000">
        <w:rPr>
          <w:rtl w:val="0"/>
        </w:rPr>
        <w:t xml:space="preserve">franchise management</w:t>
      </w:r>
      <w:r w:rsidDel="00000000" w:rsidR="00000000" w:rsidRPr="00000000">
        <w:rPr>
          <w:rFonts w:ascii="Arial" w:cs="Arial" w:eastAsia="Arial" w:hAnsi="Arial"/>
          <w:sz w:val="24"/>
          <w:szCs w:val="24"/>
          <w:rtl w:val="0"/>
        </w:rPr>
        <w:t xml:space="preserve"> </w:t>
      </w:r>
      <w:r w:rsidDel="00000000" w:rsidR="00000000" w:rsidRPr="00000000">
        <w:rPr>
          <w:rtl w:val="0"/>
        </w:rPr>
        <w:t xml:space="preserve">capability are</w:t>
      </w:r>
      <w:r w:rsidDel="00000000" w:rsidR="00000000" w:rsidRPr="00000000">
        <w:rPr>
          <w:rFonts w:ascii="Arial" w:cs="Arial" w:eastAsia="Arial" w:hAnsi="Arial"/>
          <w:sz w:val="24"/>
          <w:szCs w:val="24"/>
          <w:rtl w:val="0"/>
        </w:rPr>
        <w:t xml:space="preserve"> considered as an integrated whole. This constitutes the firm-specific advantage worth exporting. It is a more measured conclusion than an assertion that Greggs possesses a strong brand, and it is the more accurate one.</w:t>
      </w:r>
      <w:r w:rsidDel="00000000" w:rsidR="00000000" w:rsidRPr="00000000">
        <w:rPr>
          <w:rtl w:val="0"/>
        </w:rPr>
      </w:r>
    </w:p>
    <w:p w:rsidR="00000000" w:rsidDel="00000000" w:rsidP="00000000" w:rsidRDefault="00000000" w:rsidRPr="00000000" w14:paraId="00000053">
      <w:pPr>
        <w:rPr/>
      </w:pPr>
      <w:r w:rsidDel="00000000" w:rsidR="00000000" w:rsidRPr="00000000">
        <w:br w:type="page"/>
      </w:r>
      <w:r w:rsidDel="00000000" w:rsidR="00000000" w:rsidRPr="00000000">
        <w:rPr>
          <w:rtl w:val="0"/>
        </w:rPr>
      </w:r>
    </w:p>
    <w:p w:rsidR="00000000" w:rsidDel="00000000" w:rsidP="00000000" w:rsidRDefault="00000000" w:rsidRPr="00000000" w14:paraId="00000054">
      <w:pPr>
        <w:pStyle w:val="Heading2"/>
        <w:spacing w:after="120" w:before="220" w:lineRule="auto"/>
        <w:rPr/>
      </w:pPr>
      <w:r w:rsidDel="00000000" w:rsidR="00000000" w:rsidRPr="00000000">
        <w:rPr>
          <w:rFonts w:ascii="Arial" w:cs="Arial" w:eastAsia="Arial" w:hAnsi="Arial"/>
          <w:b w:val="1"/>
          <w:bCs w:val="1"/>
          <w:color w:val="000000"/>
          <w:sz w:val="26"/>
          <w:szCs w:val="26"/>
          <w:rtl w:val="0"/>
        </w:rPr>
        <w:t xml:space="preserve">2.1 Macro-Environmental Appraisal and Market Attractiveness</w:t>
      </w:r>
      <w:r w:rsidDel="00000000" w:rsidR="00000000" w:rsidRPr="00000000">
        <w:rPr>
          <w:rtl w:val="0"/>
        </w:rPr>
      </w:r>
    </w:p>
    <w:p w:rsidR="00000000" w:rsidDel="00000000" w:rsidP="00000000" w:rsidRDefault="00000000" w:rsidRPr="00000000" w14:paraId="00000055">
      <w:pPr>
        <w:spacing w:after="160" w:line="360" w:lineRule="auto"/>
        <w:jc w:val="both"/>
        <w:rPr/>
      </w:pPr>
      <w:r w:rsidDel="00000000" w:rsidR="00000000" w:rsidRPr="00000000">
        <w:rPr>
          <w:rFonts w:ascii="Arial" w:cs="Arial" w:eastAsia="Arial" w:hAnsi="Arial"/>
          <w:b w:val="0"/>
          <w:bCs w:val="0"/>
          <w:sz w:val="24"/>
          <w:szCs w:val="24"/>
          <w:rtl w:val="0"/>
        </w:rPr>
        <w:t xml:space="preserve">This section applies the PESTEL framework to assess the attractiveness of the UAE macro-environment for a Greggs entry. Rather than treating all six factors equally, the analysis prioritises those most material to the decision. For Greggs in the UAE, three factors are decisive: the economic opportunity presented by market growth, the social and cultural challenge of brand positioning, and the operational constraint imposed by the country's food-import dependency. Political stability and currency exposure, which would dominate an emerging-market assessment, are comparatively immaterial in the UAE context, given its political stability and the dirham's long-standing peg to the US dollar (Nexdigm, 2026). Table 1 presents the prioritised assessment.</w:t>
      </w:r>
      <w:r w:rsidDel="00000000" w:rsidR="00000000" w:rsidRPr="00000000">
        <w:rPr>
          <w:rtl w:val="0"/>
        </w:rPr>
      </w:r>
    </w:p>
    <w:p w:rsidR="00000000" w:rsidDel="00000000" w:rsidP="00000000" w:rsidRDefault="00000000" w:rsidRPr="00000000" w14:paraId="00000056">
      <w:pPr>
        <w:pStyle w:val="Heading2"/>
        <w:spacing w:after="120" w:before="220" w:lineRule="auto"/>
        <w:rPr/>
      </w:pPr>
      <w:r w:rsidDel="00000000" w:rsidR="00000000" w:rsidRPr="00000000">
        <w:rPr>
          <w:rFonts w:ascii="Arial" w:cs="Arial" w:eastAsia="Arial" w:hAnsi="Arial"/>
          <w:b w:val="1"/>
          <w:bCs w:val="1"/>
          <w:color w:val="000000"/>
          <w:sz w:val="26"/>
          <w:szCs w:val="26"/>
          <w:rtl w:val="0"/>
        </w:rPr>
        <w:t xml:space="preserve">PESTEL summary (prioritised)</w:t>
      </w:r>
      <w:r w:rsidDel="00000000" w:rsidR="00000000" w:rsidRPr="00000000">
        <w:rPr>
          <w:rtl w:val="0"/>
        </w:rPr>
      </w:r>
    </w:p>
    <w:p w:rsidR="00000000" w:rsidDel="00000000" w:rsidP="00000000" w:rsidRDefault="00000000" w:rsidRPr="00000000" w14:paraId="00000057">
      <w:pPr>
        <w:spacing w:after="80" w:lineRule="auto"/>
        <w:rPr/>
      </w:pPr>
      <w:r w:rsidDel="00000000" w:rsidR="00000000" w:rsidRPr="00000000">
        <w:rPr>
          <w:rtl w:val="0"/>
        </w:rPr>
      </w:r>
    </w:p>
    <w:tbl>
      <w:tblPr>
        <w:tblStyle w:val="Table1"/>
        <w:tblW w:w="10695.0" w:type="dxa"/>
        <w:jc w:val="left"/>
        <w:tblBorders>
          <w:top w:color="888888" w:space="0" w:sz="4" w:val="single"/>
          <w:left w:color="888888" w:space="0" w:sz="4" w:val="single"/>
          <w:bottom w:color="888888" w:space="0" w:sz="4" w:val="single"/>
          <w:right w:color="888888" w:space="0" w:sz="4" w:val="single"/>
          <w:insideH w:color="bbbbbb" w:space="0" w:sz="4" w:val="single"/>
          <w:insideV w:color="bbbbbb" w:space="0" w:sz="4" w:val="single"/>
        </w:tblBorders>
        <w:tblLayout w:type="fixed"/>
        <w:tblLook w:val="0000"/>
      </w:tblPr>
      <w:tblGrid>
        <w:gridCol w:w="1605"/>
        <w:gridCol w:w="5190"/>
        <w:gridCol w:w="1500"/>
        <w:gridCol w:w="2400"/>
        <w:tblGridChange w:id="0">
          <w:tblGrid>
            <w:gridCol w:w="1605"/>
            <w:gridCol w:w="5190"/>
            <w:gridCol w:w="1500"/>
            <w:gridCol w:w="2400"/>
          </w:tblGrid>
        </w:tblGridChange>
      </w:tblGrid>
      <w:tr>
        <w:trPr>
          <w:cantSplit w:val="0"/>
          <w:tblHeader w:val="1"/>
        </w:trPr>
        <w:tc>
          <w:tcPr>
            <w:shd w:fill="1f4e6b" w:val="clear"/>
            <w:tcMar>
              <w:top w:w="60.0" w:type="dxa"/>
              <w:left w:w="90.0" w:type="dxa"/>
              <w:bottom w:w="60.0" w:type="dxa"/>
              <w:right w:w="90.0" w:type="dxa"/>
            </w:tcMar>
          </w:tcPr>
          <w:p w:rsidR="00000000" w:rsidDel="00000000" w:rsidP="00000000" w:rsidRDefault="00000000" w:rsidRPr="00000000" w14:paraId="00000058">
            <w:pPr>
              <w:spacing w:after="0" w:line="276" w:lineRule="auto"/>
              <w:jc w:val="left"/>
              <w:rPr/>
            </w:pPr>
            <w:r w:rsidDel="00000000" w:rsidR="00000000" w:rsidRPr="00000000">
              <w:rPr>
                <w:rFonts w:ascii="Arial" w:cs="Arial" w:eastAsia="Arial" w:hAnsi="Arial"/>
                <w:b w:val="1"/>
                <w:bCs w:val="1"/>
                <w:color w:val="ffffff"/>
                <w:sz w:val="20"/>
                <w:szCs w:val="20"/>
                <w:rtl w:val="0"/>
              </w:rPr>
              <w:t xml:space="preserve">Factor</w:t>
            </w:r>
            <w:r w:rsidDel="00000000" w:rsidR="00000000" w:rsidRPr="00000000">
              <w:rPr>
                <w:rtl w:val="0"/>
              </w:rPr>
            </w:r>
          </w:p>
        </w:tc>
        <w:tc>
          <w:tcPr>
            <w:shd w:fill="1f4e6b" w:val="clear"/>
            <w:tcMar>
              <w:top w:w="60.0" w:type="dxa"/>
              <w:left w:w="90.0" w:type="dxa"/>
              <w:bottom w:w="60.0" w:type="dxa"/>
              <w:right w:w="90.0" w:type="dxa"/>
            </w:tcMar>
          </w:tcPr>
          <w:p w:rsidR="00000000" w:rsidDel="00000000" w:rsidP="00000000" w:rsidRDefault="00000000" w:rsidRPr="00000000" w14:paraId="00000059">
            <w:pPr>
              <w:spacing w:after="0" w:line="276" w:lineRule="auto"/>
              <w:jc w:val="left"/>
              <w:rPr/>
            </w:pPr>
            <w:r w:rsidDel="00000000" w:rsidR="00000000" w:rsidRPr="00000000">
              <w:rPr>
                <w:rFonts w:ascii="Arial" w:cs="Arial" w:eastAsia="Arial" w:hAnsi="Arial"/>
                <w:b w:val="1"/>
                <w:bCs w:val="1"/>
                <w:color w:val="ffffff"/>
                <w:sz w:val="20"/>
                <w:szCs w:val="20"/>
                <w:rtl w:val="0"/>
              </w:rPr>
              <w:t xml:space="preserve">Effect on a Greggs entry</w:t>
            </w:r>
            <w:r w:rsidDel="00000000" w:rsidR="00000000" w:rsidRPr="00000000">
              <w:rPr>
                <w:rtl w:val="0"/>
              </w:rPr>
            </w:r>
          </w:p>
        </w:tc>
        <w:tc>
          <w:tcPr>
            <w:shd w:fill="1f4e6b" w:val="clear"/>
            <w:tcMar>
              <w:top w:w="60.0" w:type="dxa"/>
              <w:left w:w="90.0" w:type="dxa"/>
              <w:bottom w:w="60.0" w:type="dxa"/>
              <w:right w:w="90.0" w:type="dxa"/>
            </w:tcMar>
          </w:tcPr>
          <w:p w:rsidR="00000000" w:rsidDel="00000000" w:rsidP="00000000" w:rsidRDefault="00000000" w:rsidRPr="00000000" w14:paraId="0000005A">
            <w:pPr>
              <w:spacing w:after="0" w:line="276" w:lineRule="auto"/>
              <w:jc w:val="center"/>
              <w:rPr/>
            </w:pPr>
            <w:r w:rsidDel="00000000" w:rsidR="00000000" w:rsidRPr="00000000">
              <w:rPr>
                <w:rFonts w:ascii="Arial" w:cs="Arial" w:eastAsia="Arial" w:hAnsi="Arial"/>
                <w:b w:val="1"/>
                <w:bCs w:val="1"/>
                <w:color w:val="ffffff"/>
                <w:sz w:val="20"/>
                <w:szCs w:val="20"/>
                <w:rtl w:val="0"/>
              </w:rPr>
              <w:t xml:space="preserve">Weight</w:t>
            </w:r>
            <w:r w:rsidDel="00000000" w:rsidR="00000000" w:rsidRPr="00000000">
              <w:rPr>
                <w:rtl w:val="0"/>
              </w:rPr>
            </w:r>
          </w:p>
        </w:tc>
        <w:tc>
          <w:tcPr>
            <w:shd w:fill="1f3b5b" w:val="clear"/>
          </w:tcPr>
          <w:p w:rsidR="00000000" w:rsidDel="00000000" w:rsidP="00000000" w:rsidRDefault="00000000" w:rsidRPr="00000000" w14:paraId="0000005B">
            <w:pPr>
              <w:rPr/>
            </w:pPr>
            <w:r w:rsidDel="00000000" w:rsidR="00000000" w:rsidRPr="00000000">
              <w:rPr>
                <w:rFonts w:ascii="Arial" w:cs="Arial" w:eastAsia="Arial" w:hAnsi="Arial"/>
                <w:b w:val="1"/>
                <w:bCs w:val="1"/>
                <w:color w:val="ffffff"/>
                <w:sz w:val="20"/>
                <w:szCs w:val="20"/>
                <w:rtl w:val="0"/>
              </w:rPr>
              <w:t xml:space="preserve">Source</w:t>
            </w:r>
            <w:r w:rsidDel="00000000" w:rsidR="00000000" w:rsidRPr="00000000">
              <w:rPr>
                <w:rtl w:val="0"/>
              </w:rPr>
            </w:r>
          </w:p>
        </w:tc>
      </w:tr>
      <w:tr>
        <w:trPr>
          <w:cantSplit w:val="0"/>
          <w:tblHeader w:val="0"/>
        </w:trPr>
        <w:tc>
          <w:tcPr>
            <w:shd w:fill="edf1f5" w:val="clear"/>
            <w:tcMar>
              <w:top w:w="60.0" w:type="dxa"/>
              <w:left w:w="90.0" w:type="dxa"/>
              <w:bottom w:w="60.0" w:type="dxa"/>
              <w:right w:w="90.0" w:type="dxa"/>
            </w:tcMar>
          </w:tcPr>
          <w:p w:rsidR="00000000" w:rsidDel="00000000" w:rsidP="00000000" w:rsidRDefault="00000000" w:rsidRPr="00000000" w14:paraId="0000005C">
            <w:pPr>
              <w:spacing w:after="0" w:line="276" w:lineRule="auto"/>
              <w:jc w:val="left"/>
              <w:rPr/>
            </w:pPr>
            <w:r w:rsidDel="00000000" w:rsidR="00000000" w:rsidRPr="00000000">
              <w:rPr>
                <w:rFonts w:ascii="Arial" w:cs="Arial" w:eastAsia="Arial" w:hAnsi="Arial"/>
                <w:b w:val="1"/>
                <w:bCs w:val="1"/>
                <w:color w:val="000000"/>
                <w:sz w:val="20"/>
                <w:szCs w:val="20"/>
                <w:rtl w:val="0"/>
              </w:rPr>
              <w:t xml:space="preserve">Social / cultural</w:t>
            </w:r>
            <w:r w:rsidDel="00000000" w:rsidR="00000000" w:rsidRPr="00000000">
              <w:rPr>
                <w:rtl w:val="0"/>
              </w:rPr>
            </w:r>
          </w:p>
        </w:tc>
        <w:tc>
          <w:tcPr>
            <w:tcMar>
              <w:top w:w="60.0" w:type="dxa"/>
              <w:left w:w="90.0" w:type="dxa"/>
              <w:bottom w:w="60.0" w:type="dxa"/>
              <w:right w:w="90.0" w:type="dxa"/>
            </w:tcMar>
          </w:tcPr>
          <w:p w:rsidR="00000000" w:rsidDel="00000000" w:rsidP="00000000" w:rsidRDefault="00000000" w:rsidRPr="00000000" w14:paraId="0000005D">
            <w:pPr>
              <w:spacing w:after="0" w:line="276" w:lineRule="auto"/>
              <w:jc w:val="left"/>
              <w:rPr/>
            </w:pPr>
            <w:r w:rsidDel="00000000" w:rsidR="00000000" w:rsidRPr="00000000">
              <w:rPr>
                <w:rFonts w:ascii="Arial" w:cs="Arial" w:eastAsia="Arial" w:hAnsi="Arial"/>
                <w:b w:val="0"/>
                <w:bCs w:val="0"/>
                <w:color w:val="000000"/>
                <w:sz w:val="20"/>
                <w:szCs w:val="20"/>
                <w:rtl w:val="0"/>
              </w:rPr>
              <w:t xml:space="preserve">An 88% expatriate population, including a large British contingent, gives real demand </w:t>
            </w:r>
            <w:r w:rsidDel="00000000" w:rsidR="00000000" w:rsidRPr="00000000">
              <w:rPr>
                <w:sz w:val="20"/>
                <w:szCs w:val="20"/>
                <w:rtl w:val="0"/>
              </w:rPr>
              <w:t xml:space="preserve">pull,</w:t>
            </w:r>
            <w:r w:rsidDel="00000000" w:rsidR="00000000" w:rsidRPr="00000000">
              <w:rPr>
                <w:rFonts w:ascii="Arial" w:cs="Arial" w:eastAsia="Arial" w:hAnsi="Arial"/>
                <w:b w:val="0"/>
                <w:bCs w:val="0"/>
                <w:color w:val="000000"/>
                <w:sz w:val="20"/>
                <w:szCs w:val="20"/>
                <w:rtl w:val="0"/>
              </w:rPr>
              <w:t xml:space="preserve"> but Greggs' value-brand meaning does not exist here and must be rebuilt as an aspirational import. This positioning gap is the biggest single risk.</w:t>
            </w:r>
            <w:r w:rsidDel="00000000" w:rsidR="00000000" w:rsidRPr="00000000">
              <w:rPr>
                <w:rtl w:val="0"/>
              </w:rPr>
            </w:r>
          </w:p>
        </w:tc>
        <w:tc>
          <w:tcPr>
            <w:shd w:fill="f6e7e7" w:val="clear"/>
            <w:tcMar>
              <w:top w:w="60.0" w:type="dxa"/>
              <w:left w:w="90.0" w:type="dxa"/>
              <w:bottom w:w="60.0" w:type="dxa"/>
              <w:right w:w="90.0" w:type="dxa"/>
            </w:tcMar>
          </w:tcPr>
          <w:p w:rsidR="00000000" w:rsidDel="00000000" w:rsidP="00000000" w:rsidRDefault="00000000" w:rsidRPr="00000000" w14:paraId="0000005E">
            <w:pPr>
              <w:spacing w:after="0" w:line="276" w:lineRule="auto"/>
              <w:jc w:val="center"/>
              <w:rPr/>
            </w:pPr>
            <w:r w:rsidDel="00000000" w:rsidR="00000000" w:rsidRPr="00000000">
              <w:rPr>
                <w:rFonts w:ascii="Arial" w:cs="Arial" w:eastAsia="Arial" w:hAnsi="Arial"/>
                <w:b w:val="0"/>
                <w:bCs w:val="0"/>
                <w:color w:val="000000"/>
                <w:sz w:val="20"/>
                <w:szCs w:val="20"/>
                <w:rtl w:val="0"/>
              </w:rPr>
              <w:t xml:space="preserve">Critical</w:t>
            </w:r>
            <w:r w:rsidDel="00000000" w:rsidR="00000000" w:rsidRPr="00000000">
              <w:rPr>
                <w:rtl w:val="0"/>
              </w:rPr>
            </w:r>
          </w:p>
        </w:tc>
        <w:tc>
          <w:tcPr/>
          <w:p w:rsidR="00000000" w:rsidDel="00000000" w:rsidP="00000000" w:rsidRDefault="00000000" w:rsidRPr="00000000" w14:paraId="0000005F">
            <w:pPr>
              <w:rPr/>
            </w:pPr>
            <w:r w:rsidDel="00000000" w:rsidR="00000000" w:rsidRPr="00000000">
              <w:rPr>
                <w:rFonts w:ascii="Arial" w:cs="Arial" w:eastAsia="Arial" w:hAnsi="Arial"/>
                <w:b w:val="0"/>
                <w:bCs w:val="0"/>
                <w:sz w:val="20"/>
                <w:szCs w:val="20"/>
                <w:rtl w:val="0"/>
              </w:rPr>
              <w:t xml:space="preserve">The Report Cubes (2026); Mordor Intelligence (2026)</w:t>
            </w:r>
            <w:r w:rsidDel="00000000" w:rsidR="00000000" w:rsidRPr="00000000">
              <w:rPr>
                <w:rtl w:val="0"/>
              </w:rPr>
            </w:r>
          </w:p>
        </w:tc>
      </w:tr>
      <w:tr>
        <w:trPr>
          <w:cantSplit w:val="0"/>
          <w:tblHeader w:val="0"/>
        </w:trPr>
        <w:tc>
          <w:tcPr>
            <w:shd w:fill="edf1f5" w:val="clear"/>
            <w:tcMar>
              <w:top w:w="60.0" w:type="dxa"/>
              <w:left w:w="90.0" w:type="dxa"/>
              <w:bottom w:w="60.0" w:type="dxa"/>
              <w:right w:w="90.0" w:type="dxa"/>
            </w:tcMar>
          </w:tcPr>
          <w:p w:rsidR="00000000" w:rsidDel="00000000" w:rsidP="00000000" w:rsidRDefault="00000000" w:rsidRPr="00000000" w14:paraId="00000060">
            <w:pPr>
              <w:spacing w:after="0" w:line="276" w:lineRule="auto"/>
              <w:jc w:val="left"/>
              <w:rPr/>
            </w:pPr>
            <w:r w:rsidDel="00000000" w:rsidR="00000000" w:rsidRPr="00000000">
              <w:rPr>
                <w:rFonts w:ascii="Arial" w:cs="Arial" w:eastAsia="Arial" w:hAnsi="Arial"/>
                <w:b w:val="1"/>
                <w:bCs w:val="1"/>
                <w:color w:val="000000"/>
                <w:sz w:val="20"/>
                <w:szCs w:val="20"/>
                <w:rtl w:val="0"/>
              </w:rPr>
              <w:t xml:space="preserve">Economic</w:t>
            </w:r>
            <w:r w:rsidDel="00000000" w:rsidR="00000000" w:rsidRPr="00000000">
              <w:rPr>
                <w:rtl w:val="0"/>
              </w:rPr>
            </w:r>
          </w:p>
        </w:tc>
        <w:tc>
          <w:tcPr>
            <w:tcMar>
              <w:top w:w="60.0" w:type="dxa"/>
              <w:left w:w="90.0" w:type="dxa"/>
              <w:bottom w:w="60.0" w:type="dxa"/>
              <w:right w:w="90.0" w:type="dxa"/>
            </w:tcMar>
          </w:tcPr>
          <w:p w:rsidR="00000000" w:rsidDel="00000000" w:rsidP="00000000" w:rsidRDefault="00000000" w:rsidRPr="00000000" w14:paraId="00000061">
            <w:pPr>
              <w:spacing w:after="0" w:line="276" w:lineRule="auto"/>
              <w:jc w:val="left"/>
              <w:rPr/>
            </w:pPr>
            <w:r w:rsidDel="00000000" w:rsidR="00000000" w:rsidRPr="00000000">
              <w:rPr>
                <w:sz w:val="20"/>
                <w:szCs w:val="20"/>
                <w:rtl w:val="0"/>
              </w:rPr>
              <w:t xml:space="preserve">The QSR market is growing at</w:t>
            </w:r>
            <w:r w:rsidDel="00000000" w:rsidR="00000000" w:rsidRPr="00000000">
              <w:rPr>
                <w:rFonts w:ascii="Arial" w:cs="Arial" w:eastAsia="Arial" w:hAnsi="Arial"/>
                <w:b w:val="0"/>
                <w:bCs w:val="0"/>
                <w:color w:val="000000"/>
                <w:sz w:val="20"/>
                <w:szCs w:val="20"/>
                <w:rtl w:val="0"/>
              </w:rPr>
              <w:t xml:space="preserve"> ~19% CAGR towards US$32bn by </w:t>
            </w:r>
            <w:r w:rsidDel="00000000" w:rsidR="00000000" w:rsidRPr="00000000">
              <w:rPr>
                <w:sz w:val="20"/>
                <w:szCs w:val="20"/>
                <w:rtl w:val="0"/>
              </w:rPr>
              <w:t xml:space="preserve">2034, with</w:t>
            </w:r>
            <w:r w:rsidDel="00000000" w:rsidR="00000000" w:rsidRPr="00000000">
              <w:rPr>
                <w:rFonts w:ascii="Arial" w:cs="Arial" w:eastAsia="Arial" w:hAnsi="Arial"/>
                <w:b w:val="0"/>
                <w:bCs w:val="0"/>
                <w:color w:val="000000"/>
                <w:sz w:val="20"/>
                <w:szCs w:val="20"/>
                <w:rtl w:val="0"/>
              </w:rPr>
              <w:t xml:space="preserve"> high disposable incomes and mall/tourism footfall. Strongly positive, and the core pull factor.</w:t>
            </w:r>
            <w:r w:rsidDel="00000000" w:rsidR="00000000" w:rsidRPr="00000000">
              <w:rPr>
                <w:rtl w:val="0"/>
              </w:rPr>
            </w:r>
          </w:p>
        </w:tc>
        <w:tc>
          <w:tcPr>
            <w:shd w:fill="e4efe6" w:val="clear"/>
            <w:tcMar>
              <w:top w:w="60.0" w:type="dxa"/>
              <w:left w:w="90.0" w:type="dxa"/>
              <w:bottom w:w="60.0" w:type="dxa"/>
              <w:right w:w="90.0" w:type="dxa"/>
            </w:tcMar>
          </w:tcPr>
          <w:p w:rsidR="00000000" w:rsidDel="00000000" w:rsidP="00000000" w:rsidRDefault="00000000" w:rsidRPr="00000000" w14:paraId="00000062">
            <w:pPr>
              <w:spacing w:after="0" w:line="276" w:lineRule="auto"/>
              <w:jc w:val="center"/>
              <w:rPr/>
            </w:pPr>
            <w:r w:rsidDel="00000000" w:rsidR="00000000" w:rsidRPr="00000000">
              <w:rPr>
                <w:rFonts w:ascii="Arial" w:cs="Arial" w:eastAsia="Arial" w:hAnsi="Arial"/>
                <w:b w:val="0"/>
                <w:bCs w:val="0"/>
                <w:color w:val="000000"/>
                <w:sz w:val="20"/>
                <w:szCs w:val="20"/>
                <w:rtl w:val="0"/>
              </w:rPr>
              <w:t xml:space="preserve">High (positive)</w:t>
            </w:r>
            <w:r w:rsidDel="00000000" w:rsidR="00000000" w:rsidRPr="00000000">
              <w:rPr>
                <w:rtl w:val="0"/>
              </w:rPr>
            </w:r>
          </w:p>
        </w:tc>
        <w:tc>
          <w:tcPr/>
          <w:p w:rsidR="00000000" w:rsidDel="00000000" w:rsidP="00000000" w:rsidRDefault="00000000" w:rsidRPr="00000000" w14:paraId="00000063">
            <w:pPr>
              <w:rPr/>
            </w:pPr>
            <w:r w:rsidDel="00000000" w:rsidR="00000000" w:rsidRPr="00000000">
              <w:rPr>
                <w:rFonts w:ascii="Arial" w:cs="Arial" w:eastAsia="Arial" w:hAnsi="Arial"/>
                <w:b w:val="0"/>
                <w:bCs w:val="0"/>
                <w:sz w:val="20"/>
                <w:szCs w:val="20"/>
                <w:rtl w:val="0"/>
              </w:rPr>
              <w:t xml:space="preserve">The Report Cubes (2026)</w:t>
            </w:r>
            <w:r w:rsidDel="00000000" w:rsidR="00000000" w:rsidRPr="00000000">
              <w:rPr>
                <w:rtl w:val="0"/>
              </w:rPr>
            </w:r>
          </w:p>
        </w:tc>
      </w:tr>
      <w:tr>
        <w:trPr>
          <w:cantSplit w:val="0"/>
          <w:tblHeader w:val="0"/>
        </w:trPr>
        <w:tc>
          <w:tcPr>
            <w:shd w:fill="edf1f5" w:val="clear"/>
            <w:tcMar>
              <w:top w:w="60.0" w:type="dxa"/>
              <w:left w:w="90.0" w:type="dxa"/>
              <w:bottom w:w="60.0" w:type="dxa"/>
              <w:right w:w="90.0" w:type="dxa"/>
            </w:tcMar>
          </w:tcPr>
          <w:p w:rsidR="00000000" w:rsidDel="00000000" w:rsidP="00000000" w:rsidRDefault="00000000" w:rsidRPr="00000000" w14:paraId="00000064">
            <w:pPr>
              <w:spacing w:after="0" w:line="276" w:lineRule="auto"/>
              <w:jc w:val="left"/>
              <w:rPr/>
            </w:pPr>
            <w:r w:rsidDel="00000000" w:rsidR="00000000" w:rsidRPr="00000000">
              <w:rPr>
                <w:rFonts w:ascii="Arial" w:cs="Arial" w:eastAsia="Arial" w:hAnsi="Arial"/>
                <w:b w:val="1"/>
                <w:bCs w:val="1"/>
                <w:color w:val="000000"/>
                <w:sz w:val="20"/>
                <w:szCs w:val="20"/>
                <w:rtl w:val="0"/>
              </w:rPr>
              <w:t xml:space="preserve">Legal / operational</w:t>
            </w:r>
            <w:r w:rsidDel="00000000" w:rsidR="00000000" w:rsidRPr="00000000">
              <w:rPr>
                <w:rtl w:val="0"/>
              </w:rPr>
            </w:r>
          </w:p>
        </w:tc>
        <w:tc>
          <w:tcPr>
            <w:tcMar>
              <w:top w:w="60.0" w:type="dxa"/>
              <w:left w:w="90.0" w:type="dxa"/>
              <w:bottom w:w="60.0" w:type="dxa"/>
              <w:right w:w="90.0" w:type="dxa"/>
            </w:tcMar>
          </w:tcPr>
          <w:p w:rsidR="00000000" w:rsidDel="00000000" w:rsidP="00000000" w:rsidRDefault="00000000" w:rsidRPr="00000000" w14:paraId="00000065">
            <w:pPr>
              <w:spacing w:after="0" w:line="276" w:lineRule="auto"/>
              <w:jc w:val="left"/>
              <w:rPr/>
            </w:pPr>
            <w:r w:rsidDel="00000000" w:rsidR="00000000" w:rsidRPr="00000000">
              <w:rPr>
                <w:rFonts w:ascii="Arial" w:cs="Arial" w:eastAsia="Arial" w:hAnsi="Arial"/>
                <w:b w:val="0"/>
                <w:bCs w:val="0"/>
                <w:color w:val="000000"/>
                <w:sz w:val="20"/>
                <w:szCs w:val="20"/>
                <w:rtl w:val="0"/>
              </w:rPr>
              <w:t xml:space="preserve">Foreign F&amp;B entry runs through local franchise or partnership structures; Emiratisation labour quotas and strict food-safety rules add operating cost.</w:t>
            </w:r>
            <w:r w:rsidDel="00000000" w:rsidR="00000000" w:rsidRPr="00000000">
              <w:rPr>
                <w:rtl w:val="0"/>
              </w:rPr>
            </w:r>
          </w:p>
        </w:tc>
        <w:tc>
          <w:tcPr>
            <w:shd w:fill="fbf0de" w:val="clear"/>
            <w:tcMar>
              <w:top w:w="60.0" w:type="dxa"/>
              <w:left w:w="90.0" w:type="dxa"/>
              <w:bottom w:w="60.0" w:type="dxa"/>
              <w:right w:w="90.0" w:type="dxa"/>
            </w:tcMar>
          </w:tcPr>
          <w:p w:rsidR="00000000" w:rsidDel="00000000" w:rsidP="00000000" w:rsidRDefault="00000000" w:rsidRPr="00000000" w14:paraId="00000066">
            <w:pPr>
              <w:spacing w:after="0" w:line="276" w:lineRule="auto"/>
              <w:jc w:val="center"/>
              <w:rPr/>
            </w:pPr>
            <w:r w:rsidDel="00000000" w:rsidR="00000000" w:rsidRPr="00000000">
              <w:rPr>
                <w:rFonts w:ascii="Arial" w:cs="Arial" w:eastAsia="Arial" w:hAnsi="Arial"/>
                <w:b w:val="0"/>
                <w:bCs w:val="0"/>
                <w:color w:val="000000"/>
                <w:sz w:val="20"/>
                <w:szCs w:val="20"/>
                <w:rtl w:val="0"/>
              </w:rPr>
              <w:t xml:space="preserve">Medium</w:t>
            </w:r>
            <w:r w:rsidDel="00000000" w:rsidR="00000000" w:rsidRPr="00000000">
              <w:rPr>
                <w:rtl w:val="0"/>
              </w:rPr>
            </w:r>
          </w:p>
        </w:tc>
        <w:tc>
          <w:tcPr/>
          <w:p w:rsidR="00000000" w:rsidDel="00000000" w:rsidP="00000000" w:rsidRDefault="00000000" w:rsidRPr="00000000" w14:paraId="00000067">
            <w:pPr>
              <w:rPr/>
            </w:pPr>
            <w:r w:rsidDel="00000000" w:rsidR="00000000" w:rsidRPr="00000000">
              <w:rPr>
                <w:rFonts w:ascii="Arial" w:cs="Arial" w:eastAsia="Arial" w:hAnsi="Arial"/>
                <w:b w:val="0"/>
                <w:bCs w:val="0"/>
                <w:sz w:val="20"/>
                <w:szCs w:val="20"/>
                <w:rtl w:val="0"/>
              </w:rPr>
              <w:t xml:space="preserve">Ken Research (2025)</w:t>
            </w:r>
            <w:r w:rsidDel="00000000" w:rsidR="00000000" w:rsidRPr="00000000">
              <w:rPr>
                <w:rtl w:val="0"/>
              </w:rPr>
            </w:r>
          </w:p>
        </w:tc>
      </w:tr>
      <w:tr>
        <w:trPr>
          <w:cantSplit w:val="0"/>
          <w:tblHeader w:val="0"/>
        </w:trPr>
        <w:tc>
          <w:tcPr>
            <w:shd w:fill="edf1f5" w:val="clear"/>
            <w:tcMar>
              <w:top w:w="60.0" w:type="dxa"/>
              <w:left w:w="90.0" w:type="dxa"/>
              <w:bottom w:w="60.0" w:type="dxa"/>
              <w:right w:w="90.0" w:type="dxa"/>
            </w:tcMar>
          </w:tcPr>
          <w:p w:rsidR="00000000" w:rsidDel="00000000" w:rsidP="00000000" w:rsidRDefault="00000000" w:rsidRPr="00000000" w14:paraId="00000068">
            <w:pPr>
              <w:spacing w:after="0" w:line="276" w:lineRule="auto"/>
              <w:jc w:val="left"/>
              <w:rPr/>
            </w:pPr>
            <w:r w:rsidDel="00000000" w:rsidR="00000000" w:rsidRPr="00000000">
              <w:rPr>
                <w:b w:val="1"/>
                <w:bCs w:val="1"/>
                <w:sz w:val="20"/>
                <w:szCs w:val="20"/>
                <w:rtl w:val="0"/>
              </w:rPr>
              <w:t xml:space="preserve">Environmental</w:t>
            </w:r>
            <w:r w:rsidDel="00000000" w:rsidR="00000000" w:rsidRPr="00000000">
              <w:rPr>
                <w:rFonts w:ascii="Arial" w:cs="Arial" w:eastAsia="Arial" w:hAnsi="Arial"/>
                <w:b w:val="1"/>
                <w:bCs w:val="1"/>
                <w:color w:val="000000"/>
                <w:sz w:val="20"/>
                <w:szCs w:val="20"/>
                <w:rtl w:val="0"/>
              </w:rPr>
              <w:t xml:space="preserve">/ supply</w:t>
            </w:r>
            <w:r w:rsidDel="00000000" w:rsidR="00000000" w:rsidRPr="00000000">
              <w:rPr>
                <w:rtl w:val="0"/>
              </w:rPr>
            </w:r>
          </w:p>
        </w:tc>
        <w:tc>
          <w:tcPr>
            <w:tcMar>
              <w:top w:w="60.0" w:type="dxa"/>
              <w:left w:w="90.0" w:type="dxa"/>
              <w:bottom w:w="60.0" w:type="dxa"/>
              <w:right w:w="90.0" w:type="dxa"/>
            </w:tcMar>
          </w:tcPr>
          <w:p w:rsidR="00000000" w:rsidDel="00000000" w:rsidP="00000000" w:rsidRDefault="00000000" w:rsidRPr="00000000" w14:paraId="00000069">
            <w:pPr>
              <w:spacing w:after="0" w:line="276" w:lineRule="auto"/>
              <w:jc w:val="left"/>
              <w:rPr/>
            </w:pPr>
            <w:r w:rsidDel="00000000" w:rsidR="00000000" w:rsidRPr="00000000">
              <w:rPr>
                <w:rFonts w:ascii="Arial" w:cs="Arial" w:eastAsia="Arial" w:hAnsi="Arial"/>
                <w:b w:val="0"/>
                <w:bCs w:val="0"/>
                <w:color w:val="000000"/>
                <w:sz w:val="20"/>
                <w:szCs w:val="20"/>
                <w:rtl w:val="0"/>
              </w:rPr>
              <w:t xml:space="preserve">UAE imports almost all its food; Greggs' bake-in-store model needs a reliable local or regional supply chain that does not yet exist for it.</w:t>
            </w:r>
            <w:r w:rsidDel="00000000" w:rsidR="00000000" w:rsidRPr="00000000">
              <w:rPr>
                <w:rtl w:val="0"/>
              </w:rPr>
            </w:r>
          </w:p>
        </w:tc>
        <w:tc>
          <w:tcPr>
            <w:shd w:fill="fbf0de" w:val="clear"/>
            <w:tcMar>
              <w:top w:w="60.0" w:type="dxa"/>
              <w:left w:w="90.0" w:type="dxa"/>
              <w:bottom w:w="60.0" w:type="dxa"/>
              <w:right w:w="90.0" w:type="dxa"/>
            </w:tcMar>
          </w:tcPr>
          <w:p w:rsidR="00000000" w:rsidDel="00000000" w:rsidP="00000000" w:rsidRDefault="00000000" w:rsidRPr="00000000" w14:paraId="0000006A">
            <w:pPr>
              <w:spacing w:after="0" w:line="276" w:lineRule="auto"/>
              <w:jc w:val="center"/>
              <w:rPr/>
            </w:pPr>
            <w:r w:rsidDel="00000000" w:rsidR="00000000" w:rsidRPr="00000000">
              <w:rPr>
                <w:rFonts w:ascii="Arial" w:cs="Arial" w:eastAsia="Arial" w:hAnsi="Arial"/>
                <w:b w:val="0"/>
                <w:bCs w:val="0"/>
                <w:color w:val="000000"/>
                <w:sz w:val="20"/>
                <w:szCs w:val="20"/>
                <w:rtl w:val="0"/>
              </w:rPr>
              <w:t xml:space="preserve">Medium-High</w:t>
            </w:r>
            <w:r w:rsidDel="00000000" w:rsidR="00000000" w:rsidRPr="00000000">
              <w:rPr>
                <w:rtl w:val="0"/>
              </w:rPr>
            </w:r>
          </w:p>
        </w:tc>
        <w:tc>
          <w:tcPr/>
          <w:p w:rsidR="00000000" w:rsidDel="00000000" w:rsidP="00000000" w:rsidRDefault="00000000" w:rsidRPr="00000000" w14:paraId="0000006B">
            <w:pPr>
              <w:rPr/>
            </w:pPr>
            <w:r w:rsidDel="00000000" w:rsidR="00000000" w:rsidRPr="00000000">
              <w:rPr>
                <w:rFonts w:ascii="Arial" w:cs="Arial" w:eastAsia="Arial" w:hAnsi="Arial"/>
                <w:b w:val="0"/>
                <w:bCs w:val="0"/>
                <w:sz w:val="20"/>
                <w:szCs w:val="20"/>
                <w:rtl w:val="0"/>
              </w:rPr>
              <w:t xml:space="preserve">Nexdigm (2026)</w:t>
            </w:r>
            <w:r w:rsidDel="00000000" w:rsidR="00000000" w:rsidRPr="00000000">
              <w:rPr>
                <w:rtl w:val="0"/>
              </w:rPr>
            </w:r>
          </w:p>
        </w:tc>
      </w:tr>
      <w:tr>
        <w:trPr>
          <w:cantSplit w:val="0"/>
          <w:tblHeader w:val="0"/>
        </w:trPr>
        <w:tc>
          <w:tcPr>
            <w:shd w:fill="edf1f5" w:val="clear"/>
            <w:tcMar>
              <w:top w:w="60.0" w:type="dxa"/>
              <w:left w:w="90.0" w:type="dxa"/>
              <w:bottom w:w="60.0" w:type="dxa"/>
              <w:right w:w="90.0" w:type="dxa"/>
            </w:tcMar>
          </w:tcPr>
          <w:p w:rsidR="00000000" w:rsidDel="00000000" w:rsidP="00000000" w:rsidRDefault="00000000" w:rsidRPr="00000000" w14:paraId="0000006C">
            <w:pPr>
              <w:spacing w:after="0" w:line="276" w:lineRule="auto"/>
              <w:jc w:val="left"/>
              <w:rPr/>
            </w:pPr>
            <w:r w:rsidDel="00000000" w:rsidR="00000000" w:rsidRPr="00000000">
              <w:rPr>
                <w:rFonts w:ascii="Arial" w:cs="Arial" w:eastAsia="Arial" w:hAnsi="Arial"/>
                <w:b w:val="1"/>
                <w:bCs w:val="1"/>
                <w:color w:val="000000"/>
                <w:sz w:val="20"/>
                <w:szCs w:val="20"/>
                <w:rtl w:val="0"/>
              </w:rPr>
              <w:t xml:space="preserve">Political</w:t>
            </w:r>
            <w:r w:rsidDel="00000000" w:rsidR="00000000" w:rsidRPr="00000000">
              <w:rPr>
                <w:rtl w:val="0"/>
              </w:rPr>
            </w:r>
          </w:p>
        </w:tc>
        <w:tc>
          <w:tcPr>
            <w:tcMar>
              <w:top w:w="60.0" w:type="dxa"/>
              <w:left w:w="90.0" w:type="dxa"/>
              <w:bottom w:w="60.0" w:type="dxa"/>
              <w:right w:w="90.0" w:type="dxa"/>
            </w:tcMar>
          </w:tcPr>
          <w:p w:rsidR="00000000" w:rsidDel="00000000" w:rsidP="00000000" w:rsidRDefault="00000000" w:rsidRPr="00000000" w14:paraId="0000006D">
            <w:pPr>
              <w:spacing w:after="0" w:line="276" w:lineRule="auto"/>
              <w:jc w:val="left"/>
              <w:rPr/>
            </w:pPr>
            <w:r w:rsidDel="00000000" w:rsidR="00000000" w:rsidRPr="00000000">
              <w:rPr>
                <w:rFonts w:ascii="Arial" w:cs="Arial" w:eastAsia="Arial" w:hAnsi="Arial"/>
                <w:b w:val="0"/>
                <w:bCs w:val="0"/>
                <w:color w:val="000000"/>
                <w:sz w:val="20"/>
                <w:szCs w:val="20"/>
                <w:rtl w:val="0"/>
              </w:rPr>
              <w:t xml:space="preserve">Stable, pro-business, investor-friendly. Regional tension is a </w:t>
            </w:r>
            <w:r w:rsidDel="00000000" w:rsidR="00000000" w:rsidRPr="00000000">
              <w:rPr>
                <w:sz w:val="20"/>
                <w:szCs w:val="20"/>
                <w:rtl w:val="0"/>
              </w:rPr>
              <w:t xml:space="preserve">watch item</w:t>
            </w:r>
            <w:r w:rsidDel="00000000" w:rsidR="00000000" w:rsidRPr="00000000">
              <w:rPr>
                <w:rFonts w:ascii="Arial" w:cs="Arial" w:eastAsia="Arial" w:hAnsi="Arial"/>
                <w:b w:val="0"/>
                <w:bCs w:val="0"/>
                <w:color w:val="000000"/>
                <w:sz w:val="20"/>
                <w:szCs w:val="20"/>
                <w:rtl w:val="0"/>
              </w:rPr>
              <w:t xml:space="preserve"> but not a structural barrier.</w:t>
            </w:r>
            <w:r w:rsidDel="00000000" w:rsidR="00000000" w:rsidRPr="00000000">
              <w:rPr>
                <w:rtl w:val="0"/>
              </w:rPr>
            </w:r>
          </w:p>
        </w:tc>
        <w:tc>
          <w:tcPr>
            <w:shd w:fill="edf1f5" w:val="clear"/>
            <w:tcMar>
              <w:top w:w="60.0" w:type="dxa"/>
              <w:left w:w="90.0" w:type="dxa"/>
              <w:bottom w:w="60.0" w:type="dxa"/>
              <w:right w:w="90.0" w:type="dxa"/>
            </w:tcMar>
          </w:tcPr>
          <w:p w:rsidR="00000000" w:rsidDel="00000000" w:rsidP="00000000" w:rsidRDefault="00000000" w:rsidRPr="00000000" w14:paraId="0000006E">
            <w:pPr>
              <w:spacing w:after="0" w:line="276" w:lineRule="auto"/>
              <w:jc w:val="center"/>
              <w:rPr/>
            </w:pPr>
            <w:r w:rsidDel="00000000" w:rsidR="00000000" w:rsidRPr="00000000">
              <w:rPr>
                <w:rFonts w:ascii="Arial" w:cs="Arial" w:eastAsia="Arial" w:hAnsi="Arial"/>
                <w:b w:val="0"/>
                <w:bCs w:val="0"/>
                <w:color w:val="000000"/>
                <w:sz w:val="20"/>
                <w:szCs w:val="20"/>
                <w:rtl w:val="0"/>
              </w:rPr>
              <w:t xml:space="preserve">Low</w:t>
            </w:r>
            <w:r w:rsidDel="00000000" w:rsidR="00000000" w:rsidRPr="00000000">
              <w:rPr>
                <w:rtl w:val="0"/>
              </w:rPr>
            </w:r>
          </w:p>
        </w:tc>
        <w:tc>
          <w:tcPr/>
          <w:p w:rsidR="00000000" w:rsidDel="00000000" w:rsidP="00000000" w:rsidRDefault="00000000" w:rsidRPr="00000000" w14:paraId="0000006F">
            <w:pPr>
              <w:rPr/>
            </w:pPr>
            <w:r w:rsidDel="00000000" w:rsidR="00000000" w:rsidRPr="00000000">
              <w:rPr>
                <w:rFonts w:ascii="Arial" w:cs="Arial" w:eastAsia="Arial" w:hAnsi="Arial"/>
                <w:b w:val="0"/>
                <w:bCs w:val="0"/>
                <w:sz w:val="20"/>
                <w:szCs w:val="20"/>
                <w:rtl w:val="0"/>
              </w:rPr>
              <w:t xml:space="preserve">Nexdigm (2026)</w:t>
            </w:r>
            <w:r w:rsidDel="00000000" w:rsidR="00000000" w:rsidRPr="00000000">
              <w:rPr>
                <w:rtl w:val="0"/>
              </w:rPr>
            </w:r>
          </w:p>
        </w:tc>
      </w:tr>
      <w:tr>
        <w:trPr>
          <w:cantSplit w:val="0"/>
          <w:tblHeader w:val="0"/>
        </w:trPr>
        <w:tc>
          <w:tcPr>
            <w:shd w:fill="edf1f5" w:val="clear"/>
            <w:tcMar>
              <w:top w:w="60.0" w:type="dxa"/>
              <w:left w:w="90.0" w:type="dxa"/>
              <w:bottom w:w="60.0" w:type="dxa"/>
              <w:right w:w="90.0" w:type="dxa"/>
            </w:tcMar>
          </w:tcPr>
          <w:p w:rsidR="00000000" w:rsidDel="00000000" w:rsidP="00000000" w:rsidRDefault="00000000" w:rsidRPr="00000000" w14:paraId="00000070">
            <w:pPr>
              <w:spacing w:after="0" w:line="276" w:lineRule="auto"/>
              <w:jc w:val="left"/>
              <w:rPr/>
            </w:pPr>
            <w:r w:rsidDel="00000000" w:rsidR="00000000" w:rsidRPr="00000000">
              <w:rPr>
                <w:b w:val="1"/>
                <w:bCs w:val="1"/>
                <w:sz w:val="20"/>
                <w:szCs w:val="20"/>
                <w:rtl w:val="0"/>
              </w:rPr>
              <w:t xml:space="preserve">Technological</w:t>
            </w:r>
            <w:r w:rsidDel="00000000" w:rsidR="00000000" w:rsidRPr="00000000">
              <w:rPr>
                <w:rtl w:val="0"/>
              </w:rPr>
            </w:r>
          </w:p>
        </w:tc>
        <w:tc>
          <w:tcPr>
            <w:tcMar>
              <w:top w:w="60.0" w:type="dxa"/>
              <w:left w:w="90.0" w:type="dxa"/>
              <w:bottom w:w="60.0" w:type="dxa"/>
              <w:right w:w="90.0" w:type="dxa"/>
            </w:tcMar>
          </w:tcPr>
          <w:p w:rsidR="00000000" w:rsidDel="00000000" w:rsidP="00000000" w:rsidRDefault="00000000" w:rsidRPr="00000000" w14:paraId="00000071">
            <w:pPr>
              <w:spacing w:after="0" w:line="276" w:lineRule="auto"/>
              <w:jc w:val="left"/>
              <w:rPr/>
            </w:pPr>
            <w:r w:rsidDel="00000000" w:rsidR="00000000" w:rsidRPr="00000000">
              <w:rPr>
                <w:sz w:val="20"/>
                <w:szCs w:val="20"/>
                <w:rtl w:val="0"/>
              </w:rPr>
              <w:t xml:space="preserve">A highly</w:t>
            </w:r>
            <w:r w:rsidDel="00000000" w:rsidR="00000000" w:rsidRPr="00000000">
              <w:rPr>
                <w:rFonts w:ascii="Arial" w:cs="Arial" w:eastAsia="Arial" w:hAnsi="Arial"/>
                <w:b w:val="0"/>
                <w:bCs w:val="0"/>
                <w:color w:val="000000"/>
                <w:sz w:val="20"/>
                <w:szCs w:val="20"/>
                <w:rtl w:val="0"/>
              </w:rPr>
              <w:t xml:space="preserve"> developed delivery ecosystem </w:t>
            </w:r>
            <w:r w:rsidDel="00000000" w:rsidR="00000000" w:rsidRPr="00000000">
              <w:rPr>
                <w:sz w:val="20"/>
                <w:szCs w:val="20"/>
                <w:rtl w:val="0"/>
              </w:rPr>
              <w:t xml:space="preserve">(Talabat and</w:t>
            </w:r>
            <w:r w:rsidDel="00000000" w:rsidR="00000000" w:rsidRPr="00000000">
              <w:rPr>
                <w:rFonts w:ascii="Arial" w:cs="Arial" w:eastAsia="Arial" w:hAnsi="Arial"/>
                <w:b w:val="0"/>
                <w:bCs w:val="0"/>
                <w:color w:val="000000"/>
                <w:sz w:val="20"/>
                <w:szCs w:val="20"/>
                <w:rtl w:val="0"/>
              </w:rPr>
              <w:t xml:space="preserve"> Deliveroo) suits </w:t>
            </w:r>
            <w:r w:rsidDel="00000000" w:rsidR="00000000" w:rsidRPr="00000000">
              <w:rPr>
                <w:sz w:val="20"/>
                <w:szCs w:val="20"/>
                <w:rtl w:val="0"/>
              </w:rPr>
              <w:t xml:space="preserve">food-to-go; it's</w:t>
            </w:r>
            <w:r w:rsidDel="00000000" w:rsidR="00000000" w:rsidRPr="00000000">
              <w:rPr>
                <w:rFonts w:ascii="Arial" w:cs="Arial" w:eastAsia="Arial" w:hAnsi="Arial"/>
                <w:b w:val="0"/>
                <w:bCs w:val="0"/>
                <w:color w:val="000000"/>
                <w:sz w:val="20"/>
                <w:szCs w:val="20"/>
                <w:rtl w:val="0"/>
              </w:rPr>
              <w:t xml:space="preserve"> a genuine tailwind if used well.</w:t>
            </w:r>
            <w:r w:rsidDel="00000000" w:rsidR="00000000" w:rsidRPr="00000000">
              <w:rPr>
                <w:rtl w:val="0"/>
              </w:rPr>
            </w:r>
          </w:p>
        </w:tc>
        <w:tc>
          <w:tcPr>
            <w:shd w:fill="edf1f5" w:val="clear"/>
            <w:tcMar>
              <w:top w:w="60.0" w:type="dxa"/>
              <w:left w:w="90.0" w:type="dxa"/>
              <w:bottom w:w="60.0" w:type="dxa"/>
              <w:right w:w="90.0" w:type="dxa"/>
            </w:tcMar>
          </w:tcPr>
          <w:p w:rsidR="00000000" w:rsidDel="00000000" w:rsidP="00000000" w:rsidRDefault="00000000" w:rsidRPr="00000000" w14:paraId="00000072">
            <w:pPr>
              <w:spacing w:after="0" w:line="276" w:lineRule="auto"/>
              <w:jc w:val="center"/>
              <w:rPr/>
            </w:pPr>
            <w:r w:rsidDel="00000000" w:rsidR="00000000" w:rsidRPr="00000000">
              <w:rPr>
                <w:rFonts w:ascii="Arial" w:cs="Arial" w:eastAsia="Arial" w:hAnsi="Arial"/>
                <w:b w:val="0"/>
                <w:bCs w:val="0"/>
                <w:color w:val="000000"/>
                <w:sz w:val="20"/>
                <w:szCs w:val="20"/>
                <w:rtl w:val="0"/>
              </w:rPr>
              <w:t xml:space="preserve">Low-Med</w:t>
            </w:r>
            <w:r w:rsidDel="00000000" w:rsidR="00000000" w:rsidRPr="00000000">
              <w:rPr>
                <w:rtl w:val="0"/>
              </w:rPr>
            </w:r>
          </w:p>
        </w:tc>
        <w:tc>
          <w:tcPr/>
          <w:p w:rsidR="00000000" w:rsidDel="00000000" w:rsidP="00000000" w:rsidRDefault="00000000" w:rsidRPr="00000000" w14:paraId="00000073">
            <w:pPr>
              <w:rPr/>
            </w:pPr>
            <w:r w:rsidDel="00000000" w:rsidR="00000000" w:rsidRPr="00000000">
              <w:rPr>
                <w:rFonts w:ascii="Arial" w:cs="Arial" w:eastAsia="Arial" w:hAnsi="Arial"/>
                <w:b w:val="0"/>
                <w:bCs w:val="0"/>
                <w:sz w:val="20"/>
                <w:szCs w:val="20"/>
                <w:rtl w:val="0"/>
              </w:rPr>
              <w:t xml:space="preserve">Talabat/Deliveroo market data; Ken Research (2025)</w:t>
            </w:r>
            <w:r w:rsidDel="00000000" w:rsidR="00000000" w:rsidRPr="00000000">
              <w:rPr>
                <w:rtl w:val="0"/>
              </w:rPr>
            </w:r>
          </w:p>
        </w:tc>
      </w:tr>
    </w:tbl>
    <w:p w:rsidR="00000000" w:rsidDel="00000000" w:rsidP="00000000" w:rsidRDefault="00000000" w:rsidRPr="00000000" w14:paraId="00000074">
      <w:pPr>
        <w:spacing w:after="160" w:lineRule="auto"/>
        <w:rPr/>
      </w:pPr>
      <w:r w:rsidDel="00000000" w:rsidR="00000000" w:rsidRPr="00000000">
        <w:rPr>
          <w:rtl w:val="0"/>
        </w:rPr>
      </w:r>
    </w:p>
    <w:p w:rsidR="00000000" w:rsidDel="00000000" w:rsidP="00000000" w:rsidRDefault="00000000" w:rsidRPr="00000000" w14:paraId="00000075">
      <w:pPr>
        <w:pStyle w:val="Heading2"/>
        <w:spacing w:after="120" w:before="220" w:lineRule="auto"/>
        <w:rPr/>
      </w:pPr>
      <w:r w:rsidDel="00000000" w:rsidR="00000000" w:rsidRPr="00000000">
        <w:rPr>
          <w:rFonts w:ascii="Arial" w:cs="Arial" w:eastAsia="Arial" w:hAnsi="Arial"/>
          <w:b w:val="1"/>
          <w:bCs w:val="1"/>
          <w:color w:val="000000"/>
          <w:sz w:val="26"/>
          <w:szCs w:val="26"/>
          <w:rtl w:val="0"/>
        </w:rPr>
        <w:t xml:space="preserve">Economic factors: market growth and demand</w:t>
      </w:r>
      <w:r w:rsidDel="00000000" w:rsidR="00000000" w:rsidRPr="00000000">
        <w:rPr>
          <w:rtl w:val="0"/>
        </w:rPr>
      </w:r>
    </w:p>
    <w:p w:rsidR="00000000" w:rsidDel="00000000" w:rsidP="00000000" w:rsidRDefault="00000000" w:rsidRPr="00000000" w14:paraId="00000076">
      <w:pPr>
        <w:spacing w:after="160" w:line="360" w:lineRule="auto"/>
        <w:jc w:val="both"/>
        <w:rPr/>
      </w:pPr>
      <w:r w:rsidDel="00000000" w:rsidR="00000000" w:rsidRPr="00000000">
        <w:rPr>
          <w:rFonts w:ascii="Arial" w:cs="Arial" w:eastAsia="Arial" w:hAnsi="Arial"/>
          <w:sz w:val="24"/>
          <w:szCs w:val="24"/>
          <w:rtl w:val="0"/>
        </w:rPr>
        <w:t xml:space="preserve">The economic dimension provides the primary case for entry. The UAE quick-service restaurant market was valued at approximately US$6.72bn in 2025 and is forecast to reach around US$32.72bn by 2034, representing a compound annual growth rate of approximately 19% (The Report Cubes, 2026). Dubai alone accounts for roughly 52% of this market, supported by superior retail infrastructure and substantial global tourism (The Report Cubes, 2026). Set against a UK market in which visits fell approximately 3% in 2025, the contrast is pronounced (Greggs plc, 2026). For a domestic operator experiencing slowing growth, the examination of a market expanding at nearly a fifth annually represents a reasonable strategic consideration rather than an implausible one.</w:t>
      </w:r>
      <w:r w:rsidDel="00000000" w:rsidR="00000000" w:rsidRPr="00000000">
        <w:rPr>
          <w:rtl w:val="0"/>
        </w:rPr>
      </w:r>
    </w:p>
    <w:p w:rsidR="00000000" w:rsidDel="00000000" w:rsidP="00000000" w:rsidRDefault="00000000" w:rsidRPr="00000000" w14:paraId="00000077">
      <w:pPr>
        <w:spacing w:after="60" w:before="120" w:lineRule="auto"/>
        <w:jc w:val="center"/>
        <w:rPr/>
      </w:pPr>
      <w:r w:rsidDel="00000000" w:rsidR="00000000" w:rsidRPr="00000000">
        <w:rPr/>
        <w:drawing>
          <wp:inline distB="0" distT="0" distL="0" distR="0">
            <wp:extent cx="4095750" cy="2724150"/>
            <wp:effectExtent b="0" l="0" r="0" t="0"/>
            <wp:docPr id="2" name="image9.png"/>
            <a:graphic>
              <a:graphicData uri="http://schemas.openxmlformats.org/drawingml/2006/picture">
                <pic:pic>
                  <pic:nvPicPr>
                    <pic:cNvPr id="0" name="image9.png"/>
                    <pic:cNvPicPr preferRelativeResize="0"/>
                  </pic:nvPicPr>
                  <pic:blipFill>
                    <a:blip r:embed="rId9"/>
                    <a:srcRect b="0" l="0" r="0" t="0"/>
                    <a:stretch>
                      <a:fillRect/>
                    </a:stretch>
                  </pic:blipFill>
                  <pic:spPr>
                    <a:xfrm>
                      <a:off x="0" y="0"/>
                      <a:ext cx="4095750" cy="2724150"/>
                    </a:xfrm>
                    <a:prstGeom prst="rect"/>
                    <a:ln/>
                  </pic:spPr>
                </pic:pic>
              </a:graphicData>
            </a:graphic>
          </wp:inline>
        </w:drawing>
      </w:r>
      <w:r w:rsidDel="00000000" w:rsidR="00000000" w:rsidRPr="00000000">
        <w:rPr>
          <w:rtl w:val="0"/>
        </w:rPr>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555555"/>
          <w:sz w:val="20"/>
          <w:szCs w:val="20"/>
          <w:u w:val="none"/>
          <w:shd w:fill="auto" w:val="clear"/>
          <w:vertAlign w:val="baseline"/>
        </w:rPr>
      </w:pPr>
      <w:r w:rsidDel="00000000" w:rsidR="00000000" w:rsidRPr="00000000">
        <w:rPr>
          <w:rFonts w:ascii="Arial" w:cs="Arial" w:eastAsia="Arial" w:hAnsi="Arial"/>
          <w:b w:val="0"/>
          <w:bCs w:val="0"/>
          <w:i w:val="1"/>
          <w:iCs w:val="1"/>
          <w:smallCaps w:val="0"/>
          <w:strike w:val="0"/>
          <w:color w:val="555555"/>
          <w:sz w:val="20"/>
          <w:szCs w:val="20"/>
          <w:u w:val="none"/>
          <w:shd w:fill="auto" w:val="clear"/>
          <w:vertAlign w:val="baseline"/>
          <w:rtl w:val="0"/>
        </w:rPr>
        <w:t xml:space="preserve">Figure 3: UAE quick-service restaurant market, 2025–2034 (The Report Cubes, 2026).</w:t>
      </w:r>
    </w:p>
    <w:p w:rsidR="00000000" w:rsidDel="00000000" w:rsidP="00000000" w:rsidRDefault="00000000" w:rsidRPr="00000000" w14:paraId="00000079">
      <w:pPr>
        <w:spacing w:after="160" w:line="360" w:lineRule="auto"/>
        <w:jc w:val="both"/>
        <w:rPr/>
      </w:pPr>
      <w:r w:rsidDel="00000000" w:rsidR="00000000" w:rsidRPr="00000000">
        <w:rPr>
          <w:rFonts w:ascii="Arial" w:cs="Arial" w:eastAsia="Arial" w:hAnsi="Arial"/>
          <w:sz w:val="24"/>
          <w:szCs w:val="24"/>
          <w:rtl w:val="0"/>
        </w:rPr>
        <w:t xml:space="preserve">The demand base is favourable in ways that suit Greggs specifically. Expatriates constitute over 88% of the UAE population, and the market is explicitly </w:t>
      </w:r>
      <w:r w:rsidDel="00000000" w:rsidR="00000000" w:rsidRPr="00000000">
        <w:rPr>
          <w:rtl w:val="0"/>
        </w:rPr>
        <w:t xml:space="preserve">orientated</w:t>
      </w:r>
      <w:r w:rsidDel="00000000" w:rsidR="00000000" w:rsidRPr="00000000">
        <w:rPr>
          <w:rFonts w:ascii="Arial" w:cs="Arial" w:eastAsia="Arial" w:hAnsi="Arial"/>
          <w:sz w:val="24"/>
          <w:szCs w:val="24"/>
          <w:rtl w:val="0"/>
        </w:rPr>
        <w:t xml:space="preserve"> towards serving this diverse, </w:t>
      </w:r>
      <w:r w:rsidDel="00000000" w:rsidR="00000000" w:rsidRPr="00000000">
        <w:rPr>
          <w:rtl w:val="0"/>
        </w:rPr>
        <w:t xml:space="preserve">convenience-orientated</w:t>
      </w:r>
      <w:r w:rsidDel="00000000" w:rsidR="00000000" w:rsidRPr="00000000">
        <w:rPr>
          <w:rFonts w:ascii="Arial" w:cs="Arial" w:eastAsia="Arial" w:hAnsi="Arial"/>
          <w:sz w:val="24"/>
          <w:szCs w:val="24"/>
          <w:rtl w:val="0"/>
        </w:rPr>
        <w:t xml:space="preserve"> base (The Report Cubes, 2026; Mordor Intelligence, 2026). Within this population, the British expatriate community is sizeable and retains genuine brand affinity for Greggs, representing the principal context in which the company's domestic brand equity transfers. Dubai's status as a global travel hub reinforces this, since returning British tourists already recognise the brand. The opportunity is therefore a specific, identifiable and reachable customer segment rather than a matter of generalised appeal to a large population.</w:t>
      </w:r>
      <w:r w:rsidDel="00000000" w:rsidR="00000000" w:rsidRPr="00000000">
        <w:rPr>
          <w:rtl w:val="0"/>
        </w:rPr>
      </w:r>
    </w:p>
    <w:p w:rsidR="00000000" w:rsidDel="00000000" w:rsidP="00000000" w:rsidRDefault="00000000" w:rsidRPr="00000000" w14:paraId="0000007A">
      <w:pPr>
        <w:spacing w:after="60" w:before="120" w:lineRule="auto"/>
        <w:jc w:val="center"/>
        <w:rPr/>
      </w:pPr>
      <w:r w:rsidDel="00000000" w:rsidR="00000000" w:rsidRPr="00000000">
        <w:rPr/>
        <w:drawing>
          <wp:inline distB="0" distT="0" distL="0" distR="0">
            <wp:extent cx="4000500" cy="2628900"/>
            <wp:effectExtent b="0" l="0" r="0" t="0"/>
            <wp:docPr id="5" name="image8.png"/>
            <a:graphic>
              <a:graphicData uri="http://schemas.openxmlformats.org/drawingml/2006/picture">
                <pic:pic>
                  <pic:nvPicPr>
                    <pic:cNvPr id="0" name="image8.png"/>
                    <pic:cNvPicPr preferRelativeResize="0"/>
                  </pic:nvPicPr>
                  <pic:blipFill>
                    <a:blip r:embed="rId10"/>
                    <a:srcRect b="0" l="0" r="0" t="0"/>
                    <a:stretch>
                      <a:fillRect/>
                    </a:stretch>
                  </pic:blipFill>
                  <pic:spPr>
                    <a:xfrm>
                      <a:off x="0" y="0"/>
                      <a:ext cx="4000500" cy="2628900"/>
                    </a:xfrm>
                    <a:prstGeom prst="rect"/>
                    <a:ln/>
                  </pic:spPr>
                </pic:pic>
              </a:graphicData>
            </a:graphic>
          </wp:inline>
        </w:drawing>
      </w:r>
      <w:r w:rsidDel="00000000" w:rsidR="00000000" w:rsidRPr="00000000">
        <w:rPr>
          <w:rtl w:val="0"/>
        </w:rPr>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555555"/>
          <w:sz w:val="20"/>
          <w:szCs w:val="20"/>
          <w:u w:val="none"/>
          <w:shd w:fill="auto" w:val="clear"/>
          <w:vertAlign w:val="baseline"/>
        </w:rPr>
      </w:pPr>
      <w:r w:rsidDel="00000000" w:rsidR="00000000" w:rsidRPr="00000000">
        <w:rPr>
          <w:rFonts w:ascii="Arial" w:cs="Arial" w:eastAsia="Arial" w:hAnsi="Arial"/>
          <w:b w:val="0"/>
          <w:bCs w:val="0"/>
          <w:i w:val="1"/>
          <w:iCs w:val="1"/>
          <w:smallCaps w:val="0"/>
          <w:strike w:val="0"/>
          <w:color w:val="555555"/>
          <w:sz w:val="20"/>
          <w:szCs w:val="20"/>
          <w:u w:val="none"/>
          <w:shd w:fill="auto" w:val="clear"/>
          <w:vertAlign w:val="baseline"/>
          <w:rtl w:val="0"/>
        </w:rPr>
        <w:t xml:space="preserve">Figure 4: UAE population composition (The Report Cubes, 2026).</w:t>
      </w:r>
    </w:p>
    <w:p w:rsidR="00000000" w:rsidDel="00000000" w:rsidP="00000000" w:rsidRDefault="00000000" w:rsidRPr="00000000" w14:paraId="0000007C">
      <w:pPr>
        <w:pStyle w:val="Heading2"/>
        <w:spacing w:after="120" w:before="220" w:lineRule="auto"/>
        <w:rPr/>
      </w:pPr>
      <w:r w:rsidDel="00000000" w:rsidR="00000000" w:rsidRPr="00000000">
        <w:rPr>
          <w:rFonts w:ascii="Arial" w:cs="Arial" w:eastAsia="Arial" w:hAnsi="Arial"/>
          <w:b w:val="1"/>
          <w:bCs w:val="1"/>
          <w:color w:val="000000"/>
          <w:sz w:val="26"/>
          <w:szCs w:val="26"/>
          <w:rtl w:val="0"/>
        </w:rPr>
        <w:t xml:space="preserve">Social and cultural factors: brand positioning</w:t>
      </w:r>
      <w:r w:rsidDel="00000000" w:rsidR="00000000" w:rsidRPr="00000000">
        <w:rPr>
          <w:rtl w:val="0"/>
        </w:rPr>
      </w:r>
    </w:p>
    <w:p w:rsidR="00000000" w:rsidDel="00000000" w:rsidP="00000000" w:rsidRDefault="00000000" w:rsidRPr="00000000" w14:paraId="0000007D">
      <w:pPr>
        <w:spacing w:after="160" w:line="360" w:lineRule="auto"/>
        <w:jc w:val="both"/>
        <w:rPr/>
      </w:pPr>
      <w:r w:rsidDel="00000000" w:rsidR="00000000" w:rsidRPr="00000000">
        <w:rPr>
          <w:rFonts w:ascii="Arial" w:cs="Arial" w:eastAsia="Arial" w:hAnsi="Arial"/>
          <w:sz w:val="24"/>
          <w:szCs w:val="24"/>
          <w:rtl w:val="0"/>
        </w:rPr>
        <w:t xml:space="preserve">The central difficulty, and the factor most likely to undermine a poorly considered entry, concerns brand positioning. Greggs is a value brand domestically, its identity resting on affordable, unpretentious food for a mainstream customer base. Transplanted to a Dubai mall, it would arrive as an imported British novelty, situated alongside Costa, Paul and premium international </w:t>
      </w:r>
      <w:r w:rsidDel="00000000" w:rsidR="00000000" w:rsidRPr="00000000">
        <w:rPr>
          <w:rtl w:val="0"/>
        </w:rPr>
        <w:t xml:space="preserve">cafes and</w:t>
      </w:r>
      <w:r w:rsidDel="00000000" w:rsidR="00000000" w:rsidRPr="00000000">
        <w:rPr>
          <w:rFonts w:ascii="Arial" w:cs="Arial" w:eastAsia="Arial" w:hAnsi="Arial"/>
          <w:sz w:val="24"/>
          <w:szCs w:val="24"/>
          <w:rtl w:val="0"/>
        </w:rPr>
        <w:t xml:space="preserve"> priced relative to them rather than to a UK high street. The brand associations that generate value in Britain, namely familiarity and affordability, either do not exist in this context or actively conflict with a premium mall position. The realistic assessment is that Greggs cannot occupy the value position it holds domestically, since the cost base of importing and operating in Dubai would not permit it.</w:t>
      </w:r>
      <w:r w:rsidDel="00000000" w:rsidR="00000000" w:rsidRPr="00000000">
        <w:rPr>
          <w:rtl w:val="0"/>
        </w:rPr>
      </w:r>
    </w:p>
    <w:p w:rsidR="00000000" w:rsidDel="00000000" w:rsidP="00000000" w:rsidRDefault="00000000" w:rsidRPr="00000000" w14:paraId="0000007E">
      <w:pPr>
        <w:spacing w:after="160" w:line="360" w:lineRule="auto"/>
        <w:jc w:val="both"/>
        <w:rPr/>
      </w:pPr>
      <w:r w:rsidDel="00000000" w:rsidR="00000000" w:rsidRPr="00000000">
        <w:rPr>
          <w:rFonts w:ascii="Arial" w:cs="Arial" w:eastAsia="Arial" w:hAnsi="Arial"/>
          <w:sz w:val="24"/>
          <w:szCs w:val="24"/>
          <w:rtl w:val="0"/>
        </w:rPr>
        <w:t xml:space="preserve">This constraint is not necessarily fatal, but it requires a deliberate strategic choice rather than an unmanaged drift. The workable approach would be to emphasise the </w:t>
      </w:r>
      <w:r w:rsidDel="00000000" w:rsidR="00000000" w:rsidRPr="00000000">
        <w:rPr>
          <w:rtl w:val="0"/>
        </w:rPr>
        <w:t xml:space="preserve">British heritage</w:t>
      </w:r>
      <w:r w:rsidDel="00000000" w:rsidR="00000000" w:rsidRPr="00000000">
        <w:rPr>
          <w:rFonts w:ascii="Arial" w:cs="Arial" w:eastAsia="Arial" w:hAnsi="Arial"/>
          <w:sz w:val="24"/>
          <w:szCs w:val="24"/>
          <w:rtl w:val="0"/>
        </w:rPr>
        <w:t xml:space="preserve"> and novelty dimension for expatriates and tourists, positioning Greggs as an authentic taste of home rather than a budget </w:t>
      </w:r>
      <w:r w:rsidDel="00000000" w:rsidR="00000000" w:rsidRPr="00000000">
        <w:rPr>
          <w:rtl w:val="0"/>
        </w:rPr>
        <w:t xml:space="preserve">option and</w:t>
      </w:r>
      <w:r w:rsidDel="00000000" w:rsidR="00000000" w:rsidRPr="00000000">
        <w:rPr>
          <w:rFonts w:ascii="Arial" w:cs="Arial" w:eastAsia="Arial" w:hAnsi="Arial"/>
          <w:sz w:val="24"/>
          <w:szCs w:val="24"/>
          <w:rtl w:val="0"/>
        </w:rPr>
        <w:t xml:space="preserve"> accepting a higher price point than in the UK. Precedent exists for such a repositioning: Costa Coffee entered the Gulf as an aspirational British cafe brand rather than the everyday name it represents domestically (Ken Research, 2025). A genuine risk nonetheless remains: stripped of its value identity, Greggs could become merely another mid-price bakery in a crowded market, and the product alone, however well regarded, may prove insufficient to sustain the proposition.</w:t>
      </w:r>
      <w:r w:rsidDel="00000000" w:rsidR="00000000" w:rsidRPr="00000000">
        <w:rPr>
          <w:rtl w:val="0"/>
        </w:rPr>
      </w:r>
    </w:p>
    <w:p w:rsidR="00000000" w:rsidDel="00000000" w:rsidP="00000000" w:rsidRDefault="00000000" w:rsidRPr="00000000" w14:paraId="0000007F">
      <w:pPr>
        <w:pStyle w:val="Heading2"/>
        <w:spacing w:after="120" w:before="220" w:lineRule="auto"/>
        <w:rPr/>
      </w:pPr>
      <w:r w:rsidDel="00000000" w:rsidR="00000000" w:rsidRPr="00000000">
        <w:rPr>
          <w:rFonts w:ascii="Arial" w:cs="Arial" w:eastAsia="Arial" w:hAnsi="Arial"/>
          <w:b w:val="1"/>
          <w:bCs w:val="1"/>
          <w:color w:val="000000"/>
          <w:sz w:val="26"/>
          <w:szCs w:val="26"/>
          <w:rtl w:val="0"/>
        </w:rPr>
        <w:t xml:space="preserve">Legal and operational factors: entry constraints</w:t>
      </w:r>
      <w:r w:rsidDel="00000000" w:rsidR="00000000" w:rsidRPr="00000000">
        <w:rPr>
          <w:rtl w:val="0"/>
        </w:rPr>
      </w:r>
    </w:p>
    <w:p w:rsidR="00000000" w:rsidDel="00000000" w:rsidP="00000000" w:rsidRDefault="00000000" w:rsidRPr="00000000" w14:paraId="00000080">
      <w:pPr>
        <w:spacing w:after="160" w:line="360" w:lineRule="auto"/>
        <w:jc w:val="both"/>
        <w:rPr/>
      </w:pPr>
      <w:r w:rsidDel="00000000" w:rsidR="00000000" w:rsidRPr="00000000">
        <w:rPr>
          <w:rFonts w:ascii="Arial" w:cs="Arial" w:eastAsia="Arial" w:hAnsi="Arial"/>
          <w:sz w:val="24"/>
          <w:szCs w:val="24"/>
          <w:rtl w:val="0"/>
        </w:rPr>
        <w:t xml:space="preserve">The UAE food-service market is overwhelmingly organised around local operator groups. This shapes the entry mode before the analysis even reaches Section 3. The biggest names run other people's brands: Alshaya operates Starbucks and Shake </w:t>
      </w:r>
      <w:r w:rsidDel="00000000" w:rsidR="00000000" w:rsidRPr="00000000">
        <w:rPr>
          <w:rtl w:val="0"/>
        </w:rPr>
        <w:t xml:space="preserve">Shack,</w:t>
      </w:r>
      <w:r w:rsidDel="00000000" w:rsidR="00000000" w:rsidRPr="00000000">
        <w:rPr>
          <w:rFonts w:ascii="Arial" w:cs="Arial" w:eastAsia="Arial" w:hAnsi="Arial"/>
          <w:sz w:val="24"/>
          <w:szCs w:val="24"/>
          <w:rtl w:val="0"/>
        </w:rPr>
        <w:t xml:space="preserve"> Americana runs KFC and Krispy </w:t>
      </w:r>
      <w:r w:rsidDel="00000000" w:rsidR="00000000" w:rsidRPr="00000000">
        <w:rPr>
          <w:rtl w:val="0"/>
        </w:rPr>
        <w:t xml:space="preserve">Kreme;</w:t>
      </w:r>
      <w:r w:rsidDel="00000000" w:rsidR="00000000" w:rsidRPr="00000000">
        <w:rPr>
          <w:rFonts w:ascii="Arial" w:cs="Arial" w:eastAsia="Arial" w:hAnsi="Arial"/>
          <w:sz w:val="24"/>
          <w:szCs w:val="24"/>
          <w:rtl w:val="0"/>
        </w:rPr>
        <w:t xml:space="preserve"> Apparel Group runs Tim </w:t>
      </w:r>
      <w:r w:rsidDel="00000000" w:rsidR="00000000" w:rsidRPr="00000000">
        <w:rPr>
          <w:rtl w:val="0"/>
        </w:rPr>
        <w:t xml:space="preserve">Hortons; and</w:t>
      </w:r>
      <w:r w:rsidDel="00000000" w:rsidR="00000000" w:rsidRPr="00000000">
        <w:rPr>
          <w:rFonts w:ascii="Arial" w:cs="Arial" w:eastAsia="Arial" w:hAnsi="Arial"/>
          <w:sz w:val="24"/>
          <w:szCs w:val="24"/>
          <w:rtl w:val="0"/>
        </w:rPr>
        <w:t xml:space="preserve"> Emirates Leisure Retail runs Costa (Ken Research, 2025). Foreign F&amp;B brands almost always enter through these operators rather than directly, because the operators supply the mall relationships, the labour management, the local licensing knowledge and the supply chain. One further cost sits on top. Emiratisation quotas under the Nafis programme require rising ratios of Emirati nationals in the workforce, which adds cost to a sector built on low-cost expatriate labour (The Report Cubes, 2026).</w:t>
      </w:r>
      <w:r w:rsidDel="00000000" w:rsidR="00000000" w:rsidRPr="00000000">
        <w:rPr>
          <w:rtl w:val="0"/>
        </w:rPr>
      </w:r>
    </w:p>
    <w:p w:rsidR="00000000" w:rsidDel="00000000" w:rsidP="00000000" w:rsidRDefault="00000000" w:rsidRPr="00000000" w14:paraId="00000081">
      <w:pPr>
        <w:pStyle w:val="Heading2"/>
        <w:spacing w:after="120" w:before="220" w:lineRule="auto"/>
        <w:rPr/>
      </w:pPr>
      <w:r w:rsidDel="00000000" w:rsidR="00000000" w:rsidRPr="00000000">
        <w:rPr>
          <w:rFonts w:ascii="Arial" w:cs="Arial" w:eastAsia="Arial" w:hAnsi="Arial"/>
          <w:b w:val="1"/>
          <w:bCs w:val="1"/>
          <w:color w:val="000000"/>
          <w:sz w:val="26"/>
          <w:szCs w:val="26"/>
          <w:rtl w:val="0"/>
        </w:rPr>
        <w:t xml:space="preserve">Supply-chain factors: import dependency and the freshness model</w:t>
      </w:r>
      <w:r w:rsidDel="00000000" w:rsidR="00000000" w:rsidRPr="00000000">
        <w:rPr>
          <w:rtl w:val="0"/>
        </w:rPr>
      </w:r>
    </w:p>
    <w:p w:rsidR="00000000" w:rsidDel="00000000" w:rsidP="00000000" w:rsidRDefault="00000000" w:rsidRPr="00000000" w14:paraId="00000082">
      <w:pPr>
        <w:spacing w:after="160" w:line="360" w:lineRule="auto"/>
        <w:jc w:val="both"/>
        <w:rPr/>
      </w:pPr>
      <w:r w:rsidDel="00000000" w:rsidR="00000000" w:rsidRPr="00000000">
        <w:rPr>
          <w:rFonts w:ascii="Arial" w:cs="Arial" w:eastAsia="Arial" w:hAnsi="Arial"/>
          <w:b w:val="0"/>
          <w:bCs w:val="0"/>
          <w:sz w:val="24"/>
          <w:szCs w:val="24"/>
          <w:rtl w:val="0"/>
        </w:rPr>
        <w:t xml:space="preserve">The supply-chain constraint warrants greater weight than a single PESTEL category can convey, since it directly determines the viability of Greggs' operating model. The UAE imports an estimated 85-90% of its food, reflecting limited domestic agricultural capacity in an arid climate (Nexdigm, 2026). Greggs' domestic model depends on a vertically integrated supply chain in which product is prepared centrally and finished in-store, supported by roughly a dozen UK bakery and distribution sites that underpin both its cost control and its freshness proposition (Greggs plc, 2026). This infrastructure is a UK asset and does not extend to the Gulf. Recreating the model presents two options, each with measurable cost implications. The first, shipping frozen </w:t>
      </w:r>
      <w:r w:rsidDel="00000000" w:rsidR="00000000" w:rsidRPr="00000000">
        <w:rPr>
          <w:rtl w:val="0"/>
        </w:rPr>
        <w:t xml:space="preserve">products</w:t>
      </w:r>
      <w:r w:rsidDel="00000000" w:rsidR="00000000" w:rsidRPr="00000000">
        <w:rPr>
          <w:rFonts w:ascii="Arial" w:cs="Arial" w:eastAsia="Arial" w:hAnsi="Arial"/>
          <w:b w:val="0"/>
          <w:bCs w:val="0"/>
          <w:sz w:val="24"/>
          <w:szCs w:val="24"/>
          <w:rtl w:val="0"/>
        </w:rPr>
        <w:t xml:space="preserve"> from the UK, adds freight, cold-chain and import-duty costs, and the UAE applies a standard 5% customs duty on most imported goods (Nexdigm, 2026), while lengthening lead times and diminishing the freshness central to the proposition. The second, developing regional supply through the franchise partner, avoids freight cost but requires time to qualify suppliers to Greggs' specifications and cedes a degree of control over quality. Critically, neither option replicates the UK cost base. Greggs' domestic operating margin has already compressed, with underlying profit before tax falling 9.4% in 2025 under input-cost inflation (Greggs plc, 2026), and a Gulf operation carrying higher input and logistics costs would face structurally thinner margins still. An entry plan assuming UK-equivalent economics would therefore rest on unsound foundations, and this constraint is a central reason why a partner-led, locally supplied model is preferable to direct operation.</w:t>
      </w:r>
      <w:r w:rsidDel="00000000" w:rsidR="00000000" w:rsidRPr="00000000">
        <w:rPr>
          <w:rtl w:val="0"/>
        </w:rPr>
      </w:r>
    </w:p>
    <w:p w:rsidR="00000000" w:rsidDel="00000000" w:rsidP="00000000" w:rsidRDefault="00000000" w:rsidRPr="00000000" w14:paraId="00000083">
      <w:pPr>
        <w:pStyle w:val="Heading2"/>
        <w:spacing w:after="120" w:before="220" w:lineRule="auto"/>
        <w:rPr/>
      </w:pPr>
      <w:r w:rsidDel="00000000" w:rsidR="00000000" w:rsidRPr="00000000">
        <w:rPr>
          <w:rFonts w:ascii="Arial" w:cs="Arial" w:eastAsia="Arial" w:hAnsi="Arial"/>
          <w:b w:val="1"/>
          <w:bCs w:val="1"/>
          <w:color w:val="000000"/>
          <w:sz w:val="26"/>
          <w:szCs w:val="26"/>
          <w:rtl w:val="0"/>
        </w:rPr>
        <w:t xml:space="preserve">Competitive context: the incumbent landscape</w:t>
      </w:r>
      <w:r w:rsidDel="00000000" w:rsidR="00000000" w:rsidRPr="00000000">
        <w:rPr>
          <w:rtl w:val="0"/>
        </w:rPr>
      </w:r>
    </w:p>
    <w:p w:rsidR="00000000" w:rsidDel="00000000" w:rsidP="00000000" w:rsidRDefault="00000000" w:rsidRPr="00000000" w14:paraId="00000084">
      <w:pPr>
        <w:spacing w:after="160" w:line="360" w:lineRule="auto"/>
        <w:jc w:val="both"/>
        <w:rPr/>
      </w:pPr>
      <w:r w:rsidDel="00000000" w:rsidR="00000000" w:rsidRPr="00000000">
        <w:rPr>
          <w:rFonts w:ascii="Arial" w:cs="Arial" w:eastAsia="Arial" w:hAnsi="Arial"/>
          <w:sz w:val="24"/>
          <w:szCs w:val="24"/>
          <w:rtl w:val="0"/>
        </w:rPr>
        <w:t xml:space="preserve">A market assessment must identify specific competitors. The organised cafe and bakery segment is crowded and professionally operated, comprising Costa (via Emirates Leisure Retail), Tim Hortons (via Apparel Group, with several hundred outlets), premium operators such as Paul, and numerous local artisanal bakeries (Ken Research, 2025). Analysed through Porter's (1985) five forces, competitive rivalry is intense and, crucially, mediated by a small number of powerful operator groups that control access to the best mall sites. Buyer power is high, since consumers face extensive choice and switch readily, while supplier power resides partly with those same operator groups. Substitutes are abundant, from shawarma outlets to premium coffee chains. The one relatively open force is the threat of new entry from Greggs' particular angle, since no incumbent currently occupies the British-heritage food-to-go position, which represents the gap worth targeting.</w:t>
      </w:r>
      <w:r w:rsidDel="00000000" w:rsidR="00000000" w:rsidRPr="00000000">
        <w:rPr>
          <w:rtl w:val="0"/>
        </w:rPr>
      </w:r>
    </w:p>
    <w:p w:rsidR="00000000" w:rsidDel="00000000" w:rsidP="00000000" w:rsidRDefault="00000000" w:rsidRPr="00000000" w14:paraId="00000085">
      <w:pPr>
        <w:spacing w:after="60" w:before="120" w:lineRule="auto"/>
        <w:jc w:val="center"/>
        <w:rPr/>
      </w:pPr>
      <w:r w:rsidDel="00000000" w:rsidR="00000000" w:rsidRPr="00000000">
        <w:rPr/>
        <w:drawing>
          <wp:inline distB="0" distT="0" distL="0" distR="0">
            <wp:extent cx="4095750" cy="3152775"/>
            <wp:effectExtent b="0" l="0" r="0" t="0"/>
            <wp:docPr id="4" name="image11.png"/>
            <a:graphic>
              <a:graphicData uri="http://schemas.openxmlformats.org/drawingml/2006/picture">
                <pic:pic>
                  <pic:nvPicPr>
                    <pic:cNvPr id="0" name="image11.png"/>
                    <pic:cNvPicPr preferRelativeResize="0"/>
                  </pic:nvPicPr>
                  <pic:blipFill>
                    <a:blip r:embed="rId11"/>
                    <a:srcRect b="0" l="0" r="0" t="0"/>
                    <a:stretch>
                      <a:fillRect/>
                    </a:stretch>
                  </pic:blipFill>
                  <pic:spPr>
                    <a:xfrm>
                      <a:off x="0" y="0"/>
                      <a:ext cx="4095750" cy="3152775"/>
                    </a:xfrm>
                    <a:prstGeom prst="rect"/>
                    <a:ln/>
                  </pic:spPr>
                </pic:pic>
              </a:graphicData>
            </a:graphic>
          </wp:inline>
        </w:drawing>
      </w:r>
      <w:r w:rsidDel="00000000" w:rsidR="00000000" w:rsidRPr="00000000">
        <w:rPr>
          <w:rtl w:val="0"/>
        </w:rPr>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555555"/>
          <w:sz w:val="20"/>
          <w:szCs w:val="20"/>
          <w:u w:val="none"/>
          <w:shd w:fill="auto" w:val="clear"/>
          <w:vertAlign w:val="baseline"/>
        </w:rPr>
      </w:pPr>
      <w:r w:rsidDel="00000000" w:rsidR="00000000" w:rsidRPr="00000000">
        <w:rPr>
          <w:rFonts w:ascii="Arial" w:cs="Arial" w:eastAsia="Arial" w:hAnsi="Arial"/>
          <w:b w:val="0"/>
          <w:bCs w:val="0"/>
          <w:i w:val="1"/>
          <w:iCs w:val="1"/>
          <w:smallCaps w:val="0"/>
          <w:strike w:val="0"/>
          <w:color w:val="555555"/>
          <w:sz w:val="20"/>
          <w:szCs w:val="20"/>
          <w:u w:val="none"/>
          <w:shd w:fill="auto" w:val="clear"/>
          <w:vertAlign w:val="baseline"/>
          <w:rtl w:val="0"/>
        </w:rPr>
        <w:t xml:space="preserve">Figure 6: Competitive positioning in the UAE market (author's assessment).</w:t>
      </w:r>
    </w:p>
    <w:p w:rsidR="00000000" w:rsidDel="00000000" w:rsidP="00000000" w:rsidRDefault="00000000" w:rsidRPr="00000000" w14:paraId="00000087">
      <w:pPr>
        <w:spacing w:after="160" w:line="360" w:lineRule="auto"/>
        <w:jc w:val="both"/>
        <w:rPr/>
      </w:pPr>
      <w:r w:rsidDel="00000000" w:rsidR="00000000" w:rsidRPr="00000000">
        <w:rPr>
          <w:rFonts w:ascii="Arial" w:cs="Arial" w:eastAsia="Arial" w:hAnsi="Arial"/>
          <w:sz w:val="24"/>
          <w:szCs w:val="24"/>
          <w:rtl w:val="0"/>
        </w:rPr>
        <w:t xml:space="preserve">The strategic implication is simultaneously challenging and clarifying. Greggs would enter with a product that may attract interest, a brand almost unknown to local consumers, and no local operating base in a market where such bases are decisive. Its advantage lies in a differentiated concept and British affinity among a segment of the population; its deficit is a complete absence of local presence. In UAE </w:t>
      </w:r>
      <w:r w:rsidDel="00000000" w:rsidR="00000000" w:rsidRPr="00000000">
        <w:rPr>
          <w:rtl w:val="0"/>
        </w:rPr>
        <w:t xml:space="preserve">foodservice,</w:t>
      </w:r>
      <w:r w:rsidDel="00000000" w:rsidR="00000000" w:rsidRPr="00000000">
        <w:rPr>
          <w:rFonts w:ascii="Arial" w:cs="Arial" w:eastAsia="Arial" w:hAnsi="Arial"/>
          <w:sz w:val="24"/>
          <w:szCs w:val="24"/>
          <w:rtl w:val="0"/>
        </w:rPr>
        <w:t xml:space="preserve"> local embeddedness is not a peripheral advantage but a determining factor: it governs access to mall sites, the management of labour regulations, and the operation of the supply chain itself. A brand that is distinctive yet institutionally absent would struggle against competitors that are unremarkable yet established, which constitutes the essence of the entry-mode question.</w:t>
      </w:r>
      <w:r w:rsidDel="00000000" w:rsidR="00000000" w:rsidRPr="00000000">
        <w:rPr>
          <w:rtl w:val="0"/>
        </w:rPr>
      </w:r>
    </w:p>
    <w:p w:rsidR="00000000" w:rsidDel="00000000" w:rsidP="00000000" w:rsidRDefault="00000000" w:rsidRPr="00000000" w14:paraId="00000088">
      <w:pPr>
        <w:rPr/>
      </w:pPr>
      <w:r w:rsidDel="00000000" w:rsidR="00000000" w:rsidRPr="00000000">
        <w:br w:type="page"/>
      </w:r>
      <w:r w:rsidDel="00000000" w:rsidR="00000000" w:rsidRPr="00000000">
        <w:rPr>
          <w:rtl w:val="0"/>
        </w:rPr>
      </w:r>
    </w:p>
    <w:p w:rsidR="00000000" w:rsidDel="00000000" w:rsidP="00000000" w:rsidRDefault="00000000" w:rsidRPr="00000000" w14:paraId="00000089">
      <w:pPr>
        <w:pStyle w:val="Heading2"/>
        <w:spacing w:after="120" w:before="220" w:lineRule="auto"/>
        <w:rPr/>
      </w:pPr>
      <w:r w:rsidDel="00000000" w:rsidR="00000000" w:rsidRPr="00000000">
        <w:rPr>
          <w:rFonts w:ascii="Arial" w:cs="Arial" w:eastAsia="Arial" w:hAnsi="Arial"/>
          <w:b w:val="1"/>
          <w:bCs w:val="1"/>
          <w:color w:val="000000"/>
          <w:sz w:val="26"/>
          <w:szCs w:val="26"/>
          <w:rtl w:val="0"/>
        </w:rPr>
        <w:t xml:space="preserve">2.2 Market Entry Synthesis: Dunning's Eclectic (OLI) Paradigm</w:t>
      </w:r>
      <w:r w:rsidDel="00000000" w:rsidR="00000000" w:rsidRPr="00000000">
        <w:rPr>
          <w:rtl w:val="0"/>
        </w:rPr>
      </w:r>
    </w:p>
    <w:p w:rsidR="00000000" w:rsidDel="00000000" w:rsidP="00000000" w:rsidRDefault="00000000" w:rsidRPr="00000000" w14:paraId="0000008A">
      <w:pPr>
        <w:spacing w:after="160" w:line="360" w:lineRule="auto"/>
        <w:jc w:val="both"/>
        <w:rPr/>
      </w:pPr>
      <w:r w:rsidDel="00000000" w:rsidR="00000000" w:rsidRPr="00000000">
        <w:rPr>
          <w:rFonts w:ascii="Arial" w:cs="Arial" w:eastAsia="Arial" w:hAnsi="Arial"/>
          <w:sz w:val="24"/>
          <w:szCs w:val="24"/>
          <w:rtl w:val="0"/>
        </w:rPr>
        <w:t xml:space="preserve">Dunning's (2000) eclectic paradigm poses three questions before a firm commits to overseas operation. First, does the firm hold </w:t>
      </w:r>
      <w:r w:rsidDel="00000000" w:rsidR="00000000" w:rsidRPr="00000000">
        <w:rPr>
          <w:rtl w:val="0"/>
        </w:rPr>
        <w:t xml:space="preserve">ownership</w:t>
      </w:r>
      <w:r w:rsidDel="00000000" w:rsidR="00000000" w:rsidRPr="00000000">
        <w:rPr>
          <w:rFonts w:ascii="Arial" w:cs="Arial" w:eastAsia="Arial" w:hAnsi="Arial"/>
          <w:sz w:val="24"/>
          <w:szCs w:val="24"/>
          <w:rtl w:val="0"/>
        </w:rPr>
        <w:t xml:space="preserve"> advantages worth exploiting elsewhere? Second, do </w:t>
      </w:r>
      <w:r w:rsidDel="00000000" w:rsidR="00000000" w:rsidRPr="00000000">
        <w:rPr>
          <w:rtl w:val="0"/>
        </w:rPr>
        <w:t xml:space="preserve">location</w:t>
      </w:r>
      <w:r w:rsidDel="00000000" w:rsidR="00000000" w:rsidRPr="00000000">
        <w:rPr>
          <w:rFonts w:ascii="Arial" w:cs="Arial" w:eastAsia="Arial" w:hAnsi="Arial"/>
          <w:sz w:val="24"/>
          <w:szCs w:val="24"/>
          <w:rtl w:val="0"/>
        </w:rPr>
        <w:t xml:space="preserve"> advantages render the target country worth operating in? Third, are there </w:t>
      </w:r>
      <w:r w:rsidDel="00000000" w:rsidR="00000000" w:rsidRPr="00000000">
        <w:rPr>
          <w:rtl w:val="0"/>
        </w:rPr>
        <w:t xml:space="preserve">internalisation</w:t>
      </w:r>
      <w:r w:rsidDel="00000000" w:rsidR="00000000" w:rsidRPr="00000000">
        <w:rPr>
          <w:rFonts w:ascii="Arial" w:cs="Arial" w:eastAsia="Arial" w:hAnsi="Arial"/>
          <w:sz w:val="24"/>
          <w:szCs w:val="24"/>
          <w:rtl w:val="0"/>
        </w:rPr>
        <w:t xml:space="preserve"> advantages that justify conducting operations in-house rather than through a partner? A confident entry requires affirmative answers to all three. Greggs presents a qualified affirmative, a strong affirmative, and a reasonably clear </w:t>
      </w:r>
      <w:r w:rsidDel="00000000" w:rsidR="00000000" w:rsidRPr="00000000">
        <w:rPr>
          <w:rtl w:val="0"/>
        </w:rPr>
        <w:t xml:space="preserve">negative,</w:t>
      </w:r>
      <w:r w:rsidDel="00000000" w:rsidR="00000000" w:rsidRPr="00000000">
        <w:rPr>
          <w:rFonts w:ascii="Arial" w:cs="Arial" w:eastAsia="Arial" w:hAnsi="Arial"/>
          <w:sz w:val="24"/>
          <w:szCs w:val="24"/>
          <w:rtl w:val="0"/>
        </w:rPr>
        <w:t xml:space="preserve"> respectively, and this pattern constitutes the finding that shapes the subsequent analysis.</w:t>
      </w:r>
      <w:r w:rsidDel="00000000" w:rsidR="00000000" w:rsidRPr="00000000">
        <w:rPr>
          <w:rtl w:val="0"/>
        </w:rPr>
      </w:r>
    </w:p>
    <w:tbl>
      <w:tblPr>
        <w:tblStyle w:val="Table2"/>
        <w:tblW w:w="10700.0" w:type="dxa"/>
        <w:jc w:val="left"/>
        <w:tblBorders>
          <w:top w:color="888888" w:space="0" w:sz="4" w:val="single"/>
          <w:left w:color="888888" w:space="0" w:sz="4" w:val="single"/>
          <w:bottom w:color="888888" w:space="0" w:sz="4" w:val="single"/>
          <w:right w:color="888888" w:space="0" w:sz="4" w:val="single"/>
          <w:insideH w:color="bbbbbb" w:space="0" w:sz="4" w:val="single"/>
          <w:insideV w:color="bbbbbb" w:space="0" w:sz="4" w:val="single"/>
        </w:tblBorders>
        <w:tblLayout w:type="fixed"/>
        <w:tblLook w:val="0000"/>
      </w:tblPr>
      <w:tblGrid>
        <w:gridCol w:w="1600"/>
        <w:gridCol w:w="5100"/>
        <w:gridCol w:w="1600"/>
        <w:gridCol w:w="2400"/>
        <w:tblGridChange w:id="0">
          <w:tblGrid>
            <w:gridCol w:w="1600"/>
            <w:gridCol w:w="5100"/>
            <w:gridCol w:w="1600"/>
            <w:gridCol w:w="2400"/>
          </w:tblGrid>
        </w:tblGridChange>
      </w:tblGrid>
      <w:tr>
        <w:trPr>
          <w:cantSplit w:val="0"/>
          <w:tblHeader w:val="1"/>
        </w:trPr>
        <w:tc>
          <w:tcPr>
            <w:shd w:fill="1f4e6b" w:val="clear"/>
            <w:tcMar>
              <w:top w:w="60.0" w:type="dxa"/>
              <w:left w:w="90.0" w:type="dxa"/>
              <w:bottom w:w="60.0" w:type="dxa"/>
              <w:right w:w="90.0" w:type="dxa"/>
            </w:tcMar>
          </w:tcPr>
          <w:p w:rsidR="00000000" w:rsidDel="00000000" w:rsidP="00000000" w:rsidRDefault="00000000" w:rsidRPr="00000000" w14:paraId="0000008B">
            <w:pPr>
              <w:spacing w:after="0" w:line="276" w:lineRule="auto"/>
              <w:jc w:val="left"/>
              <w:rPr/>
            </w:pPr>
            <w:r w:rsidDel="00000000" w:rsidR="00000000" w:rsidRPr="00000000">
              <w:rPr>
                <w:rFonts w:ascii="Arial" w:cs="Arial" w:eastAsia="Arial" w:hAnsi="Arial"/>
                <w:b w:val="1"/>
                <w:bCs w:val="1"/>
                <w:color w:val="ffffff"/>
                <w:sz w:val="20"/>
                <w:szCs w:val="20"/>
                <w:rtl w:val="0"/>
              </w:rPr>
              <w:t xml:space="preserve">OLI element</w:t>
            </w:r>
            <w:r w:rsidDel="00000000" w:rsidR="00000000" w:rsidRPr="00000000">
              <w:rPr>
                <w:rtl w:val="0"/>
              </w:rPr>
            </w:r>
          </w:p>
        </w:tc>
        <w:tc>
          <w:tcPr>
            <w:shd w:fill="1f4e6b" w:val="clear"/>
            <w:tcMar>
              <w:top w:w="60.0" w:type="dxa"/>
              <w:left w:w="90.0" w:type="dxa"/>
              <w:bottom w:w="60.0" w:type="dxa"/>
              <w:right w:w="90.0" w:type="dxa"/>
            </w:tcMar>
          </w:tcPr>
          <w:p w:rsidR="00000000" w:rsidDel="00000000" w:rsidP="00000000" w:rsidRDefault="00000000" w:rsidRPr="00000000" w14:paraId="0000008C">
            <w:pPr>
              <w:spacing w:after="0" w:line="276" w:lineRule="auto"/>
              <w:jc w:val="left"/>
              <w:rPr/>
            </w:pPr>
            <w:r w:rsidDel="00000000" w:rsidR="00000000" w:rsidRPr="00000000">
              <w:rPr>
                <w:rFonts w:ascii="Arial" w:cs="Arial" w:eastAsia="Arial" w:hAnsi="Arial"/>
                <w:b w:val="1"/>
                <w:bCs w:val="1"/>
                <w:color w:val="ffffff"/>
                <w:sz w:val="20"/>
                <w:szCs w:val="20"/>
                <w:rtl w:val="0"/>
              </w:rPr>
              <w:t xml:space="preserve">Assessment for Greggs in the UAE</w:t>
            </w:r>
            <w:r w:rsidDel="00000000" w:rsidR="00000000" w:rsidRPr="00000000">
              <w:rPr>
                <w:rtl w:val="0"/>
              </w:rPr>
            </w:r>
          </w:p>
        </w:tc>
        <w:tc>
          <w:tcPr>
            <w:shd w:fill="1f4e6b" w:val="clear"/>
            <w:tcMar>
              <w:top w:w="60.0" w:type="dxa"/>
              <w:left w:w="90.0" w:type="dxa"/>
              <w:bottom w:w="60.0" w:type="dxa"/>
              <w:right w:w="90.0" w:type="dxa"/>
            </w:tcMar>
          </w:tcPr>
          <w:p w:rsidR="00000000" w:rsidDel="00000000" w:rsidP="00000000" w:rsidRDefault="00000000" w:rsidRPr="00000000" w14:paraId="0000008D">
            <w:pPr>
              <w:spacing w:after="0" w:line="276" w:lineRule="auto"/>
              <w:jc w:val="center"/>
              <w:rPr/>
            </w:pPr>
            <w:r w:rsidDel="00000000" w:rsidR="00000000" w:rsidRPr="00000000">
              <w:rPr>
                <w:rFonts w:ascii="Arial" w:cs="Arial" w:eastAsia="Arial" w:hAnsi="Arial"/>
                <w:b w:val="1"/>
                <w:bCs w:val="1"/>
                <w:color w:val="ffffff"/>
                <w:sz w:val="20"/>
                <w:szCs w:val="20"/>
                <w:rtl w:val="0"/>
              </w:rPr>
              <w:t xml:space="preserve">Verdict</w:t>
            </w:r>
            <w:r w:rsidDel="00000000" w:rsidR="00000000" w:rsidRPr="00000000">
              <w:rPr>
                <w:rtl w:val="0"/>
              </w:rPr>
            </w:r>
          </w:p>
        </w:tc>
        <w:tc>
          <w:tcPr>
            <w:shd w:fill="1f3b5b" w:val="clear"/>
          </w:tcPr>
          <w:p w:rsidR="00000000" w:rsidDel="00000000" w:rsidP="00000000" w:rsidRDefault="00000000" w:rsidRPr="00000000" w14:paraId="0000008E">
            <w:pPr>
              <w:rPr/>
            </w:pPr>
            <w:r w:rsidDel="00000000" w:rsidR="00000000" w:rsidRPr="00000000">
              <w:rPr>
                <w:rFonts w:ascii="Arial" w:cs="Arial" w:eastAsia="Arial" w:hAnsi="Arial"/>
                <w:b w:val="1"/>
                <w:bCs w:val="1"/>
                <w:color w:val="ffffff"/>
                <w:sz w:val="20"/>
                <w:szCs w:val="20"/>
                <w:rtl w:val="0"/>
              </w:rPr>
              <w:t xml:space="preserve">Source</w:t>
            </w:r>
            <w:r w:rsidDel="00000000" w:rsidR="00000000" w:rsidRPr="00000000">
              <w:rPr>
                <w:rtl w:val="0"/>
              </w:rPr>
            </w:r>
          </w:p>
        </w:tc>
      </w:tr>
      <w:tr>
        <w:trPr>
          <w:cantSplit w:val="0"/>
          <w:tblHeader w:val="0"/>
        </w:trPr>
        <w:tc>
          <w:tcPr>
            <w:shd w:fill="edf1f5" w:val="clear"/>
            <w:tcMar>
              <w:top w:w="60.0" w:type="dxa"/>
              <w:left w:w="90.0" w:type="dxa"/>
              <w:bottom w:w="60.0" w:type="dxa"/>
              <w:right w:w="90.0" w:type="dxa"/>
            </w:tcMar>
          </w:tcPr>
          <w:p w:rsidR="00000000" w:rsidDel="00000000" w:rsidP="00000000" w:rsidRDefault="00000000" w:rsidRPr="00000000" w14:paraId="0000008F">
            <w:pPr>
              <w:spacing w:after="0" w:line="276" w:lineRule="auto"/>
              <w:jc w:val="left"/>
              <w:rPr/>
            </w:pPr>
            <w:r w:rsidDel="00000000" w:rsidR="00000000" w:rsidRPr="00000000">
              <w:rPr>
                <w:rFonts w:ascii="Arial" w:cs="Arial" w:eastAsia="Arial" w:hAnsi="Arial"/>
                <w:b w:val="1"/>
                <w:bCs w:val="1"/>
                <w:color w:val="000000"/>
                <w:sz w:val="20"/>
                <w:szCs w:val="20"/>
                <w:rtl w:val="0"/>
              </w:rPr>
              <w:t xml:space="preserve">Ownership</w:t>
            </w:r>
            <w:r w:rsidDel="00000000" w:rsidR="00000000" w:rsidRPr="00000000">
              <w:rPr>
                <w:rtl w:val="0"/>
              </w:rPr>
            </w:r>
          </w:p>
        </w:tc>
        <w:tc>
          <w:tcPr>
            <w:tcMar>
              <w:top w:w="60.0" w:type="dxa"/>
              <w:left w:w="90.0" w:type="dxa"/>
              <w:bottom w:w="60.0" w:type="dxa"/>
              <w:right w:w="90.0" w:type="dxa"/>
            </w:tcMar>
          </w:tcPr>
          <w:p w:rsidR="00000000" w:rsidDel="00000000" w:rsidP="00000000" w:rsidRDefault="00000000" w:rsidRPr="00000000" w14:paraId="00000090">
            <w:pPr>
              <w:spacing w:after="0" w:line="276" w:lineRule="auto"/>
              <w:jc w:val="left"/>
              <w:rPr/>
            </w:pPr>
            <w:r w:rsidDel="00000000" w:rsidR="00000000" w:rsidRPr="00000000">
              <w:rPr>
                <w:rFonts w:ascii="Arial" w:cs="Arial" w:eastAsia="Arial" w:hAnsi="Arial"/>
                <w:b w:val="0"/>
                <w:bCs w:val="0"/>
                <w:color w:val="000000"/>
                <w:sz w:val="20"/>
                <w:szCs w:val="20"/>
                <w:rtl w:val="0"/>
              </w:rPr>
              <w:t xml:space="preserve">Distinctive food-to-go format, proven franchise-management system, and British-heritage appeal to expatriates. Real but partly non-transferable, since the value-brand meaning does not travel.</w:t>
            </w:r>
            <w:r w:rsidDel="00000000" w:rsidR="00000000" w:rsidRPr="00000000">
              <w:rPr>
                <w:rtl w:val="0"/>
              </w:rPr>
            </w:r>
          </w:p>
        </w:tc>
        <w:tc>
          <w:tcPr>
            <w:shd w:fill="fbf0de" w:val="clear"/>
            <w:tcMar>
              <w:top w:w="60.0" w:type="dxa"/>
              <w:left w:w="90.0" w:type="dxa"/>
              <w:bottom w:w="60.0" w:type="dxa"/>
              <w:right w:w="90.0" w:type="dxa"/>
            </w:tcMar>
          </w:tcPr>
          <w:p w:rsidR="00000000" w:rsidDel="00000000" w:rsidP="00000000" w:rsidRDefault="00000000" w:rsidRPr="00000000" w14:paraId="00000091">
            <w:pPr>
              <w:spacing w:after="0" w:line="276" w:lineRule="auto"/>
              <w:jc w:val="center"/>
              <w:rPr/>
            </w:pPr>
            <w:r w:rsidDel="00000000" w:rsidR="00000000" w:rsidRPr="00000000">
              <w:rPr>
                <w:rFonts w:ascii="Arial" w:cs="Arial" w:eastAsia="Arial" w:hAnsi="Arial"/>
                <w:b w:val="0"/>
                <w:bCs w:val="0"/>
                <w:color w:val="000000"/>
                <w:sz w:val="20"/>
                <w:szCs w:val="20"/>
                <w:rtl w:val="0"/>
              </w:rPr>
              <w:t xml:space="preserve">Moderate</w:t>
            </w:r>
            <w:r w:rsidDel="00000000" w:rsidR="00000000" w:rsidRPr="00000000">
              <w:rPr>
                <w:rtl w:val="0"/>
              </w:rPr>
            </w:r>
          </w:p>
        </w:tc>
        <w:tc>
          <w:tcPr/>
          <w:p w:rsidR="00000000" w:rsidDel="00000000" w:rsidP="00000000" w:rsidRDefault="00000000" w:rsidRPr="00000000" w14:paraId="00000092">
            <w:pPr>
              <w:rPr/>
            </w:pPr>
            <w:r w:rsidDel="00000000" w:rsidR="00000000" w:rsidRPr="00000000">
              <w:rPr>
                <w:rFonts w:ascii="Arial" w:cs="Arial" w:eastAsia="Arial" w:hAnsi="Arial"/>
                <w:b w:val="0"/>
                <w:bCs w:val="0"/>
                <w:sz w:val="20"/>
                <w:szCs w:val="20"/>
                <w:rtl w:val="0"/>
              </w:rPr>
              <w:t xml:space="preserve">Greggs plc (2026); Barney (1991)</w:t>
            </w:r>
            <w:r w:rsidDel="00000000" w:rsidR="00000000" w:rsidRPr="00000000">
              <w:rPr>
                <w:rtl w:val="0"/>
              </w:rPr>
            </w:r>
          </w:p>
        </w:tc>
      </w:tr>
      <w:tr>
        <w:trPr>
          <w:cantSplit w:val="0"/>
          <w:tblHeader w:val="0"/>
        </w:trPr>
        <w:tc>
          <w:tcPr>
            <w:shd w:fill="edf1f5" w:val="clear"/>
            <w:tcMar>
              <w:top w:w="60.0" w:type="dxa"/>
              <w:left w:w="90.0" w:type="dxa"/>
              <w:bottom w:w="60.0" w:type="dxa"/>
              <w:right w:w="90.0" w:type="dxa"/>
            </w:tcMar>
          </w:tcPr>
          <w:p w:rsidR="00000000" w:rsidDel="00000000" w:rsidP="00000000" w:rsidRDefault="00000000" w:rsidRPr="00000000" w14:paraId="00000093">
            <w:pPr>
              <w:spacing w:after="0" w:line="276" w:lineRule="auto"/>
              <w:jc w:val="left"/>
              <w:rPr/>
            </w:pPr>
            <w:r w:rsidDel="00000000" w:rsidR="00000000" w:rsidRPr="00000000">
              <w:rPr>
                <w:rFonts w:ascii="Arial" w:cs="Arial" w:eastAsia="Arial" w:hAnsi="Arial"/>
                <w:b w:val="1"/>
                <w:bCs w:val="1"/>
                <w:color w:val="000000"/>
                <w:sz w:val="20"/>
                <w:szCs w:val="20"/>
                <w:rtl w:val="0"/>
              </w:rPr>
              <w:t xml:space="preserve">Location</w:t>
            </w:r>
            <w:r w:rsidDel="00000000" w:rsidR="00000000" w:rsidRPr="00000000">
              <w:rPr>
                <w:rtl w:val="0"/>
              </w:rPr>
            </w:r>
          </w:p>
        </w:tc>
        <w:tc>
          <w:tcPr>
            <w:tcMar>
              <w:top w:w="60.0" w:type="dxa"/>
              <w:left w:w="90.0" w:type="dxa"/>
              <w:bottom w:w="60.0" w:type="dxa"/>
              <w:right w:w="90.0" w:type="dxa"/>
            </w:tcMar>
          </w:tcPr>
          <w:p w:rsidR="00000000" w:rsidDel="00000000" w:rsidP="00000000" w:rsidRDefault="00000000" w:rsidRPr="00000000" w14:paraId="00000094">
            <w:pPr>
              <w:spacing w:after="0" w:line="276" w:lineRule="auto"/>
              <w:jc w:val="left"/>
              <w:rPr/>
            </w:pPr>
            <w:r w:rsidDel="00000000" w:rsidR="00000000" w:rsidRPr="00000000">
              <w:rPr>
                <w:rFonts w:ascii="Arial" w:cs="Arial" w:eastAsia="Arial" w:hAnsi="Arial"/>
                <w:b w:val="0"/>
                <w:bCs w:val="0"/>
                <w:color w:val="000000"/>
                <w:sz w:val="20"/>
                <w:szCs w:val="20"/>
                <w:rtl w:val="0"/>
              </w:rPr>
              <w:t xml:space="preserve">Fast-growing QSR market, high incomes, mall and tourism footfall, large British expat </w:t>
            </w:r>
            <w:r w:rsidDel="00000000" w:rsidR="00000000" w:rsidRPr="00000000">
              <w:rPr>
                <w:sz w:val="20"/>
                <w:szCs w:val="20"/>
                <w:rtl w:val="0"/>
              </w:rPr>
              <w:t xml:space="preserve">base, and</w:t>
            </w:r>
            <w:r w:rsidDel="00000000" w:rsidR="00000000" w:rsidRPr="00000000">
              <w:rPr>
                <w:rFonts w:ascii="Arial" w:cs="Arial" w:eastAsia="Arial" w:hAnsi="Arial"/>
                <w:b w:val="0"/>
                <w:bCs w:val="0"/>
                <w:color w:val="000000"/>
                <w:sz w:val="20"/>
                <w:szCs w:val="20"/>
                <w:rtl w:val="0"/>
              </w:rPr>
              <w:t xml:space="preserve"> strong delivery infrastructure. Highly attractive</w:t>
            </w:r>
            <w:r w:rsidDel="00000000" w:rsidR="00000000" w:rsidRPr="00000000">
              <w:rPr>
                <w:rtl w:val="0"/>
              </w:rPr>
            </w:r>
          </w:p>
        </w:tc>
        <w:tc>
          <w:tcPr>
            <w:shd w:fill="e4efe6" w:val="clear"/>
            <w:tcMar>
              <w:top w:w="60.0" w:type="dxa"/>
              <w:left w:w="90.0" w:type="dxa"/>
              <w:bottom w:w="60.0" w:type="dxa"/>
              <w:right w:w="90.0" w:type="dxa"/>
            </w:tcMar>
          </w:tcPr>
          <w:p w:rsidR="00000000" w:rsidDel="00000000" w:rsidP="00000000" w:rsidRDefault="00000000" w:rsidRPr="00000000" w14:paraId="00000095">
            <w:pPr>
              <w:spacing w:after="0" w:line="276" w:lineRule="auto"/>
              <w:jc w:val="center"/>
              <w:rPr/>
            </w:pPr>
            <w:r w:rsidDel="00000000" w:rsidR="00000000" w:rsidRPr="00000000">
              <w:rPr>
                <w:rFonts w:ascii="Arial" w:cs="Arial" w:eastAsia="Arial" w:hAnsi="Arial"/>
                <w:b w:val="0"/>
                <w:bCs w:val="0"/>
                <w:color w:val="000000"/>
                <w:sz w:val="20"/>
                <w:szCs w:val="20"/>
                <w:rtl w:val="0"/>
              </w:rPr>
              <w:t xml:space="preserve">Strong</w:t>
            </w:r>
            <w:r w:rsidDel="00000000" w:rsidR="00000000" w:rsidRPr="00000000">
              <w:rPr>
                <w:rtl w:val="0"/>
              </w:rPr>
            </w:r>
          </w:p>
        </w:tc>
        <w:tc>
          <w:tcPr/>
          <w:p w:rsidR="00000000" w:rsidDel="00000000" w:rsidP="00000000" w:rsidRDefault="00000000" w:rsidRPr="00000000" w14:paraId="00000096">
            <w:pPr>
              <w:rPr/>
            </w:pPr>
            <w:r w:rsidDel="00000000" w:rsidR="00000000" w:rsidRPr="00000000">
              <w:rPr>
                <w:rFonts w:ascii="Arial" w:cs="Arial" w:eastAsia="Arial" w:hAnsi="Arial"/>
                <w:b w:val="0"/>
                <w:bCs w:val="0"/>
                <w:sz w:val="20"/>
                <w:szCs w:val="20"/>
                <w:rtl w:val="0"/>
              </w:rPr>
              <w:t xml:space="preserve">The Report Cubes (2026); Mordor Intelligence (2026)</w:t>
            </w:r>
            <w:r w:rsidDel="00000000" w:rsidR="00000000" w:rsidRPr="00000000">
              <w:rPr>
                <w:rtl w:val="0"/>
              </w:rPr>
            </w:r>
          </w:p>
        </w:tc>
      </w:tr>
      <w:tr>
        <w:trPr>
          <w:cantSplit w:val="0"/>
          <w:tblHeader w:val="0"/>
        </w:trPr>
        <w:tc>
          <w:tcPr>
            <w:shd w:fill="edf1f5" w:val="clear"/>
            <w:tcMar>
              <w:top w:w="60.0" w:type="dxa"/>
              <w:left w:w="90.0" w:type="dxa"/>
              <w:bottom w:w="60.0" w:type="dxa"/>
              <w:right w:w="90.0" w:type="dxa"/>
            </w:tcMar>
          </w:tcPr>
          <w:p w:rsidR="00000000" w:rsidDel="00000000" w:rsidP="00000000" w:rsidRDefault="00000000" w:rsidRPr="00000000" w14:paraId="00000097">
            <w:pPr>
              <w:spacing w:after="0" w:line="276" w:lineRule="auto"/>
              <w:jc w:val="left"/>
              <w:rPr/>
            </w:pPr>
            <w:r w:rsidDel="00000000" w:rsidR="00000000" w:rsidRPr="00000000">
              <w:rPr>
                <w:rFonts w:ascii="Arial" w:cs="Arial" w:eastAsia="Arial" w:hAnsi="Arial"/>
                <w:b w:val="1"/>
                <w:bCs w:val="1"/>
                <w:color w:val="000000"/>
                <w:sz w:val="20"/>
                <w:szCs w:val="20"/>
                <w:rtl w:val="0"/>
              </w:rPr>
              <w:t xml:space="preserve">Internalisation</w:t>
            </w:r>
            <w:r w:rsidDel="00000000" w:rsidR="00000000" w:rsidRPr="00000000">
              <w:rPr>
                <w:rtl w:val="0"/>
              </w:rPr>
            </w:r>
          </w:p>
        </w:tc>
        <w:tc>
          <w:tcPr>
            <w:tcMar>
              <w:top w:w="60.0" w:type="dxa"/>
              <w:left w:w="90.0" w:type="dxa"/>
              <w:bottom w:w="60.0" w:type="dxa"/>
              <w:right w:w="90.0" w:type="dxa"/>
            </w:tcMar>
          </w:tcPr>
          <w:p w:rsidR="00000000" w:rsidDel="00000000" w:rsidP="00000000" w:rsidRDefault="00000000" w:rsidRPr="00000000" w14:paraId="00000098">
            <w:pPr>
              <w:spacing w:after="0" w:line="276" w:lineRule="auto"/>
              <w:jc w:val="left"/>
              <w:rPr/>
            </w:pPr>
            <w:r w:rsidDel="00000000" w:rsidR="00000000" w:rsidRPr="00000000">
              <w:rPr>
                <w:rFonts w:ascii="Arial" w:cs="Arial" w:eastAsia="Arial" w:hAnsi="Arial"/>
                <w:b w:val="0"/>
                <w:bCs w:val="0"/>
                <w:color w:val="000000"/>
                <w:sz w:val="20"/>
                <w:szCs w:val="20"/>
                <w:rtl w:val="0"/>
              </w:rPr>
              <w:t xml:space="preserve">Mall access, labour and licensing navigation, and regional supply are all supplied far better by an established local operator than by Greggs alone. Weak case for going it alone.</w:t>
            </w:r>
            <w:r w:rsidDel="00000000" w:rsidR="00000000" w:rsidRPr="00000000">
              <w:rPr>
                <w:rtl w:val="0"/>
              </w:rPr>
            </w:r>
          </w:p>
        </w:tc>
        <w:tc>
          <w:tcPr>
            <w:shd w:fill="f6e7e7" w:val="clear"/>
            <w:tcMar>
              <w:top w:w="60.0" w:type="dxa"/>
              <w:left w:w="90.0" w:type="dxa"/>
              <w:bottom w:w="60.0" w:type="dxa"/>
              <w:right w:w="90.0" w:type="dxa"/>
            </w:tcMar>
          </w:tcPr>
          <w:p w:rsidR="00000000" w:rsidDel="00000000" w:rsidP="00000000" w:rsidRDefault="00000000" w:rsidRPr="00000000" w14:paraId="00000099">
            <w:pPr>
              <w:spacing w:after="0" w:line="276" w:lineRule="auto"/>
              <w:jc w:val="center"/>
              <w:rPr/>
            </w:pPr>
            <w:r w:rsidDel="00000000" w:rsidR="00000000" w:rsidRPr="00000000">
              <w:rPr>
                <w:rFonts w:ascii="Arial" w:cs="Arial" w:eastAsia="Arial" w:hAnsi="Arial"/>
                <w:b w:val="0"/>
                <w:bCs w:val="0"/>
                <w:color w:val="000000"/>
                <w:sz w:val="20"/>
                <w:szCs w:val="20"/>
                <w:rtl w:val="0"/>
              </w:rPr>
              <w:t xml:space="preserve">Weak</w:t>
            </w:r>
            <w:r w:rsidDel="00000000" w:rsidR="00000000" w:rsidRPr="00000000">
              <w:rPr>
                <w:rtl w:val="0"/>
              </w:rPr>
            </w:r>
          </w:p>
        </w:tc>
        <w:tc>
          <w:tcPr/>
          <w:p w:rsidR="00000000" w:rsidDel="00000000" w:rsidP="00000000" w:rsidRDefault="00000000" w:rsidRPr="00000000" w14:paraId="0000009A">
            <w:pPr>
              <w:rPr/>
            </w:pPr>
            <w:r w:rsidDel="00000000" w:rsidR="00000000" w:rsidRPr="00000000">
              <w:rPr>
                <w:rFonts w:ascii="Arial" w:cs="Arial" w:eastAsia="Arial" w:hAnsi="Arial"/>
                <w:b w:val="0"/>
                <w:bCs w:val="0"/>
                <w:sz w:val="20"/>
                <w:szCs w:val="20"/>
                <w:rtl w:val="0"/>
              </w:rPr>
              <w:t xml:space="preserve">Ken Research (2025); Dunning (2000)</w:t>
            </w:r>
            <w:r w:rsidDel="00000000" w:rsidR="00000000" w:rsidRPr="00000000">
              <w:rPr>
                <w:rtl w:val="0"/>
              </w:rPr>
            </w:r>
          </w:p>
        </w:tc>
      </w:tr>
    </w:tbl>
    <w:p w:rsidR="00000000" w:rsidDel="00000000" w:rsidP="00000000" w:rsidRDefault="00000000" w:rsidRPr="00000000" w14:paraId="0000009B">
      <w:pPr>
        <w:spacing w:after="160" w:lineRule="auto"/>
        <w:rPr/>
      </w:pPr>
      <w:r w:rsidDel="00000000" w:rsidR="00000000" w:rsidRPr="00000000">
        <w:rPr>
          <w:rtl w:val="0"/>
        </w:rPr>
      </w:r>
    </w:p>
    <w:p w:rsidR="00000000" w:rsidDel="00000000" w:rsidP="00000000" w:rsidRDefault="00000000" w:rsidRPr="00000000" w14:paraId="0000009C">
      <w:pPr>
        <w:spacing w:after="160" w:line="360" w:lineRule="auto"/>
        <w:jc w:val="both"/>
        <w:rPr/>
      </w:pPr>
      <w:r w:rsidDel="00000000" w:rsidR="00000000" w:rsidRPr="00000000">
        <w:rPr>
          <w:rFonts w:ascii="Arial" w:cs="Arial" w:eastAsia="Arial" w:hAnsi="Arial"/>
          <w:sz w:val="24"/>
          <w:szCs w:val="24"/>
          <w:rtl w:val="0"/>
        </w:rPr>
        <w:t xml:space="preserve">The </w:t>
      </w:r>
      <w:r w:rsidDel="00000000" w:rsidR="00000000" w:rsidRPr="00000000">
        <w:rPr>
          <w:rtl w:val="0"/>
        </w:rPr>
        <w:t xml:space="preserve">ownership</w:t>
      </w:r>
      <w:r w:rsidDel="00000000" w:rsidR="00000000" w:rsidRPr="00000000">
        <w:rPr>
          <w:rFonts w:ascii="Arial" w:cs="Arial" w:eastAsia="Arial" w:hAnsi="Arial"/>
          <w:sz w:val="24"/>
          <w:szCs w:val="24"/>
          <w:rtl w:val="0"/>
        </w:rPr>
        <w:t xml:space="preserve"> dimension requires the most careful treatment, since a superficial assessment tends to overstate it. Greggs possesses genuinely transferable assets: a distinctive food-to-go concept and a functioning franchise system that it has developed over recent years. However, its most prominent asset, the brand, is nationally bounded, and its vertically integrated supply chain is a UK fixture that does not extend abroad. The ownership advantage is therefore moderate and specific rather than </w:t>
      </w:r>
      <w:r w:rsidDel="00000000" w:rsidR="00000000" w:rsidRPr="00000000">
        <w:rPr>
          <w:rtl w:val="0"/>
        </w:rPr>
        <w:t xml:space="preserve">broad and</w:t>
      </w:r>
      <w:r w:rsidDel="00000000" w:rsidR="00000000" w:rsidRPr="00000000">
        <w:rPr>
          <w:rFonts w:ascii="Arial" w:cs="Arial" w:eastAsia="Arial" w:hAnsi="Arial"/>
          <w:sz w:val="24"/>
          <w:szCs w:val="24"/>
          <w:rtl w:val="0"/>
        </w:rPr>
        <w:t xml:space="preserve"> cannot in itself justify a high-commitment entry mode. This conclusion reflects the same analytical discipline that the resource-based view applied earlier, and it yields a correspondingly measured assessment.</w:t>
      </w:r>
      <w:r w:rsidDel="00000000" w:rsidR="00000000" w:rsidRPr="00000000">
        <w:rPr>
          <w:rtl w:val="0"/>
        </w:rPr>
      </w:r>
    </w:p>
    <w:p w:rsidR="00000000" w:rsidDel="00000000" w:rsidP="00000000" w:rsidRDefault="00000000" w:rsidRPr="00000000" w14:paraId="0000009D">
      <w:pPr>
        <w:spacing w:after="160" w:line="360" w:lineRule="auto"/>
        <w:jc w:val="both"/>
        <w:rPr/>
      </w:pPr>
      <w:r w:rsidDel="00000000" w:rsidR="00000000" w:rsidRPr="00000000">
        <w:rPr>
          <w:rFonts w:ascii="Arial" w:cs="Arial" w:eastAsia="Arial" w:hAnsi="Arial"/>
          <w:sz w:val="24"/>
          <w:szCs w:val="24"/>
          <w:rtl w:val="0"/>
        </w:rPr>
        <w:t xml:space="preserve">The </w:t>
      </w:r>
      <w:r w:rsidDel="00000000" w:rsidR="00000000" w:rsidRPr="00000000">
        <w:rPr>
          <w:rtl w:val="0"/>
        </w:rPr>
        <w:t xml:space="preserve">location</w:t>
      </w:r>
      <w:r w:rsidDel="00000000" w:rsidR="00000000" w:rsidRPr="00000000">
        <w:rPr>
          <w:rFonts w:ascii="Arial" w:cs="Arial" w:eastAsia="Arial" w:hAnsi="Arial"/>
          <w:sz w:val="24"/>
          <w:szCs w:val="24"/>
          <w:rtl w:val="0"/>
        </w:rPr>
        <w:t xml:space="preserve"> dimension represents the strongest element of the assessment, and its significance should not be understated. The UAE constitutes a highly attractive market: it combines rapid growth, high disposable incomes and substantial footfall, together with an established expatriate audience and a delivery infrastructure well suited to food-to-go retailing (The Report Cubes, 2026; Mordor Intelligence, 2026). Were the location advantage materially weaker, the proposition would not withstand scrutiny. It is principally this location advantage that sustains the entry as a viable strategic option rather than an evident non-starter.</w:t>
      </w:r>
      <w:r w:rsidDel="00000000" w:rsidR="00000000" w:rsidRPr="00000000">
        <w:rPr>
          <w:rtl w:val="0"/>
        </w:rPr>
      </w:r>
    </w:p>
    <w:p w:rsidR="00000000" w:rsidDel="00000000" w:rsidP="00000000" w:rsidRDefault="00000000" w:rsidRPr="00000000" w14:paraId="0000009E">
      <w:pPr>
        <w:spacing w:after="160" w:line="360" w:lineRule="auto"/>
        <w:jc w:val="both"/>
        <w:rPr/>
      </w:pPr>
      <w:r w:rsidDel="00000000" w:rsidR="00000000" w:rsidRPr="00000000">
        <w:rPr>
          <w:rFonts w:ascii="Arial" w:cs="Arial" w:eastAsia="Arial" w:hAnsi="Arial"/>
          <w:sz w:val="24"/>
          <w:szCs w:val="24"/>
          <w:rtl w:val="0"/>
        </w:rPr>
        <w:t xml:space="preserve">The </w:t>
      </w:r>
      <w:r w:rsidDel="00000000" w:rsidR="00000000" w:rsidRPr="00000000">
        <w:rPr>
          <w:rtl w:val="0"/>
        </w:rPr>
        <w:t xml:space="preserve">internalisation</w:t>
      </w:r>
      <w:r w:rsidDel="00000000" w:rsidR="00000000" w:rsidRPr="00000000">
        <w:rPr>
          <w:rFonts w:ascii="Arial" w:cs="Arial" w:eastAsia="Arial" w:hAnsi="Arial"/>
          <w:sz w:val="24"/>
          <w:szCs w:val="24"/>
          <w:rtl w:val="0"/>
        </w:rPr>
        <w:t xml:space="preserve"> dimension is the decisive element, and its assessment runs contrary to Greggs' domestic inclination towards ownership and direct control. Almost every factor determining UAE success, including mall relationships, labour-regulation compliance, licensing and regional supply, is executed more effectively by an established local operator than by a British firm entering without local experience. Greggs could not develop these capabilities rapidly. The elements it must retain are its brand standards and format integrity, since a poorly performing franchisee trading under the Greggs name would inflict lasting reputational damage. The internalisation question is therefore not whether to internalise, but which elements to retain: the brand, recipes and operating standards should be held in-house through the franchise agreement, while the market-facing operation should be externalised to a capable local partner. This distinction points directly towards the recommended entry mode.</w:t>
      </w:r>
      <w:r w:rsidDel="00000000" w:rsidR="00000000" w:rsidRPr="00000000">
        <w:rPr>
          <w:rtl w:val="0"/>
        </w:rPr>
      </w:r>
    </w:p>
    <w:p w:rsidR="00000000" w:rsidDel="00000000" w:rsidP="00000000" w:rsidRDefault="00000000" w:rsidRPr="00000000" w14:paraId="0000009F">
      <w:pPr>
        <w:spacing w:after="60" w:before="120" w:lineRule="auto"/>
        <w:jc w:val="center"/>
        <w:rPr/>
      </w:pPr>
      <w:r w:rsidDel="00000000" w:rsidR="00000000" w:rsidRPr="00000000">
        <w:rPr/>
        <w:drawing>
          <wp:inline distB="0" distT="0" distL="0" distR="0">
            <wp:extent cx="3286125" cy="3000375"/>
            <wp:effectExtent b="0" l="0" r="0" t="0"/>
            <wp:docPr id="7" name="image2.png"/>
            <a:graphic>
              <a:graphicData uri="http://schemas.openxmlformats.org/drawingml/2006/picture">
                <pic:pic>
                  <pic:nvPicPr>
                    <pic:cNvPr id="0" name="image2.png"/>
                    <pic:cNvPicPr preferRelativeResize="0"/>
                  </pic:nvPicPr>
                  <pic:blipFill>
                    <a:blip r:embed="rId12"/>
                    <a:srcRect b="0" l="0" r="0" t="0"/>
                    <a:stretch>
                      <a:fillRect/>
                    </a:stretch>
                  </pic:blipFill>
                  <pic:spPr>
                    <a:xfrm>
                      <a:off x="0" y="0"/>
                      <a:ext cx="3286125" cy="3000375"/>
                    </a:xfrm>
                    <a:prstGeom prst="rect"/>
                    <a:ln/>
                  </pic:spPr>
                </pic:pic>
              </a:graphicData>
            </a:graphic>
          </wp:inline>
        </w:drawing>
      </w:r>
      <w:r w:rsidDel="00000000" w:rsidR="00000000" w:rsidRPr="00000000">
        <w:rPr>
          <w:rtl w:val="0"/>
        </w:rPr>
      </w:r>
    </w:p>
    <w:p w:rsidR="00000000" w:rsidDel="00000000" w:rsidP="00000000" w:rsidRDefault="00000000" w:rsidRPr="00000000" w14:paraId="000000A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555555"/>
          <w:sz w:val="20"/>
          <w:szCs w:val="20"/>
          <w:u w:val="none"/>
          <w:shd w:fill="auto" w:val="clear"/>
          <w:vertAlign w:val="baseline"/>
        </w:rPr>
      </w:pPr>
      <w:r w:rsidDel="00000000" w:rsidR="00000000" w:rsidRPr="00000000">
        <w:rPr>
          <w:rFonts w:ascii="Arial" w:cs="Arial" w:eastAsia="Arial" w:hAnsi="Arial"/>
          <w:b w:val="0"/>
          <w:bCs w:val="0"/>
          <w:i w:val="1"/>
          <w:iCs w:val="1"/>
          <w:smallCaps w:val="0"/>
          <w:strike w:val="0"/>
          <w:color w:val="555555"/>
          <w:sz w:val="20"/>
          <w:szCs w:val="20"/>
          <w:u w:val="none"/>
          <w:shd w:fill="auto" w:val="clear"/>
          <w:vertAlign w:val="baseline"/>
          <w:rtl w:val="0"/>
        </w:rPr>
        <w:t xml:space="preserve">Figure 7: OLI readiness profile for Greggs in the UAE (author's assessment).</w:t>
      </w:r>
    </w:p>
    <w:p w:rsidR="00000000" w:rsidDel="00000000" w:rsidP="00000000" w:rsidRDefault="00000000" w:rsidRPr="00000000" w14:paraId="000000A1">
      <w:pPr>
        <w:spacing w:after="60" w:before="120" w:lineRule="auto"/>
        <w:jc w:val="center"/>
        <w:rPr/>
      </w:pPr>
      <w:r w:rsidDel="00000000" w:rsidR="00000000" w:rsidRPr="00000000">
        <w:rPr/>
        <w:drawing>
          <wp:inline distB="0" distT="0" distL="0" distR="0">
            <wp:extent cx="4238625" cy="2362200"/>
            <wp:effectExtent b="0" l="0" r="0" t="0"/>
            <wp:docPr id="6" name="image3.png"/>
            <a:graphic>
              <a:graphicData uri="http://schemas.openxmlformats.org/drawingml/2006/picture">
                <pic:pic>
                  <pic:nvPicPr>
                    <pic:cNvPr id="0" name="image3.png"/>
                    <pic:cNvPicPr preferRelativeResize="0"/>
                  </pic:nvPicPr>
                  <pic:blipFill>
                    <a:blip r:embed="rId13"/>
                    <a:srcRect b="0" l="0" r="0" t="0"/>
                    <a:stretch>
                      <a:fillRect/>
                    </a:stretch>
                  </pic:blipFill>
                  <pic:spPr>
                    <a:xfrm>
                      <a:off x="0" y="0"/>
                      <a:ext cx="4238625" cy="2362200"/>
                    </a:xfrm>
                    <a:prstGeom prst="rect"/>
                    <a:ln/>
                  </pic:spPr>
                </pic:pic>
              </a:graphicData>
            </a:graphic>
          </wp:inline>
        </w:drawing>
      </w:r>
      <w:r w:rsidDel="00000000" w:rsidR="00000000" w:rsidRPr="00000000">
        <w:rPr>
          <w:rtl w:val="0"/>
        </w:rPr>
      </w:r>
    </w:p>
    <w:p w:rsidR="00000000" w:rsidDel="00000000" w:rsidP="00000000" w:rsidRDefault="00000000" w:rsidRPr="00000000" w14:paraId="000000A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555555"/>
          <w:sz w:val="20"/>
          <w:szCs w:val="20"/>
          <w:u w:val="none"/>
          <w:shd w:fill="auto" w:val="clear"/>
          <w:vertAlign w:val="baseline"/>
        </w:rPr>
      </w:pPr>
      <w:r w:rsidDel="00000000" w:rsidR="00000000" w:rsidRPr="00000000">
        <w:rPr>
          <w:rFonts w:ascii="Arial" w:cs="Arial" w:eastAsia="Arial" w:hAnsi="Arial"/>
          <w:b w:val="0"/>
          <w:bCs w:val="0"/>
          <w:i w:val="1"/>
          <w:iCs w:val="1"/>
          <w:smallCaps w:val="0"/>
          <w:strike w:val="0"/>
          <w:color w:val="555555"/>
          <w:sz w:val="20"/>
          <w:szCs w:val="20"/>
          <w:u w:val="none"/>
          <w:shd w:fill="auto" w:val="clear"/>
          <w:vertAlign w:val="baseline"/>
          <w:rtl w:val="0"/>
        </w:rPr>
        <w:t xml:space="preserve">Figure 5: Materiality weighting of macro factors (author's assessment).</w:t>
      </w:r>
    </w:p>
    <w:p w:rsidR="00000000" w:rsidDel="00000000" w:rsidP="00000000" w:rsidRDefault="00000000" w:rsidRPr="00000000" w14:paraId="000000A3">
      <w:pPr>
        <w:rPr/>
      </w:pPr>
      <w:r w:rsidDel="00000000" w:rsidR="00000000" w:rsidRPr="00000000">
        <w:br w:type="page"/>
      </w:r>
      <w:r w:rsidDel="00000000" w:rsidR="00000000" w:rsidRPr="00000000">
        <w:rPr>
          <w:rtl w:val="0"/>
        </w:rPr>
      </w:r>
    </w:p>
    <w:p w:rsidR="00000000" w:rsidDel="00000000" w:rsidP="00000000" w:rsidRDefault="00000000" w:rsidRPr="00000000" w14:paraId="000000A4">
      <w:pPr>
        <w:pStyle w:val="Heading1"/>
        <w:spacing w:after="140" w:before="280" w:lineRule="auto"/>
        <w:rPr/>
      </w:pPr>
      <w:r w:rsidDel="00000000" w:rsidR="00000000" w:rsidRPr="00000000">
        <w:rPr>
          <w:rFonts w:ascii="Arial" w:cs="Arial" w:eastAsia="Arial" w:hAnsi="Arial"/>
          <w:b w:val="1"/>
          <w:bCs w:val="1"/>
          <w:color w:val="000000"/>
          <w:sz w:val="32"/>
          <w:szCs w:val="32"/>
          <w:rtl w:val="0"/>
        </w:rPr>
        <w:t xml:space="preserve">Section 3: Entry Mode Strategy and Strategic Synthesis</w:t>
      </w:r>
      <w:r w:rsidDel="00000000" w:rsidR="00000000" w:rsidRPr="00000000">
        <w:rPr>
          <w:rtl w:val="0"/>
        </w:rPr>
      </w:r>
    </w:p>
    <w:p w:rsidR="00000000" w:rsidDel="00000000" w:rsidP="00000000" w:rsidRDefault="00000000" w:rsidRPr="00000000" w14:paraId="000000A5">
      <w:pPr>
        <w:pStyle w:val="Heading2"/>
        <w:spacing w:after="120" w:before="220" w:lineRule="auto"/>
        <w:rPr/>
      </w:pPr>
      <w:r w:rsidDel="00000000" w:rsidR="00000000" w:rsidRPr="00000000">
        <w:rPr>
          <w:rFonts w:ascii="Arial" w:cs="Arial" w:eastAsia="Arial" w:hAnsi="Arial"/>
          <w:b w:val="1"/>
          <w:bCs w:val="1"/>
          <w:color w:val="000000"/>
          <w:sz w:val="26"/>
          <w:szCs w:val="26"/>
          <w:rtl w:val="0"/>
        </w:rPr>
        <w:t xml:space="preserve">3.1 Historical pattern recognition</w:t>
      </w:r>
      <w:r w:rsidDel="00000000" w:rsidR="00000000" w:rsidRPr="00000000">
        <w:rPr>
          <w:rtl w:val="0"/>
        </w:rPr>
      </w:r>
    </w:p>
    <w:p w:rsidR="00000000" w:rsidDel="00000000" w:rsidP="00000000" w:rsidRDefault="00000000" w:rsidRPr="00000000" w14:paraId="000000A6">
      <w:pPr>
        <w:spacing w:after="160" w:line="360" w:lineRule="auto"/>
        <w:jc w:val="both"/>
        <w:rPr/>
      </w:pPr>
      <w:r w:rsidDel="00000000" w:rsidR="00000000" w:rsidRPr="00000000">
        <w:rPr>
          <w:rFonts w:ascii="Arial" w:cs="Arial" w:eastAsia="Arial" w:hAnsi="Arial"/>
          <w:sz w:val="24"/>
          <w:szCs w:val="24"/>
          <w:rtl w:val="0"/>
        </w:rPr>
        <w:t xml:space="preserve">Greggs' expansion history is almost entirely characterised by a single mode: company-owned organic growth on the British high street. For decades the company grew by opening its own shops, under its own name, supplied by its own bakeries. A single overseas exception existed, a Belgian venture that closed in 2008 and prompted a prolonged retreat to the domestic market (BM Magazine, 2026). The dominant historical pattern is therefore one of direct ownership, tight control and UK concentration, representing the least internationally adaptable model a firm might possess.</w:t>
      </w:r>
      <w:r w:rsidDel="00000000" w:rsidR="00000000" w:rsidRPr="00000000">
        <w:rPr>
          <w:rtl w:val="0"/>
        </w:rPr>
      </w:r>
    </w:p>
    <w:p w:rsidR="00000000" w:rsidDel="00000000" w:rsidP="00000000" w:rsidRDefault="00000000" w:rsidRPr="00000000" w14:paraId="000000A7">
      <w:pPr>
        <w:spacing w:after="160" w:line="360" w:lineRule="auto"/>
        <w:jc w:val="both"/>
        <w:rPr/>
      </w:pPr>
      <w:r w:rsidDel="00000000" w:rsidR="00000000" w:rsidRPr="00000000">
        <w:rPr>
          <w:rFonts w:ascii="Arial" w:cs="Arial" w:eastAsia="Arial" w:hAnsi="Arial"/>
          <w:sz w:val="24"/>
          <w:szCs w:val="24"/>
          <w:rtl w:val="0"/>
        </w:rPr>
        <w:t xml:space="preserve">The more recent and more relevant pattern is franchising, which Greggs has developed deliberately over recent years. The company now operates a substantial franchise estate in locations it cannot easily manage directly, including travel hubs, forecourts and transport sites, working with partners under licence, and this estate has consistently outgrown the company-managed shops (Greggs plc, 2026). The Tenerife airport opening with Lagardère in May 2026 extends this approach into international travel retail for the first time (Business Matters, 2026). This is the pattern most relevant to the UAE, since it represents the only element of Greggs history involving the transfer of operational control to a third party while retaining the brand, which is precisely what a Gulf entry would require.</w:t>
      </w:r>
      <w:r w:rsidDel="00000000" w:rsidR="00000000" w:rsidRPr="00000000">
        <w:rPr>
          <w:rtl w:val="0"/>
        </w:rPr>
      </w:r>
    </w:p>
    <w:p w:rsidR="00000000" w:rsidDel="00000000" w:rsidP="00000000" w:rsidRDefault="00000000" w:rsidRPr="00000000" w14:paraId="000000A8">
      <w:pPr>
        <w:spacing w:after="60" w:before="120" w:lineRule="auto"/>
        <w:jc w:val="center"/>
        <w:rPr/>
      </w:pPr>
      <w:r w:rsidDel="00000000" w:rsidR="00000000" w:rsidRPr="00000000">
        <w:rPr/>
        <w:drawing>
          <wp:inline distB="0" distT="0" distL="0" distR="0">
            <wp:extent cx="3952875" cy="2914650"/>
            <wp:effectExtent b="0" l="0" r="0" t="0"/>
            <wp:docPr id="9" name="image10.png"/>
            <a:graphic>
              <a:graphicData uri="http://schemas.openxmlformats.org/drawingml/2006/picture">
                <pic:pic>
                  <pic:nvPicPr>
                    <pic:cNvPr id="0" name="image10.png"/>
                    <pic:cNvPicPr preferRelativeResize="0"/>
                  </pic:nvPicPr>
                  <pic:blipFill>
                    <a:blip r:embed="rId14"/>
                    <a:srcRect b="0" l="0" r="0" t="0"/>
                    <a:stretch>
                      <a:fillRect/>
                    </a:stretch>
                  </pic:blipFill>
                  <pic:spPr>
                    <a:xfrm>
                      <a:off x="0" y="0"/>
                      <a:ext cx="3952875" cy="2914650"/>
                    </a:xfrm>
                    <a:prstGeom prst="rect"/>
                    <a:ln/>
                  </pic:spPr>
                </pic:pic>
              </a:graphicData>
            </a:graphic>
          </wp:inline>
        </w:drawing>
      </w:r>
      <w:r w:rsidDel="00000000" w:rsidR="00000000" w:rsidRPr="00000000">
        <w:rPr>
          <w:rtl w:val="0"/>
        </w:rPr>
      </w:r>
    </w:p>
    <w:p w:rsidR="00000000" w:rsidDel="00000000" w:rsidP="00000000" w:rsidRDefault="00000000" w:rsidRPr="00000000" w14:paraId="000000A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555555"/>
          <w:sz w:val="20"/>
          <w:szCs w:val="20"/>
          <w:u w:val="none"/>
          <w:shd w:fill="auto" w:val="clear"/>
          <w:vertAlign w:val="baseline"/>
        </w:rPr>
      </w:pPr>
      <w:r w:rsidDel="00000000" w:rsidR="00000000" w:rsidRPr="00000000">
        <w:rPr>
          <w:rFonts w:ascii="Arial" w:cs="Arial" w:eastAsia="Arial" w:hAnsi="Arial"/>
          <w:b w:val="0"/>
          <w:bCs w:val="0"/>
          <w:i w:val="1"/>
          <w:iCs w:val="1"/>
          <w:smallCaps w:val="0"/>
          <w:strike w:val="0"/>
          <w:color w:val="555555"/>
          <w:sz w:val="20"/>
          <w:szCs w:val="20"/>
          <w:u w:val="none"/>
          <w:shd w:fill="auto" w:val="clear"/>
          <w:vertAlign w:val="baseline"/>
          <w:rtl w:val="0"/>
        </w:rPr>
        <w:t xml:space="preserve">Figure 9: Ansoff positioning of the UAE entry as market development (framework after Ansoff, 1957).</w:t>
      </w:r>
    </w:p>
    <w:p w:rsidR="00000000" w:rsidDel="00000000" w:rsidP="00000000" w:rsidRDefault="00000000" w:rsidRPr="00000000" w14:paraId="000000AA">
      <w:pPr>
        <w:pStyle w:val="Heading2"/>
        <w:spacing w:after="120" w:before="220" w:lineRule="auto"/>
        <w:rPr/>
      </w:pPr>
      <w:r w:rsidDel="00000000" w:rsidR="00000000" w:rsidRPr="00000000">
        <w:rPr>
          <w:rFonts w:ascii="Arial" w:cs="Arial" w:eastAsia="Arial" w:hAnsi="Arial"/>
          <w:b w:val="1"/>
          <w:bCs w:val="1"/>
          <w:color w:val="000000"/>
          <w:sz w:val="26"/>
          <w:szCs w:val="26"/>
          <w:rtl w:val="0"/>
        </w:rPr>
        <w:t xml:space="preserve">3.2 Strategic fit and justification</w:t>
      </w:r>
      <w:r w:rsidDel="00000000" w:rsidR="00000000" w:rsidRPr="00000000">
        <w:rPr>
          <w:rtl w:val="0"/>
        </w:rPr>
      </w:r>
    </w:p>
    <w:p w:rsidR="00000000" w:rsidDel="00000000" w:rsidP="00000000" w:rsidRDefault="00000000" w:rsidRPr="00000000" w14:paraId="000000AB">
      <w:pPr>
        <w:spacing w:after="160" w:line="360" w:lineRule="auto"/>
        <w:jc w:val="both"/>
        <w:rPr/>
      </w:pPr>
      <w:r w:rsidDel="00000000" w:rsidR="00000000" w:rsidRPr="00000000">
        <w:rPr>
          <w:rFonts w:ascii="Arial" w:cs="Arial" w:eastAsia="Arial" w:hAnsi="Arial"/>
          <w:sz w:val="24"/>
          <w:szCs w:val="24"/>
          <w:rtl w:val="0"/>
        </w:rPr>
        <w:t xml:space="preserve">Applying Greggs' longest-established mode, </w:t>
      </w:r>
      <w:r w:rsidDel="00000000" w:rsidR="00000000" w:rsidRPr="00000000">
        <w:rPr>
          <w:rtl w:val="0"/>
        </w:rPr>
        <w:t xml:space="preserve">a wholly owned</w:t>
      </w:r>
      <w:r w:rsidDel="00000000" w:rsidR="00000000" w:rsidRPr="00000000">
        <w:rPr>
          <w:rFonts w:ascii="Arial" w:cs="Arial" w:eastAsia="Arial" w:hAnsi="Arial"/>
          <w:sz w:val="24"/>
          <w:szCs w:val="24"/>
          <w:rtl w:val="0"/>
        </w:rPr>
        <w:t xml:space="preserve"> direct operation, to the UAE would fail, and the OLI analysis identifies precisely why. Direct operation succeeds where a firm understands the market, controls its supply chain and can access sites independently. Greggs possesses none of these attributes in the Gulf: it has no local knowledge, no regional supply, and no route to prime mall space except through operators that already control it. A wholly-owned subsidiary would occupy the top-right position of Figure 8, combining maximum control with maximum risk, and would resolve none of the binding constraints, which concern access and local operating capability rather than control.</w:t>
      </w:r>
      <w:r w:rsidDel="00000000" w:rsidR="00000000" w:rsidRPr="00000000">
        <w:rPr>
          <w:rtl w:val="0"/>
        </w:rPr>
      </w:r>
    </w:p>
    <w:p w:rsidR="00000000" w:rsidDel="00000000" w:rsidP="00000000" w:rsidRDefault="00000000" w:rsidRPr="00000000" w14:paraId="000000AC">
      <w:pPr>
        <w:spacing w:after="60" w:before="120" w:lineRule="auto"/>
        <w:jc w:val="center"/>
        <w:rPr/>
      </w:pPr>
      <w:r w:rsidDel="00000000" w:rsidR="00000000" w:rsidRPr="00000000">
        <w:rPr/>
        <w:drawing>
          <wp:inline distB="0" distT="0" distL="0" distR="0">
            <wp:extent cx="4000500" cy="3086100"/>
            <wp:effectExtent b="0" l="0" r="0" t="0"/>
            <wp:docPr id="8" name="image5.png"/>
            <a:graphic>
              <a:graphicData uri="http://schemas.openxmlformats.org/drawingml/2006/picture">
                <pic:pic>
                  <pic:nvPicPr>
                    <pic:cNvPr id="0" name="image5.png"/>
                    <pic:cNvPicPr preferRelativeResize="0"/>
                  </pic:nvPicPr>
                  <pic:blipFill>
                    <a:blip r:embed="rId15"/>
                    <a:srcRect b="0" l="0" r="0" t="0"/>
                    <a:stretch>
                      <a:fillRect/>
                    </a:stretch>
                  </pic:blipFill>
                  <pic:spPr>
                    <a:xfrm>
                      <a:off x="0" y="0"/>
                      <a:ext cx="4000500" cy="3086100"/>
                    </a:xfrm>
                    <a:prstGeom prst="rect"/>
                    <a:ln/>
                  </pic:spPr>
                </pic:pic>
              </a:graphicData>
            </a:graphic>
          </wp:inline>
        </w:drawing>
      </w:r>
      <w:r w:rsidDel="00000000" w:rsidR="00000000" w:rsidRPr="00000000">
        <w:rPr>
          <w:rtl w:val="0"/>
        </w:rPr>
      </w:r>
    </w:p>
    <w:p w:rsidR="00000000" w:rsidDel="00000000" w:rsidP="00000000" w:rsidRDefault="00000000" w:rsidRPr="00000000" w14:paraId="000000A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555555"/>
          <w:sz w:val="20"/>
          <w:szCs w:val="20"/>
          <w:u w:val="none"/>
          <w:shd w:fill="auto" w:val="clear"/>
          <w:vertAlign w:val="baseline"/>
        </w:rPr>
      </w:pPr>
      <w:r w:rsidDel="00000000" w:rsidR="00000000" w:rsidRPr="00000000">
        <w:rPr>
          <w:rFonts w:ascii="Arial" w:cs="Arial" w:eastAsia="Arial" w:hAnsi="Arial"/>
          <w:b w:val="0"/>
          <w:bCs w:val="0"/>
          <w:i w:val="1"/>
          <w:iCs w:val="1"/>
          <w:smallCaps w:val="0"/>
          <w:strike w:val="0"/>
          <w:color w:val="555555"/>
          <w:sz w:val="20"/>
          <w:szCs w:val="20"/>
          <w:u w:val="none"/>
          <w:shd w:fill="auto" w:val="clear"/>
          <w:vertAlign w:val="baseline"/>
          <w:rtl w:val="0"/>
        </w:rPr>
        <w:t xml:space="preserve">Figure 8: Entry-mode trade-off between control and commitment (adapted from Hill, Hwang and Kim, 1990).</w:t>
      </w:r>
    </w:p>
    <w:p w:rsidR="00000000" w:rsidDel="00000000" w:rsidP="00000000" w:rsidRDefault="00000000" w:rsidRPr="00000000" w14:paraId="000000AE">
      <w:pPr>
        <w:spacing w:after="160" w:line="360" w:lineRule="auto"/>
        <w:jc w:val="both"/>
        <w:rPr/>
      </w:pPr>
      <w:r w:rsidDel="00000000" w:rsidR="00000000" w:rsidRPr="00000000">
        <w:rPr>
          <w:rFonts w:ascii="Arial" w:cs="Arial" w:eastAsia="Arial" w:hAnsi="Arial"/>
          <w:sz w:val="24"/>
          <w:szCs w:val="24"/>
          <w:rtl w:val="0"/>
        </w:rPr>
        <w:t xml:space="preserve">Direct exporting occupies the opposite extreme and fails for different reasons. Shipping Greggs</w:t>
      </w:r>
      <w:r w:rsidDel="00000000" w:rsidR="00000000" w:rsidRPr="00000000">
        <w:rPr>
          <w:rtl w:val="0"/>
        </w:rPr>
        <w:t xml:space="preserve">' products</w:t>
      </w:r>
      <w:r w:rsidDel="00000000" w:rsidR="00000000" w:rsidRPr="00000000">
        <w:rPr>
          <w:rFonts w:ascii="Arial" w:cs="Arial" w:eastAsia="Arial" w:hAnsi="Arial"/>
          <w:sz w:val="24"/>
          <w:szCs w:val="24"/>
          <w:rtl w:val="0"/>
        </w:rPr>
        <w:t xml:space="preserve"> to a UAE distributor without a branded retail presence would surrender the shop experience that constitutes half the proposition, reducing the brand to a shelf product competing on price in a market where it holds no price advantage. This approach carries low risk but forfeits the concept </w:t>
      </w:r>
      <w:r w:rsidDel="00000000" w:rsidR="00000000" w:rsidRPr="00000000">
        <w:rPr>
          <w:rtl w:val="0"/>
        </w:rPr>
        <w:t xml:space="preserve">entirely and</w:t>
      </w:r>
      <w:r w:rsidDel="00000000" w:rsidR="00000000" w:rsidRPr="00000000">
        <w:rPr>
          <w:rFonts w:ascii="Arial" w:cs="Arial" w:eastAsia="Arial" w:hAnsi="Arial"/>
          <w:sz w:val="24"/>
          <w:szCs w:val="24"/>
          <w:rtl w:val="0"/>
        </w:rPr>
        <w:t xml:space="preserve"> constitutes wholesale distribution rather than market entry.</w:t>
      </w:r>
      <w:r w:rsidDel="00000000" w:rsidR="00000000" w:rsidRPr="00000000">
        <w:rPr>
          <w:rtl w:val="0"/>
        </w:rPr>
      </w:r>
    </w:p>
    <w:p w:rsidR="00000000" w:rsidDel="00000000" w:rsidP="00000000" w:rsidRDefault="00000000" w:rsidRPr="00000000" w14:paraId="000000AF">
      <w:pPr>
        <w:spacing w:after="160" w:line="360" w:lineRule="auto"/>
        <w:jc w:val="both"/>
        <w:rPr/>
      </w:pPr>
      <w:r w:rsidDel="00000000" w:rsidR="00000000" w:rsidRPr="00000000">
        <w:rPr>
          <w:rFonts w:ascii="Arial" w:cs="Arial" w:eastAsia="Arial" w:hAnsi="Arial"/>
          <w:sz w:val="24"/>
          <w:szCs w:val="24"/>
          <w:rtl w:val="0"/>
        </w:rPr>
        <w:t xml:space="preserve">The mode that fits is a master franchise with an established UAE </w:t>
      </w:r>
      <w:r w:rsidDel="00000000" w:rsidR="00000000" w:rsidRPr="00000000">
        <w:rPr>
          <w:rtl w:val="0"/>
        </w:rPr>
        <w:t xml:space="preserve">foodservice</w:t>
      </w:r>
      <w:r w:rsidDel="00000000" w:rsidR="00000000" w:rsidRPr="00000000">
        <w:rPr>
          <w:rFonts w:ascii="Arial" w:cs="Arial" w:eastAsia="Arial" w:hAnsi="Arial"/>
          <w:sz w:val="24"/>
          <w:szCs w:val="24"/>
          <w:rtl w:val="0"/>
        </w:rPr>
        <w:t xml:space="preserve"> operator. The reasoning maps directly onto the OLI split. A partner such as one of the large regional operator groups supplies precisely the weak legs: mall access, labour and licensing navigation, regional supply chain, and the local read on pricing. Greggs contributes the format, the recipes, the brand standards and the franchise-management discipline it has already built at home, and it retains control of all of it through the franchise agreement. The partner carries most of the capital and operational risk, which answers the supply-chain and labour concerns a foreign firm cannot manage alone. The logic is clean: control over what Greggs must keep stays with Greggs; exposure to what it cannot control sits with a partner whose job is to manage it.</w:t>
      </w:r>
      <w:r w:rsidDel="00000000" w:rsidR="00000000" w:rsidRPr="00000000">
        <w:rPr>
          <w:rtl w:val="0"/>
        </w:rPr>
      </w:r>
    </w:p>
    <w:p w:rsidR="00000000" w:rsidDel="00000000" w:rsidP="00000000" w:rsidRDefault="00000000" w:rsidRPr="00000000" w14:paraId="000000B0">
      <w:pPr>
        <w:spacing w:after="160" w:line="360" w:lineRule="auto"/>
        <w:jc w:val="both"/>
        <w:rPr/>
      </w:pPr>
      <w:r w:rsidDel="00000000" w:rsidR="00000000" w:rsidRPr="00000000">
        <w:rPr>
          <w:rFonts w:ascii="Arial" w:cs="Arial" w:eastAsia="Arial" w:hAnsi="Arial"/>
          <w:sz w:val="24"/>
          <w:szCs w:val="24"/>
          <w:rtl w:val="0"/>
        </w:rPr>
        <w:t xml:space="preserve">This recommendation reflects the direction indicated by both the market structure and the firm's recent history rather than analytical convenience. Nearly every successful foreign food-and-beverage brand in the UAE has entered through this route, from Starbucks via Alshaya to Tim Hortons via Apparel Group (Ken Research, 2025). Greggs' own franchise capability and the Tenerife travel-retail step demonstrate that the group is already moving in this direction. Imposing the established wholly-owned model on the Gulf, by contrast, would constitute a characteristic means by which a capable domestic firm loses money abroad (Johnson et al., 2023).</w:t>
      </w:r>
      <w:r w:rsidDel="00000000" w:rsidR="00000000" w:rsidRPr="00000000">
        <w:rPr>
          <w:rtl w:val="0"/>
        </w:rPr>
      </w:r>
    </w:p>
    <w:p w:rsidR="00000000" w:rsidDel="00000000" w:rsidP="00000000" w:rsidRDefault="00000000" w:rsidRPr="00000000" w14:paraId="000000B1">
      <w:pPr>
        <w:pStyle w:val="Heading2"/>
        <w:spacing w:after="120" w:before="220" w:lineRule="auto"/>
        <w:rPr/>
      </w:pPr>
      <w:r w:rsidDel="00000000" w:rsidR="00000000" w:rsidRPr="00000000">
        <w:rPr>
          <w:rFonts w:ascii="Arial" w:cs="Arial" w:eastAsia="Arial" w:hAnsi="Arial"/>
          <w:b w:val="1"/>
          <w:bCs w:val="1"/>
          <w:color w:val="000000"/>
          <w:sz w:val="26"/>
          <w:szCs w:val="26"/>
          <w:rtl w:val="0"/>
        </w:rPr>
        <w:t xml:space="preserve">3.3 Conclusion and recommendations</w:t>
      </w:r>
      <w:r w:rsidDel="00000000" w:rsidR="00000000" w:rsidRPr="00000000">
        <w:rPr>
          <w:rtl w:val="0"/>
        </w:rPr>
      </w:r>
    </w:p>
    <w:p w:rsidR="00000000" w:rsidDel="00000000" w:rsidP="00000000" w:rsidRDefault="00000000" w:rsidRPr="00000000" w14:paraId="000000B2">
      <w:pPr>
        <w:spacing w:after="160" w:line="360" w:lineRule="auto"/>
        <w:jc w:val="both"/>
        <w:rPr/>
      </w:pPr>
      <w:r w:rsidDel="00000000" w:rsidR="00000000" w:rsidRPr="00000000">
        <w:rPr>
          <w:rFonts w:ascii="Arial" w:cs="Arial" w:eastAsia="Arial" w:hAnsi="Arial"/>
          <w:sz w:val="24"/>
          <w:szCs w:val="24"/>
          <w:rtl w:val="0"/>
        </w:rPr>
        <w:t xml:space="preserve">The recommendation is a phased master-franchise entry into Dubai, conditional on the positioning proving effective rather than assumed at the outset. Phase one would involve signing a master-franchise agreement with an established Dubai operator and opening a small number of flagship mall and travel-hub sites, positioned as a British-heritage food-to-go brand with delivery integration from the outset. Phase two, contingent on actual sales data and measured brand awareness, would expand across Dubai and into Abu Dhabi while developing regional supply through the partner. Phase three, encompassing the wider UAE and a potential Gulf roll-out, would proceed only if the earlier phases demonstrated that the concept held at Gulf price points. This approach secures an option on a fast-growing market without committing the balance sheet to an unproven repositioning.</w:t>
      </w:r>
      <w:r w:rsidDel="00000000" w:rsidR="00000000" w:rsidRPr="00000000">
        <w:rPr>
          <w:rtl w:val="0"/>
        </w:rPr>
      </w:r>
    </w:p>
    <w:p w:rsidR="00000000" w:rsidDel="00000000" w:rsidP="00000000" w:rsidRDefault="00000000" w:rsidRPr="00000000" w14:paraId="000000B3">
      <w:pPr>
        <w:spacing w:after="160" w:line="360" w:lineRule="auto"/>
        <w:jc w:val="both"/>
        <w:rPr/>
      </w:pPr>
      <w:r w:rsidDel="00000000" w:rsidR="00000000" w:rsidRPr="00000000">
        <w:rPr>
          <w:rFonts w:ascii="Arial" w:cs="Arial" w:eastAsia="Arial" w:hAnsi="Arial"/>
          <w:sz w:val="24"/>
          <w:szCs w:val="24"/>
          <w:rtl w:val="0"/>
        </w:rPr>
        <w:t xml:space="preserve">Three risks require explicit mitigation rather than general acknowledgement. The positioning risk is the first and most significant: should Greggs fail to establish the British-heritage premium position, it would become an undifferentiated mid-price bakery, and this must be tested through a small flagship footprint before any commitment to scale. The second is partner dependency, since the entire model rests on the operator; this is mitigated through careful partner selection, brand-standard clauses incorporating audit and termination rights, and the retention of recipes and specifications in Greggs' name rather than the franchisee's. The third is the supply chain, which cannot be disregarded and must be developed regionally through the partner from the outset rather than added subsequently.</w:t>
      </w:r>
      <w:r w:rsidDel="00000000" w:rsidR="00000000" w:rsidRPr="00000000">
        <w:rPr>
          <w:rtl w:val="0"/>
        </w:rPr>
      </w:r>
    </w:p>
    <w:p w:rsidR="00000000" w:rsidDel="00000000" w:rsidP="00000000" w:rsidRDefault="00000000" w:rsidRPr="00000000" w14:paraId="000000B4">
      <w:pPr>
        <w:spacing w:after="160" w:line="360" w:lineRule="auto"/>
        <w:jc w:val="both"/>
        <w:rPr/>
      </w:pPr>
      <w:r w:rsidDel="00000000" w:rsidR="00000000" w:rsidRPr="00000000">
        <w:rPr>
          <w:rFonts w:ascii="Arial" w:cs="Arial" w:eastAsia="Arial" w:hAnsi="Arial"/>
          <w:sz w:val="24"/>
          <w:szCs w:val="24"/>
          <w:rtl w:val="0"/>
        </w:rPr>
        <w:t xml:space="preserve">On Ansoff's matrix, this entry represents market development, an existing product introduced to a new geography, as Figure 9 illustrates. The classification is accurate but of limited utility. Ansoff identifies the direction of growth while remaining silent on the mode of achieving it, which, in a market governed by operator groups and mall access, is the sole question determining the outcome (Johnson et al., 2023). The framework's silence on entry mode is a legitimate limitation in this application.</w:t>
      </w:r>
      <w:r w:rsidDel="00000000" w:rsidR="00000000" w:rsidRPr="00000000">
        <w:rPr>
          <w:rtl w:val="0"/>
        </w:rPr>
      </w:r>
    </w:p>
    <w:p w:rsidR="00000000" w:rsidDel="00000000" w:rsidP="00000000" w:rsidRDefault="00000000" w:rsidRPr="00000000" w14:paraId="000000B5">
      <w:pPr>
        <w:spacing w:after="160" w:line="360" w:lineRule="auto"/>
        <w:jc w:val="both"/>
        <w:rPr/>
      </w:pPr>
      <w:r w:rsidDel="00000000" w:rsidR="00000000" w:rsidRPr="00000000">
        <w:rPr>
          <w:rFonts w:ascii="Arial" w:cs="Arial" w:eastAsia="Arial" w:hAnsi="Arial"/>
          <w:sz w:val="24"/>
          <w:szCs w:val="24"/>
          <w:rtl w:val="0"/>
        </w:rPr>
        <w:t xml:space="preserve">A balanced scorecard keeps the phasing honest against evidence rather than enthusiasm. Figure 10 sets illustrative targets across outlet growth, delivery uptake, local sourcing and brand awareness, the deliberate point being that the gate to phase two rests on measured awareness and delivery adoption, not on how well the launch party went (Kaplan and Norton, 1996).</w:t>
      </w:r>
      <w:r w:rsidDel="00000000" w:rsidR="00000000" w:rsidRPr="00000000">
        <w:rPr>
          <w:rtl w:val="0"/>
        </w:rPr>
      </w:r>
    </w:p>
    <w:p w:rsidR="00000000" w:rsidDel="00000000" w:rsidP="00000000" w:rsidRDefault="00000000" w:rsidRPr="00000000" w14:paraId="000000B6">
      <w:pPr>
        <w:spacing w:after="60" w:before="120" w:lineRule="auto"/>
        <w:jc w:val="center"/>
        <w:rPr/>
      </w:pPr>
      <w:r w:rsidDel="00000000" w:rsidR="00000000" w:rsidRPr="00000000">
        <w:rPr/>
        <w:drawing>
          <wp:inline distB="0" distT="0" distL="0" distR="0">
            <wp:extent cx="4095750" cy="2924175"/>
            <wp:effectExtent b="0" l="0" r="0" t="0"/>
            <wp:docPr id="10" name="image6.png"/>
            <a:graphic>
              <a:graphicData uri="http://schemas.openxmlformats.org/drawingml/2006/picture">
                <pic:pic>
                  <pic:nvPicPr>
                    <pic:cNvPr id="0" name="image6.png"/>
                    <pic:cNvPicPr preferRelativeResize="0"/>
                  </pic:nvPicPr>
                  <pic:blipFill>
                    <a:blip r:embed="rId16"/>
                    <a:srcRect b="0" l="0" r="0" t="0"/>
                    <a:stretch>
                      <a:fillRect/>
                    </a:stretch>
                  </pic:blipFill>
                  <pic:spPr>
                    <a:xfrm>
                      <a:off x="0" y="0"/>
                      <a:ext cx="4095750" cy="2924175"/>
                    </a:xfrm>
                    <a:prstGeom prst="rect"/>
                    <a:ln/>
                  </pic:spPr>
                </pic:pic>
              </a:graphicData>
            </a:graphic>
          </wp:inline>
        </w:drawing>
      </w:r>
      <w:r w:rsidDel="00000000" w:rsidR="00000000" w:rsidRPr="00000000">
        <w:rPr>
          <w:rtl w:val="0"/>
        </w:rPr>
      </w:r>
    </w:p>
    <w:p w:rsidR="00000000" w:rsidDel="00000000" w:rsidP="00000000" w:rsidRDefault="00000000" w:rsidRPr="00000000" w14:paraId="000000B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1"/>
          <w:iCs w:val="1"/>
          <w:smallCaps w:val="0"/>
          <w:strike w:val="0"/>
          <w:color w:val="555555"/>
          <w:sz w:val="20"/>
          <w:szCs w:val="20"/>
          <w:u w:val="none"/>
          <w:shd w:fill="auto" w:val="clear"/>
          <w:vertAlign w:val="baseline"/>
        </w:rPr>
      </w:pPr>
      <w:r w:rsidDel="00000000" w:rsidR="00000000" w:rsidRPr="00000000">
        <w:rPr>
          <w:rFonts w:ascii="Arial" w:cs="Arial" w:eastAsia="Arial" w:hAnsi="Arial"/>
          <w:b w:val="0"/>
          <w:bCs w:val="0"/>
          <w:i w:val="1"/>
          <w:iCs w:val="1"/>
          <w:smallCaps w:val="0"/>
          <w:strike w:val="0"/>
          <w:color w:val="555555"/>
          <w:sz w:val="20"/>
          <w:szCs w:val="20"/>
          <w:u w:val="none"/>
          <w:shd w:fill="auto" w:val="clear"/>
          <w:vertAlign w:val="baseline"/>
          <w:rtl w:val="0"/>
        </w:rPr>
        <w:t xml:space="preserve">Figure 10: Illustrative balanced-scorecard targets for a phased entry (author's construction; framework after Kaplan and Norton, 1996).</w:t>
      </w:r>
    </w:p>
    <w:p w:rsidR="00000000" w:rsidDel="00000000" w:rsidP="00000000" w:rsidRDefault="00000000" w:rsidRPr="00000000" w14:paraId="000000B8">
      <w:pPr>
        <w:spacing w:after="160" w:line="360" w:lineRule="auto"/>
        <w:jc w:val="both"/>
        <w:rPr/>
      </w:pPr>
      <w:r w:rsidDel="00000000" w:rsidR="00000000" w:rsidRPr="00000000">
        <w:rPr>
          <w:rFonts w:ascii="Arial" w:cs="Arial" w:eastAsia="Arial" w:hAnsi="Arial"/>
          <w:sz w:val="24"/>
          <w:szCs w:val="24"/>
          <w:rtl w:val="0"/>
        </w:rPr>
        <w:t xml:space="preserve">Two conditions should govern the decision entirely. First, a credible operator partner must be securable on terms that protect the brand and the recipes; should the only available partners require loose control, the entry should not proceed, since brand integrity constitutes the majority of what Greggs would be exporting. Second, the flagship phase must demonstrate that the premium British-heritage position genuinely converts, at Gulf prices, into repeat custom beyond initial novelty, since curiosity does not equate to loyalty. Satisfying both conditions would render the downside a capped and recoverable investment in a genuinely fast-growing market. Satisfying neither would mean that no entry structure could secure success.</w:t>
      </w:r>
      <w:r w:rsidDel="00000000" w:rsidR="00000000" w:rsidRPr="00000000">
        <w:rPr>
          <w:rtl w:val="0"/>
        </w:rPr>
      </w:r>
    </w:p>
    <w:p w:rsidR="00000000" w:rsidDel="00000000" w:rsidP="00000000" w:rsidRDefault="00000000" w:rsidRPr="00000000" w14:paraId="000000B9">
      <w:pPr>
        <w:rPr/>
      </w:pPr>
      <w:r w:rsidDel="00000000" w:rsidR="00000000" w:rsidRPr="00000000">
        <w:br w:type="page"/>
      </w:r>
      <w:r w:rsidDel="00000000" w:rsidR="00000000" w:rsidRPr="00000000">
        <w:rPr>
          <w:rtl w:val="0"/>
        </w:rPr>
      </w:r>
    </w:p>
    <w:p w:rsidR="00000000" w:rsidDel="00000000" w:rsidP="00000000" w:rsidRDefault="00000000" w:rsidRPr="00000000" w14:paraId="000000BA">
      <w:pPr>
        <w:pStyle w:val="Heading1"/>
        <w:spacing w:after="140" w:before="280" w:lineRule="auto"/>
        <w:rPr/>
      </w:pPr>
      <w:r w:rsidDel="00000000" w:rsidR="00000000" w:rsidRPr="00000000">
        <w:rPr>
          <w:rFonts w:ascii="Arial" w:cs="Arial" w:eastAsia="Arial" w:hAnsi="Arial"/>
          <w:b w:val="1"/>
          <w:bCs w:val="1"/>
          <w:color w:val="000000"/>
          <w:sz w:val="32"/>
          <w:szCs w:val="32"/>
          <w:rtl w:val="0"/>
        </w:rPr>
        <w:t xml:space="preserve">Section 2: Reflective Account</w:t>
      </w:r>
      <w:r w:rsidDel="00000000" w:rsidR="00000000" w:rsidRPr="00000000">
        <w:rPr>
          <w:rtl w:val="0"/>
        </w:rPr>
      </w:r>
    </w:p>
    <w:p w:rsidR="00000000" w:rsidDel="00000000" w:rsidP="00000000" w:rsidRDefault="00000000" w:rsidRPr="00000000" w14:paraId="000000BB">
      <w:pPr>
        <w:pStyle w:val="Heading2"/>
        <w:spacing w:after="120" w:before="220" w:lineRule="auto"/>
        <w:rPr/>
      </w:pPr>
      <w:r w:rsidDel="00000000" w:rsidR="00000000" w:rsidRPr="00000000">
        <w:rPr>
          <w:rFonts w:ascii="Arial" w:cs="Arial" w:eastAsia="Arial" w:hAnsi="Arial"/>
          <w:b w:val="1"/>
          <w:bCs w:val="1"/>
          <w:color w:val="000000"/>
          <w:sz w:val="26"/>
          <w:szCs w:val="26"/>
          <w:rtl w:val="0"/>
        </w:rPr>
        <w:t xml:space="preserve">Description</w:t>
      </w:r>
      <w:r w:rsidDel="00000000" w:rsidR="00000000" w:rsidRPr="00000000">
        <w:rPr>
          <w:rtl w:val="0"/>
        </w:rPr>
      </w:r>
    </w:p>
    <w:p w:rsidR="00000000" w:rsidDel="00000000" w:rsidP="00000000" w:rsidRDefault="00000000" w:rsidRPr="00000000" w14:paraId="000000BC">
      <w:pPr>
        <w:spacing w:after="160" w:line="360" w:lineRule="auto"/>
        <w:jc w:val="both"/>
        <w:rPr/>
      </w:pPr>
      <w:r w:rsidDel="00000000" w:rsidR="00000000" w:rsidRPr="00000000">
        <w:rPr>
          <w:rFonts w:ascii="Arial" w:cs="Arial" w:eastAsia="Arial" w:hAnsi="Arial"/>
          <w:sz w:val="24"/>
          <w:szCs w:val="24"/>
          <w:rtl w:val="0"/>
        </w:rPr>
        <w:t xml:space="preserve">I chose Greggs and the UAE because the pairing looked faintly absurd, and I wanted a case where I genuinely did not know the answer before I started. The work ran in three passes. Reading Greggs' 2025 results took an evening, since the company's disclosure is clear. The UAE market research took longer, across two sessions, because the food-service reports varied in their numbers and I had to reconcile them. Only then did I apply the frameworks: Bartlett and Ghoshal, PESTEL, OLI, Ansoff and the entry-mode analysis. I worked mostly evenings over a fortnight at home, with the framework analysis done across two weekend sittings.</w:t>
      </w:r>
      <w:r w:rsidDel="00000000" w:rsidR="00000000" w:rsidRPr="00000000">
        <w:rPr>
          <w:rtl w:val="0"/>
        </w:rPr>
      </w:r>
    </w:p>
    <w:p w:rsidR="00000000" w:rsidDel="00000000" w:rsidP="00000000" w:rsidRDefault="00000000" w:rsidRPr="00000000" w14:paraId="000000BD">
      <w:pPr>
        <w:spacing w:after="160" w:line="360" w:lineRule="auto"/>
        <w:jc w:val="both"/>
        <w:rPr/>
      </w:pPr>
      <w:r w:rsidDel="00000000" w:rsidR="00000000" w:rsidRPr="00000000">
        <w:rPr>
          <w:rFonts w:ascii="Arial" w:cs="Arial" w:eastAsia="Arial" w:hAnsi="Arial"/>
          <w:sz w:val="24"/>
          <w:szCs w:val="24"/>
          <w:rtl w:val="0"/>
        </w:rPr>
        <w:t xml:space="preserve">On method, I worked from primary company disclosure outward rather than secondary commentary inward. Greggs' own results release gave the sales, profit and franchise figures as stated numbers rather than </w:t>
      </w:r>
      <w:r w:rsidDel="00000000" w:rsidR="00000000" w:rsidRPr="00000000">
        <w:rPr>
          <w:rtl w:val="0"/>
        </w:rPr>
        <w:t xml:space="preserve">analysts'</w:t>
      </w:r>
      <w:r w:rsidDel="00000000" w:rsidR="00000000" w:rsidRPr="00000000">
        <w:rPr>
          <w:rFonts w:ascii="Arial" w:cs="Arial" w:eastAsia="Arial" w:hAnsi="Arial"/>
          <w:sz w:val="24"/>
          <w:szCs w:val="24"/>
          <w:rtl w:val="0"/>
        </w:rPr>
        <w:t xml:space="preserve"> inference. For the host market I triangulated several UAE food-service research sources and used the areas where they agreed, flagging where they did not. The university library discovery service and Google Scholar were my routes to the academic entry-mode literature.</w:t>
      </w:r>
      <w:r w:rsidDel="00000000" w:rsidR="00000000" w:rsidRPr="00000000">
        <w:rPr>
          <w:rtl w:val="0"/>
        </w:rPr>
      </w:r>
    </w:p>
    <w:p w:rsidR="00000000" w:rsidDel="00000000" w:rsidP="00000000" w:rsidRDefault="00000000" w:rsidRPr="00000000" w14:paraId="000000BE">
      <w:pPr>
        <w:pStyle w:val="Heading2"/>
        <w:spacing w:after="120" w:before="220" w:lineRule="auto"/>
        <w:rPr/>
      </w:pPr>
      <w:r w:rsidDel="00000000" w:rsidR="00000000" w:rsidRPr="00000000">
        <w:rPr>
          <w:rFonts w:ascii="Arial" w:cs="Arial" w:eastAsia="Arial" w:hAnsi="Arial"/>
          <w:b w:val="1"/>
          <w:bCs w:val="1"/>
          <w:color w:val="000000"/>
          <w:sz w:val="26"/>
          <w:szCs w:val="26"/>
          <w:rtl w:val="0"/>
        </w:rPr>
        <w:t xml:space="preserve">Feelings</w:t>
      </w:r>
      <w:r w:rsidDel="00000000" w:rsidR="00000000" w:rsidRPr="00000000">
        <w:rPr>
          <w:rtl w:val="0"/>
        </w:rPr>
      </w:r>
    </w:p>
    <w:p w:rsidR="00000000" w:rsidDel="00000000" w:rsidP="00000000" w:rsidRDefault="00000000" w:rsidRPr="00000000" w14:paraId="000000BF">
      <w:pPr>
        <w:spacing w:after="160" w:line="360" w:lineRule="auto"/>
        <w:jc w:val="both"/>
        <w:rPr/>
      </w:pPr>
      <w:r w:rsidDel="00000000" w:rsidR="00000000" w:rsidRPr="00000000">
        <w:rPr>
          <w:rFonts w:ascii="Arial" w:cs="Arial" w:eastAsia="Arial" w:hAnsi="Arial"/>
          <w:sz w:val="24"/>
          <w:szCs w:val="24"/>
          <w:rtl w:val="0"/>
        </w:rPr>
        <w:t xml:space="preserve">The moment that unsettled me was realising I had been treating Greggs' brand as its main asset when it is arguably its main liability abroad. I had assumed a strong, famous brand travels, because that is the intuitive story. Working through the positioning problem forced me to see that the very quality making Greggs powerful at home, its value-and-familiarity meaning, either evaporates or works against it in a Dubai mall. That inversion, a strength at home becoming a weakness abroad, genuinely changed how I framed the case. Learning that Greggs is one of the most heavily shorted stocks on the London market compounded this, since it made me read the slowing home-growth numbers far more seriously than I otherwise would have.</w:t>
      </w:r>
      <w:r w:rsidDel="00000000" w:rsidR="00000000" w:rsidRPr="00000000">
        <w:rPr>
          <w:rtl w:val="0"/>
        </w:rPr>
      </w:r>
    </w:p>
    <w:p w:rsidR="00000000" w:rsidDel="00000000" w:rsidP="00000000" w:rsidRDefault="00000000" w:rsidRPr="00000000" w14:paraId="000000C0">
      <w:pPr>
        <w:pStyle w:val="Heading2"/>
        <w:spacing w:after="120" w:before="220" w:lineRule="auto"/>
        <w:rPr/>
      </w:pPr>
      <w:r w:rsidDel="00000000" w:rsidR="00000000" w:rsidRPr="00000000">
        <w:rPr>
          <w:rFonts w:ascii="Arial" w:cs="Arial" w:eastAsia="Arial" w:hAnsi="Arial"/>
          <w:b w:val="1"/>
          <w:bCs w:val="1"/>
          <w:color w:val="000000"/>
          <w:sz w:val="26"/>
          <w:szCs w:val="26"/>
          <w:rtl w:val="0"/>
        </w:rPr>
        <w:t xml:space="preserve">Evaluation</w:t>
      </w:r>
      <w:r w:rsidDel="00000000" w:rsidR="00000000" w:rsidRPr="00000000">
        <w:rPr>
          <w:rtl w:val="0"/>
        </w:rPr>
      </w:r>
    </w:p>
    <w:p w:rsidR="00000000" w:rsidDel="00000000" w:rsidP="00000000" w:rsidRDefault="00000000" w:rsidRPr="00000000" w14:paraId="000000C1">
      <w:pPr>
        <w:spacing w:after="160" w:line="360" w:lineRule="auto"/>
        <w:jc w:val="both"/>
        <w:rPr/>
      </w:pPr>
      <w:r w:rsidDel="00000000" w:rsidR="00000000" w:rsidRPr="00000000">
        <w:rPr>
          <w:rFonts w:ascii="Arial" w:cs="Arial" w:eastAsia="Arial" w:hAnsi="Arial"/>
          <w:sz w:val="24"/>
          <w:szCs w:val="24"/>
          <w:rtl w:val="0"/>
        </w:rPr>
        <w:t xml:space="preserve">What went well was prioritising rather than describing. My first PESTEL gave all six factors equal space and read like a checklist. Forcing myself to say that positioning and the partner choice decide this, while political and currency risk barely matter in </w:t>
      </w:r>
      <w:r w:rsidDel="00000000" w:rsidR="00000000" w:rsidRPr="00000000">
        <w:rPr>
          <w:rtl w:val="0"/>
        </w:rPr>
        <w:t xml:space="preserve">The UAE</w:t>
      </w:r>
      <w:r w:rsidDel="00000000" w:rsidR="00000000" w:rsidRPr="00000000">
        <w:rPr>
          <w:rFonts w:ascii="Arial" w:cs="Arial" w:eastAsia="Arial" w:hAnsi="Arial"/>
          <w:sz w:val="24"/>
          <w:szCs w:val="24"/>
          <w:rtl w:val="0"/>
        </w:rPr>
        <w:t xml:space="preserve"> made the section argue something instead of merely listing. Dismissing a factor explicitly turned out to be more useful than covering it out of duty.</w:t>
      </w:r>
      <w:r w:rsidDel="00000000" w:rsidR="00000000" w:rsidRPr="00000000">
        <w:rPr>
          <w:rtl w:val="0"/>
        </w:rPr>
      </w:r>
    </w:p>
    <w:p w:rsidR="00000000" w:rsidDel="00000000" w:rsidP="00000000" w:rsidRDefault="00000000" w:rsidRPr="00000000" w14:paraId="000000C2">
      <w:pPr>
        <w:spacing w:after="160" w:line="360" w:lineRule="auto"/>
        <w:jc w:val="both"/>
        <w:rPr/>
      </w:pPr>
      <w:r w:rsidDel="00000000" w:rsidR="00000000" w:rsidRPr="00000000">
        <w:rPr>
          <w:rFonts w:ascii="Arial" w:cs="Arial" w:eastAsia="Arial" w:hAnsi="Arial"/>
          <w:sz w:val="24"/>
          <w:szCs w:val="24"/>
          <w:rtl w:val="0"/>
        </w:rPr>
        <w:t xml:space="preserve">What went less well was my initial assumption about entry </w:t>
      </w:r>
      <w:r w:rsidDel="00000000" w:rsidR="00000000" w:rsidRPr="00000000">
        <w:rPr>
          <w:rtl w:val="0"/>
        </w:rPr>
        <w:t xml:space="preserve">mode and</w:t>
      </w:r>
      <w:r w:rsidDel="00000000" w:rsidR="00000000" w:rsidRPr="00000000">
        <w:rPr>
          <w:rFonts w:ascii="Arial" w:cs="Arial" w:eastAsia="Arial" w:hAnsi="Arial"/>
          <w:sz w:val="24"/>
          <w:szCs w:val="24"/>
          <w:rtl w:val="0"/>
        </w:rPr>
        <w:t xml:space="preserve"> my time management. I assumed Greggs would open its own shops because that is its </w:t>
      </w:r>
      <w:r w:rsidDel="00000000" w:rsidR="00000000" w:rsidRPr="00000000">
        <w:rPr>
          <w:rtl w:val="0"/>
        </w:rPr>
        <w:t xml:space="preserve">history and</w:t>
      </w:r>
      <w:r w:rsidDel="00000000" w:rsidR="00000000" w:rsidRPr="00000000">
        <w:rPr>
          <w:rFonts w:ascii="Arial" w:cs="Arial" w:eastAsia="Arial" w:hAnsi="Arial"/>
          <w:sz w:val="24"/>
          <w:szCs w:val="24"/>
          <w:rtl w:val="0"/>
        </w:rPr>
        <w:t xml:space="preserve"> had to catch myself: its recent franchise growth is the relevant pattern, not its decades of direct operation. I also spent too long on the company before starting the country research, so the two halves felt </w:t>
      </w:r>
      <w:r w:rsidDel="00000000" w:rsidR="00000000" w:rsidRPr="00000000">
        <w:rPr>
          <w:rtl w:val="0"/>
        </w:rPr>
        <w:t xml:space="preserve">unbalanced,</w:t>
      </w:r>
      <w:r w:rsidDel="00000000" w:rsidR="00000000" w:rsidRPr="00000000">
        <w:rPr>
          <w:rFonts w:ascii="Arial" w:cs="Arial" w:eastAsia="Arial" w:hAnsi="Arial"/>
          <w:sz w:val="24"/>
          <w:szCs w:val="24"/>
          <w:rtl w:val="0"/>
        </w:rPr>
        <w:t xml:space="preserve"> and I compressed the UAE analysis under time pressure I had created for myself. The specific weakness was time allocation: I let the company research run long and started the UAE analysis later than I should have, which is a planning failure rather than an analytical one.</w:t>
      </w:r>
      <w:r w:rsidDel="00000000" w:rsidR="00000000" w:rsidRPr="00000000">
        <w:rPr>
          <w:rtl w:val="0"/>
        </w:rPr>
      </w:r>
    </w:p>
    <w:p w:rsidR="00000000" w:rsidDel="00000000" w:rsidP="00000000" w:rsidRDefault="00000000" w:rsidRPr="00000000" w14:paraId="000000C3">
      <w:pPr>
        <w:pStyle w:val="Heading2"/>
        <w:spacing w:after="120" w:before="220" w:lineRule="auto"/>
        <w:rPr/>
      </w:pPr>
      <w:r w:rsidDel="00000000" w:rsidR="00000000" w:rsidRPr="00000000">
        <w:rPr>
          <w:rFonts w:ascii="Arial" w:cs="Arial" w:eastAsia="Arial" w:hAnsi="Arial"/>
          <w:b w:val="1"/>
          <w:bCs w:val="1"/>
          <w:color w:val="000000"/>
          <w:sz w:val="26"/>
          <w:szCs w:val="26"/>
          <w:rtl w:val="0"/>
        </w:rPr>
        <w:t xml:space="preserve">Analysis</w:t>
      </w:r>
      <w:r w:rsidDel="00000000" w:rsidR="00000000" w:rsidRPr="00000000">
        <w:rPr>
          <w:rtl w:val="0"/>
        </w:rPr>
      </w:r>
    </w:p>
    <w:p w:rsidR="00000000" w:rsidDel="00000000" w:rsidP="00000000" w:rsidRDefault="00000000" w:rsidRPr="00000000" w14:paraId="000000C4">
      <w:pPr>
        <w:spacing w:after="160" w:line="360" w:lineRule="auto"/>
        <w:jc w:val="both"/>
        <w:rPr/>
      </w:pPr>
      <w:r w:rsidDel="00000000" w:rsidR="00000000" w:rsidRPr="00000000">
        <w:rPr>
          <w:rFonts w:ascii="Arial" w:cs="Arial" w:eastAsia="Arial" w:hAnsi="Arial"/>
          <w:sz w:val="24"/>
          <w:szCs w:val="24"/>
          <w:rtl w:val="0"/>
        </w:rPr>
        <w:t xml:space="preserve">Two ideas from the module reshaped how I worked. The first was the seminar discussion on why firms choose franchising over </w:t>
      </w:r>
      <w:r w:rsidDel="00000000" w:rsidR="00000000" w:rsidRPr="00000000">
        <w:rPr>
          <w:rtl w:val="0"/>
        </w:rPr>
        <w:t xml:space="preserve">wholly owned</w:t>
      </w:r>
      <w:r w:rsidDel="00000000" w:rsidR="00000000" w:rsidRPr="00000000">
        <w:rPr>
          <w:rFonts w:ascii="Arial" w:cs="Arial" w:eastAsia="Arial" w:hAnsi="Arial"/>
          <w:sz w:val="24"/>
          <w:szCs w:val="24"/>
          <w:rtl w:val="0"/>
        </w:rPr>
        <w:t xml:space="preserve"> entry, which became the hinge of my recommendation. The argument that stuck was that the choice concerns not control in the abstract but which capabilities a firm can afford to delegate, which let me separate the brand and recipes, which Greggs must retain, from mall access and local operations, which it cannot build alone. The second was OLI, which did not resolve cleanly: a moderate O, a strong L and a weak I, where the imbalance was itself the insight, since a weak internalisation answer points precisely towards franchising. Dunning's (2000) original article made this click, because it insists on testing each leg separately rather than reaching a single overall verdict.</w:t>
      </w:r>
      <w:r w:rsidDel="00000000" w:rsidR="00000000" w:rsidRPr="00000000">
        <w:rPr>
          <w:rtl w:val="0"/>
        </w:rPr>
      </w:r>
    </w:p>
    <w:p w:rsidR="00000000" w:rsidDel="00000000" w:rsidP="00000000" w:rsidRDefault="00000000" w:rsidRPr="00000000" w14:paraId="000000C5">
      <w:pPr>
        <w:spacing w:after="160" w:line="360" w:lineRule="auto"/>
        <w:jc w:val="both"/>
        <w:rPr/>
      </w:pPr>
      <w:r w:rsidDel="00000000" w:rsidR="00000000" w:rsidRPr="00000000">
        <w:rPr>
          <w:rFonts w:ascii="Arial" w:cs="Arial" w:eastAsia="Arial" w:hAnsi="Arial"/>
          <w:sz w:val="24"/>
          <w:szCs w:val="24"/>
          <w:rtl w:val="0"/>
        </w:rPr>
        <w:t xml:space="preserve">The assumption I abandoned was that brand strength guarantees market outcomes. I began assuming Greggs' famous brand would carry a UAE entry. Working through the positioning gap forced me to separate brand fame from brand </w:t>
      </w:r>
      <w:r w:rsidDel="00000000" w:rsidR="00000000" w:rsidRPr="00000000">
        <w:rPr>
          <w:rtl w:val="0"/>
        </w:rPr>
        <w:t xml:space="preserve">transferability and</w:t>
      </w:r>
      <w:r w:rsidDel="00000000" w:rsidR="00000000" w:rsidRPr="00000000">
        <w:rPr>
          <w:rFonts w:ascii="Arial" w:cs="Arial" w:eastAsia="Arial" w:hAnsi="Arial"/>
          <w:sz w:val="24"/>
          <w:szCs w:val="24"/>
          <w:rtl w:val="0"/>
        </w:rPr>
        <w:t xml:space="preserve"> to see that a value identity built over decades in Britain is close to worthless, or worse, in a premium Gulf mall. That separation changed my recommendation from confident entry to conditional, franchise-based entry with the positioning explicitly tested first. Giving up the cleaner conclusion was uncomfortable but more defensible.</w:t>
      </w:r>
      <w:r w:rsidDel="00000000" w:rsidR="00000000" w:rsidRPr="00000000">
        <w:rPr>
          <w:rtl w:val="0"/>
        </w:rPr>
      </w:r>
    </w:p>
    <w:p w:rsidR="00000000" w:rsidDel="00000000" w:rsidP="00000000" w:rsidRDefault="00000000" w:rsidRPr="00000000" w14:paraId="000000C6">
      <w:pPr>
        <w:pStyle w:val="Heading2"/>
        <w:spacing w:after="120" w:before="220" w:lineRule="auto"/>
        <w:rPr/>
      </w:pPr>
      <w:r w:rsidDel="00000000" w:rsidR="00000000" w:rsidRPr="00000000">
        <w:rPr>
          <w:rtl w:val="0"/>
        </w:rPr>
      </w:r>
    </w:p>
    <w:p w:rsidR="00000000" w:rsidDel="00000000" w:rsidP="00000000" w:rsidRDefault="00000000" w:rsidRPr="00000000" w14:paraId="000000C7">
      <w:pPr>
        <w:pStyle w:val="Heading2"/>
        <w:spacing w:after="120" w:before="220" w:lineRule="auto"/>
        <w:rPr/>
      </w:pPr>
      <w:r w:rsidDel="00000000" w:rsidR="00000000" w:rsidRPr="00000000">
        <w:rPr>
          <w:rFonts w:ascii="Arial" w:cs="Arial" w:eastAsia="Arial" w:hAnsi="Arial"/>
          <w:b w:val="1"/>
          <w:bCs w:val="1"/>
          <w:color w:val="000000"/>
          <w:sz w:val="26"/>
          <w:szCs w:val="26"/>
          <w:rtl w:val="0"/>
        </w:rPr>
        <w:t xml:space="preserve">Conclusion</w:t>
      </w:r>
      <w:r w:rsidDel="00000000" w:rsidR="00000000" w:rsidRPr="00000000">
        <w:rPr>
          <w:rtl w:val="0"/>
        </w:rPr>
      </w:r>
    </w:p>
    <w:p w:rsidR="00000000" w:rsidDel="00000000" w:rsidP="00000000" w:rsidRDefault="00000000" w:rsidRPr="00000000" w14:paraId="000000C8">
      <w:pPr>
        <w:spacing w:after="160" w:line="360" w:lineRule="auto"/>
        <w:jc w:val="both"/>
        <w:rPr/>
      </w:pPr>
      <w:r w:rsidDel="00000000" w:rsidR="00000000" w:rsidRPr="00000000">
        <w:rPr>
          <w:rFonts w:ascii="Arial" w:cs="Arial" w:eastAsia="Arial" w:hAnsi="Arial"/>
          <w:sz w:val="24"/>
          <w:szCs w:val="24"/>
          <w:rtl w:val="0"/>
        </w:rPr>
        <w:t xml:space="preserve">The skill I improved most was reconciling conflicting sources rather than trusting a single figure, which the varied UAE market reports forced me to practise. The weakness I have to be honest about is reading speed on dense material. Working through the academic entry-mode literature and multiple market reports took far longer than I had </w:t>
      </w:r>
      <w:r w:rsidDel="00000000" w:rsidR="00000000" w:rsidRPr="00000000">
        <w:rPr>
          <w:rtl w:val="0"/>
        </w:rPr>
        <w:t xml:space="preserve">allowed, because</w:t>
      </w:r>
      <w:r w:rsidDel="00000000" w:rsidR="00000000" w:rsidRPr="00000000">
        <w:rPr>
          <w:rFonts w:ascii="Arial" w:cs="Arial" w:eastAsia="Arial" w:hAnsi="Arial"/>
          <w:sz w:val="24"/>
          <w:szCs w:val="24"/>
          <w:rtl w:val="0"/>
        </w:rPr>
        <w:t xml:space="preserve"> I read start to finish rather than reading towards a question. The consequence showed elsewhere: I ran out of time to chase down better primary statistics for one or two claims. Reconciling conflicting market reports rather than trusting one figure is the strength I would point to; reading speed on dense material is the weakness I still need to fix.</w:t>
      </w:r>
      <w:r w:rsidDel="00000000" w:rsidR="00000000" w:rsidRPr="00000000">
        <w:rPr>
          <w:rtl w:val="0"/>
        </w:rPr>
      </w:r>
    </w:p>
    <w:p w:rsidR="00000000" w:rsidDel="00000000" w:rsidP="00000000" w:rsidRDefault="00000000" w:rsidRPr="00000000" w14:paraId="000000C9">
      <w:pPr>
        <w:pStyle w:val="Heading2"/>
        <w:spacing w:after="120" w:before="220" w:lineRule="auto"/>
        <w:rPr/>
      </w:pPr>
      <w:r w:rsidDel="00000000" w:rsidR="00000000" w:rsidRPr="00000000">
        <w:rPr>
          <w:rFonts w:ascii="Arial" w:cs="Arial" w:eastAsia="Arial" w:hAnsi="Arial"/>
          <w:b w:val="1"/>
          <w:bCs w:val="1"/>
          <w:color w:val="000000"/>
          <w:sz w:val="26"/>
          <w:szCs w:val="26"/>
          <w:rtl w:val="0"/>
        </w:rPr>
        <w:t xml:space="preserve">Action Plan</w:t>
      </w:r>
      <w:r w:rsidDel="00000000" w:rsidR="00000000" w:rsidRPr="00000000">
        <w:rPr>
          <w:rtl w:val="0"/>
        </w:rPr>
      </w:r>
    </w:p>
    <w:p w:rsidR="00000000" w:rsidDel="00000000" w:rsidP="00000000" w:rsidRDefault="00000000" w:rsidRPr="00000000" w14:paraId="000000CA">
      <w:pPr>
        <w:spacing w:after="160" w:line="360" w:lineRule="auto"/>
        <w:jc w:val="both"/>
        <w:rPr/>
      </w:pPr>
      <w:r w:rsidDel="00000000" w:rsidR="00000000" w:rsidRPr="00000000">
        <w:rPr>
          <w:rFonts w:ascii="Arial" w:cs="Arial" w:eastAsia="Arial" w:hAnsi="Arial"/>
          <w:sz w:val="24"/>
          <w:szCs w:val="24"/>
          <w:rtl w:val="0"/>
        </w:rPr>
        <w:t xml:space="preserve">Next time I would set a firm cut-off for company research before starting the country analysis. The imbalance in this assignment came from lingering too long on Greggs, and a fixed time budget for each half would have forced a more even treatment. I would also write one sentence, before applying any framework, on which two or three factors are likely to decide the outcome, so I </w:t>
      </w:r>
      <w:r w:rsidDel="00000000" w:rsidR="00000000" w:rsidRPr="00000000">
        <w:rPr>
          <w:rtl w:val="0"/>
        </w:rPr>
        <w:t xml:space="preserve">analyse it</w:t>
      </w:r>
      <w:r w:rsidDel="00000000" w:rsidR="00000000" w:rsidRPr="00000000">
        <w:rPr>
          <w:rFonts w:ascii="Arial" w:cs="Arial" w:eastAsia="Arial" w:hAnsi="Arial"/>
          <w:sz w:val="24"/>
          <w:szCs w:val="24"/>
          <w:rtl w:val="0"/>
        </w:rPr>
        <w:t xml:space="preserve"> towards a judgement rather than filling in boxes.</w:t>
      </w:r>
      <w:r w:rsidDel="00000000" w:rsidR="00000000" w:rsidRPr="00000000">
        <w:rPr>
          <w:rtl w:val="0"/>
        </w:rPr>
      </w:r>
    </w:p>
    <w:p w:rsidR="00000000" w:rsidDel="00000000" w:rsidP="00000000" w:rsidRDefault="00000000" w:rsidRPr="00000000" w14:paraId="000000CB">
      <w:pPr>
        <w:spacing w:after="160" w:line="360" w:lineRule="auto"/>
        <w:jc w:val="both"/>
        <w:rPr/>
      </w:pPr>
      <w:r w:rsidDel="00000000" w:rsidR="00000000" w:rsidRPr="00000000">
        <w:rPr>
          <w:rFonts w:ascii="Arial" w:cs="Arial" w:eastAsia="Arial" w:hAnsi="Arial"/>
          <w:sz w:val="24"/>
          <w:szCs w:val="24"/>
          <w:rtl w:val="0"/>
        </w:rPr>
        <w:t xml:space="preserve">The reading problem needs a method rather than more hours. I intend to read journal articles and market reports in a fixed </w:t>
      </w:r>
      <w:r w:rsidDel="00000000" w:rsidR="00000000" w:rsidRPr="00000000">
        <w:rPr>
          <w:rtl w:val="0"/>
        </w:rPr>
        <w:t xml:space="preserve">order:</w:t>
      </w:r>
      <w:r w:rsidDel="00000000" w:rsidR="00000000" w:rsidRPr="00000000">
        <w:rPr>
          <w:rFonts w:ascii="Arial" w:cs="Arial" w:eastAsia="Arial" w:hAnsi="Arial"/>
          <w:sz w:val="24"/>
          <w:szCs w:val="24"/>
          <w:rtl w:val="0"/>
        </w:rPr>
        <w:t xml:space="preserve"> summary first, then conclusion, then the section answering my question, and read the whole thing only if those show it is central. To make that stick rather than remain an intention, I will book a session with the academic skills team on efficient reading strategies before the next assignment deadline. I will also set myself a fixed cut-off for company research on the next assignment so the country analysis gets equal time from the start.</w:t>
      </w:r>
      <w:r w:rsidDel="00000000" w:rsidR="00000000" w:rsidRPr="00000000">
        <w:rPr>
          <w:rtl w:val="0"/>
        </w:rPr>
      </w:r>
    </w:p>
    <w:p w:rsidR="00000000" w:rsidDel="00000000" w:rsidP="00000000" w:rsidRDefault="00000000" w:rsidRPr="00000000" w14:paraId="000000CC">
      <w:pPr>
        <w:rPr/>
      </w:pPr>
      <w:r w:rsidDel="00000000" w:rsidR="00000000" w:rsidRPr="00000000">
        <w:br w:type="page"/>
      </w:r>
      <w:r w:rsidDel="00000000" w:rsidR="00000000" w:rsidRPr="00000000">
        <w:rPr>
          <w:rtl w:val="0"/>
        </w:rPr>
      </w:r>
    </w:p>
    <w:p w:rsidR="00000000" w:rsidDel="00000000" w:rsidP="00000000" w:rsidRDefault="00000000" w:rsidRPr="00000000" w14:paraId="000000CD">
      <w:pPr>
        <w:pStyle w:val="Heading1"/>
        <w:spacing w:after="140" w:before="280" w:lineRule="auto"/>
        <w:rPr/>
      </w:pPr>
      <w:r w:rsidDel="00000000" w:rsidR="00000000" w:rsidRPr="00000000">
        <w:rPr>
          <w:rFonts w:ascii="Arial" w:cs="Arial" w:eastAsia="Arial" w:hAnsi="Arial"/>
          <w:b w:val="1"/>
          <w:bCs w:val="1"/>
          <w:color w:val="000000"/>
          <w:sz w:val="32"/>
          <w:szCs w:val="32"/>
          <w:rtl w:val="0"/>
        </w:rPr>
        <w:t xml:space="preserve">References</w:t>
      </w:r>
      <w:r w:rsidDel="00000000" w:rsidR="00000000" w:rsidRPr="00000000">
        <w:rPr>
          <w:rtl w:val="0"/>
        </w:rPr>
      </w:r>
    </w:p>
    <w:p w:rsidR="00000000" w:rsidDel="00000000" w:rsidP="00000000" w:rsidRDefault="00000000" w:rsidRPr="00000000" w14:paraId="000000CE">
      <w:pPr>
        <w:spacing w:after="120" w:line="360" w:lineRule="auto"/>
        <w:ind w:left="360" w:hanging="360"/>
        <w:rPr/>
      </w:pPr>
      <w:r w:rsidDel="00000000" w:rsidR="00000000" w:rsidRPr="00000000">
        <w:rPr>
          <w:rFonts w:ascii="Arial" w:cs="Arial" w:eastAsia="Arial" w:hAnsi="Arial"/>
          <w:sz w:val="24"/>
          <w:szCs w:val="24"/>
          <w:rtl w:val="0"/>
        </w:rPr>
        <w:t xml:space="preserve">Ansoff, H.I. (1957) 'Strategies for diversification', Harvard Business Review, 35(5), pp. 113–124.</w:t>
      </w:r>
      <w:r w:rsidDel="00000000" w:rsidR="00000000" w:rsidRPr="00000000">
        <w:rPr>
          <w:rtl w:val="0"/>
        </w:rPr>
      </w:r>
    </w:p>
    <w:p w:rsidR="00000000" w:rsidDel="00000000" w:rsidP="00000000" w:rsidRDefault="00000000" w:rsidRPr="00000000" w14:paraId="000000CF">
      <w:pPr>
        <w:spacing w:after="120" w:line="360" w:lineRule="auto"/>
        <w:ind w:left="360" w:hanging="360"/>
        <w:rPr/>
      </w:pPr>
      <w:r w:rsidDel="00000000" w:rsidR="00000000" w:rsidRPr="00000000">
        <w:rPr>
          <w:rFonts w:ascii="Arial" w:cs="Arial" w:eastAsia="Arial" w:hAnsi="Arial"/>
          <w:sz w:val="24"/>
          <w:szCs w:val="24"/>
          <w:rtl w:val="0"/>
        </w:rPr>
        <w:t xml:space="preserve">Barney, J. (1991) 'Firm resources and sustained competitive advantage', Journal of Management, 17(1), pp. 99–120.</w:t>
      </w:r>
      <w:r w:rsidDel="00000000" w:rsidR="00000000" w:rsidRPr="00000000">
        <w:rPr>
          <w:rtl w:val="0"/>
        </w:rPr>
      </w:r>
    </w:p>
    <w:p w:rsidR="00000000" w:rsidDel="00000000" w:rsidP="00000000" w:rsidRDefault="00000000" w:rsidRPr="00000000" w14:paraId="000000D0">
      <w:pPr>
        <w:spacing w:after="120" w:line="360" w:lineRule="auto"/>
        <w:ind w:left="360" w:hanging="360"/>
        <w:rPr/>
      </w:pPr>
      <w:r w:rsidDel="00000000" w:rsidR="00000000" w:rsidRPr="00000000">
        <w:rPr>
          <w:rFonts w:ascii="Arial" w:cs="Arial" w:eastAsia="Arial" w:hAnsi="Arial"/>
          <w:sz w:val="24"/>
          <w:szCs w:val="24"/>
          <w:rtl w:val="0"/>
        </w:rPr>
        <w:t xml:space="preserve">Bartlett, C.A. and Ghoshal, S. (1989) Managing across borders: the transnational solution. Boston: Harvard Business School Press.</w:t>
      </w:r>
      <w:r w:rsidDel="00000000" w:rsidR="00000000" w:rsidRPr="00000000">
        <w:rPr>
          <w:rtl w:val="0"/>
        </w:rPr>
      </w:r>
    </w:p>
    <w:p w:rsidR="00000000" w:rsidDel="00000000" w:rsidP="00000000" w:rsidRDefault="00000000" w:rsidRPr="00000000" w14:paraId="000000D1">
      <w:pPr>
        <w:spacing w:after="120" w:line="360" w:lineRule="auto"/>
        <w:ind w:left="360" w:hanging="360"/>
        <w:rPr/>
      </w:pPr>
      <w:r w:rsidDel="00000000" w:rsidR="00000000" w:rsidRPr="00000000">
        <w:rPr>
          <w:rFonts w:ascii="Arial" w:cs="Arial" w:eastAsia="Arial" w:hAnsi="Arial"/>
          <w:sz w:val="24"/>
          <w:szCs w:val="24"/>
          <w:rtl w:val="0"/>
        </w:rPr>
        <w:t xml:space="preserve">BM Magazine (2026) 'Greggs opens first overseas shop in Tenerife as sales climb to £800m'. Available at: https://bmmagazine.co.uk/news/greggs-first-overseas-shop-tenerife-international-expansion/ (Accessed: 29 July 2026).</w:t>
      </w:r>
      <w:r w:rsidDel="00000000" w:rsidR="00000000" w:rsidRPr="00000000">
        <w:rPr>
          <w:rtl w:val="0"/>
        </w:rPr>
      </w:r>
    </w:p>
    <w:p w:rsidR="00000000" w:rsidDel="00000000" w:rsidP="00000000" w:rsidRDefault="00000000" w:rsidRPr="00000000" w14:paraId="000000D2">
      <w:pPr>
        <w:spacing w:after="120" w:line="360" w:lineRule="auto"/>
        <w:ind w:left="360" w:hanging="360"/>
        <w:rPr/>
      </w:pPr>
      <w:r w:rsidDel="00000000" w:rsidR="00000000" w:rsidRPr="00000000">
        <w:rPr>
          <w:rFonts w:ascii="Arial" w:cs="Arial" w:eastAsia="Arial" w:hAnsi="Arial"/>
          <w:sz w:val="24"/>
          <w:szCs w:val="24"/>
          <w:rtl w:val="0"/>
        </w:rPr>
        <w:t xml:space="preserve">Business Matters (2026) 'Greggs opens first overseas shop in Tenerife as sales climb to £800m'. Available at: https://bmmagazine.co.uk/news/greggs-first-overseas-shop-tenerife-international-expansion/ (Accessed: 29 July 2026).</w:t>
      </w:r>
      <w:r w:rsidDel="00000000" w:rsidR="00000000" w:rsidRPr="00000000">
        <w:rPr>
          <w:rtl w:val="0"/>
        </w:rPr>
      </w:r>
    </w:p>
    <w:p w:rsidR="00000000" w:rsidDel="00000000" w:rsidP="00000000" w:rsidRDefault="00000000" w:rsidRPr="00000000" w14:paraId="000000D3">
      <w:pPr>
        <w:spacing w:after="120" w:line="360" w:lineRule="auto"/>
        <w:ind w:left="360" w:hanging="360"/>
        <w:rPr/>
      </w:pPr>
      <w:r w:rsidDel="00000000" w:rsidR="00000000" w:rsidRPr="00000000">
        <w:rPr>
          <w:rFonts w:ascii="Arial" w:cs="Arial" w:eastAsia="Arial" w:hAnsi="Arial"/>
          <w:sz w:val="24"/>
          <w:szCs w:val="24"/>
          <w:rtl w:val="0"/>
        </w:rPr>
        <w:t xml:space="preserve">Dunning, J.H. (2000) 'The eclectic paradigm as an envelope for economic and business theories of MNE activity', International Business Review, 9(2), pp. 163–190.</w:t>
      </w:r>
      <w:r w:rsidDel="00000000" w:rsidR="00000000" w:rsidRPr="00000000">
        <w:rPr>
          <w:rtl w:val="0"/>
        </w:rPr>
      </w:r>
    </w:p>
    <w:p w:rsidR="00000000" w:rsidDel="00000000" w:rsidP="00000000" w:rsidRDefault="00000000" w:rsidRPr="00000000" w14:paraId="000000D4">
      <w:pPr>
        <w:spacing w:after="120" w:line="360" w:lineRule="auto"/>
        <w:ind w:left="360" w:hanging="360"/>
        <w:rPr/>
      </w:pPr>
      <w:r w:rsidDel="00000000" w:rsidR="00000000" w:rsidRPr="00000000">
        <w:rPr>
          <w:rFonts w:ascii="Arial" w:cs="Arial" w:eastAsia="Arial" w:hAnsi="Arial"/>
          <w:sz w:val="24"/>
          <w:szCs w:val="24"/>
          <w:rtl w:val="0"/>
        </w:rPr>
        <w:t xml:space="preserve">GB News (2026) 'Greggs to open first overseas shop at Tenerife airport for British holidaymakers'. Available at: https://www.gbnews.com/money/greggs-to-open-first-overseas-shop-at-tenerife-airport (Accessed: 29 July 2026).</w:t>
      </w:r>
      <w:r w:rsidDel="00000000" w:rsidR="00000000" w:rsidRPr="00000000">
        <w:rPr>
          <w:rtl w:val="0"/>
        </w:rPr>
      </w:r>
    </w:p>
    <w:p w:rsidR="00000000" w:rsidDel="00000000" w:rsidP="00000000" w:rsidRDefault="00000000" w:rsidRPr="00000000" w14:paraId="000000D5">
      <w:pPr>
        <w:spacing w:after="120" w:line="360" w:lineRule="auto"/>
        <w:ind w:left="360" w:hanging="360"/>
        <w:rPr/>
      </w:pPr>
      <w:r w:rsidDel="00000000" w:rsidR="00000000" w:rsidRPr="00000000">
        <w:rPr>
          <w:rFonts w:ascii="Arial" w:cs="Arial" w:eastAsia="Arial" w:hAnsi="Arial"/>
          <w:sz w:val="24"/>
          <w:szCs w:val="24"/>
          <w:rtl w:val="0"/>
        </w:rPr>
        <w:t xml:space="preserve">Gibbs, G. (1988) Learning by doing: a guide to teaching and learning methods. Oxford: Further Education Unit, Oxford Polytechnic.</w:t>
      </w:r>
      <w:r w:rsidDel="00000000" w:rsidR="00000000" w:rsidRPr="00000000">
        <w:rPr>
          <w:rtl w:val="0"/>
        </w:rPr>
      </w:r>
    </w:p>
    <w:p w:rsidR="00000000" w:rsidDel="00000000" w:rsidP="00000000" w:rsidRDefault="00000000" w:rsidRPr="00000000" w14:paraId="000000D6">
      <w:pPr>
        <w:spacing w:after="120" w:line="360" w:lineRule="auto"/>
        <w:ind w:left="360" w:hanging="360"/>
        <w:rPr/>
      </w:pPr>
      <w:r w:rsidDel="00000000" w:rsidR="00000000" w:rsidRPr="00000000">
        <w:rPr>
          <w:rFonts w:ascii="Arial" w:cs="Arial" w:eastAsia="Arial" w:hAnsi="Arial"/>
          <w:sz w:val="24"/>
          <w:szCs w:val="24"/>
          <w:rtl w:val="0"/>
        </w:rPr>
        <w:t xml:space="preserve">Greggs plc (2026) Preliminary results for the 52 weeks ended 27 December 2025. Available at: https://assets.greggs.com/f/162306/x/e616871d6c/260303-greggs-2025-preliminary-results-final.pdf (Accessed: 29 July 2026).</w:t>
      </w:r>
      <w:r w:rsidDel="00000000" w:rsidR="00000000" w:rsidRPr="00000000">
        <w:rPr>
          <w:rtl w:val="0"/>
        </w:rPr>
      </w:r>
    </w:p>
    <w:p w:rsidR="00000000" w:rsidDel="00000000" w:rsidP="00000000" w:rsidRDefault="00000000" w:rsidRPr="00000000" w14:paraId="000000D7">
      <w:pPr>
        <w:spacing w:after="120" w:line="360" w:lineRule="auto"/>
        <w:ind w:left="360" w:hanging="360"/>
        <w:rPr/>
      </w:pPr>
      <w:r w:rsidDel="00000000" w:rsidR="00000000" w:rsidRPr="00000000">
        <w:rPr>
          <w:rFonts w:ascii="Arial" w:cs="Arial" w:eastAsia="Arial" w:hAnsi="Arial"/>
          <w:sz w:val="24"/>
          <w:szCs w:val="24"/>
          <w:rtl w:val="0"/>
        </w:rPr>
        <w:t xml:space="preserve">Hill, C.W.L., Hwang, P. and Kim, W.C. (1990) 'An eclectic theory of the choice of international entry mode', Strategic Management Journal, 11(2), pp. 117–128.</w:t>
      </w:r>
      <w:r w:rsidDel="00000000" w:rsidR="00000000" w:rsidRPr="00000000">
        <w:rPr>
          <w:rtl w:val="0"/>
        </w:rPr>
      </w:r>
    </w:p>
    <w:p w:rsidR="00000000" w:rsidDel="00000000" w:rsidP="00000000" w:rsidRDefault="00000000" w:rsidRPr="00000000" w14:paraId="000000D8">
      <w:pPr>
        <w:spacing w:after="120" w:line="360" w:lineRule="auto"/>
        <w:ind w:left="360" w:hanging="360"/>
        <w:rPr/>
      </w:pPr>
      <w:r w:rsidDel="00000000" w:rsidR="00000000" w:rsidRPr="00000000">
        <w:rPr>
          <w:rFonts w:ascii="Arial" w:cs="Arial" w:eastAsia="Arial" w:hAnsi="Arial"/>
          <w:sz w:val="24"/>
          <w:szCs w:val="24"/>
          <w:rtl w:val="0"/>
        </w:rPr>
        <w:t xml:space="preserve">Investing.com (2026) 'Earnings call transcript: Greggs PLC reports resilient growth in H2 2025'. Available at: https://www.investing.com/news/transcripts/earnings-call-transcript-greggs-plc-reports-resilient-growth-in-h2-2025-93CH-4538558 (Accessed: 29 July 2026).</w:t>
      </w:r>
      <w:r w:rsidDel="00000000" w:rsidR="00000000" w:rsidRPr="00000000">
        <w:rPr>
          <w:rtl w:val="0"/>
        </w:rPr>
      </w:r>
    </w:p>
    <w:p w:rsidR="00000000" w:rsidDel="00000000" w:rsidP="00000000" w:rsidRDefault="00000000" w:rsidRPr="00000000" w14:paraId="000000D9">
      <w:pPr>
        <w:spacing w:after="120" w:line="360" w:lineRule="auto"/>
        <w:ind w:left="360" w:hanging="360"/>
        <w:rPr/>
      </w:pPr>
      <w:r w:rsidDel="00000000" w:rsidR="00000000" w:rsidRPr="00000000">
        <w:rPr>
          <w:rFonts w:ascii="Arial" w:cs="Arial" w:eastAsia="Arial" w:hAnsi="Arial"/>
          <w:sz w:val="24"/>
          <w:szCs w:val="24"/>
          <w:rtl w:val="0"/>
        </w:rPr>
        <w:t xml:space="preserve">Johnson, G., Whittington, R., Regnér, P., Angwin, D. and Scholes, K. (2023) Exploring strategy: text and cases. 13th edn. Harlow: Pearson.</w:t>
      </w:r>
      <w:r w:rsidDel="00000000" w:rsidR="00000000" w:rsidRPr="00000000">
        <w:rPr>
          <w:rtl w:val="0"/>
        </w:rPr>
      </w:r>
    </w:p>
    <w:p w:rsidR="00000000" w:rsidDel="00000000" w:rsidP="00000000" w:rsidRDefault="00000000" w:rsidRPr="00000000" w14:paraId="000000DA">
      <w:pPr>
        <w:spacing w:after="120" w:line="360" w:lineRule="auto"/>
        <w:ind w:left="360" w:hanging="360"/>
        <w:rPr/>
      </w:pPr>
      <w:r w:rsidDel="00000000" w:rsidR="00000000" w:rsidRPr="00000000">
        <w:rPr>
          <w:rFonts w:ascii="Arial" w:cs="Arial" w:eastAsia="Arial" w:hAnsi="Arial"/>
          <w:sz w:val="24"/>
          <w:szCs w:val="24"/>
          <w:rtl w:val="0"/>
        </w:rPr>
        <w:t xml:space="preserve">Kaplan, R.S. and Norton, D.P. (1996) The balanced scorecard: translating strategy into action. Boston: Harvard Business School Press.</w:t>
      </w:r>
      <w:r w:rsidDel="00000000" w:rsidR="00000000" w:rsidRPr="00000000">
        <w:rPr>
          <w:rtl w:val="0"/>
        </w:rPr>
      </w:r>
    </w:p>
    <w:p w:rsidR="00000000" w:rsidDel="00000000" w:rsidP="00000000" w:rsidRDefault="00000000" w:rsidRPr="00000000" w14:paraId="000000DB">
      <w:pPr>
        <w:spacing w:after="120" w:line="360" w:lineRule="auto"/>
        <w:ind w:left="360" w:hanging="360"/>
        <w:rPr/>
      </w:pPr>
      <w:r w:rsidDel="00000000" w:rsidR="00000000" w:rsidRPr="00000000">
        <w:rPr>
          <w:rFonts w:ascii="Arial" w:cs="Arial" w:eastAsia="Arial" w:hAnsi="Arial"/>
          <w:sz w:val="24"/>
          <w:szCs w:val="24"/>
          <w:rtl w:val="0"/>
        </w:rPr>
        <w:t xml:space="preserve">Ken Research (2025) UAE foodservice market, 2024–2030. Available at: https://www.kenresearch.com/uae-foodservice-market (Accessed: 29 July 2026).</w:t>
      </w:r>
      <w:r w:rsidDel="00000000" w:rsidR="00000000" w:rsidRPr="00000000">
        <w:rPr>
          <w:rtl w:val="0"/>
        </w:rPr>
      </w:r>
    </w:p>
    <w:p w:rsidR="00000000" w:rsidDel="00000000" w:rsidP="00000000" w:rsidRDefault="00000000" w:rsidRPr="00000000" w14:paraId="000000DC">
      <w:pPr>
        <w:spacing w:after="120" w:line="360" w:lineRule="auto"/>
        <w:ind w:left="360" w:hanging="360"/>
        <w:rPr/>
      </w:pPr>
      <w:r w:rsidDel="00000000" w:rsidR="00000000" w:rsidRPr="00000000">
        <w:rPr>
          <w:rFonts w:ascii="Arial" w:cs="Arial" w:eastAsia="Arial" w:hAnsi="Arial"/>
          <w:sz w:val="24"/>
          <w:szCs w:val="24"/>
          <w:rtl w:val="0"/>
        </w:rPr>
        <w:t xml:space="preserve">Kolb, D.A. (1984) Experiential learning: experience as the source of learning and development. Englewood Cliffs, NJ: Prentice Hall.</w:t>
      </w:r>
      <w:r w:rsidDel="00000000" w:rsidR="00000000" w:rsidRPr="00000000">
        <w:rPr>
          <w:rtl w:val="0"/>
        </w:rPr>
      </w:r>
    </w:p>
    <w:p w:rsidR="00000000" w:rsidDel="00000000" w:rsidP="00000000" w:rsidRDefault="00000000" w:rsidRPr="00000000" w14:paraId="000000DD">
      <w:pPr>
        <w:spacing w:after="120" w:line="360" w:lineRule="auto"/>
        <w:ind w:left="360" w:hanging="360"/>
        <w:rPr/>
      </w:pPr>
      <w:r w:rsidDel="00000000" w:rsidR="00000000" w:rsidRPr="00000000">
        <w:rPr>
          <w:rFonts w:ascii="Arial" w:cs="Arial" w:eastAsia="Arial" w:hAnsi="Arial"/>
          <w:sz w:val="24"/>
          <w:szCs w:val="24"/>
          <w:rtl w:val="0"/>
        </w:rPr>
        <w:t xml:space="preserve">Mordor Intelligence (2026) United Arab Emirates foodservice market size and share analysis, 2026–2031. Available at: https://www.mordorintelligence.com/industry-reports/uae-foodservice-market (Accessed: 29 July 2026).</w:t>
      </w:r>
      <w:r w:rsidDel="00000000" w:rsidR="00000000" w:rsidRPr="00000000">
        <w:rPr>
          <w:rtl w:val="0"/>
        </w:rPr>
      </w:r>
    </w:p>
    <w:p w:rsidR="00000000" w:rsidDel="00000000" w:rsidP="00000000" w:rsidRDefault="00000000" w:rsidRPr="00000000" w14:paraId="000000DE">
      <w:pPr>
        <w:spacing w:after="120" w:line="360" w:lineRule="auto"/>
        <w:ind w:left="360" w:hanging="360"/>
        <w:rPr/>
      </w:pPr>
      <w:r w:rsidDel="00000000" w:rsidR="00000000" w:rsidRPr="00000000">
        <w:rPr>
          <w:rFonts w:ascii="Arial" w:cs="Arial" w:eastAsia="Arial" w:hAnsi="Arial"/>
          <w:sz w:val="24"/>
          <w:szCs w:val="24"/>
          <w:rtl w:val="0"/>
        </w:rPr>
        <w:t xml:space="preserve">Nexdigm (2026) UAE foodservice market. Available at: https://www.nexdigm.com/market-research/report-store/uae-foodservice-market/ (Accessed: 29 July 2026).</w:t>
      </w:r>
      <w:r w:rsidDel="00000000" w:rsidR="00000000" w:rsidRPr="00000000">
        <w:rPr>
          <w:rtl w:val="0"/>
        </w:rPr>
      </w:r>
    </w:p>
    <w:p w:rsidR="00000000" w:rsidDel="00000000" w:rsidP="00000000" w:rsidRDefault="00000000" w:rsidRPr="00000000" w14:paraId="000000DF">
      <w:pPr>
        <w:spacing w:after="120" w:line="360" w:lineRule="auto"/>
        <w:ind w:left="360" w:hanging="360"/>
        <w:rPr/>
      </w:pPr>
      <w:r w:rsidDel="00000000" w:rsidR="00000000" w:rsidRPr="00000000">
        <w:rPr>
          <w:rFonts w:ascii="Arial" w:cs="Arial" w:eastAsia="Arial" w:hAnsi="Arial"/>
          <w:sz w:val="24"/>
          <w:szCs w:val="24"/>
          <w:rtl w:val="0"/>
        </w:rPr>
        <w:t xml:space="preserve">Porter, M.E. (1985) Competitive advantage: creating and sustaining superior performance. New York: Free Press.</w:t>
      </w:r>
      <w:r w:rsidDel="00000000" w:rsidR="00000000" w:rsidRPr="00000000">
        <w:rPr>
          <w:rtl w:val="0"/>
        </w:rPr>
      </w:r>
    </w:p>
    <w:p w:rsidR="00000000" w:rsidDel="00000000" w:rsidP="00000000" w:rsidRDefault="00000000" w:rsidRPr="00000000" w14:paraId="000000E0">
      <w:pPr>
        <w:spacing w:after="120" w:line="360" w:lineRule="auto"/>
        <w:ind w:left="360" w:hanging="360"/>
        <w:rPr/>
      </w:pPr>
      <w:r w:rsidDel="00000000" w:rsidR="00000000" w:rsidRPr="00000000">
        <w:rPr>
          <w:rFonts w:ascii="Arial" w:cs="Arial" w:eastAsia="Arial" w:hAnsi="Arial"/>
          <w:sz w:val="24"/>
          <w:szCs w:val="24"/>
          <w:rtl w:val="0"/>
        </w:rPr>
        <w:t xml:space="preserve">Quartr (2026) Greggs (GRG) H2 2025 summary. Available at: https://quartr.com/events/greggs-plc-grg-h2-2025_oj0v5Oe7 (Accessed: 29 July 2026).</w:t>
      </w:r>
      <w:r w:rsidDel="00000000" w:rsidR="00000000" w:rsidRPr="00000000">
        <w:rPr>
          <w:rtl w:val="0"/>
        </w:rPr>
      </w:r>
    </w:p>
    <w:p w:rsidR="00000000" w:rsidDel="00000000" w:rsidP="00000000" w:rsidRDefault="00000000" w:rsidRPr="00000000" w14:paraId="000000E1">
      <w:pPr>
        <w:spacing w:after="120" w:line="360" w:lineRule="auto"/>
        <w:ind w:left="360" w:hanging="360"/>
        <w:rPr/>
      </w:pPr>
      <w:r w:rsidDel="00000000" w:rsidR="00000000" w:rsidRPr="00000000">
        <w:rPr>
          <w:rFonts w:ascii="Arial" w:cs="Arial" w:eastAsia="Arial" w:hAnsi="Arial"/>
          <w:sz w:val="24"/>
          <w:szCs w:val="24"/>
          <w:rtl w:val="0"/>
        </w:rPr>
        <w:t xml:space="preserve">The Report Cubes (2026) UAE quick service restaurant market forecast 2034. Available at: https://www.thereportcubes.com/report-store/quick-service-restaurant-market-uae (Accessed: 29 July 2026).</w:t>
      </w:r>
      <w:r w:rsidDel="00000000" w:rsidR="00000000" w:rsidRPr="00000000">
        <w:rPr>
          <w:rtl w:val="0"/>
        </w:rPr>
      </w:r>
    </w:p>
    <w:p w:rsidR="00000000" w:rsidDel="00000000" w:rsidP="00000000" w:rsidRDefault="00000000" w:rsidRPr="00000000" w14:paraId="000000E2">
      <w:pPr>
        <w:spacing w:after="120" w:line="360" w:lineRule="auto"/>
        <w:ind w:left="360" w:hanging="360"/>
        <w:rPr/>
      </w:pPr>
      <w:r w:rsidDel="00000000" w:rsidR="00000000" w:rsidRPr="00000000">
        <w:rPr>
          <w:rFonts w:ascii="Arial" w:cs="Arial" w:eastAsia="Arial" w:hAnsi="Arial"/>
          <w:sz w:val="24"/>
          <w:szCs w:val="24"/>
          <w:rtl w:val="0"/>
        </w:rPr>
        <w:t xml:space="preserve">Whittington, R., Regnér, P., Angwin, D., Johnson, G. and Scholes, K. (2023) Fundamentals of strategy. 6th edn. Harlow: Pearson.</w:t>
      </w:r>
      <w:r w:rsidDel="00000000" w:rsidR="00000000" w:rsidRPr="00000000">
        <w:rPr>
          <w:rtl w:val="0"/>
        </w:rPr>
      </w:r>
    </w:p>
    <w:sectPr>
      <w:headerReference r:id="rId17" w:type="default"/>
      <w:footerReference r:id="rId18"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E4">
    <w:pPr>
      <w:jc w:val="center"/>
      <w:rPr/>
    </w:pPr>
    <w:r w:rsidDel="00000000" w:rsidR="00000000" w:rsidRPr="00000000">
      <w:rPr>
        <w:rFonts w:ascii="Arial" w:cs="Arial" w:eastAsia="Arial" w:hAnsi="Arial"/>
        <w:color w:val="888888"/>
        <w:sz w:val="18"/>
        <w:szCs w:val="18"/>
        <w:rtl w:val="0"/>
      </w:rPr>
      <w:t xml:space="preserve">Page </w:t>
    </w:r>
    <w:r w:rsidDel="00000000" w:rsidR="00000000" w:rsidRPr="00000000">
      <w:rPr>
        <w:rFonts w:ascii="Arial" w:cs="Arial" w:eastAsia="Arial" w:hAnsi="Arial"/>
        <w:color w:val="888888"/>
        <w:sz w:val="18"/>
        <w:szCs w:val="18"/>
      </w:rPr>
      <w:fldChar w:fldCharType="begin"/>
      <w:instrText xml:space="preserve">PAGE</w:instrText>
      <w:fldChar w:fldCharType="separate"/>
      <w:fldChar w:fldCharType="end"/>
    </w:r>
    <w:r w:rsidDel="00000000" w:rsidR="00000000" w:rsidRPr="00000000">
      <w:rPr>
        <w:rFonts w:ascii="Arial" w:cs="Arial" w:eastAsia="Arial" w:hAnsi="Arial"/>
        <w:color w:val="888888"/>
        <w:sz w:val="18"/>
        <w:szCs w:val="18"/>
        <w:rtl w:val="0"/>
      </w:rPr>
      <w:t xml:space="preserve"> of </w:t>
    </w:r>
    <w:r w:rsidDel="00000000" w:rsidR="00000000" w:rsidRPr="00000000">
      <w:rPr>
        <w:rFonts w:ascii="Arial" w:cs="Arial" w:eastAsia="Arial" w:hAnsi="Arial"/>
        <w:color w:val="888888"/>
        <w:sz w:val="18"/>
        <w:szCs w:val="18"/>
      </w:rPr>
      <w:fldChar w:fldCharType="begin"/>
      <w:instrText xml:space="preserve">NUMPAGES</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E3">
    <w:pPr>
      <w:jc w:val="right"/>
      <w:rPr/>
    </w:pPr>
    <w:r w:rsidDel="00000000" w:rsidR="00000000" w:rsidRPr="00000000">
      <w:rPr>
        <w:rFonts w:ascii="Arial" w:cs="Arial" w:eastAsia="Arial" w:hAnsi="Arial"/>
        <w:color w:val="888888"/>
        <w:sz w:val="18"/>
        <w:szCs w:val="18"/>
        <w:rtl w:val="0"/>
      </w:rPr>
      <w:t xml:space="preserve">Greggs – UAE Market Entry</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140" w:before="280" w:line="240" w:lineRule="auto"/>
      <w:ind w:left="0" w:right="0" w:firstLine="0"/>
      <w:jc w:val="left"/>
    </w:pPr>
    <w:rPr>
      <w:rFonts w:ascii="Arial" w:cs="Arial" w:eastAsia="Arial" w:hAnsi="Arial"/>
      <w:b w:val="1"/>
      <w:bCs w:val="1"/>
      <w:i w:val="0"/>
      <w:iCs w:val="0"/>
      <w:smallCaps w:val="0"/>
      <w:strike w:val="0"/>
      <w:color w:val="000000"/>
      <w:sz w:val="32"/>
      <w:szCs w:val="32"/>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220" w:line="240" w:lineRule="auto"/>
      <w:ind w:left="0" w:right="0" w:firstLine="0"/>
      <w:jc w:val="left"/>
    </w:pPr>
    <w:rPr>
      <w:rFonts w:ascii="Arial" w:cs="Arial" w:eastAsia="Arial" w:hAnsi="Arial"/>
      <w:b w:val="1"/>
      <w:bCs w:val="1"/>
      <w:i w:val="0"/>
      <w:iCs w:val="0"/>
      <w:smallCaps w:val="0"/>
      <w:strike w:val="0"/>
      <w:color w:val="000000"/>
      <w:sz w:val="26"/>
      <w:szCs w:val="26"/>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1f4d78"/>
      <w:sz w:val="24"/>
      <w:szCs w:val="24"/>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1"/>
      <w:iCs w:val="1"/>
      <w:smallCaps w:val="0"/>
      <w:strike w:val="0"/>
      <w:color w:val="2e74b5"/>
      <w:sz w:val="24"/>
      <w:szCs w:val="24"/>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2e74b5"/>
      <w:sz w:val="24"/>
      <w:szCs w:val="24"/>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1f4d78"/>
      <w:sz w:val="24"/>
      <w:szCs w:val="24"/>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000000"/>
      <w:sz w:val="56"/>
      <w:szCs w:val="56"/>
      <w:u w:val="none"/>
      <w:shd w:fill="auto" w:val="clear"/>
      <w:vertAlign w:val="baselin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11.png"/><Relationship Id="rId10" Type="http://schemas.openxmlformats.org/officeDocument/2006/relationships/image" Target="media/image8.png"/><Relationship Id="rId13" Type="http://schemas.openxmlformats.org/officeDocument/2006/relationships/image" Target="media/image3.png"/><Relationship Id="rId12" Type="http://schemas.openxmlformats.org/officeDocument/2006/relationships/image" Target="media/image2.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9.png"/><Relationship Id="rId15" Type="http://schemas.openxmlformats.org/officeDocument/2006/relationships/image" Target="media/image5.png"/><Relationship Id="rId14" Type="http://schemas.openxmlformats.org/officeDocument/2006/relationships/image" Target="media/image10.png"/><Relationship Id="rId17" Type="http://schemas.openxmlformats.org/officeDocument/2006/relationships/header" Target="header1.xml"/><Relationship Id="rId16" Type="http://schemas.openxmlformats.org/officeDocument/2006/relationships/image" Target="media/image6.png"/><Relationship Id="rId5" Type="http://schemas.openxmlformats.org/officeDocument/2006/relationships/styles" Target="styles.xml"/><Relationship Id="rId6" Type="http://schemas.openxmlformats.org/officeDocument/2006/relationships/image" Target="media/image1.png"/><Relationship Id="rId18" Type="http://schemas.openxmlformats.org/officeDocument/2006/relationships/footer" Target="footer1.xml"/><Relationship Id="rId7" Type="http://schemas.openxmlformats.org/officeDocument/2006/relationships/image" Target="media/image4.png"/><Relationship Id="rId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