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B57DF6" w14:textId="77777777" w:rsidR="00FB4ED8" w:rsidRDefault="00FB4ED8" w:rsidP="00FB4ED8">
      <w:pPr>
        <w:pStyle w:val="Heading2"/>
        <w:spacing w:before="240" w:after="240"/>
        <w:rPr>
          <w:rFonts w:ascii="Aptos" w:eastAsia="Aptos" w:hAnsi="Aptos" w:cs="Aptos"/>
          <w:b/>
          <w:bCs/>
          <w:sz w:val="36"/>
          <w:szCs w:val="36"/>
        </w:rPr>
      </w:pPr>
      <w:bookmarkStart w:id="0" w:name="_Toc213056742"/>
      <w:r w:rsidRPr="6ED5F536">
        <w:rPr>
          <w:rFonts w:ascii="Aptos" w:eastAsia="Aptos" w:hAnsi="Aptos" w:cs="Aptos"/>
          <w:b/>
          <w:bCs/>
          <w:color w:val="000000" w:themeColor="text1"/>
          <w:sz w:val="36"/>
          <w:szCs w:val="36"/>
        </w:rPr>
        <w:t>Task 1</w:t>
      </w:r>
      <w:r>
        <w:rPr>
          <w:rFonts w:ascii="Aptos" w:eastAsia="Aptos" w:hAnsi="Aptos" w:cs="Aptos"/>
          <w:b/>
          <w:bCs/>
          <w:color w:val="000000" w:themeColor="text1"/>
          <w:sz w:val="36"/>
          <w:szCs w:val="36"/>
        </w:rPr>
        <w:t>A</w:t>
      </w:r>
      <w:r w:rsidRPr="6ED5F536">
        <w:rPr>
          <w:rFonts w:ascii="Aptos" w:eastAsia="Aptos" w:hAnsi="Aptos" w:cs="Aptos"/>
          <w:b/>
          <w:bCs/>
          <w:color w:val="000000" w:themeColor="text1"/>
          <w:sz w:val="36"/>
          <w:szCs w:val="36"/>
        </w:rPr>
        <w:t>: E</w:t>
      </w:r>
      <w:r w:rsidRPr="6ED5F536">
        <w:rPr>
          <w:color w:val="000000" w:themeColor="text1"/>
        </w:rPr>
        <w:t>ssential Academic and Employment skills</w:t>
      </w:r>
      <w:bookmarkEnd w:id="0"/>
    </w:p>
    <w:p w14:paraId="51AE1CFC" w14:textId="77777777" w:rsidR="00FB4ED8" w:rsidRPr="006B4358" w:rsidRDefault="00FB4ED8" w:rsidP="00FB4ED8">
      <w:pPr>
        <w:pStyle w:val="Heading2"/>
        <w:rPr>
          <w:b/>
          <w:bCs/>
          <w:color w:val="000000" w:themeColor="text1"/>
        </w:rPr>
      </w:pPr>
      <w:bookmarkStart w:id="1" w:name="_Toc80132667"/>
      <w:bookmarkStart w:id="2" w:name="_Toc195850205"/>
      <w:bookmarkStart w:id="3" w:name="_Toc213056743"/>
      <w:r w:rsidRPr="006B4358">
        <w:rPr>
          <w:b/>
          <w:bCs/>
          <w:color w:val="000000" w:themeColor="text1"/>
        </w:rPr>
        <w:t>Introduction</w:t>
      </w:r>
      <w:bookmarkEnd w:id="1"/>
      <w:bookmarkEnd w:id="2"/>
      <w:bookmarkEnd w:id="3"/>
    </w:p>
    <w:p w14:paraId="1F9AC87D" w14:textId="77777777" w:rsidR="00FB4ED8" w:rsidRDefault="00FB4ED8" w:rsidP="00FB4ED8">
      <w:pPr>
        <w:rPr>
          <w:lang w:val="en-GB"/>
        </w:rPr>
      </w:pPr>
      <w:r w:rsidRPr="6ED5F536">
        <w:rPr>
          <w:lang w:val="en-GB"/>
        </w:rPr>
        <w:t xml:space="preserve">             In this era of technology and innovation, we must have to have the essential academic and employment skills so that we can succeed, keep up with the times</w:t>
      </w:r>
      <w:r>
        <w:rPr>
          <w:lang w:val="en-GB"/>
        </w:rPr>
        <w:t xml:space="preserve"> and </w:t>
      </w:r>
      <w:r w:rsidRPr="6ED5F536">
        <w:rPr>
          <w:lang w:val="en-GB"/>
        </w:rPr>
        <w:t>not be left behind</w:t>
      </w:r>
      <w:r>
        <w:rPr>
          <w:lang w:val="en-GB"/>
        </w:rPr>
        <w:t>.</w:t>
      </w:r>
    </w:p>
    <w:p w14:paraId="100A2E31" w14:textId="77777777" w:rsidR="00FB4ED8" w:rsidRDefault="00FB4ED8" w:rsidP="00FB4ED8">
      <w:pPr>
        <w:jc w:val="center"/>
        <w:rPr>
          <w:lang w:val="en-GB"/>
        </w:rPr>
      </w:pPr>
      <w:r>
        <w:rPr>
          <w:noProof/>
          <w:lang w:val="en-GB"/>
        </w:rPr>
        <w:drawing>
          <wp:inline distT="0" distB="0" distL="0" distR="0" wp14:anchorId="649CA333" wp14:editId="682DBF08">
            <wp:extent cx="4937036" cy="3339548"/>
            <wp:effectExtent l="0" t="0" r="0" b="0"/>
            <wp:docPr id="978136161" name="Picture 35" descr="A list of skills with check m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36161" name="Picture 35" descr="A list of skills with check marks"/>
                    <pic:cNvPicPr/>
                  </pic:nvPicPr>
                  <pic:blipFill>
                    <a:blip r:embed="rId7">
                      <a:extLst>
                        <a:ext uri="{28A0092B-C50C-407E-A947-70E740481C1C}">
                          <a14:useLocalDpi xmlns:a14="http://schemas.microsoft.com/office/drawing/2010/main" val="0"/>
                        </a:ext>
                      </a:extLst>
                    </a:blip>
                    <a:stretch>
                      <a:fillRect/>
                    </a:stretch>
                  </pic:blipFill>
                  <pic:spPr>
                    <a:xfrm>
                      <a:off x="0" y="0"/>
                      <a:ext cx="4959718" cy="3354890"/>
                    </a:xfrm>
                    <a:prstGeom prst="rect">
                      <a:avLst/>
                    </a:prstGeom>
                  </pic:spPr>
                </pic:pic>
              </a:graphicData>
            </a:graphic>
          </wp:inline>
        </w:drawing>
      </w:r>
    </w:p>
    <w:p w14:paraId="719ACBEA" w14:textId="77777777" w:rsidR="00FB4ED8" w:rsidRPr="00000DB1" w:rsidRDefault="00FB4ED8" w:rsidP="00FB4ED8">
      <w:pPr>
        <w:rPr>
          <w:sz w:val="28"/>
          <w:szCs w:val="28"/>
          <w:lang w:val="en-GB"/>
        </w:rPr>
      </w:pPr>
      <w:bookmarkStart w:id="4" w:name="_Toc1160279437"/>
      <w:bookmarkStart w:id="5" w:name="_Toc389787264"/>
      <w:r w:rsidRPr="00000DB1">
        <w:rPr>
          <w:b/>
          <w:bCs/>
          <w:sz w:val="28"/>
          <w:szCs w:val="28"/>
        </w:rPr>
        <w:t xml:space="preserve">Figure </w:t>
      </w:r>
      <w:r>
        <w:rPr>
          <w:b/>
          <w:bCs/>
          <w:sz w:val="28"/>
          <w:szCs w:val="28"/>
        </w:rPr>
        <w:t>1</w:t>
      </w:r>
      <w:r w:rsidRPr="00000DB1">
        <w:rPr>
          <w:b/>
          <w:bCs/>
          <w:sz w:val="28"/>
          <w:szCs w:val="28"/>
        </w:rPr>
        <w:t>.</w:t>
      </w:r>
      <w:r w:rsidRPr="00000DB1">
        <w:rPr>
          <w:sz w:val="28"/>
          <w:szCs w:val="28"/>
        </w:rPr>
        <w:t xml:space="preserve"> “Top 10 Employability Skills” infographic, </w:t>
      </w:r>
      <w:proofErr w:type="spellStart"/>
      <w:r w:rsidRPr="00000DB1">
        <w:rPr>
          <w:sz w:val="28"/>
          <w:szCs w:val="28"/>
        </w:rPr>
        <w:t>Hiration</w:t>
      </w:r>
      <w:proofErr w:type="spellEnd"/>
      <w:r w:rsidRPr="00000DB1">
        <w:rPr>
          <w:sz w:val="28"/>
          <w:szCs w:val="28"/>
        </w:rPr>
        <w:t>.</w:t>
      </w:r>
      <w:sdt>
        <w:sdtPr>
          <w:rPr>
            <w:b/>
            <w:bCs/>
            <w:sz w:val="28"/>
            <w:szCs w:val="28"/>
          </w:rPr>
          <w:id w:val="-1837985592"/>
          <w:citation/>
        </w:sdtPr>
        <w:sdtContent>
          <w:r w:rsidRPr="0065512A">
            <w:rPr>
              <w:b/>
              <w:bCs/>
              <w:sz w:val="28"/>
              <w:szCs w:val="28"/>
            </w:rPr>
            <w:fldChar w:fldCharType="begin"/>
          </w:r>
          <w:r w:rsidRPr="0065512A">
            <w:rPr>
              <w:b/>
              <w:bCs/>
              <w:sz w:val="28"/>
              <w:szCs w:val="28"/>
              <w:lang w:val="en-GB"/>
            </w:rPr>
            <w:instrText xml:space="preserve"> CITATION Hir22 \l 2057 </w:instrText>
          </w:r>
          <w:r w:rsidRPr="0065512A">
            <w:rPr>
              <w:b/>
              <w:bCs/>
              <w:sz w:val="28"/>
              <w:szCs w:val="28"/>
            </w:rPr>
            <w:fldChar w:fldCharType="separate"/>
          </w:r>
          <w:r>
            <w:rPr>
              <w:b/>
              <w:bCs/>
              <w:noProof/>
              <w:sz w:val="28"/>
              <w:szCs w:val="28"/>
              <w:lang w:val="en-GB"/>
            </w:rPr>
            <w:t xml:space="preserve"> </w:t>
          </w:r>
          <w:r w:rsidRPr="0092671C">
            <w:rPr>
              <w:noProof/>
              <w:sz w:val="28"/>
              <w:szCs w:val="28"/>
              <w:lang w:val="en-GB"/>
            </w:rPr>
            <w:t>[1]</w:t>
          </w:r>
          <w:r w:rsidRPr="0065512A">
            <w:rPr>
              <w:b/>
              <w:bCs/>
              <w:sz w:val="28"/>
              <w:szCs w:val="28"/>
            </w:rPr>
            <w:fldChar w:fldCharType="end"/>
          </w:r>
        </w:sdtContent>
      </w:sdt>
    </w:p>
    <w:bookmarkEnd w:id="4"/>
    <w:bookmarkEnd w:id="5"/>
    <w:p w14:paraId="5A8DC019" w14:textId="77777777" w:rsidR="00FB4ED8" w:rsidRPr="0065512A" w:rsidRDefault="00FB4ED8" w:rsidP="00FB4ED8">
      <w:pPr>
        <w:pStyle w:val="Heading1"/>
        <w:rPr>
          <w:b/>
          <w:bCs/>
          <w:color w:val="000000" w:themeColor="text1"/>
        </w:rPr>
      </w:pPr>
      <w:r w:rsidRPr="0065512A">
        <w:rPr>
          <w:b/>
          <w:bCs/>
          <w:color w:val="000000" w:themeColor="text1"/>
        </w:rPr>
        <w:t>Skills</w:t>
      </w:r>
    </w:p>
    <w:p w14:paraId="0B0F7519"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Communication</w:t>
      </w:r>
    </w:p>
    <w:p w14:paraId="6B0BF6C7"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 xml:space="preserve">Communication is the ability to express ideas and thoughts effectively. It allows people to share knowledge, build understanding, and collaborate with others. As Gizir and Simsek describe, communication is the “lifeblood of every organization” </w:t>
      </w:r>
      <w:r w:rsidRPr="00293B09">
        <w:rPr>
          <w:rFonts w:asciiTheme="majorHAnsi" w:eastAsiaTheme="majorEastAsia" w:hAnsiTheme="majorHAnsi" w:cstheme="majorBidi"/>
          <w:b/>
          <w:bCs/>
          <w:color w:val="000000" w:themeColor="text1"/>
          <w:sz w:val="28"/>
          <w:szCs w:val="28"/>
          <w:lang w:val="en-GB"/>
        </w:rPr>
        <w:t>[2].</w:t>
      </w:r>
      <w:r w:rsidRPr="00293B09">
        <w:rPr>
          <w:rFonts w:asciiTheme="majorHAnsi" w:eastAsiaTheme="majorEastAsia" w:hAnsiTheme="majorHAnsi" w:cstheme="majorBidi"/>
          <w:color w:val="000000" w:themeColor="text1"/>
          <w:sz w:val="28"/>
          <w:szCs w:val="28"/>
          <w:lang w:val="en-GB"/>
        </w:rPr>
        <w:t xml:space="preserve"> In my chosen career, good communication will help me convey information confidently and establish strong professional relationships.</w:t>
      </w:r>
    </w:p>
    <w:p w14:paraId="4507210F"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Resilience</w:t>
      </w:r>
    </w:p>
    <w:p w14:paraId="3D8C2486"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 xml:space="preserve">Resilience is the ability to recover quickly from difficulties and adapt to change. It helps students and employees remain motivated under pressure. As Greitens </w:t>
      </w:r>
      <w:r w:rsidRPr="00293B09">
        <w:rPr>
          <w:rFonts w:asciiTheme="majorHAnsi" w:eastAsiaTheme="majorEastAsia" w:hAnsiTheme="majorHAnsi" w:cstheme="majorBidi"/>
          <w:color w:val="000000" w:themeColor="text1"/>
          <w:sz w:val="28"/>
          <w:szCs w:val="28"/>
          <w:lang w:val="en-GB"/>
        </w:rPr>
        <w:lastRenderedPageBreak/>
        <w:t xml:space="preserve">explains in </w:t>
      </w:r>
      <w:r w:rsidRPr="00293B09">
        <w:rPr>
          <w:rFonts w:asciiTheme="majorHAnsi" w:eastAsiaTheme="majorEastAsia" w:hAnsiTheme="majorHAnsi" w:cstheme="majorBidi"/>
          <w:i/>
          <w:iCs/>
          <w:color w:val="000000" w:themeColor="text1"/>
          <w:sz w:val="28"/>
          <w:szCs w:val="28"/>
          <w:lang w:val="en-GB"/>
        </w:rPr>
        <w:t>Resilience: Hard-Won Wisdom for Living a Better Life</w:t>
      </w:r>
      <w:r w:rsidRPr="00293B09">
        <w:rPr>
          <w:rFonts w:asciiTheme="majorHAnsi" w:eastAsiaTheme="majorEastAsia" w:hAnsiTheme="majorHAnsi" w:cstheme="majorBidi"/>
          <w:color w:val="000000" w:themeColor="text1"/>
          <w:sz w:val="28"/>
          <w:szCs w:val="28"/>
          <w:lang w:val="en-GB"/>
        </w:rPr>
        <w:t xml:space="preserve"> (2015), resilience is not simply about “bouncing back” but about learning, adapting, and moving forward through adversity </w:t>
      </w:r>
      <w:r w:rsidRPr="00293B09">
        <w:rPr>
          <w:rFonts w:asciiTheme="majorHAnsi" w:eastAsiaTheme="majorEastAsia" w:hAnsiTheme="majorHAnsi" w:cstheme="majorBidi"/>
          <w:b/>
          <w:bCs/>
          <w:color w:val="000000" w:themeColor="text1"/>
          <w:sz w:val="28"/>
          <w:szCs w:val="28"/>
          <w:lang w:val="en-GB"/>
        </w:rPr>
        <w:t>[3].</w:t>
      </w:r>
      <w:r w:rsidRPr="00293B09">
        <w:rPr>
          <w:rFonts w:asciiTheme="majorHAnsi" w:eastAsiaTheme="majorEastAsia" w:hAnsiTheme="majorHAnsi" w:cstheme="majorBidi"/>
          <w:color w:val="000000" w:themeColor="text1"/>
          <w:sz w:val="28"/>
          <w:szCs w:val="28"/>
          <w:lang w:val="en-GB"/>
        </w:rPr>
        <w:t xml:space="preserve"> This will allow me to overcome challenges and stay focused on success in my career.</w:t>
      </w:r>
    </w:p>
    <w:p w14:paraId="44620DFC"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Digital Literacy</w:t>
      </w:r>
    </w:p>
    <w:p w14:paraId="00BF4635"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Digital literacy means using technology safely, responsibly, and effectively. It enables learners and employees to use digital tools for research, collaboration, and productivity while protecting data.</w:t>
      </w:r>
      <w:r>
        <w:rPr>
          <w:rFonts w:asciiTheme="majorHAnsi" w:eastAsiaTheme="majorEastAsia" w:hAnsiTheme="majorHAnsi" w:cstheme="majorBidi"/>
          <w:color w:val="000000" w:themeColor="text1"/>
          <w:sz w:val="28"/>
          <w:szCs w:val="28"/>
          <w:lang w:val="en-GB"/>
        </w:rPr>
        <w:t xml:space="preserve"> </w:t>
      </w:r>
      <w:r w:rsidRPr="00293B09">
        <w:rPr>
          <w:rFonts w:asciiTheme="majorHAnsi" w:eastAsiaTheme="majorEastAsia" w:hAnsiTheme="majorHAnsi" w:cstheme="majorBidi"/>
          <w:color w:val="000000" w:themeColor="text1"/>
          <w:sz w:val="28"/>
          <w:szCs w:val="28"/>
          <w:lang w:val="en-GB"/>
        </w:rPr>
        <w:t>In my career, digital literacy will help me adapt to new tools, work efficiently online, and stay up to date with emerging technology.</w:t>
      </w:r>
    </w:p>
    <w:p w14:paraId="44F50192"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Teamwork</w:t>
      </w:r>
    </w:p>
    <w:p w14:paraId="064A1F3A" w14:textId="77777777" w:rsidR="00FB4ED8" w:rsidRPr="00293B09" w:rsidRDefault="00FB4ED8" w:rsidP="00FB4ED8">
      <w:pPr>
        <w:rPr>
          <w:rFonts w:asciiTheme="majorHAnsi" w:eastAsiaTheme="majorEastAsia" w:hAnsiTheme="majorHAnsi" w:cstheme="majorBidi"/>
          <w:color w:val="000000" w:themeColor="text1"/>
          <w:sz w:val="28"/>
          <w:szCs w:val="28"/>
          <w:lang w:val="en-GB"/>
        </w:rPr>
      </w:pPr>
      <w:r w:rsidRPr="00293B09">
        <w:rPr>
          <w:rFonts w:asciiTheme="majorHAnsi" w:eastAsiaTheme="majorEastAsia" w:hAnsiTheme="majorHAnsi" w:cstheme="majorBidi"/>
          <w:color w:val="000000" w:themeColor="text1"/>
          <w:sz w:val="28"/>
          <w:szCs w:val="28"/>
          <w:lang w:val="en-GB"/>
        </w:rPr>
        <w:t>Teamwork is the ability to collaborate effectively with others toward shared goals. It promotes problem-solving, cooperation, and trust. As Maxwell states, “The strength of the team is each member; the strength of each member is the team</w:t>
      </w:r>
      <w:r w:rsidRPr="0092671C">
        <w:rPr>
          <w:rFonts w:asciiTheme="majorHAnsi" w:eastAsiaTheme="majorEastAsia" w:hAnsiTheme="majorHAnsi" w:cstheme="majorBidi"/>
          <w:color w:val="000000" w:themeColor="text1"/>
          <w:sz w:val="28"/>
          <w:szCs w:val="28"/>
          <w:lang w:val="en-GB"/>
        </w:rPr>
        <w:t xml:space="preserve">” </w:t>
      </w:r>
      <w:r w:rsidRPr="00293B09">
        <w:rPr>
          <w:rFonts w:asciiTheme="majorHAnsi" w:eastAsiaTheme="majorEastAsia" w:hAnsiTheme="majorHAnsi" w:cstheme="majorBidi"/>
          <w:b/>
          <w:bCs/>
          <w:color w:val="000000" w:themeColor="text1"/>
          <w:sz w:val="28"/>
          <w:szCs w:val="28"/>
          <w:lang w:val="en-GB"/>
        </w:rPr>
        <w:t>[4].</w:t>
      </w:r>
      <w:r w:rsidRPr="00293B09">
        <w:rPr>
          <w:rFonts w:asciiTheme="majorHAnsi" w:eastAsiaTheme="majorEastAsia" w:hAnsiTheme="majorHAnsi" w:cstheme="majorBidi"/>
          <w:color w:val="000000" w:themeColor="text1"/>
          <w:sz w:val="28"/>
          <w:szCs w:val="28"/>
          <w:lang w:val="en-GB"/>
        </w:rPr>
        <w:t xml:space="preserve"> In my career, teamwork will allow me to learn from diverse perspectives and achieve objectives collectively.</w:t>
      </w:r>
    </w:p>
    <w:p w14:paraId="2451CCB8" w14:textId="77777777" w:rsidR="004176FC" w:rsidRDefault="004176FC">
      <w:pPr>
        <w:rPr>
          <w:lang w:val="en-GB"/>
        </w:rPr>
      </w:pPr>
    </w:p>
    <w:p w14:paraId="10B38607" w14:textId="77777777" w:rsidR="00261634" w:rsidRDefault="00261634">
      <w:pPr>
        <w:rPr>
          <w:lang w:val="en-GB"/>
        </w:rPr>
      </w:pPr>
    </w:p>
    <w:p w14:paraId="190737A8" w14:textId="77777777" w:rsidR="00261634" w:rsidRDefault="00261634">
      <w:pPr>
        <w:rPr>
          <w:lang w:val="en-GB"/>
        </w:rPr>
      </w:pPr>
    </w:p>
    <w:p w14:paraId="1CCC205B" w14:textId="77777777" w:rsidR="00261634" w:rsidRDefault="00261634">
      <w:pPr>
        <w:rPr>
          <w:lang w:val="en-GB"/>
        </w:rPr>
      </w:pPr>
    </w:p>
    <w:p w14:paraId="0CF9D055" w14:textId="77777777" w:rsidR="00261634" w:rsidRDefault="00261634">
      <w:pPr>
        <w:rPr>
          <w:lang w:val="en-GB"/>
        </w:rPr>
      </w:pPr>
    </w:p>
    <w:p w14:paraId="09224F6F" w14:textId="77777777" w:rsidR="00261634" w:rsidRDefault="00261634">
      <w:pPr>
        <w:rPr>
          <w:lang w:val="en-GB"/>
        </w:rPr>
      </w:pPr>
    </w:p>
    <w:p w14:paraId="3E502DB1" w14:textId="77777777" w:rsidR="00261634" w:rsidRDefault="00261634">
      <w:pPr>
        <w:rPr>
          <w:lang w:val="en-GB"/>
        </w:rPr>
      </w:pPr>
    </w:p>
    <w:p w14:paraId="010BD46B" w14:textId="77777777" w:rsidR="00261634" w:rsidRDefault="00261634">
      <w:pPr>
        <w:rPr>
          <w:lang w:val="en-GB"/>
        </w:rPr>
      </w:pPr>
    </w:p>
    <w:p w14:paraId="7350FBB7" w14:textId="77777777" w:rsidR="00261634" w:rsidRDefault="00261634">
      <w:pPr>
        <w:rPr>
          <w:lang w:val="en-GB"/>
        </w:rPr>
      </w:pPr>
    </w:p>
    <w:p w14:paraId="123B14E4" w14:textId="77777777" w:rsidR="00261634" w:rsidRDefault="00261634">
      <w:pPr>
        <w:rPr>
          <w:lang w:val="en-GB"/>
        </w:rPr>
      </w:pPr>
    </w:p>
    <w:p w14:paraId="4E02906D" w14:textId="77777777" w:rsidR="00261634" w:rsidRDefault="00261634">
      <w:pPr>
        <w:rPr>
          <w:lang w:val="en-GB"/>
        </w:rPr>
      </w:pPr>
    </w:p>
    <w:p w14:paraId="5CCE4B53" w14:textId="77777777" w:rsidR="00261634" w:rsidRDefault="00261634">
      <w:pPr>
        <w:rPr>
          <w:lang w:val="en-GB"/>
        </w:rPr>
      </w:pPr>
    </w:p>
    <w:p w14:paraId="57F462E3" w14:textId="77777777" w:rsidR="00261634" w:rsidRDefault="00261634">
      <w:pPr>
        <w:rPr>
          <w:lang w:val="en-GB"/>
        </w:rPr>
      </w:pPr>
    </w:p>
    <w:p w14:paraId="0C72F5CD" w14:textId="77777777" w:rsidR="00261634" w:rsidRDefault="00261634">
      <w:pPr>
        <w:rPr>
          <w:lang w:val="en-GB"/>
        </w:rPr>
      </w:pPr>
    </w:p>
    <w:p w14:paraId="5B783DE6" w14:textId="7C6A7A8B" w:rsidR="00261634" w:rsidRPr="00261634" w:rsidRDefault="00261634" w:rsidP="00261634">
      <w:pPr>
        <w:pStyle w:val="Heading1"/>
      </w:pPr>
      <w:r w:rsidRPr="00261634">
        <w:lastRenderedPageBreak/>
        <w:t>References</w:t>
      </w:r>
    </w:p>
    <w:p w14:paraId="2DB21EE4" w14:textId="77777777" w:rsidR="00261634" w:rsidRDefault="00261634" w:rsidP="00261634">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61634" w14:paraId="426B2F27" w14:textId="77777777" w:rsidTr="00B24768">
        <w:trPr>
          <w:tblCellSpacing w:w="15" w:type="dxa"/>
        </w:trPr>
        <w:tc>
          <w:tcPr>
            <w:tcW w:w="50" w:type="pct"/>
            <w:hideMark/>
          </w:tcPr>
          <w:p w14:paraId="2557CA73" w14:textId="77777777" w:rsidR="00261634" w:rsidRDefault="00261634" w:rsidP="00B24768">
            <w:pPr>
              <w:pStyle w:val="Bibliography"/>
              <w:rPr>
                <w:noProof/>
              </w:rPr>
            </w:pPr>
            <w:r>
              <w:rPr>
                <w:noProof/>
              </w:rPr>
              <w:t xml:space="preserve">[1] </w:t>
            </w:r>
          </w:p>
        </w:tc>
        <w:tc>
          <w:tcPr>
            <w:tcW w:w="0" w:type="auto"/>
            <w:hideMark/>
          </w:tcPr>
          <w:p w14:paraId="33FE6B67" w14:textId="77777777" w:rsidR="00261634" w:rsidRDefault="00261634" w:rsidP="00B24768">
            <w:pPr>
              <w:pStyle w:val="Bibliography"/>
              <w:rPr>
                <w:noProof/>
              </w:rPr>
            </w:pPr>
            <w:r>
              <w:rPr>
                <w:noProof/>
              </w:rPr>
              <w:t>Hiration, “Top Employability Skills in 2022: How to List Them in Your Resume,” 1 january 2022. [Online]. Available: https://www.hiration.com/blog/employability-skills/. [Accessed 3 november 2025].</w:t>
            </w:r>
          </w:p>
        </w:tc>
      </w:tr>
      <w:tr w:rsidR="00261634" w14:paraId="4F8B678B" w14:textId="77777777" w:rsidTr="00B24768">
        <w:trPr>
          <w:tblCellSpacing w:w="15" w:type="dxa"/>
        </w:trPr>
        <w:tc>
          <w:tcPr>
            <w:tcW w:w="50" w:type="pct"/>
            <w:hideMark/>
          </w:tcPr>
          <w:p w14:paraId="24FCB1C1" w14:textId="77777777" w:rsidR="00261634" w:rsidRDefault="00261634" w:rsidP="00B24768">
            <w:pPr>
              <w:pStyle w:val="Bibliography"/>
              <w:rPr>
                <w:noProof/>
              </w:rPr>
            </w:pPr>
            <w:r>
              <w:rPr>
                <w:noProof/>
              </w:rPr>
              <w:t xml:space="preserve">[2] </w:t>
            </w:r>
          </w:p>
        </w:tc>
        <w:tc>
          <w:tcPr>
            <w:tcW w:w="0" w:type="auto"/>
            <w:hideMark/>
          </w:tcPr>
          <w:p w14:paraId="0D3BF0A3" w14:textId="77777777" w:rsidR="00261634" w:rsidRDefault="00261634" w:rsidP="00B24768">
            <w:pPr>
              <w:pStyle w:val="Bibliography"/>
              <w:rPr>
                <w:noProof/>
              </w:rPr>
            </w:pPr>
            <w:r>
              <w:rPr>
                <w:noProof/>
              </w:rPr>
              <w:t xml:space="preserve">S. a. S. H. Gizir, “Communication in an academic context,” </w:t>
            </w:r>
            <w:r>
              <w:rPr>
                <w:i/>
                <w:iCs/>
                <w:noProof/>
              </w:rPr>
              <w:t xml:space="preserve">Higher Education, </w:t>
            </w:r>
            <w:r>
              <w:rPr>
                <w:noProof/>
              </w:rPr>
              <w:t xml:space="preserve">vol. 50, p. 197–221, 2005. </w:t>
            </w:r>
          </w:p>
        </w:tc>
      </w:tr>
      <w:tr w:rsidR="00261634" w14:paraId="76BEA4E6" w14:textId="77777777" w:rsidTr="00B24768">
        <w:trPr>
          <w:tblCellSpacing w:w="15" w:type="dxa"/>
        </w:trPr>
        <w:tc>
          <w:tcPr>
            <w:tcW w:w="50" w:type="pct"/>
            <w:hideMark/>
          </w:tcPr>
          <w:p w14:paraId="32102088" w14:textId="77777777" w:rsidR="00261634" w:rsidRDefault="00261634" w:rsidP="00B24768">
            <w:pPr>
              <w:pStyle w:val="Bibliography"/>
              <w:rPr>
                <w:noProof/>
              </w:rPr>
            </w:pPr>
            <w:r>
              <w:rPr>
                <w:noProof/>
              </w:rPr>
              <w:t xml:space="preserve">[3] </w:t>
            </w:r>
          </w:p>
        </w:tc>
        <w:tc>
          <w:tcPr>
            <w:tcW w:w="0" w:type="auto"/>
            <w:hideMark/>
          </w:tcPr>
          <w:p w14:paraId="2FBCBD80" w14:textId="77777777" w:rsidR="00261634" w:rsidRDefault="00261634" w:rsidP="00B24768">
            <w:pPr>
              <w:pStyle w:val="Bibliography"/>
              <w:rPr>
                <w:noProof/>
              </w:rPr>
            </w:pPr>
            <w:r>
              <w:rPr>
                <w:noProof/>
              </w:rPr>
              <w:t xml:space="preserve">J. C. Maxwell, Teamwork 101: What Every Leader Needs to Know, Nashville, TN: HarperCollins Leadership, 2009. </w:t>
            </w:r>
          </w:p>
        </w:tc>
      </w:tr>
      <w:tr w:rsidR="00261634" w14:paraId="3DABA8A4" w14:textId="77777777" w:rsidTr="00B24768">
        <w:trPr>
          <w:tblCellSpacing w:w="15" w:type="dxa"/>
        </w:trPr>
        <w:tc>
          <w:tcPr>
            <w:tcW w:w="50" w:type="pct"/>
            <w:hideMark/>
          </w:tcPr>
          <w:p w14:paraId="0AC8FDC0" w14:textId="77777777" w:rsidR="00261634" w:rsidRDefault="00261634" w:rsidP="00B24768">
            <w:pPr>
              <w:pStyle w:val="Bibliography"/>
              <w:rPr>
                <w:noProof/>
              </w:rPr>
            </w:pPr>
            <w:r>
              <w:rPr>
                <w:noProof/>
              </w:rPr>
              <w:t xml:space="preserve">[4] </w:t>
            </w:r>
          </w:p>
        </w:tc>
        <w:tc>
          <w:tcPr>
            <w:tcW w:w="0" w:type="auto"/>
            <w:hideMark/>
          </w:tcPr>
          <w:p w14:paraId="5BBB5B55" w14:textId="77777777" w:rsidR="00261634" w:rsidRDefault="00261634" w:rsidP="00B24768">
            <w:pPr>
              <w:pStyle w:val="Bibliography"/>
              <w:rPr>
                <w:noProof/>
              </w:rPr>
            </w:pPr>
            <w:r>
              <w:rPr>
                <w:noProof/>
              </w:rPr>
              <w:t xml:space="preserve">E. Greitens, Resilience: Hard-Won Wisdom for Living a Better Life, Boston, MA: Houghton Mifflin Harcourt, 2015. </w:t>
            </w:r>
          </w:p>
        </w:tc>
      </w:tr>
    </w:tbl>
    <w:p w14:paraId="5EE94046" w14:textId="77777777" w:rsidR="00261634" w:rsidRPr="00261634" w:rsidRDefault="00261634"/>
    <w:sectPr w:rsidR="00261634" w:rsidRPr="002616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7F2A2" w14:textId="77777777" w:rsidR="00261634" w:rsidRDefault="00261634" w:rsidP="00261634">
      <w:pPr>
        <w:spacing w:after="0" w:line="240" w:lineRule="auto"/>
      </w:pPr>
      <w:r>
        <w:separator/>
      </w:r>
    </w:p>
  </w:endnote>
  <w:endnote w:type="continuationSeparator" w:id="0">
    <w:p w14:paraId="438DD390" w14:textId="77777777" w:rsidR="00261634" w:rsidRDefault="00261634" w:rsidP="00261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60FBC" w14:textId="77777777" w:rsidR="00261634" w:rsidRDefault="00261634" w:rsidP="00261634">
      <w:pPr>
        <w:spacing w:after="0" w:line="240" w:lineRule="auto"/>
      </w:pPr>
      <w:r>
        <w:separator/>
      </w:r>
    </w:p>
  </w:footnote>
  <w:footnote w:type="continuationSeparator" w:id="0">
    <w:p w14:paraId="182E8D84" w14:textId="77777777" w:rsidR="00261634" w:rsidRDefault="00261634" w:rsidP="002616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ED8"/>
    <w:rsid w:val="00261634"/>
    <w:rsid w:val="003D0C18"/>
    <w:rsid w:val="004176FC"/>
    <w:rsid w:val="00567AE1"/>
    <w:rsid w:val="00CB49A6"/>
    <w:rsid w:val="00FB4E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68D24B"/>
  <w15:chartTrackingRefBased/>
  <w15:docId w15:val="{A7486CBA-127C-42CA-A6C0-37CD1D8A9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ED8"/>
    <w:pPr>
      <w:spacing w:line="279" w:lineRule="auto"/>
    </w:pPr>
    <w:rPr>
      <w:kern w:val="0"/>
      <w:lang w:val="en-US" w:eastAsia="ja-JP"/>
      <w14:ligatures w14:val="none"/>
    </w:rPr>
  </w:style>
  <w:style w:type="paragraph" w:styleId="Heading1">
    <w:name w:val="heading 1"/>
    <w:basedOn w:val="Normal"/>
    <w:next w:val="Normal"/>
    <w:link w:val="Heading1Char"/>
    <w:uiPriority w:val="9"/>
    <w:qFormat/>
    <w:rsid w:val="00FB4ED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unhideWhenUsed/>
    <w:qFormat/>
    <w:rsid w:val="00FB4ED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FB4ED8"/>
    <w:pPr>
      <w:keepNext/>
      <w:keepLines/>
      <w:spacing w:before="160" w:after="80" w:line="278" w:lineRule="auto"/>
      <w:outlineLvl w:val="2"/>
    </w:pPr>
    <w:rPr>
      <w:rFonts w:eastAsiaTheme="majorEastAsia"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FB4ED8"/>
    <w:pPr>
      <w:keepNext/>
      <w:keepLines/>
      <w:spacing w:before="80" w:after="40" w:line="278" w:lineRule="auto"/>
      <w:outlineLvl w:val="3"/>
    </w:pPr>
    <w:rPr>
      <w:rFonts w:eastAsiaTheme="majorEastAsia"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FB4ED8"/>
    <w:pPr>
      <w:keepNext/>
      <w:keepLines/>
      <w:spacing w:before="80" w:after="40" w:line="278" w:lineRule="auto"/>
      <w:outlineLvl w:val="4"/>
    </w:pPr>
    <w:rPr>
      <w:rFonts w:eastAsiaTheme="majorEastAsia"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FB4ED8"/>
    <w:pPr>
      <w:keepNext/>
      <w:keepLines/>
      <w:spacing w:before="40" w:after="0" w:line="278" w:lineRule="auto"/>
      <w:outlineLvl w:val="5"/>
    </w:pPr>
    <w:rPr>
      <w:rFonts w:eastAsiaTheme="majorEastAsia"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FB4ED8"/>
    <w:pPr>
      <w:keepNext/>
      <w:keepLines/>
      <w:spacing w:before="40" w:after="0" w:line="278" w:lineRule="auto"/>
      <w:outlineLvl w:val="6"/>
    </w:pPr>
    <w:rPr>
      <w:rFonts w:eastAsiaTheme="majorEastAsia"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FB4ED8"/>
    <w:pPr>
      <w:keepNext/>
      <w:keepLines/>
      <w:spacing w:after="0" w:line="278" w:lineRule="auto"/>
      <w:outlineLvl w:val="7"/>
    </w:pPr>
    <w:rPr>
      <w:rFonts w:eastAsiaTheme="majorEastAsia"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FB4ED8"/>
    <w:pPr>
      <w:keepNext/>
      <w:keepLines/>
      <w:spacing w:after="0" w:line="278" w:lineRule="auto"/>
      <w:outlineLvl w:val="8"/>
    </w:pPr>
    <w:rPr>
      <w:rFonts w:eastAsiaTheme="majorEastAsia"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E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4E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E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E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E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E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E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E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ED8"/>
    <w:rPr>
      <w:rFonts w:eastAsiaTheme="majorEastAsia" w:cstheme="majorBidi"/>
      <w:color w:val="272727" w:themeColor="text1" w:themeTint="D8"/>
    </w:rPr>
  </w:style>
  <w:style w:type="paragraph" w:styleId="Title">
    <w:name w:val="Title"/>
    <w:basedOn w:val="Normal"/>
    <w:next w:val="Normal"/>
    <w:link w:val="TitleChar"/>
    <w:uiPriority w:val="10"/>
    <w:qFormat/>
    <w:rsid w:val="00FB4ED8"/>
    <w:pPr>
      <w:spacing w:after="80" w:line="240" w:lineRule="auto"/>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FB4E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ED8"/>
    <w:pPr>
      <w:numPr>
        <w:ilvl w:val="1"/>
      </w:numPr>
      <w:spacing w:line="278" w:lineRule="auto"/>
    </w:pPr>
    <w:rPr>
      <w:rFonts w:eastAsiaTheme="majorEastAsia"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FB4E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ED8"/>
    <w:pPr>
      <w:spacing w:before="160" w:line="278" w:lineRule="auto"/>
      <w:jc w:val="center"/>
    </w:pPr>
    <w:rPr>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FB4ED8"/>
    <w:rPr>
      <w:i/>
      <w:iCs/>
      <w:color w:val="404040" w:themeColor="text1" w:themeTint="BF"/>
    </w:rPr>
  </w:style>
  <w:style w:type="paragraph" w:styleId="ListParagraph">
    <w:name w:val="List Paragraph"/>
    <w:basedOn w:val="Normal"/>
    <w:uiPriority w:val="34"/>
    <w:qFormat/>
    <w:rsid w:val="00FB4ED8"/>
    <w:pPr>
      <w:spacing w:line="278" w:lineRule="auto"/>
      <w:ind w:left="720"/>
      <w:contextualSpacing/>
    </w:pPr>
    <w:rPr>
      <w:kern w:val="2"/>
      <w:lang w:val="en-GB" w:eastAsia="zh-CN"/>
      <w14:ligatures w14:val="standardContextual"/>
    </w:rPr>
  </w:style>
  <w:style w:type="character" w:styleId="IntenseEmphasis">
    <w:name w:val="Intense Emphasis"/>
    <w:basedOn w:val="DefaultParagraphFont"/>
    <w:uiPriority w:val="21"/>
    <w:qFormat/>
    <w:rsid w:val="00FB4ED8"/>
    <w:rPr>
      <w:i/>
      <w:iCs/>
      <w:color w:val="0F4761" w:themeColor="accent1" w:themeShade="BF"/>
    </w:rPr>
  </w:style>
  <w:style w:type="paragraph" w:styleId="IntenseQuote">
    <w:name w:val="Intense Quote"/>
    <w:basedOn w:val="Normal"/>
    <w:next w:val="Normal"/>
    <w:link w:val="IntenseQuoteChar"/>
    <w:uiPriority w:val="30"/>
    <w:qFormat/>
    <w:rsid w:val="00FB4ED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FB4ED8"/>
    <w:rPr>
      <w:i/>
      <w:iCs/>
      <w:color w:val="0F4761" w:themeColor="accent1" w:themeShade="BF"/>
    </w:rPr>
  </w:style>
  <w:style w:type="character" w:styleId="IntenseReference">
    <w:name w:val="Intense Reference"/>
    <w:basedOn w:val="DefaultParagraphFont"/>
    <w:uiPriority w:val="32"/>
    <w:qFormat/>
    <w:rsid w:val="00FB4ED8"/>
    <w:rPr>
      <w:b/>
      <w:bCs/>
      <w:smallCaps/>
      <w:color w:val="0F4761" w:themeColor="accent1" w:themeShade="BF"/>
      <w:spacing w:val="5"/>
    </w:rPr>
  </w:style>
  <w:style w:type="paragraph" w:styleId="Header">
    <w:name w:val="header"/>
    <w:basedOn w:val="Normal"/>
    <w:link w:val="HeaderChar"/>
    <w:uiPriority w:val="99"/>
    <w:unhideWhenUsed/>
    <w:rsid w:val="0026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634"/>
    <w:rPr>
      <w:kern w:val="0"/>
      <w:lang w:val="en-US" w:eastAsia="ja-JP"/>
      <w14:ligatures w14:val="none"/>
    </w:rPr>
  </w:style>
  <w:style w:type="paragraph" w:styleId="Footer">
    <w:name w:val="footer"/>
    <w:basedOn w:val="Normal"/>
    <w:link w:val="FooterChar"/>
    <w:uiPriority w:val="99"/>
    <w:unhideWhenUsed/>
    <w:rsid w:val="0026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634"/>
    <w:rPr>
      <w:kern w:val="0"/>
      <w:lang w:val="en-US" w:eastAsia="ja-JP"/>
      <w14:ligatures w14:val="none"/>
    </w:rPr>
  </w:style>
  <w:style w:type="paragraph" w:styleId="Bibliography">
    <w:name w:val="Bibliography"/>
    <w:basedOn w:val="Normal"/>
    <w:next w:val="Normal"/>
    <w:uiPriority w:val="37"/>
    <w:unhideWhenUsed/>
    <w:rsid w:val="00261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Hir22</b:Tag>
    <b:SourceType>InternetSite</b:SourceType>
    <b:Guid>{6AA02A11-FC9D-4440-A381-A5480AC3A4A4}</b:Guid>
    <b:Title>Top Employability Skills in 2022: How to List Them in Your Resume</b:Title>
    <b:Year>2022</b:Year>
    <b:Month>january</b:Month>
    <b:Day>1</b:Day>
    <b:YearAccessed>2025</b:YearAccessed>
    <b:MonthAccessed>november</b:MonthAccessed>
    <b:DayAccessed>3</b:DayAccessed>
    <b:URL>https://www.hiration.com/blog/employability-skills/</b:URL>
    <b:Author>
      <b:Author>
        <b:NameList>
          <b:Person>
            <b:Last>Hiration</b:Last>
          </b:Person>
        </b:NameList>
      </b:Author>
    </b:Author>
    <b:RefOrder>1</b:RefOrder>
  </b:Source>
</b:Sources>
</file>

<file path=customXml/itemProps1.xml><?xml version="1.0" encoding="utf-8"?>
<ds:datastoreItem xmlns:ds="http://schemas.openxmlformats.org/officeDocument/2006/customXml" ds:itemID="{6AADBECE-9A9E-42E9-8521-33AFBF641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372</Words>
  <Characters>2124</Characters>
  <Application>Microsoft Office Word</Application>
  <DocSecurity>0</DocSecurity>
  <Lines>17</Lines>
  <Paragraphs>4</Paragraphs>
  <ScaleCrop>false</ScaleCrop>
  <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Mubeen Ahmed (2518097)</dc:creator>
  <cp:keywords/>
  <dc:description/>
  <cp:lastModifiedBy>Mubeen Ahmed (2518097)</cp:lastModifiedBy>
  <cp:revision>2</cp:revision>
  <dcterms:created xsi:type="dcterms:W3CDTF">2025-11-12T08:48:00Z</dcterms:created>
  <dcterms:modified xsi:type="dcterms:W3CDTF">2025-11-12T08:49:00Z</dcterms:modified>
</cp:coreProperties>
</file>