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line="48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HPPH7010</w:t>
      </w:r>
    </w:p>
    <w:p w:rsidR="00000000" w:rsidDel="00000000" w:rsidP="00000000" w:rsidRDefault="00000000" w:rsidRPr="00000000" w14:paraId="00000002">
      <w:pPr>
        <w:spacing w:after="160" w:line="48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KNOWLEDGE, REASON AND REALITY, ASS 2</w:t>
      </w:r>
    </w:p>
    <w:p w:rsidR="00000000" w:rsidDel="00000000" w:rsidP="00000000" w:rsidRDefault="00000000" w:rsidRPr="00000000" w14:paraId="00000003">
      <w:pPr>
        <w:spacing w:after="160" w:line="48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ALEXANDER GRANT, STUDENT NO: 1501417</w:t>
      </w:r>
    </w:p>
    <w:p w:rsidR="00000000" w:rsidDel="00000000" w:rsidP="00000000" w:rsidRDefault="00000000" w:rsidRPr="00000000" w14:paraId="00000004">
      <w:pPr>
        <w:spacing w:after="160" w:line="480" w:lineRule="auto"/>
        <w:jc w:val="center"/>
        <w:rPr/>
      </w:pPr>
      <w:r w:rsidDel="00000000" w:rsidR="00000000" w:rsidRPr="00000000">
        <w:rPr>
          <w:rFonts w:ascii="Calibri" w:cs="Calibri" w:eastAsia="Calibri" w:hAnsi="Calibri"/>
          <w:b w:val="1"/>
          <w:rtl w:val="0"/>
        </w:rPr>
        <w:t xml:space="preserve">IS KNOWLEDGE TRUE, JUSTIFIED BELIEF? DOES GETTIER SHOW OTHERWISE?</w:t>
      </w: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The study of epistemology concerns itself with knowledge, with understanding how, exactly, knowledge is quantified, how it is created, and in this case, how it is defined, what truly counts as knowledge, how it can be created. Knowledge as a concept is something that, truly, cannot easily be defined, and it is even harder to define that which makes it possible for us to decide what is knowledge and what is merely belief. This epistemological study leaves us with a view that belief is lesser, is something like knowledge without all of the assembled requisite parts, knowledge without a </w:t>
      </w:r>
      <w:r w:rsidDel="00000000" w:rsidR="00000000" w:rsidRPr="00000000">
        <w:rPr>
          <w:i w:val="1"/>
          <w:rtl w:val="0"/>
        </w:rPr>
        <w:t xml:space="preserve">true</w:t>
      </w:r>
      <w:r w:rsidDel="00000000" w:rsidR="00000000" w:rsidRPr="00000000">
        <w:rPr>
          <w:rtl w:val="0"/>
        </w:rPr>
        <w:t xml:space="preserve"> base. This is an area which is wholly concerned with the labelling and processing of knowledge, wholly concerned with the processes and the rules and what, exactly, knowledge is. It’s a fight to define it, to present it as something that can be given clear rules and the authority to be able to say that this is true knowledge. As with many areas of philosophical debate (as with all of the most interesting ones) there is not a general consensus within philosophical circles as to how to do this.There’s much discussion, both pre and post Gettier, and very little conclusion, as to whether true justified belief is the final answer, or even whether the Gettier counter-examples are actually as groundbreaking as they were thought to be when they were first introduced.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Consideration of this question must begin with something like a glossary - these are terms widely used within the philosophical community, but like always, this community has created their own lexicon. Knowledge, even, does not truly rest at the layman’s use of the term, as it has been twisted and shaped in the hands of those who wish to argue about the conditions that must be met for it to be obtained. In some ways philosophy is about presenting an argument as to how to describe things that happen.</w:t>
      </w:r>
      <w:r w:rsidDel="00000000" w:rsidR="00000000" w:rsidRPr="00000000">
        <w:rPr>
          <w:vertAlign w:val="superscript"/>
        </w:rPr>
        <w:footnoteReference w:customMarkFollows="0" w:id="0"/>
      </w:r>
      <w:r w:rsidDel="00000000" w:rsidR="00000000" w:rsidRPr="00000000">
        <w:rPr>
          <w:rtl w:val="0"/>
        </w:rPr>
        <w:t xml:space="preserve"> Knowledge, for this case, is something like fact, but closer to indisputable fact, something that you might need to have a certain mental state to achieve.</w:t>
      </w:r>
      <w:r w:rsidDel="00000000" w:rsidR="00000000" w:rsidRPr="00000000">
        <w:rPr>
          <w:vertAlign w:val="superscript"/>
        </w:rPr>
        <w:footnoteReference w:customMarkFollows="0" w:id="1"/>
      </w:r>
      <w:r w:rsidDel="00000000" w:rsidR="00000000" w:rsidRPr="00000000">
        <w:rPr>
          <w:rtl w:val="0"/>
        </w:rPr>
        <w:t xml:space="preserve">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True, justified belief, on the other hand, is a tripartite account of knowledge, an attempt to define what is required for the acquisition of knowledge, that before Gettier had been a largely accepted account of that which is required for knowledge.</w:t>
      </w:r>
      <w:r w:rsidDel="00000000" w:rsidR="00000000" w:rsidRPr="00000000">
        <w:rPr>
          <w:vertAlign w:val="superscript"/>
        </w:rPr>
        <w:footnoteReference w:customMarkFollows="0" w:id="2"/>
      </w:r>
      <w:r w:rsidDel="00000000" w:rsidR="00000000" w:rsidRPr="00000000">
        <w:rPr>
          <w:rtl w:val="0"/>
        </w:rPr>
        <w:t xml:space="preserve"> Gettier had the effect of throwing that on it’s head with his cases that fully changed the approach to the attempts to define knowledge, as shown by the use of “Gettiered” in later works, as these cases and their ripples were so widespread that it later became an adjective to describe this certain kind of case.</w:t>
      </w:r>
      <w:r w:rsidDel="00000000" w:rsidR="00000000" w:rsidRPr="00000000">
        <w:rPr>
          <w:vertAlign w:val="superscript"/>
        </w:rPr>
        <w:footnoteReference w:customMarkFollows="0" w:id="3"/>
      </w:r>
      <w:r w:rsidDel="00000000" w:rsidR="00000000" w:rsidRPr="00000000">
        <w:rPr>
          <w:rtl w:val="0"/>
        </w:rPr>
        <w:t xml:space="preserve"> Gettier himself elucidates on what true, justified belief is, putting forward that:</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ab/>
        <w:t xml:space="preserve">“(a) S knows that P IFF (i.e., if and only if)</w:t>
      </w:r>
    </w:p>
    <w:p w:rsidR="00000000" w:rsidDel="00000000" w:rsidP="00000000" w:rsidRDefault="00000000" w:rsidRPr="00000000" w14:paraId="0000000D">
      <w:pPr>
        <w:rPr/>
      </w:pPr>
      <w:r w:rsidDel="00000000" w:rsidR="00000000" w:rsidRPr="00000000">
        <w:rPr>
          <w:rtl w:val="0"/>
        </w:rPr>
        <w:tab/>
        <w:t xml:space="preserve">(i) P is true,</w:t>
      </w:r>
    </w:p>
    <w:p w:rsidR="00000000" w:rsidDel="00000000" w:rsidP="00000000" w:rsidRDefault="00000000" w:rsidRPr="00000000" w14:paraId="0000000E">
      <w:pPr>
        <w:rPr/>
      </w:pPr>
      <w:r w:rsidDel="00000000" w:rsidR="00000000" w:rsidRPr="00000000">
        <w:rPr>
          <w:rtl w:val="0"/>
        </w:rPr>
        <w:tab/>
        <w:t xml:space="preserve">(ii) S believes that P, and</w:t>
      </w:r>
    </w:p>
    <w:p w:rsidR="00000000" w:rsidDel="00000000" w:rsidP="00000000" w:rsidRDefault="00000000" w:rsidRPr="00000000" w14:paraId="0000000F">
      <w:pPr>
        <w:rPr/>
      </w:pPr>
      <w:r w:rsidDel="00000000" w:rsidR="00000000" w:rsidRPr="00000000">
        <w:rPr>
          <w:rtl w:val="0"/>
        </w:rPr>
        <w:tab/>
        <w:t xml:space="preserve">(iii) S is justified in believing that P.”</w:t>
      </w:r>
      <w:r w:rsidDel="00000000" w:rsidR="00000000" w:rsidRPr="00000000">
        <w:rPr>
          <w:vertAlign w:val="superscript"/>
        </w:rPr>
        <w:footnoteReference w:customMarkFollows="0" w:id="4"/>
      </w: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This is Gettier’s formula for justified true belief, and this is the one kept within this paper, as the primary focus of this is to discuss Gettier’s refutation of this approach, and this is easiest when focusing on what Gettier was actually addressing.</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Now finally, Gettier presents us with two cases (though later scholars have thought of many more that they refer to as Gettier-type refutations),</w:t>
      </w:r>
      <w:r w:rsidDel="00000000" w:rsidR="00000000" w:rsidRPr="00000000">
        <w:rPr>
          <w:vertAlign w:val="superscript"/>
        </w:rPr>
        <w:footnoteReference w:customMarkFollows="0" w:id="5"/>
      </w:r>
      <w:r w:rsidDel="00000000" w:rsidR="00000000" w:rsidRPr="00000000">
        <w:rPr>
          <w:rtl w:val="0"/>
        </w:rPr>
        <w:t xml:space="preserve"> which he posits turns justified true belief on its head. These are the case of Smith and the coins in his pocket (or in someone's else's pocket) and the potential recipient of a job, and the case of Brown and the existence of an owner of a Ford.</w:t>
      </w:r>
      <w:r w:rsidDel="00000000" w:rsidR="00000000" w:rsidRPr="00000000">
        <w:rPr>
          <w:vertAlign w:val="superscript"/>
        </w:rPr>
        <w:footnoteReference w:customMarkFollows="0" w:id="6"/>
      </w:r>
      <w:r w:rsidDel="00000000" w:rsidR="00000000" w:rsidRPr="00000000">
        <w:rPr>
          <w:rtl w:val="0"/>
        </w:rPr>
        <w:t xml:space="preserve"> These two cases appear to wholly place the acquirement of knowledge that is, technically, true, on the circumstances of epistemic luck. This then leaves the knowledge that is received, though correct, to be not gleaned from a source that is not quite to the standard that is given for the acquisition of knowledge.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This leads us to question what is the real basis for knowledge? What is it about epistemic luck that leaves us unable to accept this as a real source for knowledge. Surely, the end result is the same? What one is left with is correct, regardless of the location or source of this knowledge. This would be the same as saying that some forms of knowledge acquisition are less valid than others, such as the view that perceptual knowledge is somehow lesser than that which is gained through other mediums.</w:t>
      </w:r>
      <w:r w:rsidDel="00000000" w:rsidR="00000000" w:rsidRPr="00000000">
        <w:rPr>
          <w:vertAlign w:val="superscript"/>
        </w:rPr>
        <w:footnoteReference w:customMarkFollows="0" w:id="7"/>
      </w:r>
      <w:r w:rsidDel="00000000" w:rsidR="00000000" w:rsidRPr="00000000">
        <w:rPr>
          <w:rtl w:val="0"/>
        </w:rPr>
        <w:t xml:space="preserve"> These judgements upon what is and isn’t knowledge, especially within the discipline of philosophy, have been used in attempts to narrow down a real definition for that which is how knowledge is gleaned, but have, actually, just cut off real access to knowledge in certain ways. For example Pritchard uses the case of Gullible John, and this is addressed in such a way that is, somehow, demeaning towards this man who is merely operating off of information that he has been given.</w:t>
      </w:r>
      <w:r w:rsidDel="00000000" w:rsidR="00000000" w:rsidRPr="00000000">
        <w:rPr>
          <w:vertAlign w:val="superscript"/>
        </w:rPr>
        <w:footnoteReference w:customMarkFollows="0" w:id="8"/>
      </w:r>
      <w:r w:rsidDel="00000000" w:rsidR="00000000" w:rsidRPr="00000000">
        <w:rPr>
          <w:rtl w:val="0"/>
        </w:rPr>
        <w:t xml:space="preserve"> This, in turn, is then demeaning towards knowledge acquisition through testimony, making this form of knowledge also less valid. These approaches do not seem to have much in the way of solving them; through creating more specifications for the approach to creating knowledge, they are instead ending up somewhere that actually seems to be counterintuitive. Modes of knowledge acquisition, sources of knowledge, do not have set rules or approaches, such as if one uses Wikipedia, regardless of the inherent lack of trustworthiness of the site, one will still stumble upon some real knowledge. This also comes into play when thinking of knowledge as something that can be “higher” or “better” than others, such as using the phrase “a more sophisticated kind of knowledge”.</w:t>
      </w:r>
      <w:r w:rsidDel="00000000" w:rsidR="00000000" w:rsidRPr="00000000">
        <w:rPr>
          <w:vertAlign w:val="superscript"/>
        </w:rPr>
        <w:footnoteReference w:customMarkFollows="0" w:id="9"/>
      </w:r>
      <w:r w:rsidDel="00000000" w:rsidR="00000000" w:rsidRPr="00000000">
        <w:rPr>
          <w:rtl w:val="0"/>
        </w:rPr>
        <w:t xml:space="preserve"> This just adds an element of elitism to these philosophical discussions, and adds very little of worth to the actual philosophical work taking place. No attempts to raise one form of knowledge over another is truly worth it’s weight within this framework of discussion.</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Schellenberg uses perceptual knowledge as another way in which to tackle Gettier cases, ones that are perceptually based, and in so doing lands somewhere along the lines of believing that perceptual knowledge is, rather, a very powerful mode of knowledge acquisition.</w:t>
      </w:r>
      <w:r w:rsidDel="00000000" w:rsidR="00000000" w:rsidRPr="00000000">
        <w:rPr>
          <w:vertAlign w:val="superscript"/>
        </w:rPr>
        <w:footnoteReference w:customMarkFollows="0" w:id="10"/>
      </w:r>
      <w:r w:rsidDel="00000000" w:rsidR="00000000" w:rsidRPr="00000000">
        <w:rPr>
          <w:rtl w:val="0"/>
        </w:rPr>
        <w:t xml:space="preserve"> Her usage of these Gettier cases, though, is not to prove whether Gettier was, actually, putting forth a revolutionary idea with these approaches, but merely to use them to continue to put forth her extremely separate argument. This shows that Schellenberg, at least, sees the merit of Gettier cases, even when they had to be changed and shaped to fit her approach of perceptual knowledge and evidence. This usage speaks of a belief in the validity of the Gettier cases, as she uses them to strengthen her argument in a way that addresses the philosophical arguments against her hypothesis. This clearly shows the ways in which the Gettier cases have affected the modern scholarly pursuit of the true foundation and definition of knowledge.</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Belief. This is still one of the founding tenets of knowledge; one must believe they have it to have it, and though it could be said that one has knowledge without truly believing it, this then leaves us with how can it be knowledge if the agent does not believe in it? Knowledge, at its core, is something you know, and even if you do not agree do you not still believe it? For example, I know that Donald Trump was president of the United States of America, but I would not say that I, personally, believed in this fact. Belief, in some cases, lends itself to something like support, especially when thinking of it in the kind of religious undertones that the word itself has. And belief, within itself, is something which can be used to dismantle these Gettier cases, as shown by Schreiber in his 1987 paper.</w:t>
      </w:r>
      <w:r w:rsidDel="00000000" w:rsidR="00000000" w:rsidRPr="00000000">
        <w:rPr>
          <w:vertAlign w:val="superscript"/>
        </w:rPr>
        <w:footnoteReference w:customMarkFollows="0" w:id="11"/>
      </w:r>
      <w:r w:rsidDel="00000000" w:rsidR="00000000" w:rsidRPr="00000000">
        <w:rPr>
          <w:rtl w:val="0"/>
        </w:rPr>
        <w:t xml:space="preserve"> Through putting the reader in an omnipotent position, Gettier is actually undermining one of the very tenets that his counterexamples are based upon. This very act undermines the complete message of these counter-examples, according to Schreiber. Seeing his thinking, there is absolutely merit to it, but this seems as though it may be poking holes where there was not previously any.</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br w:type="page"/>
      </w:r>
      <w:r w:rsidDel="00000000" w:rsidR="00000000" w:rsidRPr="00000000">
        <w:rPr>
          <w:rtl w:val="0"/>
        </w:rPr>
      </w:r>
    </w:p>
    <w:p w:rsidR="00000000" w:rsidDel="00000000" w:rsidP="00000000" w:rsidRDefault="00000000" w:rsidRPr="00000000" w14:paraId="0000001E">
      <w:pPr>
        <w:rPr>
          <w:b w:val="1"/>
          <w:u w:val="single"/>
        </w:rPr>
      </w:pPr>
      <w:r w:rsidDel="00000000" w:rsidR="00000000" w:rsidRPr="00000000">
        <w:rPr>
          <w:b w:val="1"/>
          <w:u w:val="single"/>
          <w:rtl w:val="0"/>
        </w:rPr>
        <w:t xml:space="preserve">Bibliography</w:t>
      </w:r>
    </w:p>
    <w:p w:rsidR="00000000" w:rsidDel="00000000" w:rsidP="00000000" w:rsidRDefault="00000000" w:rsidRPr="00000000" w14:paraId="0000001F">
      <w:pPr>
        <w:spacing w:line="240" w:lineRule="auto"/>
        <w:rPr>
          <w:b w:val="1"/>
          <w:u w:val="single"/>
        </w:rPr>
      </w:pPr>
      <w:r w:rsidDel="00000000" w:rsidR="00000000" w:rsidRPr="00000000">
        <w:rPr>
          <w:rFonts w:ascii="Times New Roman" w:cs="Times New Roman" w:eastAsia="Times New Roman" w:hAnsi="Times New Roman"/>
          <w:sz w:val="24"/>
          <w:szCs w:val="24"/>
          <w:rtl w:val="0"/>
        </w:rPr>
        <w:t xml:space="preserve">E. Gettier, ‘Is Justified True Belief Knowledge’, </w:t>
      </w:r>
      <w:r w:rsidDel="00000000" w:rsidR="00000000" w:rsidRPr="00000000">
        <w:rPr>
          <w:rFonts w:ascii="Times New Roman" w:cs="Times New Roman" w:eastAsia="Times New Roman" w:hAnsi="Times New Roman"/>
          <w:i w:val="1"/>
          <w:sz w:val="24"/>
          <w:szCs w:val="24"/>
          <w:rtl w:val="0"/>
        </w:rPr>
        <w:t xml:space="preserve">Analysis</w:t>
      </w:r>
      <w:r w:rsidDel="00000000" w:rsidR="00000000" w:rsidRPr="00000000">
        <w:rPr>
          <w:rFonts w:ascii="Times New Roman" w:cs="Times New Roman" w:eastAsia="Times New Roman" w:hAnsi="Times New Roman"/>
          <w:sz w:val="24"/>
          <w:szCs w:val="24"/>
          <w:rtl w:val="0"/>
        </w:rPr>
        <w:t xml:space="preserve">, Vol.23, 1963, pp.121-23. </w:t>
      </w:r>
      <w:r w:rsidDel="00000000" w:rsidR="00000000" w:rsidRPr="00000000">
        <w:rPr>
          <w:rtl w:val="0"/>
        </w:rPr>
      </w:r>
    </w:p>
    <w:p w:rsidR="00000000" w:rsidDel="00000000" w:rsidP="00000000" w:rsidRDefault="00000000" w:rsidRPr="00000000" w14:paraId="0000002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A.J. Ayer [1956], </w:t>
      </w:r>
      <w:r w:rsidDel="00000000" w:rsidR="00000000" w:rsidRPr="00000000">
        <w:rPr>
          <w:rFonts w:ascii="Times New Roman" w:cs="Times New Roman" w:eastAsia="Times New Roman" w:hAnsi="Times New Roman"/>
          <w:i w:val="1"/>
          <w:sz w:val="24"/>
          <w:szCs w:val="24"/>
          <w:rtl w:val="0"/>
        </w:rPr>
        <w:t xml:space="preserve">The Problem of Knowledge</w:t>
      </w:r>
      <w:r w:rsidDel="00000000" w:rsidR="00000000" w:rsidRPr="00000000">
        <w:rPr>
          <w:rFonts w:ascii="Times New Roman" w:cs="Times New Roman" w:eastAsia="Times New Roman" w:hAnsi="Times New Roman"/>
          <w:sz w:val="24"/>
          <w:szCs w:val="24"/>
          <w:rtl w:val="0"/>
        </w:rPr>
        <w:t xml:space="preserve"> (London: Penguin Books, 1990), ch.1. </w:t>
      </w:r>
    </w:p>
    <w:p w:rsidR="00000000" w:rsidDel="00000000" w:rsidP="00000000" w:rsidRDefault="00000000" w:rsidRPr="00000000" w14:paraId="0000002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Richard Feldman, ‘An Alleged Defect in Gettier Counter-Examples’, in </w:t>
      </w:r>
      <w:r w:rsidDel="00000000" w:rsidR="00000000" w:rsidRPr="00000000">
        <w:rPr>
          <w:rFonts w:ascii="Times New Roman" w:cs="Times New Roman" w:eastAsia="Times New Roman" w:hAnsi="Times New Roman"/>
          <w:i w:val="1"/>
          <w:sz w:val="24"/>
          <w:szCs w:val="24"/>
          <w:rtl w:val="0"/>
        </w:rPr>
        <w:t xml:space="preserve">The Australasian Journal of Philosophy</w:t>
      </w:r>
      <w:r w:rsidDel="00000000" w:rsidR="00000000" w:rsidRPr="00000000">
        <w:rPr>
          <w:rFonts w:ascii="Times New Roman" w:cs="Times New Roman" w:eastAsia="Times New Roman" w:hAnsi="Times New Roman"/>
          <w:sz w:val="24"/>
          <w:szCs w:val="24"/>
          <w:rtl w:val="0"/>
        </w:rPr>
        <w:t xml:space="preserve">, Vol. 52, No.1, 1974, pp. 68-69.</w:t>
      </w:r>
    </w:p>
    <w:p w:rsidR="00000000" w:rsidDel="00000000" w:rsidP="00000000" w:rsidRDefault="00000000" w:rsidRPr="00000000" w14:paraId="00000022">
      <w:pPr>
        <w:spacing w:line="240" w:lineRule="auto"/>
        <w:rPr>
          <w:sz w:val="20"/>
          <w:szCs w:val="20"/>
          <w:highlight w:val="white"/>
        </w:rPr>
      </w:pPr>
      <w:r w:rsidDel="00000000" w:rsidR="00000000" w:rsidRPr="00000000">
        <w:rPr>
          <w:sz w:val="20"/>
          <w:szCs w:val="20"/>
          <w:highlight w:val="white"/>
          <w:rtl w:val="0"/>
        </w:rPr>
        <w:t xml:space="preserve">Besson, C., 2009. LOGICAL KNOWLEDGE AND GETTIER CASES. </w:t>
      </w:r>
      <w:r w:rsidDel="00000000" w:rsidR="00000000" w:rsidRPr="00000000">
        <w:rPr>
          <w:i w:val="1"/>
          <w:sz w:val="20"/>
          <w:szCs w:val="20"/>
          <w:highlight w:val="white"/>
          <w:rtl w:val="0"/>
        </w:rPr>
        <w:t xml:space="preserve">The Philosophical Quarterly</w:t>
      </w:r>
      <w:r w:rsidDel="00000000" w:rsidR="00000000" w:rsidRPr="00000000">
        <w:rPr>
          <w:sz w:val="20"/>
          <w:szCs w:val="20"/>
          <w:highlight w:val="white"/>
          <w:rtl w:val="0"/>
        </w:rPr>
        <w:t xml:space="preserve">, 59(234), pp.1-19.</w:t>
      </w:r>
    </w:p>
    <w:p w:rsidR="00000000" w:rsidDel="00000000" w:rsidP="00000000" w:rsidRDefault="00000000" w:rsidRPr="00000000" w14:paraId="00000023">
      <w:pPr>
        <w:spacing w:line="240" w:lineRule="auto"/>
        <w:rPr>
          <w:sz w:val="20"/>
          <w:szCs w:val="20"/>
          <w:highlight w:val="white"/>
        </w:rPr>
      </w:pPr>
      <w:r w:rsidDel="00000000" w:rsidR="00000000" w:rsidRPr="00000000">
        <w:rPr>
          <w:sz w:val="20"/>
          <w:szCs w:val="20"/>
          <w:highlight w:val="white"/>
          <w:rtl w:val="0"/>
        </w:rPr>
        <w:t xml:space="preserve">Cao, J., 2006. A critique to the significance of Gettier counter-examples. </w:t>
      </w:r>
      <w:r w:rsidDel="00000000" w:rsidR="00000000" w:rsidRPr="00000000">
        <w:rPr>
          <w:i w:val="1"/>
          <w:sz w:val="20"/>
          <w:szCs w:val="20"/>
          <w:highlight w:val="white"/>
          <w:rtl w:val="0"/>
        </w:rPr>
        <w:t xml:space="preserve">Frontiers of Philosophy in China</w:t>
      </w:r>
      <w:r w:rsidDel="00000000" w:rsidR="00000000" w:rsidRPr="00000000">
        <w:rPr>
          <w:sz w:val="20"/>
          <w:szCs w:val="20"/>
          <w:highlight w:val="white"/>
          <w:rtl w:val="0"/>
        </w:rPr>
        <w:t xml:space="preserve">, 1(4), pp.675-687.</w:t>
      </w:r>
    </w:p>
    <w:p w:rsidR="00000000" w:rsidDel="00000000" w:rsidP="00000000" w:rsidRDefault="00000000" w:rsidRPr="00000000" w14:paraId="00000024">
      <w:pPr>
        <w:spacing w:line="240" w:lineRule="auto"/>
        <w:rPr>
          <w:sz w:val="20"/>
          <w:szCs w:val="20"/>
          <w:highlight w:val="white"/>
        </w:rPr>
      </w:pPr>
      <w:r w:rsidDel="00000000" w:rsidR="00000000" w:rsidRPr="00000000">
        <w:rPr>
          <w:sz w:val="20"/>
          <w:szCs w:val="20"/>
          <w:highlight w:val="white"/>
          <w:rtl w:val="0"/>
        </w:rPr>
        <w:t xml:space="preserve">Pritchard, D., 2005. </w:t>
      </w:r>
      <w:r w:rsidDel="00000000" w:rsidR="00000000" w:rsidRPr="00000000">
        <w:rPr>
          <w:i w:val="1"/>
          <w:sz w:val="20"/>
          <w:szCs w:val="20"/>
          <w:highlight w:val="white"/>
          <w:rtl w:val="0"/>
        </w:rPr>
        <w:t xml:space="preserve">Epistemic Luck</w:t>
      </w:r>
      <w:r w:rsidDel="00000000" w:rsidR="00000000" w:rsidRPr="00000000">
        <w:rPr>
          <w:sz w:val="20"/>
          <w:szCs w:val="20"/>
          <w:highlight w:val="white"/>
          <w:rtl w:val="0"/>
        </w:rPr>
        <w:t xml:space="preserve">. Oxford: Clarendon Press.</w:t>
      </w:r>
    </w:p>
    <w:p w:rsidR="00000000" w:rsidDel="00000000" w:rsidP="00000000" w:rsidRDefault="00000000" w:rsidRPr="00000000" w14:paraId="00000025">
      <w:pPr>
        <w:spacing w:line="240" w:lineRule="auto"/>
        <w:rPr>
          <w:sz w:val="20"/>
          <w:szCs w:val="20"/>
          <w:highlight w:val="white"/>
        </w:rPr>
      </w:pPr>
      <w:r w:rsidDel="00000000" w:rsidR="00000000" w:rsidRPr="00000000">
        <w:rPr>
          <w:sz w:val="20"/>
          <w:szCs w:val="20"/>
          <w:highlight w:val="white"/>
          <w:rtl w:val="0"/>
        </w:rPr>
        <w:t xml:space="preserve">Schellenberg, S., 2018. </w:t>
      </w:r>
      <w:r w:rsidDel="00000000" w:rsidR="00000000" w:rsidRPr="00000000">
        <w:rPr>
          <w:i w:val="1"/>
          <w:sz w:val="20"/>
          <w:szCs w:val="20"/>
          <w:highlight w:val="white"/>
          <w:rtl w:val="0"/>
        </w:rPr>
        <w:t xml:space="preserve">The Unity Of Perception</w:t>
      </w:r>
      <w:r w:rsidDel="00000000" w:rsidR="00000000" w:rsidRPr="00000000">
        <w:rPr>
          <w:sz w:val="20"/>
          <w:szCs w:val="20"/>
          <w:highlight w:val="white"/>
          <w:rtl w:val="0"/>
        </w:rPr>
        <w:t xml:space="preserve">. Oxford: Oxford Press.</w:t>
      </w:r>
    </w:p>
    <w:p w:rsidR="00000000" w:rsidDel="00000000" w:rsidP="00000000" w:rsidRDefault="00000000" w:rsidRPr="00000000" w14:paraId="00000026">
      <w:pPr>
        <w:spacing w:line="240" w:lineRule="auto"/>
        <w:rPr>
          <w:sz w:val="20"/>
          <w:szCs w:val="20"/>
          <w:highlight w:val="white"/>
        </w:rPr>
      </w:pPr>
      <w:r w:rsidDel="00000000" w:rsidR="00000000" w:rsidRPr="00000000">
        <w:rPr>
          <w:sz w:val="20"/>
          <w:szCs w:val="20"/>
          <w:highlight w:val="white"/>
          <w:rtl w:val="0"/>
        </w:rPr>
        <w:t xml:space="preserve">SCHREIBER, D., 1987. THE ILLEGITIMACY OF GETTIER EXAMPLES. </w:t>
      </w:r>
      <w:r w:rsidDel="00000000" w:rsidR="00000000" w:rsidRPr="00000000">
        <w:rPr>
          <w:i w:val="1"/>
          <w:sz w:val="20"/>
          <w:szCs w:val="20"/>
          <w:highlight w:val="white"/>
          <w:rtl w:val="0"/>
        </w:rPr>
        <w:t xml:space="preserve">Metaphilosophy</w:t>
      </w:r>
      <w:r w:rsidDel="00000000" w:rsidR="00000000" w:rsidRPr="00000000">
        <w:rPr>
          <w:sz w:val="20"/>
          <w:szCs w:val="20"/>
          <w:highlight w:val="white"/>
          <w:rtl w:val="0"/>
        </w:rPr>
        <w:t xml:space="preserve">, 18(1), pp.49-54.</w:t>
      </w:r>
    </w:p>
    <w:p w:rsidR="00000000" w:rsidDel="00000000" w:rsidP="00000000" w:rsidRDefault="00000000" w:rsidRPr="00000000" w14:paraId="00000027">
      <w:pPr>
        <w:spacing w:line="240" w:lineRule="auto"/>
        <w:rPr>
          <w:sz w:val="20"/>
          <w:szCs w:val="20"/>
          <w:highlight w:val="white"/>
        </w:rPr>
      </w:pPr>
      <w:r w:rsidDel="00000000" w:rsidR="00000000" w:rsidRPr="00000000">
        <w:rPr>
          <w:rtl w:val="0"/>
        </w:rPr>
      </w:r>
    </w:p>
    <w:p w:rsidR="00000000" w:rsidDel="00000000" w:rsidP="00000000" w:rsidRDefault="00000000" w:rsidRPr="00000000" w14:paraId="00000028">
      <w:pPr>
        <w:spacing w:line="240" w:lineRule="auto"/>
        <w:rPr>
          <w:sz w:val="20"/>
          <w:szCs w:val="20"/>
          <w:highlight w:val="white"/>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Ayer 1956:7</w:t>
      </w:r>
    </w:p>
  </w:footnote>
  <w:footnote w:id="1">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Ayer 1956:9</w:t>
      </w:r>
    </w:p>
  </w:footnote>
  <w:footnote w:id="2">
    <w:p w:rsidR="00000000" w:rsidDel="00000000" w:rsidP="00000000" w:rsidRDefault="00000000" w:rsidRPr="00000000" w14:paraId="000000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Cao 2006:679</w:t>
      </w:r>
    </w:p>
  </w:footnote>
  <w:footnote w:id="3">
    <w:p w:rsidR="00000000" w:rsidDel="00000000" w:rsidP="00000000" w:rsidRDefault="00000000" w:rsidRPr="00000000" w14:paraId="000000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Besson 2009:4</w:t>
      </w:r>
    </w:p>
  </w:footnote>
  <w:footnote w:id="4">
    <w:p w:rsidR="00000000" w:rsidDel="00000000" w:rsidP="00000000" w:rsidRDefault="00000000" w:rsidRPr="00000000" w14:paraId="0000003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Gettier 1963:121</w:t>
      </w:r>
    </w:p>
  </w:footnote>
  <w:footnote w:id="5">
    <w:p w:rsidR="00000000" w:rsidDel="00000000" w:rsidP="00000000" w:rsidRDefault="00000000" w:rsidRPr="00000000" w14:paraId="000000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Besson 2009:4, Schellenberg 2018:208</w:t>
      </w:r>
    </w:p>
  </w:footnote>
  <w:footnote w:id="6">
    <w:p w:rsidR="00000000" w:rsidDel="00000000" w:rsidP="00000000" w:rsidRDefault="00000000" w:rsidRPr="00000000" w14:paraId="0000003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Gettier 1963:122</w:t>
      </w:r>
    </w:p>
  </w:footnote>
  <w:footnote w:id="7">
    <w:p w:rsidR="00000000" w:rsidDel="00000000" w:rsidP="00000000" w:rsidRDefault="00000000" w:rsidRPr="00000000" w14:paraId="000000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Schellenberg 2018:213</w:t>
      </w:r>
    </w:p>
  </w:footnote>
  <w:footnote w:id="8">
    <w:p w:rsidR="00000000" w:rsidDel="00000000" w:rsidP="00000000" w:rsidRDefault="00000000" w:rsidRPr="00000000" w14:paraId="0000003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Pritchard 2005:146</w:t>
      </w:r>
    </w:p>
  </w:footnote>
  <w:footnote w:id="10">
    <w:p w:rsidR="00000000" w:rsidDel="00000000" w:rsidP="00000000" w:rsidRDefault="00000000" w:rsidRPr="00000000" w14:paraId="0000003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Schellenberg 2018:212</w:t>
      </w:r>
    </w:p>
  </w:footnote>
  <w:footnote w:id="9">
    <w:p w:rsidR="00000000" w:rsidDel="00000000" w:rsidP="00000000" w:rsidRDefault="00000000" w:rsidRPr="00000000" w14:paraId="0000003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Schellenberg 2018:211</w:t>
      </w:r>
    </w:p>
  </w:footnote>
  <w:footnote w:id="11">
    <w:p w:rsidR="00000000" w:rsidDel="00000000" w:rsidP="00000000" w:rsidRDefault="00000000" w:rsidRPr="00000000" w14:paraId="0000003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Schreiber 1987:52</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