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77A53" w14:textId="4A389198" w:rsidR="001C0CD2" w:rsidRPr="00DD5177" w:rsidRDefault="00B70618" w:rsidP="001C0CD2">
      <w:pPr>
        <w:jc w:val="center"/>
        <w:rPr>
          <w:b/>
          <w:bCs/>
          <w:i/>
          <w:iCs/>
          <w:sz w:val="56"/>
          <w:szCs w:val="56"/>
        </w:rPr>
      </w:pPr>
      <w:r w:rsidRPr="00DD5177">
        <w:rPr>
          <w:b/>
          <w:bCs/>
          <w:i/>
          <w:iCs/>
          <w:sz w:val="56"/>
          <w:szCs w:val="56"/>
        </w:rPr>
        <w:t>Employee Engagement</w:t>
      </w:r>
    </w:p>
    <w:p w14:paraId="3CD07C87" w14:textId="77777777" w:rsidR="001C0CD2" w:rsidRDefault="001C0CD2" w:rsidP="001C0CD2">
      <w:pPr>
        <w:jc w:val="center"/>
        <w:rPr>
          <w:b/>
          <w:bCs/>
          <w:sz w:val="36"/>
          <w:szCs w:val="36"/>
        </w:rPr>
      </w:pPr>
    </w:p>
    <w:p w14:paraId="0F7F233B" w14:textId="77777777" w:rsidR="001C0CD2" w:rsidRDefault="001C0CD2" w:rsidP="001C0CD2">
      <w:pPr>
        <w:jc w:val="center"/>
        <w:rPr>
          <w:b/>
          <w:bCs/>
          <w:sz w:val="36"/>
          <w:szCs w:val="36"/>
        </w:rPr>
      </w:pPr>
    </w:p>
    <w:p w14:paraId="4C6CD3AF" w14:textId="77777777" w:rsidR="001C0CD2" w:rsidRDefault="001C0CD2" w:rsidP="001C0CD2">
      <w:pPr>
        <w:jc w:val="center"/>
        <w:rPr>
          <w:b/>
          <w:bCs/>
          <w:sz w:val="36"/>
          <w:szCs w:val="36"/>
        </w:rPr>
      </w:pPr>
    </w:p>
    <w:p w14:paraId="09C9B829" w14:textId="77777777" w:rsidR="001C0CD2" w:rsidRDefault="001C0CD2" w:rsidP="001C0CD2">
      <w:pPr>
        <w:jc w:val="center"/>
        <w:rPr>
          <w:b/>
          <w:bCs/>
          <w:sz w:val="36"/>
          <w:szCs w:val="36"/>
        </w:rPr>
      </w:pPr>
    </w:p>
    <w:p w14:paraId="4A058ED4" w14:textId="77777777" w:rsidR="001C0CD2" w:rsidRDefault="001C0CD2" w:rsidP="001C0CD2">
      <w:pPr>
        <w:jc w:val="center"/>
        <w:rPr>
          <w:b/>
          <w:bCs/>
          <w:sz w:val="36"/>
          <w:szCs w:val="36"/>
        </w:rPr>
      </w:pPr>
    </w:p>
    <w:p w14:paraId="67DBF706" w14:textId="77777777" w:rsidR="00DD5177" w:rsidRDefault="00DD5177" w:rsidP="001C0CD2">
      <w:pPr>
        <w:rPr>
          <w:rFonts w:ascii="Arial" w:hAnsi="Arial" w:cs="Arial"/>
          <w:b/>
          <w:bCs/>
          <w:sz w:val="32"/>
          <w:szCs w:val="32"/>
        </w:rPr>
      </w:pPr>
    </w:p>
    <w:p w14:paraId="35E6A61B" w14:textId="77777777" w:rsidR="00DD5177" w:rsidRDefault="00DD5177" w:rsidP="001C0CD2">
      <w:pPr>
        <w:rPr>
          <w:rFonts w:ascii="Arial" w:hAnsi="Arial" w:cs="Arial"/>
          <w:b/>
          <w:bCs/>
          <w:sz w:val="32"/>
          <w:szCs w:val="32"/>
        </w:rPr>
      </w:pPr>
    </w:p>
    <w:p w14:paraId="425A5AA1" w14:textId="7CA08A4D" w:rsidR="001C0CD2" w:rsidRDefault="001C0CD2" w:rsidP="001C0CD2">
      <w:pPr>
        <w:rPr>
          <w:rFonts w:ascii="Arial" w:hAnsi="Arial" w:cs="Arial"/>
          <w:b/>
          <w:bCs/>
          <w:sz w:val="32"/>
          <w:szCs w:val="32"/>
        </w:rPr>
      </w:pPr>
      <w:r>
        <w:rPr>
          <w:rFonts w:ascii="Arial" w:hAnsi="Arial" w:cs="Arial"/>
          <w:b/>
          <w:bCs/>
          <w:sz w:val="32"/>
          <w:szCs w:val="32"/>
        </w:rPr>
        <w:t xml:space="preserve">Student Name: Adina Roxana Irimia </w:t>
      </w:r>
    </w:p>
    <w:p w14:paraId="1E975FE2" w14:textId="732A0912" w:rsidR="001C0CD2" w:rsidRDefault="001C0CD2" w:rsidP="001C0CD2">
      <w:pPr>
        <w:rPr>
          <w:rFonts w:ascii="Arial" w:hAnsi="Arial" w:cs="Arial"/>
          <w:b/>
          <w:bCs/>
          <w:sz w:val="32"/>
          <w:szCs w:val="32"/>
        </w:rPr>
      </w:pPr>
      <w:r>
        <w:rPr>
          <w:rFonts w:ascii="Arial" w:hAnsi="Arial" w:cs="Arial"/>
          <w:b/>
          <w:bCs/>
          <w:sz w:val="32"/>
          <w:szCs w:val="32"/>
        </w:rPr>
        <w:t>Student ID : 21250416</w:t>
      </w:r>
    </w:p>
    <w:p w14:paraId="35F19CE4" w14:textId="111C97F2" w:rsidR="00B70618" w:rsidRDefault="001C0CD2" w:rsidP="001C0CD2">
      <w:pPr>
        <w:rPr>
          <w:rFonts w:ascii="Arial" w:hAnsi="Arial" w:cs="Arial"/>
          <w:b/>
          <w:bCs/>
          <w:sz w:val="32"/>
          <w:szCs w:val="32"/>
        </w:rPr>
      </w:pPr>
      <w:r w:rsidRPr="001C0CD2">
        <w:rPr>
          <w:rFonts w:ascii="Arial" w:hAnsi="Arial" w:cs="Arial"/>
          <w:b/>
          <w:bCs/>
          <w:sz w:val="32"/>
          <w:szCs w:val="32"/>
        </w:rPr>
        <w:t xml:space="preserve">Personnel Resourcing and Development </w:t>
      </w:r>
    </w:p>
    <w:p w14:paraId="6BCA5590" w14:textId="73BCA3CA" w:rsidR="001C0CD2" w:rsidRDefault="001C0CD2" w:rsidP="001C0CD2">
      <w:pPr>
        <w:rPr>
          <w:rFonts w:ascii="Arial" w:hAnsi="Arial" w:cs="Arial"/>
          <w:b/>
          <w:bCs/>
          <w:sz w:val="32"/>
          <w:szCs w:val="32"/>
        </w:rPr>
      </w:pPr>
      <w:r w:rsidRPr="001C0CD2">
        <w:rPr>
          <w:rFonts w:ascii="Arial" w:hAnsi="Arial" w:cs="Arial"/>
          <w:b/>
          <w:bCs/>
          <w:sz w:val="32"/>
          <w:szCs w:val="32"/>
        </w:rPr>
        <w:t>BMIH5005</w:t>
      </w:r>
      <w:r>
        <w:rPr>
          <w:rFonts w:ascii="Arial" w:hAnsi="Arial" w:cs="Arial"/>
          <w:b/>
          <w:bCs/>
          <w:sz w:val="32"/>
          <w:szCs w:val="32"/>
        </w:rPr>
        <w:t xml:space="preserve"> </w:t>
      </w:r>
    </w:p>
    <w:p w14:paraId="2EC37B80" w14:textId="2459BA60" w:rsidR="001C0CD2" w:rsidRDefault="001C0CD2" w:rsidP="001C0CD2">
      <w:pPr>
        <w:rPr>
          <w:rFonts w:ascii="Arial" w:hAnsi="Arial" w:cs="Arial"/>
          <w:b/>
          <w:bCs/>
          <w:sz w:val="32"/>
          <w:szCs w:val="32"/>
        </w:rPr>
      </w:pPr>
      <w:r w:rsidRPr="001C0CD2">
        <w:rPr>
          <w:rFonts w:ascii="Arial" w:hAnsi="Arial" w:cs="Arial"/>
          <w:b/>
          <w:bCs/>
          <w:sz w:val="32"/>
          <w:szCs w:val="32"/>
        </w:rPr>
        <w:t>Helen Lee</w:t>
      </w:r>
    </w:p>
    <w:p w14:paraId="20C7237D" w14:textId="77777777" w:rsidR="001C0CD2" w:rsidRDefault="001C0CD2" w:rsidP="001C0CD2">
      <w:pPr>
        <w:rPr>
          <w:rFonts w:ascii="Arial" w:hAnsi="Arial" w:cs="Arial"/>
          <w:b/>
          <w:bCs/>
          <w:sz w:val="32"/>
          <w:szCs w:val="32"/>
        </w:rPr>
      </w:pPr>
    </w:p>
    <w:p w14:paraId="00610D25" w14:textId="77777777" w:rsidR="001C0CD2" w:rsidRDefault="001C0CD2" w:rsidP="001C0CD2">
      <w:pPr>
        <w:rPr>
          <w:rFonts w:ascii="Arial" w:hAnsi="Arial" w:cs="Arial"/>
          <w:b/>
          <w:bCs/>
          <w:sz w:val="32"/>
          <w:szCs w:val="32"/>
        </w:rPr>
      </w:pPr>
    </w:p>
    <w:p w14:paraId="4E1849CA" w14:textId="77777777" w:rsidR="001C0CD2" w:rsidRDefault="001C0CD2" w:rsidP="001C0CD2">
      <w:pPr>
        <w:rPr>
          <w:rFonts w:ascii="Arial" w:hAnsi="Arial" w:cs="Arial"/>
          <w:b/>
          <w:bCs/>
          <w:sz w:val="32"/>
          <w:szCs w:val="32"/>
        </w:rPr>
      </w:pPr>
    </w:p>
    <w:p w14:paraId="19832B86" w14:textId="77777777" w:rsidR="001C0CD2" w:rsidRDefault="001C0CD2" w:rsidP="001C0CD2">
      <w:pPr>
        <w:rPr>
          <w:rFonts w:ascii="Arial" w:hAnsi="Arial" w:cs="Arial"/>
          <w:b/>
          <w:bCs/>
          <w:sz w:val="32"/>
          <w:szCs w:val="32"/>
        </w:rPr>
      </w:pPr>
    </w:p>
    <w:p w14:paraId="498C4280" w14:textId="77777777" w:rsidR="001C0CD2" w:rsidRDefault="001C0CD2" w:rsidP="001C0CD2">
      <w:pPr>
        <w:rPr>
          <w:rFonts w:ascii="Arial" w:hAnsi="Arial" w:cs="Arial"/>
          <w:b/>
          <w:bCs/>
          <w:sz w:val="32"/>
          <w:szCs w:val="32"/>
        </w:rPr>
      </w:pPr>
    </w:p>
    <w:p w14:paraId="437B561C" w14:textId="77777777" w:rsidR="001C0CD2" w:rsidRDefault="001C0CD2" w:rsidP="001C0CD2">
      <w:pPr>
        <w:rPr>
          <w:rFonts w:ascii="Arial" w:hAnsi="Arial" w:cs="Arial"/>
          <w:b/>
          <w:bCs/>
          <w:sz w:val="32"/>
          <w:szCs w:val="32"/>
        </w:rPr>
      </w:pPr>
    </w:p>
    <w:p w14:paraId="2CEDC02B" w14:textId="77777777" w:rsidR="001C0CD2" w:rsidRDefault="001C0CD2" w:rsidP="001C0CD2">
      <w:pPr>
        <w:rPr>
          <w:rFonts w:ascii="Arial" w:hAnsi="Arial" w:cs="Arial"/>
          <w:b/>
          <w:bCs/>
          <w:sz w:val="32"/>
          <w:szCs w:val="32"/>
        </w:rPr>
      </w:pPr>
    </w:p>
    <w:p w14:paraId="58DFDFDF" w14:textId="77777777" w:rsidR="001C0CD2" w:rsidRDefault="001C0CD2" w:rsidP="001C0CD2">
      <w:pPr>
        <w:rPr>
          <w:rFonts w:ascii="Arial" w:hAnsi="Arial" w:cs="Arial"/>
          <w:b/>
          <w:bCs/>
          <w:sz w:val="32"/>
          <w:szCs w:val="32"/>
        </w:rPr>
      </w:pPr>
    </w:p>
    <w:p w14:paraId="48975237" w14:textId="77777777" w:rsidR="001C0CD2" w:rsidRDefault="001C0CD2" w:rsidP="001C0CD2">
      <w:pPr>
        <w:rPr>
          <w:rFonts w:ascii="Arial" w:hAnsi="Arial" w:cs="Arial"/>
          <w:b/>
          <w:bCs/>
          <w:sz w:val="32"/>
          <w:szCs w:val="32"/>
        </w:rPr>
      </w:pPr>
    </w:p>
    <w:p w14:paraId="7531E2A2" w14:textId="77777777" w:rsidR="001C0CD2" w:rsidRDefault="001C0CD2" w:rsidP="001C0CD2">
      <w:pPr>
        <w:rPr>
          <w:rFonts w:ascii="Arial" w:hAnsi="Arial" w:cs="Arial"/>
          <w:b/>
          <w:bCs/>
          <w:sz w:val="32"/>
          <w:szCs w:val="32"/>
        </w:rPr>
      </w:pPr>
    </w:p>
    <w:p w14:paraId="7E46D634" w14:textId="77777777" w:rsidR="00515132" w:rsidRDefault="00515132" w:rsidP="00B34A16">
      <w:pPr>
        <w:rPr>
          <w:rFonts w:ascii="Arial" w:hAnsi="Arial" w:cs="Arial"/>
          <w:b/>
          <w:bCs/>
          <w:sz w:val="32"/>
          <w:szCs w:val="32"/>
        </w:rPr>
      </w:pPr>
    </w:p>
    <w:p w14:paraId="7646ED20" w14:textId="68757CEF" w:rsidR="00B34A16" w:rsidRPr="00B34A16" w:rsidRDefault="001C0CD2" w:rsidP="00B34A16">
      <w:pPr>
        <w:rPr>
          <w:rFonts w:ascii="Arial" w:hAnsi="Arial" w:cs="Arial"/>
          <w:b/>
          <w:bCs/>
          <w:sz w:val="32"/>
          <w:szCs w:val="32"/>
        </w:rPr>
      </w:pPr>
      <w:r>
        <w:rPr>
          <w:rFonts w:ascii="Arial" w:hAnsi="Arial" w:cs="Arial"/>
          <w:b/>
          <w:bCs/>
          <w:sz w:val="32"/>
          <w:szCs w:val="32"/>
        </w:rPr>
        <w:lastRenderedPageBreak/>
        <w:t xml:space="preserve">Introduction </w:t>
      </w:r>
    </w:p>
    <w:p w14:paraId="50020905" w14:textId="26A6489D" w:rsidR="00B34A16" w:rsidRDefault="009F20B9" w:rsidP="001C0CD2">
      <w:pPr>
        <w:rPr>
          <w:rFonts w:ascii="Arial" w:hAnsi="Arial" w:cs="Arial"/>
          <w:sz w:val="24"/>
          <w:szCs w:val="24"/>
        </w:rPr>
      </w:pPr>
      <w:r w:rsidRPr="009F20B9">
        <w:rPr>
          <w:rFonts w:ascii="Arial" w:hAnsi="Arial" w:cs="Arial"/>
          <w:sz w:val="24"/>
          <w:szCs w:val="24"/>
        </w:rPr>
        <w:t xml:space="preserve">Employee engagement is a cornerstone of a positive and productive work environment, and it begins from the moment a potential candidate interacts with your organization. The employee lifecycle, which encompasses stages from recruitment and onboarding to development, retention, and exit, offers numerous opportunities to foster a deep sense of commitment and loyalty among your team. In this guide, we will explore a comprehensive set of strategies that can be employed at each stage of the employee lifecycle to ensure that your employees feel valued, motivated, and closely aligned with your organization's goals and values. </w:t>
      </w:r>
    </w:p>
    <w:p w14:paraId="192F8067" w14:textId="77777777" w:rsidR="009F20B9" w:rsidRPr="009F20B9" w:rsidRDefault="009F20B9" w:rsidP="009F20B9">
      <w:pPr>
        <w:rPr>
          <w:rFonts w:ascii="Arial" w:hAnsi="Arial" w:cs="Arial"/>
          <w:sz w:val="24"/>
          <w:szCs w:val="24"/>
        </w:rPr>
      </w:pPr>
      <w:r w:rsidRPr="009F20B9">
        <w:rPr>
          <w:rFonts w:ascii="Arial" w:hAnsi="Arial" w:cs="Arial"/>
          <w:sz w:val="24"/>
          <w:szCs w:val="24"/>
        </w:rPr>
        <w:t>Here are some strategies to engage employees at each stage of the lifecycle:</w:t>
      </w:r>
    </w:p>
    <w:p w14:paraId="4E5DC12A"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t>Recruitment:</w:t>
      </w:r>
    </w:p>
    <w:p w14:paraId="7DC8489D"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Create a strong employer brand: Highlight your company's culture, values, and mission to attract candidates who align with your organization's goals.</w:t>
      </w:r>
    </w:p>
    <w:p w14:paraId="07969F82"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Use employee referrals: Encourage current employees to refer potential candidates, as they are more likely to refer people who would fit well within the organization.</w:t>
      </w:r>
    </w:p>
    <w:p w14:paraId="3871E411"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Provide a clear job description: Ensure that job roles and responsibilities are clearly defined to attract candidates who are genuinely interested in the role.</w:t>
      </w:r>
    </w:p>
    <w:p w14:paraId="04472F9B"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t>Onboarding:</w:t>
      </w:r>
    </w:p>
    <w:p w14:paraId="39F9EF1A"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Have a structured onboarding process: Ensure that new employees receive comprehensive training and orientation to help them understand their roles and the company culture.</w:t>
      </w:r>
    </w:p>
    <w:p w14:paraId="44568F36"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Assign a buddy or mentor: Pair new hires with a more experienced colleague who can provide guidance and support during the initial weeks.</w:t>
      </w:r>
    </w:p>
    <w:p w14:paraId="47C0F17E"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Gather feedback: Continuously seek feedback from new employees about their onboarding experience and make necessary improvements.</w:t>
      </w:r>
    </w:p>
    <w:p w14:paraId="4FFD57AC"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t>Development:</w:t>
      </w:r>
    </w:p>
    <w:p w14:paraId="451946B6"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Offer opportunities for growth: Provide training and development programs to help employees acquire new skills and advance their careers.</w:t>
      </w:r>
    </w:p>
    <w:p w14:paraId="75BA9D2A"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Set clear goals: Ensure employees have well-defined objectives and understand how their work contributes to the organization's success.</w:t>
      </w:r>
    </w:p>
    <w:p w14:paraId="132C476D"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Encourage regular performance discussions: Conduct regular performance reviews and discussions to provide constructive feedback and address development needs.</w:t>
      </w:r>
    </w:p>
    <w:p w14:paraId="24BCDB1E"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lastRenderedPageBreak/>
        <w:t>Retention:</w:t>
      </w:r>
    </w:p>
    <w:p w14:paraId="7C2EE26A"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Promote work-life balance: Support employees in maintaining a healthy work-life balance to prevent burnout and promote well-being.</w:t>
      </w:r>
    </w:p>
    <w:p w14:paraId="2DB0F884"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Recognize and reward: Recognize and reward employees for their achievements and contributions, both formally and informally.</w:t>
      </w:r>
    </w:p>
    <w:p w14:paraId="793AAB1A"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Provide opportunities for advancement: Offer career advancement opportunities and pathways for employees to grow within the organization.</w:t>
      </w:r>
    </w:p>
    <w:p w14:paraId="5AC30BC4"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t>Exit:</w:t>
      </w:r>
    </w:p>
    <w:p w14:paraId="07A739D8"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Conduct exit interviews: When employees decide to leave, conduct exit interviews to gather valuable feedback and insights to improve the organization.</w:t>
      </w:r>
    </w:p>
    <w:p w14:paraId="3562CC91"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Maintain positive relationships: Even when employees leave, maintain a positive relationship to encourage potential rehires or referrals.</w:t>
      </w:r>
    </w:p>
    <w:p w14:paraId="2A4E99E3"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Address concerns: Address any concerns raised by departing employees promptly and professionally.</w:t>
      </w:r>
    </w:p>
    <w:p w14:paraId="247270AF"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t>Ongoing engagement:</w:t>
      </w:r>
    </w:p>
    <w:p w14:paraId="5559AD89"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Communicate transparently: Keep employees informed about company updates, changes, and developments.</w:t>
      </w:r>
    </w:p>
    <w:p w14:paraId="6C6330F1"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Foster a sense of belonging: Create a culture of inclusivity and belonging to ensure employees feel valued and connected to their work and colleagues.</w:t>
      </w:r>
    </w:p>
    <w:p w14:paraId="34597507"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Employee recognition: Celebrate achievements, milestones, and work anniversaries to show appreciation for employees' contributions.</w:t>
      </w:r>
    </w:p>
    <w:p w14:paraId="66EB6189"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t>Employee feedback:</w:t>
      </w:r>
    </w:p>
    <w:p w14:paraId="6F09B65C"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Regularly seek input: Encourage employees to share their ideas, suggestions, and concerns, and act on their feedback when possible.</w:t>
      </w:r>
    </w:p>
    <w:p w14:paraId="30CEF163" w14:textId="2F6CAD5E" w:rsidR="009F20B9" w:rsidRDefault="009F20B9" w:rsidP="001C0CD2">
      <w:pPr>
        <w:numPr>
          <w:ilvl w:val="1"/>
          <w:numId w:val="3"/>
        </w:numPr>
        <w:rPr>
          <w:rFonts w:ascii="Arial" w:hAnsi="Arial" w:cs="Arial"/>
          <w:sz w:val="24"/>
          <w:szCs w:val="24"/>
        </w:rPr>
      </w:pPr>
      <w:r w:rsidRPr="009F20B9">
        <w:rPr>
          <w:rFonts w:ascii="Arial" w:hAnsi="Arial" w:cs="Arial"/>
          <w:sz w:val="24"/>
          <w:szCs w:val="24"/>
        </w:rPr>
        <w:t>Employee surveys: Conduct periodic employee surveys to gauge satisfaction, engagement, and areas for improvement.</w:t>
      </w:r>
    </w:p>
    <w:p w14:paraId="7C99B990" w14:textId="4584ED38" w:rsidR="00B70618" w:rsidRDefault="00B70618" w:rsidP="00B70618">
      <w:pPr>
        <w:rPr>
          <w:rFonts w:ascii="Arial" w:hAnsi="Arial" w:cs="Arial"/>
          <w:sz w:val="24"/>
          <w:szCs w:val="24"/>
        </w:rPr>
      </w:pPr>
      <w:r w:rsidRPr="00B70618">
        <w:rPr>
          <w:rFonts w:ascii="Arial" w:hAnsi="Arial" w:cs="Arial"/>
          <w:sz w:val="24"/>
          <w:szCs w:val="24"/>
        </w:rPr>
        <w:t>Engaging a team throughout the employee lifecycle offers numerous advantages and contributes to a positive and productive work environment.</w:t>
      </w:r>
    </w:p>
    <w:p w14:paraId="3D0DC8DF" w14:textId="77777777" w:rsidR="00B70618" w:rsidRPr="00B70618" w:rsidRDefault="00B70618" w:rsidP="00B70618">
      <w:pPr>
        <w:rPr>
          <w:rFonts w:ascii="Arial" w:hAnsi="Arial" w:cs="Arial"/>
          <w:sz w:val="24"/>
          <w:szCs w:val="24"/>
        </w:rPr>
      </w:pPr>
      <w:r w:rsidRPr="00B70618">
        <w:rPr>
          <w:rFonts w:ascii="Arial" w:hAnsi="Arial" w:cs="Arial"/>
          <w:b/>
          <w:bCs/>
          <w:sz w:val="24"/>
          <w:szCs w:val="24"/>
        </w:rPr>
        <w:t>Engaging a Team Throughout the Employee Lifecycle and Its Advantages</w:t>
      </w:r>
    </w:p>
    <w:p w14:paraId="54DFEB0D" w14:textId="77777777" w:rsidR="00B70618" w:rsidRPr="00B70618" w:rsidRDefault="00B70618" w:rsidP="00B70618">
      <w:pPr>
        <w:rPr>
          <w:rFonts w:ascii="Arial" w:hAnsi="Arial" w:cs="Arial"/>
          <w:sz w:val="24"/>
          <w:szCs w:val="24"/>
        </w:rPr>
      </w:pPr>
      <w:r w:rsidRPr="00B70618">
        <w:rPr>
          <w:rFonts w:ascii="Arial" w:hAnsi="Arial" w:cs="Arial"/>
          <w:sz w:val="24"/>
          <w:szCs w:val="24"/>
        </w:rPr>
        <w:t xml:space="preserve">In the dynamic landscape of today's workplaces, employee engagement stands as a critical factor that influences an organization's success. The concept of employee engagement goes beyond mere job satisfaction; it encompasses the emotional commitment and alignment of employees with their organization's goals and values. This engagement is not a one-time effort but an ongoing process that unfolds at </w:t>
      </w:r>
      <w:r w:rsidRPr="00B70618">
        <w:rPr>
          <w:rFonts w:ascii="Arial" w:hAnsi="Arial" w:cs="Arial"/>
          <w:sz w:val="24"/>
          <w:szCs w:val="24"/>
        </w:rPr>
        <w:lastRenderedPageBreak/>
        <w:t>various stages of the employee lifecycle. Understanding and implementing strategies for engagement at each of these stages can yield a host of benefits, both for the employees and the organization as a whole.</w:t>
      </w:r>
    </w:p>
    <w:p w14:paraId="2D493BF9" w14:textId="77777777" w:rsidR="00B70618" w:rsidRPr="00B70618" w:rsidRDefault="00B70618" w:rsidP="00B70618">
      <w:pPr>
        <w:rPr>
          <w:rFonts w:ascii="Arial" w:hAnsi="Arial" w:cs="Arial"/>
          <w:sz w:val="24"/>
          <w:szCs w:val="24"/>
        </w:rPr>
      </w:pPr>
      <w:r w:rsidRPr="00B70618">
        <w:rPr>
          <w:rFonts w:ascii="Arial" w:hAnsi="Arial" w:cs="Arial"/>
          <w:b/>
          <w:bCs/>
          <w:sz w:val="24"/>
          <w:szCs w:val="24"/>
        </w:rPr>
        <w:t>Attracting the Right Talent:</w:t>
      </w:r>
    </w:p>
    <w:p w14:paraId="6D8E88A9" w14:textId="77777777" w:rsidR="00B70618" w:rsidRPr="00B70618" w:rsidRDefault="00B70618" w:rsidP="00B70618">
      <w:pPr>
        <w:rPr>
          <w:rFonts w:ascii="Arial" w:hAnsi="Arial" w:cs="Arial"/>
          <w:sz w:val="24"/>
          <w:szCs w:val="24"/>
        </w:rPr>
      </w:pPr>
      <w:r w:rsidRPr="00B70618">
        <w:rPr>
          <w:rFonts w:ascii="Arial" w:hAnsi="Arial" w:cs="Arial"/>
          <w:sz w:val="24"/>
          <w:szCs w:val="24"/>
        </w:rPr>
        <w:t>The process of engaging employees begins even before they join the organization, during the attraction phase. Companies are increasingly recognizing the importance of creating a strong employer brand, one that highlights the company's culture, values, and mission. By conveying these core aspects, organizations can attract candidates who not only possess the necessary skills but also resonate with the company's goals. This approach can lead to a better long-term fit, higher job satisfaction, and more profound commitment.</w:t>
      </w:r>
    </w:p>
    <w:p w14:paraId="101DA6FF" w14:textId="77777777" w:rsidR="00B70618" w:rsidRPr="00B70618" w:rsidRDefault="00B70618" w:rsidP="00B70618">
      <w:pPr>
        <w:rPr>
          <w:rFonts w:ascii="Arial" w:hAnsi="Arial" w:cs="Arial"/>
          <w:sz w:val="24"/>
          <w:szCs w:val="24"/>
        </w:rPr>
      </w:pPr>
      <w:r w:rsidRPr="00B70618">
        <w:rPr>
          <w:rFonts w:ascii="Arial" w:hAnsi="Arial" w:cs="Arial"/>
          <w:b/>
          <w:bCs/>
          <w:sz w:val="24"/>
          <w:szCs w:val="24"/>
        </w:rPr>
        <w:t>Enhancing the Recruitment Process:</w:t>
      </w:r>
    </w:p>
    <w:p w14:paraId="5C9C31D1" w14:textId="77777777" w:rsidR="00B70618" w:rsidRPr="00B70618" w:rsidRDefault="00B70618" w:rsidP="00B70618">
      <w:pPr>
        <w:rPr>
          <w:rFonts w:ascii="Arial" w:hAnsi="Arial" w:cs="Arial"/>
          <w:sz w:val="24"/>
          <w:szCs w:val="24"/>
        </w:rPr>
      </w:pPr>
      <w:r w:rsidRPr="00B70618">
        <w:rPr>
          <w:rFonts w:ascii="Arial" w:hAnsi="Arial" w:cs="Arial"/>
          <w:sz w:val="24"/>
          <w:szCs w:val="24"/>
        </w:rPr>
        <w:t>The engagement journey continues into the recruitment phase, where organizations can benefit from their existing employees' involvement. Encouraging current employees to refer potential candidates is a strategic move as they are more likely to refer individuals who would seamlessly fit within the organizational culture. This approach often results in the recruitment of higher-quality candidates who are more likely to be a better cultural fit. The advantages are evident in the form of reduced turnover and improved team cohesion, both of which significantly impact organizational success.</w:t>
      </w:r>
    </w:p>
    <w:p w14:paraId="6F300D11" w14:textId="77777777" w:rsidR="00B70618" w:rsidRPr="00B70618" w:rsidRDefault="00B70618" w:rsidP="00B70618">
      <w:pPr>
        <w:rPr>
          <w:rFonts w:ascii="Arial" w:hAnsi="Arial" w:cs="Arial"/>
          <w:sz w:val="24"/>
          <w:szCs w:val="24"/>
        </w:rPr>
      </w:pPr>
      <w:r w:rsidRPr="00B70618">
        <w:rPr>
          <w:rFonts w:ascii="Arial" w:hAnsi="Arial" w:cs="Arial"/>
          <w:b/>
          <w:bCs/>
          <w:sz w:val="24"/>
          <w:szCs w:val="24"/>
        </w:rPr>
        <w:t>Onboarding for Success:</w:t>
      </w:r>
    </w:p>
    <w:p w14:paraId="217245D4" w14:textId="77777777" w:rsidR="00B70618" w:rsidRPr="00B70618" w:rsidRDefault="00B70618" w:rsidP="00B70618">
      <w:pPr>
        <w:rPr>
          <w:rFonts w:ascii="Arial" w:hAnsi="Arial" w:cs="Arial"/>
          <w:sz w:val="24"/>
          <w:szCs w:val="24"/>
        </w:rPr>
      </w:pPr>
      <w:r w:rsidRPr="00B70618">
        <w:rPr>
          <w:rFonts w:ascii="Arial" w:hAnsi="Arial" w:cs="Arial"/>
          <w:sz w:val="24"/>
          <w:szCs w:val="24"/>
        </w:rPr>
        <w:t xml:space="preserve">Once new employees are recruited, the onboarding phase takes </w:t>
      </w:r>
      <w:proofErr w:type="spellStart"/>
      <w:r w:rsidRPr="00B70618">
        <w:rPr>
          <w:rFonts w:ascii="Arial" w:hAnsi="Arial" w:cs="Arial"/>
          <w:sz w:val="24"/>
          <w:szCs w:val="24"/>
        </w:rPr>
        <w:t>center</w:t>
      </w:r>
      <w:proofErr w:type="spellEnd"/>
      <w:r w:rsidRPr="00B70618">
        <w:rPr>
          <w:rFonts w:ascii="Arial" w:hAnsi="Arial" w:cs="Arial"/>
          <w:sz w:val="24"/>
          <w:szCs w:val="24"/>
        </w:rPr>
        <w:t xml:space="preserve"> stage. Here, a structured onboarding process is essential to help newcomers understand their roles and become acquainted with the company's culture. A proper onboarding process contributes to quicker productivity, improved job satisfaction, and reduced turnover among new hires. It sets the stage for employees to become engaged, committed, and aligned with the organization's goals.</w:t>
      </w:r>
    </w:p>
    <w:p w14:paraId="37EDAB36" w14:textId="77777777" w:rsidR="00B70618" w:rsidRPr="00B70618" w:rsidRDefault="00B70618" w:rsidP="00B70618">
      <w:pPr>
        <w:rPr>
          <w:rFonts w:ascii="Arial" w:hAnsi="Arial" w:cs="Arial"/>
          <w:sz w:val="24"/>
          <w:szCs w:val="24"/>
        </w:rPr>
      </w:pPr>
      <w:r w:rsidRPr="00B70618">
        <w:rPr>
          <w:rFonts w:ascii="Arial" w:hAnsi="Arial" w:cs="Arial"/>
          <w:b/>
          <w:bCs/>
          <w:sz w:val="24"/>
          <w:szCs w:val="24"/>
        </w:rPr>
        <w:t>Investing in Employee Development:</w:t>
      </w:r>
    </w:p>
    <w:p w14:paraId="33CDFE40" w14:textId="77777777" w:rsidR="00B70618" w:rsidRPr="00B70618" w:rsidRDefault="00B70618" w:rsidP="00B70618">
      <w:pPr>
        <w:rPr>
          <w:rFonts w:ascii="Arial" w:hAnsi="Arial" w:cs="Arial"/>
          <w:sz w:val="24"/>
          <w:szCs w:val="24"/>
        </w:rPr>
      </w:pPr>
      <w:r w:rsidRPr="00B70618">
        <w:rPr>
          <w:rFonts w:ascii="Arial" w:hAnsi="Arial" w:cs="Arial"/>
          <w:sz w:val="24"/>
          <w:szCs w:val="24"/>
        </w:rPr>
        <w:t>The development phase is pivotal in the employee lifecycle. Organizations can engage their workforce by offering training and development programs to help employees acquire new skills and advance in their careers. Such investments in employee development not only enhance individual capabilities but also boost motivation, job satisfaction, and employee loyalty. In the long term, this translates into a more skilled and committed talent pool, essential for an organization's growth and success.</w:t>
      </w:r>
    </w:p>
    <w:p w14:paraId="009FA99B" w14:textId="77777777" w:rsidR="00B70618" w:rsidRPr="00B70618" w:rsidRDefault="00B70618" w:rsidP="00B70618">
      <w:pPr>
        <w:rPr>
          <w:rFonts w:ascii="Arial" w:hAnsi="Arial" w:cs="Arial"/>
          <w:sz w:val="24"/>
          <w:szCs w:val="24"/>
        </w:rPr>
      </w:pPr>
      <w:r w:rsidRPr="00B70618">
        <w:rPr>
          <w:rFonts w:ascii="Arial" w:hAnsi="Arial" w:cs="Arial"/>
          <w:b/>
          <w:bCs/>
          <w:sz w:val="24"/>
          <w:szCs w:val="24"/>
        </w:rPr>
        <w:t>Retaining Talent:</w:t>
      </w:r>
    </w:p>
    <w:p w14:paraId="083A564F" w14:textId="77777777" w:rsidR="00B70618" w:rsidRPr="00B70618" w:rsidRDefault="00B70618" w:rsidP="00B70618">
      <w:pPr>
        <w:rPr>
          <w:rFonts w:ascii="Arial" w:hAnsi="Arial" w:cs="Arial"/>
          <w:sz w:val="24"/>
          <w:szCs w:val="24"/>
        </w:rPr>
      </w:pPr>
      <w:r w:rsidRPr="00B70618">
        <w:rPr>
          <w:rFonts w:ascii="Arial" w:hAnsi="Arial" w:cs="Arial"/>
          <w:sz w:val="24"/>
          <w:szCs w:val="24"/>
        </w:rPr>
        <w:t xml:space="preserve">Engagement strategies also play a vital role in retaining employees. Promoting work-life balance, recognizing and rewarding achievements, and providing opportunities for advancement are key engagement strategies during the retention phase. High employee retention is advantageous as it reduces recruitment and training costs, </w:t>
      </w:r>
      <w:r w:rsidRPr="00B70618">
        <w:rPr>
          <w:rFonts w:ascii="Arial" w:hAnsi="Arial" w:cs="Arial"/>
          <w:sz w:val="24"/>
          <w:szCs w:val="24"/>
        </w:rPr>
        <w:lastRenderedPageBreak/>
        <w:t>maintains institutional knowledge, and fosters a more stable and experienced workforce.</w:t>
      </w:r>
    </w:p>
    <w:p w14:paraId="410DD49D" w14:textId="77777777" w:rsidR="00B70618" w:rsidRPr="00B70618" w:rsidRDefault="00B70618" w:rsidP="00B70618">
      <w:pPr>
        <w:rPr>
          <w:rFonts w:ascii="Arial" w:hAnsi="Arial" w:cs="Arial"/>
          <w:sz w:val="24"/>
          <w:szCs w:val="24"/>
        </w:rPr>
      </w:pPr>
      <w:r w:rsidRPr="00B70618">
        <w:rPr>
          <w:rFonts w:ascii="Arial" w:hAnsi="Arial" w:cs="Arial"/>
          <w:b/>
          <w:bCs/>
          <w:sz w:val="24"/>
          <w:szCs w:val="24"/>
        </w:rPr>
        <w:t>Effective Separation and Exit:</w:t>
      </w:r>
    </w:p>
    <w:p w14:paraId="4AA26E0D" w14:textId="77777777" w:rsidR="00B70618" w:rsidRPr="00B70618" w:rsidRDefault="00B70618" w:rsidP="00B70618">
      <w:pPr>
        <w:rPr>
          <w:rFonts w:ascii="Arial" w:hAnsi="Arial" w:cs="Arial"/>
          <w:sz w:val="24"/>
          <w:szCs w:val="24"/>
        </w:rPr>
      </w:pPr>
      <w:r w:rsidRPr="00B70618">
        <w:rPr>
          <w:rFonts w:ascii="Arial" w:hAnsi="Arial" w:cs="Arial"/>
          <w:sz w:val="24"/>
          <w:szCs w:val="24"/>
        </w:rPr>
        <w:t>Even when employees decide to leave the organization, the engagement journey does not end. During the separation phase, conducting exit interviews, maintaining positive relationships, and professionally addressing concerns raised by departing employees can lead to several benefits. Exit interviews provide valuable insights for improvement, maintaining positive relationships can result in rehires or referrals, and addressing concerns professionally can mitigate potential negative reviews, safeguarding the organization's reputation.</w:t>
      </w:r>
    </w:p>
    <w:p w14:paraId="5464D72B" w14:textId="1D5AC4CB" w:rsidR="00B70618" w:rsidRPr="00B70618" w:rsidRDefault="00B70618" w:rsidP="00B70618">
      <w:pPr>
        <w:rPr>
          <w:rFonts w:ascii="Arial" w:hAnsi="Arial" w:cs="Arial"/>
          <w:sz w:val="24"/>
          <w:szCs w:val="24"/>
        </w:rPr>
      </w:pPr>
      <w:r w:rsidRPr="00B70618">
        <w:rPr>
          <w:rFonts w:ascii="Arial" w:hAnsi="Arial" w:cs="Arial"/>
          <w:sz w:val="24"/>
          <w:szCs w:val="24"/>
        </w:rPr>
        <w:t>The advantages of engaging a team throughout the employee lifecycle are numerous and far-reaching. Engaged employees tend to be more productive, satisfied with their work, and cohesive as a team. They contribute to shaping and reinforcing a positive organizational culture, which, in turn, attracts top talent. Engaged employees are also more likely to be innovative and creative, contributing new ideas and innovations. They provide excellent customer service, enhancing customer satisfaction and loyalty. Additionally, a workplace that actively engages its employees is seen as an attractive and reputable employer, which can help attract top talent and ultimately save costs in terms of recruitment, training, and turnover.</w:t>
      </w:r>
      <w:r w:rsidR="00515132" w:rsidRPr="00515132">
        <w:rPr>
          <w:rFonts w:ascii="Arial" w:hAnsi="Arial" w:cs="Arial"/>
          <w:color w:val="1F1F1F"/>
          <w:shd w:val="clear" w:color="auto" w:fill="FFFFFF"/>
        </w:rPr>
        <w:t xml:space="preserve"> </w:t>
      </w:r>
      <w:r w:rsidR="00515132" w:rsidRPr="00515132">
        <w:rPr>
          <w:rFonts w:ascii="Arial" w:hAnsi="Arial" w:cs="Arial"/>
          <w:sz w:val="24"/>
          <w:szCs w:val="24"/>
        </w:rPr>
        <w:t xml:space="preserve">Ulrich, D., &amp; </w:t>
      </w:r>
      <w:proofErr w:type="spellStart"/>
      <w:r w:rsidR="00515132" w:rsidRPr="00515132">
        <w:rPr>
          <w:rFonts w:ascii="Arial" w:hAnsi="Arial" w:cs="Arial"/>
          <w:sz w:val="24"/>
          <w:szCs w:val="24"/>
        </w:rPr>
        <w:t>Urwick</w:t>
      </w:r>
      <w:proofErr w:type="spellEnd"/>
      <w:r w:rsidR="00515132" w:rsidRPr="00515132">
        <w:rPr>
          <w:rFonts w:ascii="Arial" w:hAnsi="Arial" w:cs="Arial"/>
          <w:sz w:val="24"/>
          <w:szCs w:val="24"/>
        </w:rPr>
        <w:t>, D. (1979).</w:t>
      </w:r>
    </w:p>
    <w:p w14:paraId="0DE760D5" w14:textId="77777777" w:rsidR="00136B7E" w:rsidRPr="00136B7E" w:rsidRDefault="00136B7E" w:rsidP="00136B7E">
      <w:pPr>
        <w:rPr>
          <w:rFonts w:ascii="Arial" w:hAnsi="Arial" w:cs="Arial"/>
          <w:sz w:val="24"/>
          <w:szCs w:val="24"/>
        </w:rPr>
      </w:pPr>
      <w:r w:rsidRPr="00136B7E">
        <w:rPr>
          <w:rFonts w:ascii="Arial" w:hAnsi="Arial" w:cs="Arial"/>
          <w:b/>
          <w:bCs/>
          <w:sz w:val="24"/>
          <w:szCs w:val="24"/>
        </w:rPr>
        <w:t>Effective Strategies for Engaging Your Team in the Workplace</w:t>
      </w:r>
    </w:p>
    <w:p w14:paraId="007A7352" w14:textId="77777777" w:rsidR="00136B7E" w:rsidRPr="00136B7E" w:rsidRDefault="00136B7E" w:rsidP="00136B7E">
      <w:pPr>
        <w:rPr>
          <w:rFonts w:ascii="Arial" w:hAnsi="Arial" w:cs="Arial"/>
          <w:sz w:val="24"/>
          <w:szCs w:val="24"/>
        </w:rPr>
      </w:pPr>
      <w:r w:rsidRPr="00136B7E">
        <w:rPr>
          <w:rFonts w:ascii="Arial" w:hAnsi="Arial" w:cs="Arial"/>
          <w:sz w:val="24"/>
          <w:szCs w:val="24"/>
        </w:rPr>
        <w:t>Engaging a team is essential for a positive and productive work environment. These strategies promote team engagement and contribute to employee well-being and organizational success.</w:t>
      </w:r>
    </w:p>
    <w:p w14:paraId="74A6BD25" w14:textId="77777777" w:rsidR="00136B7E" w:rsidRPr="00136B7E" w:rsidRDefault="00136B7E" w:rsidP="00136B7E">
      <w:pPr>
        <w:rPr>
          <w:rFonts w:ascii="Arial" w:hAnsi="Arial" w:cs="Arial"/>
          <w:sz w:val="24"/>
          <w:szCs w:val="24"/>
        </w:rPr>
      </w:pPr>
      <w:r w:rsidRPr="00136B7E">
        <w:rPr>
          <w:rFonts w:ascii="Arial" w:hAnsi="Arial" w:cs="Arial"/>
          <w:b/>
          <w:bCs/>
          <w:sz w:val="24"/>
          <w:szCs w:val="24"/>
        </w:rPr>
        <w:t>1. Lead by Example:</w:t>
      </w:r>
    </w:p>
    <w:p w14:paraId="3BB322AA" w14:textId="77777777" w:rsidR="00136B7E" w:rsidRPr="00136B7E" w:rsidRDefault="00136B7E" w:rsidP="00136B7E">
      <w:pPr>
        <w:numPr>
          <w:ilvl w:val="0"/>
          <w:numId w:val="4"/>
        </w:numPr>
        <w:rPr>
          <w:rFonts w:ascii="Arial" w:hAnsi="Arial" w:cs="Arial"/>
          <w:sz w:val="24"/>
          <w:szCs w:val="24"/>
        </w:rPr>
      </w:pPr>
      <w:r w:rsidRPr="00136B7E">
        <w:rPr>
          <w:rFonts w:ascii="Arial" w:hAnsi="Arial" w:cs="Arial"/>
          <w:sz w:val="24"/>
          <w:szCs w:val="24"/>
        </w:rPr>
        <w:t>Demonstrate the values and work ethic you expect from your team, inspiring commitment and accountability.</w:t>
      </w:r>
    </w:p>
    <w:p w14:paraId="62459A43" w14:textId="77777777" w:rsidR="00136B7E" w:rsidRPr="00136B7E" w:rsidRDefault="00136B7E" w:rsidP="00136B7E">
      <w:pPr>
        <w:rPr>
          <w:rFonts w:ascii="Arial" w:hAnsi="Arial" w:cs="Arial"/>
          <w:sz w:val="24"/>
          <w:szCs w:val="24"/>
        </w:rPr>
      </w:pPr>
      <w:r w:rsidRPr="00136B7E">
        <w:rPr>
          <w:rFonts w:ascii="Arial" w:hAnsi="Arial" w:cs="Arial"/>
          <w:b/>
          <w:bCs/>
          <w:sz w:val="24"/>
          <w:szCs w:val="24"/>
        </w:rPr>
        <w:t>2. Effective Communication:</w:t>
      </w:r>
    </w:p>
    <w:p w14:paraId="233BF99F" w14:textId="77777777" w:rsidR="00136B7E" w:rsidRPr="00136B7E" w:rsidRDefault="00136B7E" w:rsidP="00136B7E">
      <w:pPr>
        <w:numPr>
          <w:ilvl w:val="0"/>
          <w:numId w:val="5"/>
        </w:numPr>
        <w:rPr>
          <w:rFonts w:ascii="Arial" w:hAnsi="Arial" w:cs="Arial"/>
          <w:sz w:val="24"/>
          <w:szCs w:val="24"/>
        </w:rPr>
      </w:pPr>
      <w:r w:rsidRPr="00136B7E">
        <w:rPr>
          <w:rFonts w:ascii="Arial" w:hAnsi="Arial" w:cs="Arial"/>
          <w:sz w:val="24"/>
          <w:szCs w:val="24"/>
        </w:rPr>
        <w:t>Maintain open, transparent, and regular communication to create a sense of belonging and shared purpose.</w:t>
      </w:r>
    </w:p>
    <w:p w14:paraId="4EE41736" w14:textId="77777777" w:rsidR="00136B7E" w:rsidRPr="00136B7E" w:rsidRDefault="00136B7E" w:rsidP="00136B7E">
      <w:pPr>
        <w:rPr>
          <w:rFonts w:ascii="Arial" w:hAnsi="Arial" w:cs="Arial"/>
          <w:sz w:val="24"/>
          <w:szCs w:val="24"/>
        </w:rPr>
      </w:pPr>
      <w:r w:rsidRPr="00136B7E">
        <w:rPr>
          <w:rFonts w:ascii="Arial" w:hAnsi="Arial" w:cs="Arial"/>
          <w:b/>
          <w:bCs/>
          <w:sz w:val="24"/>
          <w:szCs w:val="24"/>
        </w:rPr>
        <w:t>3. Set Clear Expectations:</w:t>
      </w:r>
    </w:p>
    <w:p w14:paraId="1F5B5347" w14:textId="77777777" w:rsidR="00136B7E" w:rsidRPr="00136B7E" w:rsidRDefault="00136B7E" w:rsidP="00136B7E">
      <w:pPr>
        <w:numPr>
          <w:ilvl w:val="0"/>
          <w:numId w:val="6"/>
        </w:numPr>
        <w:rPr>
          <w:rFonts w:ascii="Arial" w:hAnsi="Arial" w:cs="Arial"/>
          <w:sz w:val="24"/>
          <w:szCs w:val="24"/>
        </w:rPr>
      </w:pPr>
      <w:r w:rsidRPr="00136B7E">
        <w:rPr>
          <w:rFonts w:ascii="Arial" w:hAnsi="Arial" w:cs="Arial"/>
          <w:sz w:val="24"/>
          <w:szCs w:val="24"/>
        </w:rPr>
        <w:t>Define roles, responsibilities, and goals to empower and engage team members.</w:t>
      </w:r>
    </w:p>
    <w:p w14:paraId="0D968A69" w14:textId="77777777" w:rsidR="00136B7E" w:rsidRPr="00136B7E" w:rsidRDefault="00136B7E" w:rsidP="00136B7E">
      <w:pPr>
        <w:rPr>
          <w:rFonts w:ascii="Arial" w:hAnsi="Arial" w:cs="Arial"/>
          <w:sz w:val="24"/>
          <w:szCs w:val="24"/>
        </w:rPr>
      </w:pPr>
      <w:r w:rsidRPr="00136B7E">
        <w:rPr>
          <w:rFonts w:ascii="Arial" w:hAnsi="Arial" w:cs="Arial"/>
          <w:b/>
          <w:bCs/>
          <w:sz w:val="24"/>
          <w:szCs w:val="24"/>
        </w:rPr>
        <w:t>4. Provide Growth Opportunities:</w:t>
      </w:r>
    </w:p>
    <w:p w14:paraId="634899C9" w14:textId="77777777" w:rsidR="00136B7E" w:rsidRPr="00136B7E" w:rsidRDefault="00136B7E" w:rsidP="00136B7E">
      <w:pPr>
        <w:numPr>
          <w:ilvl w:val="0"/>
          <w:numId w:val="7"/>
        </w:numPr>
        <w:rPr>
          <w:rFonts w:ascii="Arial" w:hAnsi="Arial" w:cs="Arial"/>
          <w:sz w:val="24"/>
          <w:szCs w:val="24"/>
        </w:rPr>
      </w:pPr>
      <w:r w:rsidRPr="00136B7E">
        <w:rPr>
          <w:rFonts w:ascii="Arial" w:hAnsi="Arial" w:cs="Arial"/>
          <w:sz w:val="24"/>
          <w:szCs w:val="24"/>
        </w:rPr>
        <w:t>Offer training, skill development, and career advancement, encouraging long-term engagement.</w:t>
      </w:r>
    </w:p>
    <w:p w14:paraId="7340A456" w14:textId="77777777" w:rsidR="00136B7E" w:rsidRPr="00136B7E" w:rsidRDefault="00136B7E" w:rsidP="00136B7E">
      <w:pPr>
        <w:rPr>
          <w:rFonts w:ascii="Arial" w:hAnsi="Arial" w:cs="Arial"/>
          <w:sz w:val="24"/>
          <w:szCs w:val="24"/>
        </w:rPr>
      </w:pPr>
      <w:r w:rsidRPr="00136B7E">
        <w:rPr>
          <w:rFonts w:ascii="Arial" w:hAnsi="Arial" w:cs="Arial"/>
          <w:b/>
          <w:bCs/>
          <w:sz w:val="24"/>
          <w:szCs w:val="24"/>
        </w:rPr>
        <w:t>5. Recognition and Reward:</w:t>
      </w:r>
    </w:p>
    <w:p w14:paraId="11ED5BCD" w14:textId="77777777" w:rsidR="00136B7E" w:rsidRPr="00136B7E" w:rsidRDefault="00136B7E" w:rsidP="00136B7E">
      <w:pPr>
        <w:numPr>
          <w:ilvl w:val="0"/>
          <w:numId w:val="8"/>
        </w:numPr>
        <w:rPr>
          <w:rFonts w:ascii="Arial" w:hAnsi="Arial" w:cs="Arial"/>
          <w:sz w:val="24"/>
          <w:szCs w:val="24"/>
        </w:rPr>
      </w:pPr>
      <w:r w:rsidRPr="00136B7E">
        <w:rPr>
          <w:rFonts w:ascii="Arial" w:hAnsi="Arial" w:cs="Arial"/>
          <w:sz w:val="24"/>
          <w:szCs w:val="24"/>
        </w:rPr>
        <w:t>Acknowledge achievements to motivate and convey value to team members.</w:t>
      </w:r>
    </w:p>
    <w:p w14:paraId="59E771F5" w14:textId="77777777" w:rsidR="00136B7E" w:rsidRPr="00136B7E" w:rsidRDefault="00136B7E" w:rsidP="00136B7E">
      <w:pPr>
        <w:rPr>
          <w:rFonts w:ascii="Arial" w:hAnsi="Arial" w:cs="Arial"/>
          <w:sz w:val="24"/>
          <w:szCs w:val="24"/>
        </w:rPr>
      </w:pPr>
      <w:r w:rsidRPr="00136B7E">
        <w:rPr>
          <w:rFonts w:ascii="Arial" w:hAnsi="Arial" w:cs="Arial"/>
          <w:b/>
          <w:bCs/>
          <w:sz w:val="24"/>
          <w:szCs w:val="24"/>
        </w:rPr>
        <w:lastRenderedPageBreak/>
        <w:t>6. Foster Collaboration:</w:t>
      </w:r>
    </w:p>
    <w:p w14:paraId="1F0B9D78" w14:textId="77777777" w:rsidR="00136B7E" w:rsidRPr="00136B7E" w:rsidRDefault="00136B7E" w:rsidP="00136B7E">
      <w:pPr>
        <w:numPr>
          <w:ilvl w:val="0"/>
          <w:numId w:val="9"/>
        </w:numPr>
        <w:rPr>
          <w:rFonts w:ascii="Arial" w:hAnsi="Arial" w:cs="Arial"/>
          <w:sz w:val="24"/>
          <w:szCs w:val="24"/>
        </w:rPr>
      </w:pPr>
      <w:r w:rsidRPr="00136B7E">
        <w:rPr>
          <w:rFonts w:ascii="Arial" w:hAnsi="Arial" w:cs="Arial"/>
          <w:sz w:val="24"/>
          <w:szCs w:val="24"/>
        </w:rPr>
        <w:t>Encourage teamwork and unity, enhancing problem-solving and effectiveness.</w:t>
      </w:r>
    </w:p>
    <w:p w14:paraId="1BA4D9CA" w14:textId="77777777" w:rsidR="00136B7E" w:rsidRPr="00136B7E" w:rsidRDefault="00136B7E" w:rsidP="00136B7E">
      <w:pPr>
        <w:rPr>
          <w:rFonts w:ascii="Arial" w:hAnsi="Arial" w:cs="Arial"/>
          <w:sz w:val="24"/>
          <w:szCs w:val="24"/>
        </w:rPr>
      </w:pPr>
      <w:r w:rsidRPr="00136B7E">
        <w:rPr>
          <w:rFonts w:ascii="Arial" w:hAnsi="Arial" w:cs="Arial"/>
          <w:b/>
          <w:bCs/>
          <w:sz w:val="24"/>
          <w:szCs w:val="24"/>
        </w:rPr>
        <w:t>7. Empower Decision-Making:</w:t>
      </w:r>
    </w:p>
    <w:p w14:paraId="1E43E204" w14:textId="77777777" w:rsidR="00136B7E" w:rsidRPr="00136B7E" w:rsidRDefault="00136B7E" w:rsidP="00136B7E">
      <w:pPr>
        <w:numPr>
          <w:ilvl w:val="0"/>
          <w:numId w:val="10"/>
        </w:numPr>
        <w:rPr>
          <w:rFonts w:ascii="Arial" w:hAnsi="Arial" w:cs="Arial"/>
          <w:sz w:val="24"/>
          <w:szCs w:val="24"/>
        </w:rPr>
      </w:pPr>
      <w:r w:rsidRPr="00136B7E">
        <w:rPr>
          <w:rFonts w:ascii="Arial" w:hAnsi="Arial" w:cs="Arial"/>
          <w:sz w:val="24"/>
          <w:szCs w:val="24"/>
        </w:rPr>
        <w:t>Grant autonomy to enhance personal investment and commitment.</w:t>
      </w:r>
    </w:p>
    <w:p w14:paraId="2D427FCE" w14:textId="77777777" w:rsidR="00136B7E" w:rsidRPr="00136B7E" w:rsidRDefault="00136B7E" w:rsidP="00136B7E">
      <w:pPr>
        <w:rPr>
          <w:rFonts w:ascii="Arial" w:hAnsi="Arial" w:cs="Arial"/>
          <w:sz w:val="24"/>
          <w:szCs w:val="24"/>
        </w:rPr>
      </w:pPr>
      <w:r w:rsidRPr="00136B7E">
        <w:rPr>
          <w:rFonts w:ascii="Arial" w:hAnsi="Arial" w:cs="Arial"/>
          <w:b/>
          <w:bCs/>
          <w:sz w:val="24"/>
          <w:szCs w:val="24"/>
        </w:rPr>
        <w:t>8. Promote Work-Life Balance:</w:t>
      </w:r>
    </w:p>
    <w:p w14:paraId="6B2DDF32" w14:textId="77777777" w:rsidR="00136B7E" w:rsidRPr="00136B7E" w:rsidRDefault="00136B7E" w:rsidP="00136B7E">
      <w:pPr>
        <w:numPr>
          <w:ilvl w:val="0"/>
          <w:numId w:val="11"/>
        </w:numPr>
        <w:rPr>
          <w:rFonts w:ascii="Arial" w:hAnsi="Arial" w:cs="Arial"/>
          <w:sz w:val="24"/>
          <w:szCs w:val="24"/>
        </w:rPr>
      </w:pPr>
      <w:r w:rsidRPr="00136B7E">
        <w:rPr>
          <w:rFonts w:ascii="Arial" w:hAnsi="Arial" w:cs="Arial"/>
          <w:sz w:val="24"/>
          <w:szCs w:val="24"/>
        </w:rPr>
        <w:t>Encourage balance to reduce stress and foster a harmonious, engaged workforce.</w:t>
      </w:r>
    </w:p>
    <w:p w14:paraId="59D86771" w14:textId="77777777" w:rsidR="00136B7E" w:rsidRPr="00136B7E" w:rsidRDefault="00136B7E" w:rsidP="00136B7E">
      <w:pPr>
        <w:rPr>
          <w:rFonts w:ascii="Arial" w:hAnsi="Arial" w:cs="Arial"/>
          <w:sz w:val="24"/>
          <w:szCs w:val="24"/>
        </w:rPr>
      </w:pPr>
      <w:r w:rsidRPr="00136B7E">
        <w:rPr>
          <w:rFonts w:ascii="Arial" w:hAnsi="Arial" w:cs="Arial"/>
          <w:b/>
          <w:bCs/>
          <w:sz w:val="24"/>
          <w:szCs w:val="24"/>
        </w:rPr>
        <w:t>9. Feedback and Development:</w:t>
      </w:r>
    </w:p>
    <w:p w14:paraId="5E0531A4" w14:textId="77777777" w:rsidR="00136B7E" w:rsidRPr="00136B7E" w:rsidRDefault="00136B7E" w:rsidP="00136B7E">
      <w:pPr>
        <w:numPr>
          <w:ilvl w:val="0"/>
          <w:numId w:val="12"/>
        </w:numPr>
        <w:rPr>
          <w:rFonts w:ascii="Arial" w:hAnsi="Arial" w:cs="Arial"/>
          <w:sz w:val="24"/>
          <w:szCs w:val="24"/>
        </w:rPr>
      </w:pPr>
      <w:r w:rsidRPr="00136B7E">
        <w:rPr>
          <w:rFonts w:ascii="Arial" w:hAnsi="Arial" w:cs="Arial"/>
          <w:sz w:val="24"/>
          <w:szCs w:val="24"/>
        </w:rPr>
        <w:t>Regular discussions show commitment to individual growth and improvement.</w:t>
      </w:r>
    </w:p>
    <w:p w14:paraId="04E6BF6C" w14:textId="15DB7016" w:rsidR="00136B7E" w:rsidRDefault="00136B7E" w:rsidP="00136B7E">
      <w:pPr>
        <w:rPr>
          <w:rFonts w:ascii="Arial" w:hAnsi="Arial" w:cs="Arial"/>
          <w:sz w:val="24"/>
          <w:szCs w:val="24"/>
        </w:rPr>
      </w:pPr>
      <w:r w:rsidRPr="00136B7E">
        <w:rPr>
          <w:rFonts w:ascii="Arial" w:hAnsi="Arial" w:cs="Arial"/>
          <w:sz w:val="24"/>
          <w:szCs w:val="24"/>
        </w:rPr>
        <w:t>Engaging your team is an ongoing journey that fosters motivation, commitment, and success within the organization</w:t>
      </w:r>
      <w:r w:rsidR="00DD5177">
        <w:rPr>
          <w:rFonts w:ascii="Arial" w:hAnsi="Arial" w:cs="Arial"/>
          <w:sz w:val="24"/>
          <w:szCs w:val="24"/>
        </w:rPr>
        <w:t>.</w:t>
      </w:r>
    </w:p>
    <w:p w14:paraId="0DE55C30" w14:textId="19AD0FCC" w:rsidR="00DD5177" w:rsidRDefault="00DD5177" w:rsidP="00136B7E">
      <w:pPr>
        <w:rPr>
          <w:rFonts w:ascii="Arial" w:hAnsi="Arial" w:cs="Arial"/>
          <w:sz w:val="24"/>
          <w:szCs w:val="24"/>
        </w:rPr>
      </w:pPr>
      <w:r w:rsidRPr="00DD5177">
        <w:rPr>
          <w:rFonts w:ascii="Arial" w:hAnsi="Arial" w:cs="Arial"/>
          <w:sz w:val="24"/>
          <w:szCs w:val="24"/>
        </w:rPr>
        <w:t>Creating an employee engagement model and implementing it effectively is crucial for fostering a positive and productive work environment.</w:t>
      </w:r>
    </w:p>
    <w:p w14:paraId="6FA0D582" w14:textId="77777777" w:rsidR="00DD5177" w:rsidRPr="00DD5177" w:rsidRDefault="00DD5177" w:rsidP="00DD5177">
      <w:pPr>
        <w:pStyle w:val="Listparagraf"/>
        <w:rPr>
          <w:rFonts w:ascii="Arial" w:hAnsi="Arial" w:cs="Arial"/>
          <w:b/>
          <w:bCs/>
          <w:sz w:val="24"/>
          <w:szCs w:val="24"/>
        </w:rPr>
      </w:pPr>
      <w:r w:rsidRPr="00DD5177">
        <w:rPr>
          <w:rFonts w:ascii="Arial" w:hAnsi="Arial" w:cs="Arial"/>
          <w:b/>
          <w:bCs/>
          <w:sz w:val="24"/>
          <w:szCs w:val="24"/>
        </w:rPr>
        <w:t>Employee Engagement Model:</w:t>
      </w:r>
    </w:p>
    <w:p w14:paraId="082BC0DC"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Assessment:</w:t>
      </w:r>
    </w:p>
    <w:p w14:paraId="1192694E"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Understand the Current State: Begin by assessing the current level of employee engagement within your organization. Use surveys, feedback, and data analysis to gather insights.</w:t>
      </w:r>
    </w:p>
    <w:p w14:paraId="38DE7D59"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Strategy Development:</w:t>
      </w:r>
    </w:p>
    <w:p w14:paraId="4A7B9905"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Define Objectives: Set clear engagement objectives aligned with the organization's goals. Identify what you want to achieve through improved engagement.</w:t>
      </w:r>
    </w:p>
    <w:p w14:paraId="02AA3EEB"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Leadership Commitment:</w:t>
      </w:r>
    </w:p>
    <w:p w14:paraId="583C78A3" w14:textId="77777777" w:rsidR="00DD5177" w:rsidRPr="00DD5177" w:rsidRDefault="00DD5177" w:rsidP="00DD5177">
      <w:pPr>
        <w:ind w:left="360"/>
        <w:rPr>
          <w:rFonts w:ascii="Arial" w:hAnsi="Arial" w:cs="Arial"/>
          <w:sz w:val="24"/>
          <w:szCs w:val="24"/>
        </w:rPr>
      </w:pPr>
      <w:r w:rsidRPr="00DD5177">
        <w:rPr>
          <w:rFonts w:ascii="Arial" w:hAnsi="Arial" w:cs="Arial"/>
          <w:sz w:val="24"/>
          <w:szCs w:val="24"/>
        </w:rPr>
        <w:t>Gain Leadership Buy-In: Ensure that top leadership is committed to and actively supports the engagement initiative. Leadership sets the tone for the entire organization.</w:t>
      </w:r>
    </w:p>
    <w:p w14:paraId="22ECF90F"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Communication:</w:t>
      </w:r>
    </w:p>
    <w:p w14:paraId="781B77E2"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Develop a Communication Plan: Establish a clear and consistent communication strategy to keep employees informed about the engagement initiative, its goals, and progress.</w:t>
      </w:r>
    </w:p>
    <w:p w14:paraId="50D30539"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Feedback Mechanisms:</w:t>
      </w:r>
    </w:p>
    <w:p w14:paraId="4A7C39BE"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Implement Feedback Channels: Create regular opportunities for employees to provide feedback and suggestions. Listen to their concerns and ideas.</w:t>
      </w:r>
    </w:p>
    <w:p w14:paraId="1AC0064B"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Employee Development:</w:t>
      </w:r>
    </w:p>
    <w:p w14:paraId="53BE1DAC"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Provide Growth Opportunities: Offer training, development programs, and clear career advancement paths to show a commitment to employee growth.</w:t>
      </w:r>
    </w:p>
    <w:p w14:paraId="3F8532B1"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Recognition and Rewards:</w:t>
      </w:r>
    </w:p>
    <w:p w14:paraId="73F676A8"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Implement Recognition Programs: Acknowledge and reward employees for their contributions, whether through formal awards or informal praise.</w:t>
      </w:r>
    </w:p>
    <w:p w14:paraId="5132FA60"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Work-Life Balance:</w:t>
      </w:r>
    </w:p>
    <w:p w14:paraId="2BBC0BB8"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lastRenderedPageBreak/>
        <w:t>Promote Well-Being: Encourage a healthy work-life balance through flexible work arrangements and wellness programs.</w:t>
      </w:r>
    </w:p>
    <w:p w14:paraId="681A5953"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Collaboration:</w:t>
      </w:r>
    </w:p>
    <w:p w14:paraId="55E1A9EE"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Foster a Collaborative Culture: Create an environment that encourages teamwork and cooperation. Team-building activities and cross-functional projects can help.</w:t>
      </w:r>
    </w:p>
    <w:p w14:paraId="4D40F510"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Empowerment:</w:t>
      </w:r>
    </w:p>
    <w:p w14:paraId="50064C57"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Empower Decision-Making: Give employees the autonomy to make decisions and take ownership of their work.</w:t>
      </w:r>
    </w:p>
    <w:p w14:paraId="1CAB842B"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Inclusivity:</w:t>
      </w:r>
    </w:p>
    <w:p w14:paraId="7AFA21EF"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Promote Inclusivity and Diversity: Create a workplace where all employees feel valued, respected, and included.</w:t>
      </w:r>
    </w:p>
    <w:p w14:paraId="68F4D67E"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Measure Progress:</w:t>
      </w:r>
    </w:p>
    <w:p w14:paraId="13D5859B" w14:textId="77777777" w:rsidR="00DD5177" w:rsidRDefault="00DD5177" w:rsidP="00DD5177">
      <w:pPr>
        <w:pStyle w:val="Listparagraf"/>
        <w:rPr>
          <w:rFonts w:ascii="Arial" w:hAnsi="Arial" w:cs="Arial"/>
          <w:sz w:val="24"/>
          <w:szCs w:val="24"/>
        </w:rPr>
      </w:pPr>
      <w:r w:rsidRPr="00DD5177">
        <w:rPr>
          <w:rFonts w:ascii="Arial" w:hAnsi="Arial" w:cs="Arial"/>
          <w:sz w:val="24"/>
          <w:szCs w:val="24"/>
        </w:rPr>
        <w:t>Set Key Performance Indicators (KPIs): Establish measurable KPIs to track progress and ensure engagement initiatives are on the right track.</w:t>
      </w:r>
    </w:p>
    <w:p w14:paraId="63BFDA9D" w14:textId="77777777" w:rsidR="00DD5177" w:rsidRPr="00DD5177" w:rsidRDefault="00DD5177" w:rsidP="00DD5177">
      <w:pPr>
        <w:rPr>
          <w:rFonts w:ascii="Arial" w:hAnsi="Arial" w:cs="Arial"/>
          <w:sz w:val="24"/>
          <w:szCs w:val="24"/>
        </w:rPr>
      </w:pPr>
      <w:r w:rsidRPr="00DD5177">
        <w:rPr>
          <w:rFonts w:ascii="Arial" w:hAnsi="Arial" w:cs="Arial"/>
          <w:b/>
          <w:bCs/>
          <w:sz w:val="24"/>
          <w:szCs w:val="24"/>
        </w:rPr>
        <w:t>Implementation Steps:</w:t>
      </w:r>
    </w:p>
    <w:p w14:paraId="52329F76"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b/>
          <w:bCs/>
          <w:sz w:val="24"/>
          <w:szCs w:val="24"/>
        </w:rPr>
        <w:t>Assessment and Data Collection:</w:t>
      </w:r>
    </w:p>
    <w:p w14:paraId="7B1C5751" w14:textId="77777777" w:rsidR="00DD5177" w:rsidRPr="00DD5177" w:rsidRDefault="00DD5177" w:rsidP="00DD5177">
      <w:pPr>
        <w:ind w:left="1440"/>
        <w:rPr>
          <w:rFonts w:ascii="Arial" w:hAnsi="Arial" w:cs="Arial"/>
          <w:sz w:val="24"/>
          <w:szCs w:val="24"/>
        </w:rPr>
      </w:pPr>
      <w:r w:rsidRPr="00DD5177">
        <w:rPr>
          <w:rFonts w:ascii="Arial" w:hAnsi="Arial" w:cs="Arial"/>
          <w:sz w:val="24"/>
          <w:szCs w:val="24"/>
        </w:rPr>
        <w:t>Start by conducting surveys and gathering feedback from employees to understand their current level of engagement.</w:t>
      </w:r>
    </w:p>
    <w:p w14:paraId="094EBC62"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Leadership Buy-In:</w:t>
      </w:r>
    </w:p>
    <w:p w14:paraId="2C9DBC1E"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Secure the commitment of senior leadership to ensure the engagement initiative is a top organizational priority.</w:t>
      </w:r>
    </w:p>
    <w:p w14:paraId="3A468D6F" w14:textId="561876C5" w:rsidR="00DD5177" w:rsidRPr="00DD5177" w:rsidRDefault="00DD5177" w:rsidP="00DD5177">
      <w:pPr>
        <w:ind w:left="360"/>
        <w:rPr>
          <w:rFonts w:ascii="Arial" w:hAnsi="Arial" w:cs="Arial"/>
          <w:sz w:val="24"/>
          <w:szCs w:val="24"/>
        </w:rPr>
      </w:pPr>
      <w:r>
        <w:rPr>
          <w:rFonts w:ascii="Arial" w:hAnsi="Arial" w:cs="Arial"/>
          <w:b/>
          <w:bCs/>
          <w:sz w:val="24"/>
          <w:szCs w:val="24"/>
        </w:rPr>
        <w:t xml:space="preserve">     </w:t>
      </w:r>
      <w:r w:rsidRPr="00DD5177">
        <w:rPr>
          <w:rFonts w:ascii="Arial" w:hAnsi="Arial" w:cs="Arial"/>
          <w:b/>
          <w:bCs/>
          <w:sz w:val="24"/>
          <w:szCs w:val="24"/>
        </w:rPr>
        <w:t>Develop a Clear Strategy:</w:t>
      </w:r>
    </w:p>
    <w:p w14:paraId="3FACC08D"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Define specific goals and objectives for the engagement initiative. What do you want to achieve, and how will you measure success?</w:t>
      </w:r>
    </w:p>
    <w:p w14:paraId="6163CA45"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Communication Plan:</w:t>
      </w:r>
    </w:p>
    <w:p w14:paraId="4C53AC3B"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Create a comprehensive communication plan that outlines how you will keep employees informed about the engagement initiative, its progress, and any changes.</w:t>
      </w:r>
    </w:p>
    <w:p w14:paraId="4103343E"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Feedback Mechanisms:</w:t>
      </w:r>
    </w:p>
    <w:p w14:paraId="32F7FC13"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Implement regular feedback mechanisms, such as surveys, suggestion boxes, or one-on-one discussions, to ensure ongoing employee input.</w:t>
      </w:r>
    </w:p>
    <w:p w14:paraId="6E8E3EAA"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Development and Training:</w:t>
      </w:r>
    </w:p>
    <w:p w14:paraId="6206F0D3"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Offer development programs and training opportunities that align with employees' career goals and the organization's needs.</w:t>
      </w:r>
    </w:p>
    <w:p w14:paraId="3F51AC3D"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Recognition and Rewards:</w:t>
      </w:r>
    </w:p>
    <w:p w14:paraId="3B4974FB"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Introduce recognition programs, both formal and informal, to acknowledge and appreciate employee contributions.</w:t>
      </w:r>
    </w:p>
    <w:p w14:paraId="0C198C57"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lastRenderedPageBreak/>
        <w:t>Work-Life Balance:</w:t>
      </w:r>
    </w:p>
    <w:p w14:paraId="4B29A033"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Promote work-life balance through flexible scheduling, wellness programs, and mental health support.</w:t>
      </w:r>
    </w:p>
    <w:p w14:paraId="16F3A005"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Collaboration Initiatives:</w:t>
      </w:r>
    </w:p>
    <w:p w14:paraId="1B4E8AFA"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Encourage collaboration through team-building activities and cross-functional projects that require employees to work together.</w:t>
      </w:r>
    </w:p>
    <w:p w14:paraId="2F366446"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Empowerment:</w:t>
      </w:r>
    </w:p>
    <w:p w14:paraId="54B1A7E5"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Empower employees to make decisions and take ownership of their work, fostering a sense of control and responsibility.</w:t>
      </w:r>
    </w:p>
    <w:p w14:paraId="3E82ED8F"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Inclusivity and Diversity:</w:t>
      </w:r>
    </w:p>
    <w:p w14:paraId="3FE059F8"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Promote inclusivity and diversity by creating a welcoming and respectful workplace for all.</w:t>
      </w:r>
    </w:p>
    <w:p w14:paraId="1CE862D3" w14:textId="633B9326" w:rsidR="00DD5177" w:rsidRPr="00DD5177" w:rsidRDefault="00DD5177" w:rsidP="00DD5177">
      <w:pPr>
        <w:ind w:left="360"/>
        <w:rPr>
          <w:rFonts w:ascii="Arial" w:hAnsi="Arial" w:cs="Arial"/>
          <w:sz w:val="24"/>
          <w:szCs w:val="24"/>
        </w:rPr>
      </w:pPr>
      <w:r>
        <w:rPr>
          <w:rFonts w:ascii="Arial" w:hAnsi="Arial" w:cs="Arial"/>
          <w:b/>
          <w:bCs/>
          <w:sz w:val="24"/>
          <w:szCs w:val="24"/>
        </w:rPr>
        <w:t xml:space="preserve">     </w:t>
      </w:r>
      <w:r w:rsidRPr="00DD5177">
        <w:rPr>
          <w:rFonts w:ascii="Arial" w:hAnsi="Arial" w:cs="Arial"/>
          <w:b/>
          <w:bCs/>
          <w:sz w:val="24"/>
          <w:szCs w:val="24"/>
        </w:rPr>
        <w:t>KPI Tracking:</w:t>
      </w:r>
    </w:p>
    <w:p w14:paraId="1A24096D"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Continuously monitor and measure the KPIs established to evaluate the success of the engagement initiatives.</w:t>
      </w:r>
    </w:p>
    <w:p w14:paraId="738A6D17"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Iterate and Improve:</w:t>
      </w:r>
    </w:p>
    <w:p w14:paraId="20880B09" w14:textId="77777777" w:rsidR="00DD5177" w:rsidRDefault="00DD5177" w:rsidP="00DD5177">
      <w:pPr>
        <w:numPr>
          <w:ilvl w:val="1"/>
          <w:numId w:val="14"/>
        </w:numPr>
        <w:rPr>
          <w:rFonts w:ascii="Arial" w:hAnsi="Arial" w:cs="Arial"/>
          <w:sz w:val="24"/>
          <w:szCs w:val="24"/>
        </w:rPr>
      </w:pPr>
      <w:r w:rsidRPr="00DD5177">
        <w:rPr>
          <w:rFonts w:ascii="Arial" w:hAnsi="Arial" w:cs="Arial"/>
          <w:sz w:val="24"/>
          <w:szCs w:val="24"/>
        </w:rPr>
        <w:t>Regularly review the results and feedback, and make necessary adjustments to your engagement model for continuous improvement.</w:t>
      </w:r>
    </w:p>
    <w:p w14:paraId="2C82AA02" w14:textId="2BC0E712" w:rsidR="00CB7AF2" w:rsidRDefault="00CB7AF2" w:rsidP="00CB7AF2">
      <w:pPr>
        <w:ind w:left="1080"/>
        <w:rPr>
          <w:rFonts w:ascii="Arial" w:hAnsi="Arial" w:cs="Arial"/>
          <w:sz w:val="24"/>
          <w:szCs w:val="24"/>
        </w:rPr>
      </w:pPr>
      <w:r>
        <w:rPr>
          <w:rFonts w:ascii="Arial" w:hAnsi="Arial" w:cs="Arial"/>
          <w:sz w:val="24"/>
          <w:szCs w:val="24"/>
        </w:rPr>
        <w:t xml:space="preserve"> </w:t>
      </w:r>
    </w:p>
    <w:p w14:paraId="57ACEDE8" w14:textId="77777777" w:rsidR="00CB7AF2" w:rsidRDefault="00CB7AF2" w:rsidP="00CB7AF2">
      <w:pPr>
        <w:ind w:left="1080"/>
        <w:rPr>
          <w:rFonts w:ascii="Arial" w:hAnsi="Arial" w:cs="Arial"/>
          <w:sz w:val="24"/>
          <w:szCs w:val="24"/>
        </w:rPr>
      </w:pPr>
    </w:p>
    <w:p w14:paraId="6473B0B2" w14:textId="7D4C2DC3" w:rsidR="00CB7AF2" w:rsidRDefault="00CB7AF2" w:rsidP="00CB7AF2">
      <w:pPr>
        <w:rPr>
          <w:rFonts w:ascii="Arial" w:hAnsi="Arial" w:cs="Arial"/>
          <w:b/>
          <w:bCs/>
          <w:sz w:val="24"/>
          <w:szCs w:val="24"/>
        </w:rPr>
      </w:pPr>
      <w:r w:rsidRPr="00CB7AF2">
        <w:rPr>
          <w:rFonts w:ascii="Arial" w:hAnsi="Arial" w:cs="Arial"/>
          <w:b/>
          <w:bCs/>
          <w:sz w:val="24"/>
          <w:szCs w:val="24"/>
        </w:rPr>
        <w:t>Conclusion</w:t>
      </w:r>
    </w:p>
    <w:p w14:paraId="6D4B541B" w14:textId="2C9F3E33" w:rsidR="00CB7AF2" w:rsidRDefault="00CB7AF2" w:rsidP="00CB7AF2">
      <w:pPr>
        <w:rPr>
          <w:rFonts w:ascii="Arial" w:hAnsi="Arial" w:cs="Arial"/>
          <w:sz w:val="24"/>
          <w:szCs w:val="24"/>
        </w:rPr>
      </w:pPr>
      <w:r>
        <w:rPr>
          <w:rFonts w:ascii="Arial" w:hAnsi="Arial" w:cs="Arial"/>
          <w:sz w:val="24"/>
          <w:szCs w:val="24"/>
        </w:rPr>
        <w:t>E</w:t>
      </w:r>
      <w:r w:rsidRPr="00CB7AF2">
        <w:rPr>
          <w:rFonts w:ascii="Arial" w:hAnsi="Arial" w:cs="Arial"/>
          <w:sz w:val="24"/>
          <w:szCs w:val="24"/>
        </w:rPr>
        <w:t>mployee engagement plays a critical role in an organization's success. By implementing effective engagement strategies throughout the employee lifecycle, organizations can foster a positive and productive work environment that attracts, motivates, and retains top talent. This, in turn, contributes to improved organizational performance, increased customer satisfaction, and enhanced reputation. Investing in employee engagement is not merely a cost but a strategic investment that yields significant returns for the organization. As the world of work continues to evolve, organizations that prioritize employee engagement will be well-positioned to thrive in the competitive landscape.</w:t>
      </w:r>
    </w:p>
    <w:p w14:paraId="2167D2C8" w14:textId="77777777" w:rsidR="00CB7AF2" w:rsidRPr="00CB7AF2" w:rsidRDefault="00CB7AF2" w:rsidP="00CB7AF2">
      <w:pPr>
        <w:rPr>
          <w:rFonts w:ascii="Arial" w:hAnsi="Arial" w:cs="Arial"/>
          <w:sz w:val="24"/>
          <w:szCs w:val="24"/>
        </w:rPr>
      </w:pPr>
      <w:r w:rsidRPr="00CB7AF2">
        <w:rPr>
          <w:rFonts w:ascii="Arial" w:hAnsi="Arial" w:cs="Arial"/>
          <w:sz w:val="24"/>
          <w:szCs w:val="24"/>
        </w:rPr>
        <w:t xml:space="preserve">In conclusion, cultivating a culture of engagement throughout the employee lifecycle is essential for organizations to thrive in today's competitive landscape. By implementing effective strategies at each stage, from recruitment to exit, organizations can reap numerous benefits, including increased productivity, enhanced employee well-being, and improved customer satisfaction. Engaged employees are not only more motivated and productive but also more likely to contribute innovative ideas and foster a positive work environment. Investing in </w:t>
      </w:r>
      <w:r w:rsidRPr="00CB7AF2">
        <w:rPr>
          <w:rFonts w:ascii="Arial" w:hAnsi="Arial" w:cs="Arial"/>
          <w:sz w:val="24"/>
          <w:szCs w:val="24"/>
        </w:rPr>
        <w:lastRenderedPageBreak/>
        <w:t>employee engagement is a strategic decision that yields significant returns for the organization, leading to long-term success and sustainability.</w:t>
      </w:r>
    </w:p>
    <w:p w14:paraId="55366F2F" w14:textId="77777777" w:rsidR="00CB7AF2" w:rsidRPr="00CB7AF2" w:rsidRDefault="00CB7AF2" w:rsidP="00CB7AF2">
      <w:pPr>
        <w:rPr>
          <w:rFonts w:ascii="Arial" w:hAnsi="Arial" w:cs="Arial"/>
          <w:sz w:val="24"/>
          <w:szCs w:val="24"/>
        </w:rPr>
      </w:pPr>
    </w:p>
    <w:p w14:paraId="308CB717" w14:textId="77777777" w:rsidR="00DD5177" w:rsidRPr="00DD5177" w:rsidRDefault="00DD5177" w:rsidP="00DD5177">
      <w:pPr>
        <w:rPr>
          <w:rFonts w:ascii="Arial" w:hAnsi="Arial" w:cs="Arial"/>
          <w:sz w:val="24"/>
          <w:szCs w:val="24"/>
        </w:rPr>
      </w:pPr>
    </w:p>
    <w:p w14:paraId="270C9E04" w14:textId="77777777" w:rsidR="00DD5177" w:rsidRPr="00DD5177" w:rsidRDefault="00DD5177" w:rsidP="00DD5177">
      <w:pPr>
        <w:pStyle w:val="Listparagraf"/>
        <w:rPr>
          <w:rFonts w:ascii="Arial" w:hAnsi="Arial" w:cs="Arial"/>
          <w:sz w:val="24"/>
          <w:szCs w:val="24"/>
        </w:rPr>
      </w:pPr>
    </w:p>
    <w:p w14:paraId="1B39D71E" w14:textId="77777777" w:rsidR="00B70618" w:rsidRDefault="00B70618" w:rsidP="00B70618">
      <w:pPr>
        <w:rPr>
          <w:rFonts w:ascii="Arial" w:hAnsi="Arial" w:cs="Arial"/>
          <w:sz w:val="24"/>
          <w:szCs w:val="24"/>
        </w:rPr>
      </w:pPr>
    </w:p>
    <w:p w14:paraId="2B9D6AD3" w14:textId="77777777" w:rsidR="00515132" w:rsidRDefault="00515132" w:rsidP="00B70618">
      <w:pPr>
        <w:rPr>
          <w:rFonts w:ascii="Arial" w:hAnsi="Arial" w:cs="Arial"/>
          <w:sz w:val="24"/>
          <w:szCs w:val="24"/>
        </w:rPr>
      </w:pPr>
    </w:p>
    <w:p w14:paraId="1CF657C9" w14:textId="77777777" w:rsidR="00515132" w:rsidRDefault="00515132" w:rsidP="00B70618">
      <w:pPr>
        <w:rPr>
          <w:rFonts w:ascii="Arial" w:hAnsi="Arial" w:cs="Arial"/>
          <w:sz w:val="24"/>
          <w:szCs w:val="24"/>
        </w:rPr>
      </w:pPr>
    </w:p>
    <w:p w14:paraId="598DD229" w14:textId="77777777" w:rsidR="00515132" w:rsidRDefault="00515132" w:rsidP="00B70618">
      <w:pPr>
        <w:rPr>
          <w:rFonts w:ascii="Arial" w:hAnsi="Arial" w:cs="Arial"/>
          <w:sz w:val="24"/>
          <w:szCs w:val="24"/>
        </w:rPr>
      </w:pPr>
    </w:p>
    <w:p w14:paraId="77BF2817" w14:textId="77777777" w:rsidR="00515132" w:rsidRDefault="00515132" w:rsidP="00B70618">
      <w:pPr>
        <w:rPr>
          <w:rFonts w:ascii="Arial" w:hAnsi="Arial" w:cs="Arial"/>
          <w:sz w:val="24"/>
          <w:szCs w:val="24"/>
        </w:rPr>
      </w:pPr>
    </w:p>
    <w:p w14:paraId="5FA5E61C" w14:textId="77777777" w:rsidR="00515132" w:rsidRDefault="00515132" w:rsidP="00B70618">
      <w:pPr>
        <w:rPr>
          <w:rFonts w:ascii="Arial" w:hAnsi="Arial" w:cs="Arial"/>
          <w:sz w:val="24"/>
          <w:szCs w:val="24"/>
        </w:rPr>
      </w:pPr>
    </w:p>
    <w:p w14:paraId="288E9A50" w14:textId="77777777" w:rsidR="00515132" w:rsidRDefault="00515132" w:rsidP="00B70618">
      <w:pPr>
        <w:rPr>
          <w:rFonts w:ascii="Arial" w:hAnsi="Arial" w:cs="Arial"/>
          <w:sz w:val="24"/>
          <w:szCs w:val="24"/>
        </w:rPr>
      </w:pPr>
    </w:p>
    <w:p w14:paraId="24F34203" w14:textId="77777777" w:rsidR="00515132" w:rsidRDefault="00515132" w:rsidP="00B70618">
      <w:pPr>
        <w:rPr>
          <w:rFonts w:ascii="Arial" w:hAnsi="Arial" w:cs="Arial"/>
          <w:sz w:val="24"/>
          <w:szCs w:val="24"/>
        </w:rPr>
      </w:pPr>
    </w:p>
    <w:p w14:paraId="3C8DF49C" w14:textId="77777777" w:rsidR="00515132" w:rsidRDefault="00515132" w:rsidP="00B70618">
      <w:pPr>
        <w:rPr>
          <w:rFonts w:ascii="Arial" w:hAnsi="Arial" w:cs="Arial"/>
          <w:sz w:val="24"/>
          <w:szCs w:val="24"/>
        </w:rPr>
      </w:pPr>
    </w:p>
    <w:p w14:paraId="39A6D9FB" w14:textId="77777777" w:rsidR="00515132" w:rsidRDefault="00515132" w:rsidP="00B70618">
      <w:pPr>
        <w:rPr>
          <w:rFonts w:ascii="Arial" w:hAnsi="Arial" w:cs="Arial"/>
          <w:sz w:val="24"/>
          <w:szCs w:val="24"/>
        </w:rPr>
      </w:pPr>
    </w:p>
    <w:p w14:paraId="5436A8DC" w14:textId="77777777" w:rsidR="00515132" w:rsidRDefault="00515132" w:rsidP="00B70618">
      <w:pPr>
        <w:rPr>
          <w:rFonts w:ascii="Arial" w:hAnsi="Arial" w:cs="Arial"/>
          <w:sz w:val="24"/>
          <w:szCs w:val="24"/>
        </w:rPr>
      </w:pPr>
    </w:p>
    <w:p w14:paraId="10AF0094" w14:textId="77777777" w:rsidR="00515132" w:rsidRDefault="00515132" w:rsidP="00B70618">
      <w:pPr>
        <w:rPr>
          <w:rFonts w:ascii="Arial" w:hAnsi="Arial" w:cs="Arial"/>
          <w:b/>
          <w:bCs/>
          <w:sz w:val="24"/>
          <w:szCs w:val="24"/>
        </w:rPr>
      </w:pPr>
    </w:p>
    <w:p w14:paraId="4B7F8187" w14:textId="77777777" w:rsidR="00CB7AF2" w:rsidRDefault="00CB7AF2" w:rsidP="00B70618">
      <w:pPr>
        <w:rPr>
          <w:rFonts w:ascii="Arial" w:hAnsi="Arial" w:cs="Arial"/>
          <w:b/>
          <w:bCs/>
          <w:sz w:val="24"/>
          <w:szCs w:val="24"/>
        </w:rPr>
      </w:pPr>
    </w:p>
    <w:p w14:paraId="05D5102D" w14:textId="77777777" w:rsidR="00CB7AF2" w:rsidRDefault="00CB7AF2" w:rsidP="00B70618">
      <w:pPr>
        <w:rPr>
          <w:rFonts w:ascii="Arial" w:hAnsi="Arial" w:cs="Arial"/>
          <w:b/>
          <w:bCs/>
          <w:sz w:val="24"/>
          <w:szCs w:val="24"/>
        </w:rPr>
      </w:pPr>
    </w:p>
    <w:p w14:paraId="25B1869A" w14:textId="77777777" w:rsidR="00CB7AF2" w:rsidRDefault="00CB7AF2" w:rsidP="00B70618">
      <w:pPr>
        <w:rPr>
          <w:rFonts w:ascii="Arial" w:hAnsi="Arial" w:cs="Arial"/>
          <w:b/>
          <w:bCs/>
          <w:sz w:val="24"/>
          <w:szCs w:val="24"/>
        </w:rPr>
      </w:pPr>
    </w:p>
    <w:p w14:paraId="6B46A743" w14:textId="77777777" w:rsidR="00CB7AF2" w:rsidRDefault="00CB7AF2" w:rsidP="00B70618">
      <w:pPr>
        <w:rPr>
          <w:rFonts w:ascii="Arial" w:hAnsi="Arial" w:cs="Arial"/>
          <w:b/>
          <w:bCs/>
          <w:sz w:val="24"/>
          <w:szCs w:val="24"/>
        </w:rPr>
      </w:pPr>
    </w:p>
    <w:p w14:paraId="59F1708E" w14:textId="77777777" w:rsidR="00CB7AF2" w:rsidRDefault="00CB7AF2" w:rsidP="00B70618">
      <w:pPr>
        <w:rPr>
          <w:rFonts w:ascii="Arial" w:hAnsi="Arial" w:cs="Arial"/>
          <w:b/>
          <w:bCs/>
          <w:sz w:val="24"/>
          <w:szCs w:val="24"/>
        </w:rPr>
      </w:pPr>
    </w:p>
    <w:p w14:paraId="751D3A9B" w14:textId="77777777" w:rsidR="00CB7AF2" w:rsidRDefault="00CB7AF2" w:rsidP="00B70618">
      <w:pPr>
        <w:rPr>
          <w:rFonts w:ascii="Arial" w:hAnsi="Arial" w:cs="Arial"/>
          <w:b/>
          <w:bCs/>
          <w:sz w:val="24"/>
          <w:szCs w:val="24"/>
        </w:rPr>
      </w:pPr>
    </w:p>
    <w:p w14:paraId="215D20CC" w14:textId="77777777" w:rsidR="00CB7AF2" w:rsidRDefault="00CB7AF2" w:rsidP="00B70618">
      <w:pPr>
        <w:rPr>
          <w:rFonts w:ascii="Arial" w:hAnsi="Arial" w:cs="Arial"/>
          <w:b/>
          <w:bCs/>
          <w:sz w:val="24"/>
          <w:szCs w:val="24"/>
        </w:rPr>
      </w:pPr>
    </w:p>
    <w:p w14:paraId="399AF45F" w14:textId="77777777" w:rsidR="00CB7AF2" w:rsidRDefault="00CB7AF2" w:rsidP="00B70618">
      <w:pPr>
        <w:rPr>
          <w:rFonts w:ascii="Arial" w:hAnsi="Arial" w:cs="Arial"/>
          <w:b/>
          <w:bCs/>
          <w:sz w:val="24"/>
          <w:szCs w:val="24"/>
        </w:rPr>
      </w:pPr>
    </w:p>
    <w:p w14:paraId="24313552" w14:textId="77777777" w:rsidR="00CB7AF2" w:rsidRDefault="00CB7AF2" w:rsidP="00B70618">
      <w:pPr>
        <w:rPr>
          <w:rFonts w:ascii="Arial" w:hAnsi="Arial" w:cs="Arial"/>
          <w:b/>
          <w:bCs/>
          <w:sz w:val="24"/>
          <w:szCs w:val="24"/>
        </w:rPr>
      </w:pPr>
    </w:p>
    <w:p w14:paraId="74BB6E82" w14:textId="77777777" w:rsidR="00CB7AF2" w:rsidRDefault="00CB7AF2" w:rsidP="00B70618">
      <w:pPr>
        <w:rPr>
          <w:rFonts w:ascii="Arial" w:hAnsi="Arial" w:cs="Arial"/>
          <w:b/>
          <w:bCs/>
          <w:sz w:val="24"/>
          <w:szCs w:val="24"/>
        </w:rPr>
      </w:pPr>
    </w:p>
    <w:p w14:paraId="5EB13B8E" w14:textId="77777777" w:rsidR="00CB7AF2" w:rsidRDefault="00CB7AF2" w:rsidP="00B70618">
      <w:pPr>
        <w:rPr>
          <w:rFonts w:ascii="Arial" w:hAnsi="Arial" w:cs="Arial"/>
          <w:b/>
          <w:bCs/>
          <w:sz w:val="24"/>
          <w:szCs w:val="24"/>
        </w:rPr>
      </w:pPr>
    </w:p>
    <w:p w14:paraId="40BD3923" w14:textId="77777777" w:rsidR="00CB7AF2" w:rsidRDefault="00CB7AF2" w:rsidP="00B70618">
      <w:pPr>
        <w:rPr>
          <w:rFonts w:ascii="Arial" w:hAnsi="Arial" w:cs="Arial"/>
          <w:b/>
          <w:bCs/>
          <w:sz w:val="24"/>
          <w:szCs w:val="24"/>
        </w:rPr>
      </w:pPr>
    </w:p>
    <w:p w14:paraId="2EAF34FA" w14:textId="77777777" w:rsidR="00CB7AF2" w:rsidRDefault="00CB7AF2" w:rsidP="00B70618">
      <w:pPr>
        <w:rPr>
          <w:rFonts w:ascii="Arial" w:hAnsi="Arial" w:cs="Arial"/>
          <w:b/>
          <w:bCs/>
          <w:sz w:val="24"/>
          <w:szCs w:val="24"/>
        </w:rPr>
      </w:pPr>
    </w:p>
    <w:p w14:paraId="3CE89B1E" w14:textId="77777777" w:rsidR="00CB7AF2" w:rsidRDefault="00CB7AF2" w:rsidP="00B70618">
      <w:pPr>
        <w:rPr>
          <w:rFonts w:ascii="Arial" w:hAnsi="Arial" w:cs="Arial"/>
          <w:b/>
          <w:bCs/>
          <w:sz w:val="24"/>
          <w:szCs w:val="24"/>
        </w:rPr>
      </w:pPr>
    </w:p>
    <w:p w14:paraId="17F508F5" w14:textId="129017AA" w:rsidR="00515132" w:rsidRDefault="00515132" w:rsidP="00B70618">
      <w:pPr>
        <w:rPr>
          <w:rFonts w:ascii="Arial" w:hAnsi="Arial" w:cs="Arial"/>
          <w:b/>
          <w:bCs/>
          <w:sz w:val="24"/>
          <w:szCs w:val="24"/>
        </w:rPr>
      </w:pPr>
      <w:r w:rsidRPr="00515132">
        <w:rPr>
          <w:rFonts w:ascii="Arial" w:hAnsi="Arial" w:cs="Arial"/>
          <w:b/>
          <w:bCs/>
          <w:sz w:val="24"/>
          <w:szCs w:val="24"/>
        </w:rPr>
        <w:lastRenderedPageBreak/>
        <w:t xml:space="preserve">Reference </w:t>
      </w:r>
    </w:p>
    <w:p w14:paraId="419354ED" w14:textId="77777777" w:rsidR="00515132" w:rsidRPr="00515132" w:rsidRDefault="00515132" w:rsidP="00515132">
      <w:pPr>
        <w:rPr>
          <w:rFonts w:ascii="Arial" w:hAnsi="Arial" w:cs="Arial"/>
          <w:sz w:val="24"/>
          <w:szCs w:val="24"/>
        </w:rPr>
      </w:pPr>
      <w:r w:rsidRPr="00515132">
        <w:rPr>
          <w:rFonts w:ascii="Arial" w:hAnsi="Arial" w:cs="Arial"/>
          <w:sz w:val="24"/>
          <w:szCs w:val="24"/>
        </w:rPr>
        <w:t xml:space="preserve">Becker, B. E., </w:t>
      </w:r>
      <w:proofErr w:type="spellStart"/>
      <w:r w:rsidRPr="00515132">
        <w:rPr>
          <w:rFonts w:ascii="Arial" w:hAnsi="Arial" w:cs="Arial"/>
          <w:sz w:val="24"/>
          <w:szCs w:val="24"/>
        </w:rPr>
        <w:t>Huselid</w:t>
      </w:r>
      <w:proofErr w:type="spellEnd"/>
      <w:r w:rsidRPr="00515132">
        <w:rPr>
          <w:rFonts w:ascii="Arial" w:hAnsi="Arial" w:cs="Arial"/>
          <w:sz w:val="24"/>
          <w:szCs w:val="24"/>
        </w:rPr>
        <w:t xml:space="preserve">, M. A., &amp; Beatty, R. W. (2007). The impact of employee engagement on performance and organizational culture. Journal of leadership and Organizational </w:t>
      </w:r>
      <w:proofErr w:type="spellStart"/>
      <w:r w:rsidRPr="00515132">
        <w:rPr>
          <w:rFonts w:ascii="Arial" w:hAnsi="Arial" w:cs="Arial"/>
          <w:sz w:val="24"/>
          <w:szCs w:val="24"/>
        </w:rPr>
        <w:t>Behavior</w:t>
      </w:r>
      <w:proofErr w:type="spellEnd"/>
      <w:r w:rsidRPr="00515132">
        <w:rPr>
          <w:rFonts w:ascii="Arial" w:hAnsi="Arial" w:cs="Arial"/>
          <w:sz w:val="24"/>
          <w:szCs w:val="24"/>
        </w:rPr>
        <w:t>, 28(2), 167-184.</w:t>
      </w:r>
    </w:p>
    <w:p w14:paraId="4C2DD32D" w14:textId="52FED8A0" w:rsidR="00515132" w:rsidRPr="00515132" w:rsidRDefault="00515132" w:rsidP="00515132">
      <w:pPr>
        <w:rPr>
          <w:rFonts w:ascii="Arial" w:hAnsi="Arial" w:cs="Arial"/>
          <w:sz w:val="24"/>
          <w:szCs w:val="24"/>
        </w:rPr>
      </w:pPr>
      <w:r w:rsidRPr="00515132">
        <w:rPr>
          <w:rFonts w:ascii="Arial" w:hAnsi="Arial" w:cs="Arial"/>
          <w:sz w:val="24"/>
          <w:szCs w:val="24"/>
        </w:rPr>
        <w:t xml:space="preserve"> Saks, A. M. (2007). Antecedents and consequences of employee engagement. Journal of managerial psychology, 22(3), 219-243.</w:t>
      </w:r>
    </w:p>
    <w:p w14:paraId="150B3F57" w14:textId="15EA3F6E" w:rsidR="00515132" w:rsidRPr="00515132" w:rsidRDefault="00515132" w:rsidP="00515132">
      <w:pPr>
        <w:rPr>
          <w:rFonts w:ascii="Arial" w:hAnsi="Arial" w:cs="Arial"/>
          <w:sz w:val="24"/>
          <w:szCs w:val="24"/>
        </w:rPr>
      </w:pPr>
      <w:r w:rsidRPr="00515132">
        <w:rPr>
          <w:rFonts w:ascii="Arial" w:hAnsi="Arial" w:cs="Arial"/>
          <w:sz w:val="24"/>
          <w:szCs w:val="24"/>
        </w:rPr>
        <w:t xml:space="preserve"> Guest, D. E., &amp; Parker, C. J. (2009). Beyond employee engagement: Implications for HR and the organization. Human resource management journal, 19(3), 215-238.</w:t>
      </w:r>
    </w:p>
    <w:p w14:paraId="6B89A5D9" w14:textId="56DC9CBA" w:rsidR="00515132" w:rsidRPr="00515132" w:rsidRDefault="00515132" w:rsidP="00515132">
      <w:pPr>
        <w:rPr>
          <w:rFonts w:ascii="Arial" w:hAnsi="Arial" w:cs="Arial"/>
          <w:sz w:val="24"/>
          <w:szCs w:val="24"/>
        </w:rPr>
      </w:pPr>
      <w:r w:rsidRPr="00515132">
        <w:rPr>
          <w:rFonts w:ascii="Arial" w:hAnsi="Arial" w:cs="Arial"/>
          <w:sz w:val="24"/>
          <w:szCs w:val="24"/>
        </w:rPr>
        <w:t>Haefling, J. D., &amp; Bloom, D. (2016). A model for employee engagement: Definition, antecedents, and consequences. In J. D. Haefling, &amp; D. Bloom (Eds.), Handbook of employee engagement (pp. 1-20). Edward Elgar Publishing.</w:t>
      </w:r>
    </w:p>
    <w:p w14:paraId="4B12A337" w14:textId="680BC241" w:rsidR="00515132" w:rsidRPr="00515132" w:rsidRDefault="00515132" w:rsidP="00515132">
      <w:pPr>
        <w:rPr>
          <w:rFonts w:ascii="Arial" w:hAnsi="Arial" w:cs="Arial"/>
          <w:sz w:val="24"/>
          <w:szCs w:val="24"/>
        </w:rPr>
      </w:pPr>
      <w:r w:rsidRPr="00515132">
        <w:rPr>
          <w:rFonts w:ascii="Arial" w:hAnsi="Arial" w:cs="Arial"/>
          <w:sz w:val="24"/>
          <w:szCs w:val="24"/>
        </w:rPr>
        <w:t xml:space="preserve"> Saks, A. M. (2007). Antecedents and consequences of employee engagement. Journal of managerial psychology, 22(3), 219-243.</w:t>
      </w:r>
    </w:p>
    <w:p w14:paraId="250C5D95" w14:textId="082C9CCD" w:rsidR="00515132" w:rsidRPr="00515132" w:rsidRDefault="00515132" w:rsidP="00515132">
      <w:pPr>
        <w:rPr>
          <w:rFonts w:ascii="Arial" w:hAnsi="Arial" w:cs="Arial"/>
          <w:sz w:val="24"/>
          <w:szCs w:val="24"/>
        </w:rPr>
      </w:pPr>
      <w:r w:rsidRPr="00515132">
        <w:rPr>
          <w:rFonts w:ascii="Arial" w:hAnsi="Arial" w:cs="Arial"/>
          <w:sz w:val="24"/>
          <w:szCs w:val="24"/>
        </w:rPr>
        <w:t xml:space="preserve"> Ulrich, D., &amp; </w:t>
      </w:r>
      <w:proofErr w:type="spellStart"/>
      <w:r w:rsidRPr="00515132">
        <w:rPr>
          <w:rFonts w:ascii="Arial" w:hAnsi="Arial" w:cs="Arial"/>
          <w:sz w:val="24"/>
          <w:szCs w:val="24"/>
        </w:rPr>
        <w:t>Urwick</w:t>
      </w:r>
      <w:proofErr w:type="spellEnd"/>
      <w:r w:rsidRPr="00515132">
        <w:rPr>
          <w:rFonts w:ascii="Arial" w:hAnsi="Arial" w:cs="Arial"/>
          <w:sz w:val="24"/>
          <w:szCs w:val="24"/>
        </w:rPr>
        <w:t>, D. (1979). Human resource management: Functions, flows, and concepts. New York: McGraw-Hill.</w:t>
      </w:r>
    </w:p>
    <w:p w14:paraId="666EE67B" w14:textId="2D4B3BD7" w:rsidR="00515132" w:rsidRPr="00515132" w:rsidRDefault="00515132" w:rsidP="00515132">
      <w:pPr>
        <w:rPr>
          <w:rFonts w:ascii="Arial" w:hAnsi="Arial" w:cs="Arial"/>
          <w:sz w:val="24"/>
          <w:szCs w:val="24"/>
        </w:rPr>
      </w:pPr>
      <w:r w:rsidRPr="00515132">
        <w:rPr>
          <w:rFonts w:ascii="Arial" w:hAnsi="Arial" w:cs="Arial"/>
          <w:sz w:val="24"/>
          <w:szCs w:val="24"/>
        </w:rPr>
        <w:t xml:space="preserve"> Haefling, J. D., &amp; Bloom, D. (2016). A model for employee engagement: Definition, antecedents, and consequences. In J. D. Haefling, &amp; D. Bloom (Eds.), Handbook of employee engagement (pp. 1-20). Edward Elgar Publishing.</w:t>
      </w:r>
    </w:p>
    <w:p w14:paraId="478CF638" w14:textId="7715BAB1" w:rsidR="00515132" w:rsidRPr="00515132" w:rsidRDefault="00515132" w:rsidP="00515132">
      <w:pPr>
        <w:rPr>
          <w:rFonts w:ascii="Arial" w:hAnsi="Arial" w:cs="Arial"/>
          <w:sz w:val="24"/>
          <w:szCs w:val="24"/>
        </w:rPr>
      </w:pPr>
      <w:r w:rsidRPr="00515132">
        <w:rPr>
          <w:rFonts w:ascii="Arial" w:hAnsi="Arial" w:cs="Arial"/>
          <w:sz w:val="24"/>
          <w:szCs w:val="24"/>
        </w:rPr>
        <w:t xml:space="preserve"> Guest, D. E., &amp; Parker, C. J. (2009). Beyond employee engagement: Implications for HR and the organization. Human resource management journal, 19(3), 215-238.</w:t>
      </w:r>
    </w:p>
    <w:p w14:paraId="05CE8DA7" w14:textId="288842F8" w:rsidR="00515132" w:rsidRDefault="00515132" w:rsidP="00515132">
      <w:pPr>
        <w:rPr>
          <w:rFonts w:ascii="Arial" w:hAnsi="Arial" w:cs="Arial"/>
          <w:sz w:val="24"/>
          <w:szCs w:val="24"/>
        </w:rPr>
      </w:pPr>
      <w:r w:rsidRPr="00515132">
        <w:rPr>
          <w:rFonts w:ascii="Arial" w:hAnsi="Arial" w:cs="Arial"/>
          <w:sz w:val="24"/>
          <w:szCs w:val="24"/>
        </w:rPr>
        <w:t xml:space="preserve">Becker, B. E., </w:t>
      </w:r>
      <w:proofErr w:type="spellStart"/>
      <w:r w:rsidRPr="00515132">
        <w:rPr>
          <w:rFonts w:ascii="Arial" w:hAnsi="Arial" w:cs="Arial"/>
          <w:sz w:val="24"/>
          <w:szCs w:val="24"/>
        </w:rPr>
        <w:t>Huselid</w:t>
      </w:r>
      <w:proofErr w:type="spellEnd"/>
      <w:r w:rsidRPr="00515132">
        <w:rPr>
          <w:rFonts w:ascii="Arial" w:hAnsi="Arial" w:cs="Arial"/>
          <w:sz w:val="24"/>
          <w:szCs w:val="24"/>
        </w:rPr>
        <w:t xml:space="preserve">, M. A., &amp; Beatty, R. W. (2007). The impact of employee engagement on performance and organizational culture. Journal of leadership and Organizational </w:t>
      </w:r>
      <w:proofErr w:type="spellStart"/>
      <w:r w:rsidRPr="00515132">
        <w:rPr>
          <w:rFonts w:ascii="Arial" w:hAnsi="Arial" w:cs="Arial"/>
          <w:sz w:val="24"/>
          <w:szCs w:val="24"/>
        </w:rPr>
        <w:t>Behavior</w:t>
      </w:r>
      <w:proofErr w:type="spellEnd"/>
      <w:r w:rsidRPr="00515132">
        <w:rPr>
          <w:rFonts w:ascii="Arial" w:hAnsi="Arial" w:cs="Arial"/>
          <w:sz w:val="24"/>
          <w:szCs w:val="24"/>
        </w:rPr>
        <w:t>, 28(2), 167-184.</w:t>
      </w:r>
    </w:p>
    <w:p w14:paraId="0A5FCC57" w14:textId="77777777" w:rsidR="00CB7AF2" w:rsidRPr="00CB7AF2" w:rsidRDefault="00CB7AF2" w:rsidP="00CB7AF2">
      <w:pPr>
        <w:rPr>
          <w:rFonts w:ascii="Arial" w:hAnsi="Arial" w:cs="Arial"/>
          <w:sz w:val="24"/>
          <w:szCs w:val="24"/>
        </w:rPr>
      </w:pPr>
      <w:proofErr w:type="spellStart"/>
      <w:r w:rsidRPr="00CB7AF2">
        <w:rPr>
          <w:rFonts w:ascii="Arial" w:hAnsi="Arial" w:cs="Arial"/>
          <w:sz w:val="24"/>
          <w:szCs w:val="24"/>
        </w:rPr>
        <w:t>lrich</w:t>
      </w:r>
      <w:proofErr w:type="spellEnd"/>
      <w:r w:rsidRPr="00CB7AF2">
        <w:rPr>
          <w:rFonts w:ascii="Arial" w:hAnsi="Arial" w:cs="Arial"/>
          <w:sz w:val="24"/>
          <w:szCs w:val="24"/>
        </w:rPr>
        <w:t xml:space="preserve">, D., &amp; </w:t>
      </w:r>
      <w:proofErr w:type="spellStart"/>
      <w:r w:rsidRPr="00CB7AF2">
        <w:rPr>
          <w:rFonts w:ascii="Arial" w:hAnsi="Arial" w:cs="Arial"/>
          <w:sz w:val="24"/>
          <w:szCs w:val="24"/>
        </w:rPr>
        <w:t>Urwick</w:t>
      </w:r>
      <w:proofErr w:type="spellEnd"/>
      <w:r w:rsidRPr="00CB7AF2">
        <w:rPr>
          <w:rFonts w:ascii="Arial" w:hAnsi="Arial" w:cs="Arial"/>
          <w:sz w:val="24"/>
          <w:szCs w:val="24"/>
        </w:rPr>
        <w:t>, D. (1979). Human resource management: Functions, flows, and concepts. New York: McGraw-Hill.</w:t>
      </w:r>
    </w:p>
    <w:p w14:paraId="182EDB2F" w14:textId="77777777" w:rsidR="00CB7AF2" w:rsidRPr="00CB7AF2" w:rsidRDefault="00CB7AF2" w:rsidP="00CB7AF2">
      <w:pPr>
        <w:rPr>
          <w:rFonts w:ascii="Arial" w:hAnsi="Arial" w:cs="Arial"/>
          <w:sz w:val="24"/>
          <w:szCs w:val="24"/>
        </w:rPr>
      </w:pPr>
      <w:r w:rsidRPr="00CB7AF2">
        <w:rPr>
          <w:rFonts w:ascii="Arial" w:hAnsi="Arial" w:cs="Arial"/>
          <w:sz w:val="24"/>
          <w:szCs w:val="24"/>
        </w:rPr>
        <w:t xml:space="preserve">Becker, B. E., </w:t>
      </w:r>
      <w:proofErr w:type="spellStart"/>
      <w:r w:rsidRPr="00CB7AF2">
        <w:rPr>
          <w:rFonts w:ascii="Arial" w:hAnsi="Arial" w:cs="Arial"/>
          <w:sz w:val="24"/>
          <w:szCs w:val="24"/>
        </w:rPr>
        <w:t>Huselid</w:t>
      </w:r>
      <w:proofErr w:type="spellEnd"/>
      <w:r w:rsidRPr="00CB7AF2">
        <w:rPr>
          <w:rFonts w:ascii="Arial" w:hAnsi="Arial" w:cs="Arial"/>
          <w:sz w:val="24"/>
          <w:szCs w:val="24"/>
        </w:rPr>
        <w:t xml:space="preserve">, M. A., &amp; Beatty, R. W. (2007). The impact of employee engagement on performance and organizational culture. Journal of leadership and Organizational </w:t>
      </w:r>
      <w:proofErr w:type="spellStart"/>
      <w:r w:rsidRPr="00CB7AF2">
        <w:rPr>
          <w:rFonts w:ascii="Arial" w:hAnsi="Arial" w:cs="Arial"/>
          <w:sz w:val="24"/>
          <w:szCs w:val="24"/>
        </w:rPr>
        <w:t>Behavior</w:t>
      </w:r>
      <w:proofErr w:type="spellEnd"/>
      <w:r w:rsidRPr="00CB7AF2">
        <w:rPr>
          <w:rFonts w:ascii="Arial" w:hAnsi="Arial" w:cs="Arial"/>
          <w:sz w:val="24"/>
          <w:szCs w:val="24"/>
        </w:rPr>
        <w:t>, 28(2), 167-184.</w:t>
      </w:r>
    </w:p>
    <w:p w14:paraId="589B48AE" w14:textId="77777777" w:rsidR="00CB7AF2" w:rsidRPr="00CB7AF2" w:rsidRDefault="00CB7AF2" w:rsidP="00CB7AF2">
      <w:pPr>
        <w:rPr>
          <w:rFonts w:ascii="Arial" w:hAnsi="Arial" w:cs="Arial"/>
          <w:sz w:val="24"/>
          <w:szCs w:val="24"/>
        </w:rPr>
      </w:pPr>
      <w:r w:rsidRPr="00CB7AF2">
        <w:rPr>
          <w:rFonts w:ascii="Arial" w:hAnsi="Arial" w:cs="Arial"/>
          <w:sz w:val="24"/>
          <w:szCs w:val="24"/>
        </w:rPr>
        <w:t>Saks, A. M. (2007). Antecedents and consequences of employee engagement. Journal of managerial psychology, 22(3), 219-243.</w:t>
      </w:r>
    </w:p>
    <w:p w14:paraId="5840144D" w14:textId="77777777" w:rsidR="00CB7AF2" w:rsidRPr="00CB7AF2" w:rsidRDefault="00CB7AF2" w:rsidP="00CB7AF2">
      <w:pPr>
        <w:rPr>
          <w:rFonts w:ascii="Arial" w:hAnsi="Arial" w:cs="Arial"/>
          <w:sz w:val="24"/>
          <w:szCs w:val="24"/>
        </w:rPr>
      </w:pPr>
      <w:r w:rsidRPr="00CB7AF2">
        <w:rPr>
          <w:rFonts w:ascii="Arial" w:hAnsi="Arial" w:cs="Arial"/>
          <w:sz w:val="24"/>
          <w:szCs w:val="24"/>
        </w:rPr>
        <w:t>Guest, D. E., &amp; Parker, C. J. (2009). Beyond employee engagement: Implications for HR and the organization. Human resource management journal, 19(3), 215-238.</w:t>
      </w:r>
    </w:p>
    <w:p w14:paraId="2D57A6B0" w14:textId="77777777" w:rsidR="00CB7AF2" w:rsidRPr="00CB7AF2" w:rsidRDefault="00CB7AF2" w:rsidP="00CB7AF2">
      <w:pPr>
        <w:rPr>
          <w:rFonts w:ascii="Arial" w:hAnsi="Arial" w:cs="Arial"/>
          <w:sz w:val="24"/>
          <w:szCs w:val="24"/>
        </w:rPr>
      </w:pPr>
      <w:r w:rsidRPr="00CB7AF2">
        <w:rPr>
          <w:rFonts w:ascii="Arial" w:hAnsi="Arial" w:cs="Arial"/>
          <w:sz w:val="24"/>
          <w:szCs w:val="24"/>
        </w:rPr>
        <w:t>Haefling, J. D., &amp; Bloom, D. (2016). A model for employee engagement: Definition, antecedents, and consequences. In J. D. Haefling, &amp; D. Bloom (Eds.), Handbook of employee engagement (pp. 1-20). Edward Elgar Publishing.</w:t>
      </w:r>
    </w:p>
    <w:p w14:paraId="6249F8E5" w14:textId="77777777" w:rsidR="00CB7AF2" w:rsidRPr="00515132" w:rsidRDefault="00CB7AF2" w:rsidP="00515132">
      <w:pPr>
        <w:rPr>
          <w:rFonts w:ascii="Arial" w:hAnsi="Arial" w:cs="Arial"/>
          <w:sz w:val="24"/>
          <w:szCs w:val="24"/>
        </w:rPr>
      </w:pPr>
    </w:p>
    <w:p w14:paraId="3BEEA0E2" w14:textId="77777777" w:rsidR="00515132" w:rsidRPr="00515132" w:rsidRDefault="00515132" w:rsidP="00B70618">
      <w:pPr>
        <w:rPr>
          <w:rFonts w:ascii="Arial" w:hAnsi="Arial" w:cs="Arial"/>
          <w:sz w:val="24"/>
          <w:szCs w:val="24"/>
        </w:rPr>
      </w:pPr>
    </w:p>
    <w:sectPr w:rsidR="00515132" w:rsidRPr="00515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34078"/>
    <w:multiLevelType w:val="hybridMultilevel"/>
    <w:tmpl w:val="533A66B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0E725175"/>
    <w:multiLevelType w:val="multilevel"/>
    <w:tmpl w:val="95649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153508"/>
    <w:multiLevelType w:val="multilevel"/>
    <w:tmpl w:val="7C9A9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9DA50B3"/>
    <w:multiLevelType w:val="multilevel"/>
    <w:tmpl w:val="4B36C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CF72F8"/>
    <w:multiLevelType w:val="multilevel"/>
    <w:tmpl w:val="A74C9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216E7C"/>
    <w:multiLevelType w:val="multilevel"/>
    <w:tmpl w:val="9ABEF97A"/>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6" w15:restartNumberingAfterBreak="0">
    <w:nsid w:val="5AF77E92"/>
    <w:multiLevelType w:val="multilevel"/>
    <w:tmpl w:val="025492B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2E5086"/>
    <w:multiLevelType w:val="multilevel"/>
    <w:tmpl w:val="E75A0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51A67DB"/>
    <w:multiLevelType w:val="multilevel"/>
    <w:tmpl w:val="15E44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58B4E10"/>
    <w:multiLevelType w:val="multilevel"/>
    <w:tmpl w:val="F06C0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8473847"/>
    <w:multiLevelType w:val="multilevel"/>
    <w:tmpl w:val="5DFE4D2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E36540"/>
    <w:multiLevelType w:val="multilevel"/>
    <w:tmpl w:val="2F263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2317F88"/>
    <w:multiLevelType w:val="hybridMultilevel"/>
    <w:tmpl w:val="6DC47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817B79"/>
    <w:multiLevelType w:val="multilevel"/>
    <w:tmpl w:val="54327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39589071">
    <w:abstractNumId w:val="5"/>
  </w:num>
  <w:num w:numId="2" w16cid:durableId="769349577">
    <w:abstractNumId w:val="0"/>
  </w:num>
  <w:num w:numId="3" w16cid:durableId="1521160007">
    <w:abstractNumId w:val="10"/>
  </w:num>
  <w:num w:numId="4" w16cid:durableId="1426654460">
    <w:abstractNumId w:val="3"/>
  </w:num>
  <w:num w:numId="5" w16cid:durableId="1180706063">
    <w:abstractNumId w:val="13"/>
  </w:num>
  <w:num w:numId="6" w16cid:durableId="1505315667">
    <w:abstractNumId w:val="7"/>
  </w:num>
  <w:num w:numId="7" w16cid:durableId="1954677291">
    <w:abstractNumId w:val="8"/>
  </w:num>
  <w:num w:numId="8" w16cid:durableId="502667378">
    <w:abstractNumId w:val="11"/>
  </w:num>
  <w:num w:numId="9" w16cid:durableId="312369132">
    <w:abstractNumId w:val="1"/>
  </w:num>
  <w:num w:numId="10" w16cid:durableId="1880317910">
    <w:abstractNumId w:val="4"/>
  </w:num>
  <w:num w:numId="11" w16cid:durableId="1047989502">
    <w:abstractNumId w:val="9"/>
  </w:num>
  <w:num w:numId="12" w16cid:durableId="518810376">
    <w:abstractNumId w:val="2"/>
  </w:num>
  <w:num w:numId="13" w16cid:durableId="538511192">
    <w:abstractNumId w:val="12"/>
  </w:num>
  <w:num w:numId="14" w16cid:durableId="14366335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CD2"/>
    <w:rsid w:val="000F4889"/>
    <w:rsid w:val="00136B7E"/>
    <w:rsid w:val="001C0CD2"/>
    <w:rsid w:val="00515132"/>
    <w:rsid w:val="009F20B9"/>
    <w:rsid w:val="00B34A16"/>
    <w:rsid w:val="00B70618"/>
    <w:rsid w:val="00CB7AF2"/>
    <w:rsid w:val="00DD5177"/>
    <w:rsid w:val="00EE1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0C2CD"/>
  <w15:chartTrackingRefBased/>
  <w15:docId w15:val="{DF0657A6-5AB4-4F6A-90DA-BC274FC89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C0C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C0CD2"/>
    <w:rPr>
      <w:rFonts w:asciiTheme="majorHAnsi" w:eastAsiaTheme="majorEastAsia" w:hAnsiTheme="majorHAnsi" w:cstheme="majorBidi"/>
      <w:color w:val="2F5496" w:themeColor="accent1" w:themeShade="BF"/>
      <w:sz w:val="32"/>
      <w:szCs w:val="32"/>
    </w:rPr>
  </w:style>
  <w:style w:type="character" w:styleId="Hyperlink">
    <w:name w:val="Hyperlink"/>
    <w:basedOn w:val="Fontdeparagrafimplicit"/>
    <w:uiPriority w:val="99"/>
    <w:unhideWhenUsed/>
    <w:rsid w:val="00B34A16"/>
    <w:rPr>
      <w:color w:val="0563C1" w:themeColor="hyperlink"/>
      <w:u w:val="single"/>
    </w:rPr>
  </w:style>
  <w:style w:type="character" w:styleId="MeniuneNerezolvat">
    <w:name w:val="Unresolved Mention"/>
    <w:basedOn w:val="Fontdeparagrafimplicit"/>
    <w:uiPriority w:val="99"/>
    <w:semiHidden/>
    <w:unhideWhenUsed/>
    <w:rsid w:val="00B34A16"/>
    <w:rPr>
      <w:color w:val="605E5C"/>
      <w:shd w:val="clear" w:color="auto" w:fill="E1DFDD"/>
    </w:rPr>
  </w:style>
  <w:style w:type="paragraph" w:styleId="Listparagraf">
    <w:name w:val="List Paragraph"/>
    <w:basedOn w:val="Normal"/>
    <w:uiPriority w:val="34"/>
    <w:qFormat/>
    <w:rsid w:val="00B34A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870267">
      <w:bodyDiv w:val="1"/>
      <w:marLeft w:val="0"/>
      <w:marRight w:val="0"/>
      <w:marTop w:val="0"/>
      <w:marBottom w:val="0"/>
      <w:divBdr>
        <w:top w:val="none" w:sz="0" w:space="0" w:color="auto"/>
        <w:left w:val="none" w:sz="0" w:space="0" w:color="auto"/>
        <w:bottom w:val="none" w:sz="0" w:space="0" w:color="auto"/>
        <w:right w:val="none" w:sz="0" w:space="0" w:color="auto"/>
      </w:divBdr>
    </w:div>
    <w:div w:id="566918804">
      <w:bodyDiv w:val="1"/>
      <w:marLeft w:val="0"/>
      <w:marRight w:val="0"/>
      <w:marTop w:val="0"/>
      <w:marBottom w:val="0"/>
      <w:divBdr>
        <w:top w:val="none" w:sz="0" w:space="0" w:color="auto"/>
        <w:left w:val="none" w:sz="0" w:space="0" w:color="auto"/>
        <w:bottom w:val="none" w:sz="0" w:space="0" w:color="auto"/>
        <w:right w:val="none" w:sz="0" w:space="0" w:color="auto"/>
      </w:divBdr>
    </w:div>
    <w:div w:id="648360150">
      <w:bodyDiv w:val="1"/>
      <w:marLeft w:val="0"/>
      <w:marRight w:val="0"/>
      <w:marTop w:val="0"/>
      <w:marBottom w:val="0"/>
      <w:divBdr>
        <w:top w:val="none" w:sz="0" w:space="0" w:color="auto"/>
        <w:left w:val="none" w:sz="0" w:space="0" w:color="auto"/>
        <w:bottom w:val="none" w:sz="0" w:space="0" w:color="auto"/>
        <w:right w:val="none" w:sz="0" w:space="0" w:color="auto"/>
      </w:divBdr>
    </w:div>
    <w:div w:id="661927416">
      <w:bodyDiv w:val="1"/>
      <w:marLeft w:val="0"/>
      <w:marRight w:val="0"/>
      <w:marTop w:val="0"/>
      <w:marBottom w:val="0"/>
      <w:divBdr>
        <w:top w:val="none" w:sz="0" w:space="0" w:color="auto"/>
        <w:left w:val="none" w:sz="0" w:space="0" w:color="auto"/>
        <w:bottom w:val="none" w:sz="0" w:space="0" w:color="auto"/>
        <w:right w:val="none" w:sz="0" w:space="0" w:color="auto"/>
      </w:divBdr>
      <w:divsChild>
        <w:div w:id="339089898">
          <w:marLeft w:val="0"/>
          <w:marRight w:val="0"/>
          <w:marTop w:val="0"/>
          <w:marBottom w:val="0"/>
          <w:divBdr>
            <w:top w:val="none" w:sz="0" w:space="0" w:color="auto"/>
            <w:left w:val="none" w:sz="0" w:space="0" w:color="auto"/>
            <w:bottom w:val="none" w:sz="0" w:space="0" w:color="auto"/>
            <w:right w:val="none" w:sz="0" w:space="0" w:color="auto"/>
          </w:divBdr>
          <w:divsChild>
            <w:div w:id="1036614131">
              <w:marLeft w:val="0"/>
              <w:marRight w:val="0"/>
              <w:marTop w:val="0"/>
              <w:marBottom w:val="0"/>
              <w:divBdr>
                <w:top w:val="none" w:sz="0" w:space="0" w:color="auto"/>
                <w:left w:val="none" w:sz="0" w:space="0" w:color="auto"/>
                <w:bottom w:val="none" w:sz="0" w:space="0" w:color="auto"/>
                <w:right w:val="none" w:sz="0" w:space="0" w:color="auto"/>
              </w:divBdr>
              <w:divsChild>
                <w:div w:id="724064744">
                  <w:marLeft w:val="0"/>
                  <w:marRight w:val="0"/>
                  <w:marTop w:val="0"/>
                  <w:marBottom w:val="0"/>
                  <w:divBdr>
                    <w:top w:val="none" w:sz="0" w:space="0" w:color="auto"/>
                    <w:left w:val="none" w:sz="0" w:space="0" w:color="auto"/>
                    <w:bottom w:val="none" w:sz="0" w:space="0" w:color="auto"/>
                    <w:right w:val="none" w:sz="0" w:space="0" w:color="auto"/>
                  </w:divBdr>
                  <w:divsChild>
                    <w:div w:id="187199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0561378">
      <w:bodyDiv w:val="1"/>
      <w:marLeft w:val="0"/>
      <w:marRight w:val="0"/>
      <w:marTop w:val="0"/>
      <w:marBottom w:val="0"/>
      <w:divBdr>
        <w:top w:val="none" w:sz="0" w:space="0" w:color="auto"/>
        <w:left w:val="none" w:sz="0" w:space="0" w:color="auto"/>
        <w:bottom w:val="none" w:sz="0" w:space="0" w:color="auto"/>
        <w:right w:val="none" w:sz="0" w:space="0" w:color="auto"/>
      </w:divBdr>
      <w:divsChild>
        <w:div w:id="813331619">
          <w:marLeft w:val="0"/>
          <w:marRight w:val="0"/>
          <w:marTop w:val="0"/>
          <w:marBottom w:val="0"/>
          <w:divBdr>
            <w:top w:val="none" w:sz="0" w:space="0" w:color="auto"/>
            <w:left w:val="none" w:sz="0" w:space="0" w:color="auto"/>
            <w:bottom w:val="none" w:sz="0" w:space="0" w:color="auto"/>
            <w:right w:val="none" w:sz="0" w:space="0" w:color="auto"/>
          </w:divBdr>
          <w:divsChild>
            <w:div w:id="1866866391">
              <w:marLeft w:val="0"/>
              <w:marRight w:val="0"/>
              <w:marTop w:val="0"/>
              <w:marBottom w:val="0"/>
              <w:divBdr>
                <w:top w:val="none" w:sz="0" w:space="0" w:color="auto"/>
                <w:left w:val="none" w:sz="0" w:space="0" w:color="auto"/>
                <w:bottom w:val="none" w:sz="0" w:space="0" w:color="auto"/>
                <w:right w:val="none" w:sz="0" w:space="0" w:color="auto"/>
              </w:divBdr>
              <w:divsChild>
                <w:div w:id="1675496795">
                  <w:marLeft w:val="0"/>
                  <w:marRight w:val="0"/>
                  <w:marTop w:val="0"/>
                  <w:marBottom w:val="0"/>
                  <w:divBdr>
                    <w:top w:val="none" w:sz="0" w:space="0" w:color="auto"/>
                    <w:left w:val="none" w:sz="0" w:space="0" w:color="auto"/>
                    <w:bottom w:val="none" w:sz="0" w:space="0" w:color="auto"/>
                    <w:right w:val="none" w:sz="0" w:space="0" w:color="auto"/>
                  </w:divBdr>
                  <w:divsChild>
                    <w:div w:id="1520966350">
                      <w:marLeft w:val="0"/>
                      <w:marRight w:val="0"/>
                      <w:marTop w:val="0"/>
                      <w:marBottom w:val="0"/>
                      <w:divBdr>
                        <w:top w:val="none" w:sz="0" w:space="0" w:color="auto"/>
                        <w:left w:val="none" w:sz="0" w:space="0" w:color="auto"/>
                        <w:bottom w:val="none" w:sz="0" w:space="0" w:color="auto"/>
                        <w:right w:val="none" w:sz="0" w:space="0" w:color="auto"/>
                      </w:divBdr>
                      <w:divsChild>
                        <w:div w:id="1194884200">
                          <w:marLeft w:val="0"/>
                          <w:marRight w:val="0"/>
                          <w:marTop w:val="0"/>
                          <w:marBottom w:val="0"/>
                          <w:divBdr>
                            <w:top w:val="none" w:sz="0" w:space="0" w:color="auto"/>
                            <w:left w:val="none" w:sz="0" w:space="0" w:color="auto"/>
                            <w:bottom w:val="none" w:sz="0" w:space="0" w:color="auto"/>
                            <w:right w:val="none" w:sz="0" w:space="0" w:color="auto"/>
                          </w:divBdr>
                          <w:divsChild>
                            <w:div w:id="1439133055">
                              <w:marLeft w:val="0"/>
                              <w:marRight w:val="0"/>
                              <w:marTop w:val="0"/>
                              <w:marBottom w:val="0"/>
                              <w:divBdr>
                                <w:top w:val="none" w:sz="0" w:space="0" w:color="auto"/>
                                <w:left w:val="none" w:sz="0" w:space="0" w:color="auto"/>
                                <w:bottom w:val="none" w:sz="0" w:space="0" w:color="auto"/>
                                <w:right w:val="none" w:sz="0" w:space="0" w:color="auto"/>
                              </w:divBdr>
                              <w:divsChild>
                                <w:div w:id="120409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060444">
                      <w:marLeft w:val="0"/>
                      <w:marRight w:val="0"/>
                      <w:marTop w:val="0"/>
                      <w:marBottom w:val="0"/>
                      <w:divBdr>
                        <w:top w:val="none" w:sz="0" w:space="0" w:color="auto"/>
                        <w:left w:val="none" w:sz="0" w:space="0" w:color="auto"/>
                        <w:bottom w:val="none" w:sz="0" w:space="0" w:color="auto"/>
                        <w:right w:val="none" w:sz="0" w:space="0" w:color="auto"/>
                      </w:divBdr>
                      <w:divsChild>
                        <w:div w:id="351885342">
                          <w:marLeft w:val="0"/>
                          <w:marRight w:val="0"/>
                          <w:marTop w:val="240"/>
                          <w:marBottom w:val="120"/>
                          <w:divBdr>
                            <w:top w:val="none" w:sz="0" w:space="0" w:color="auto"/>
                            <w:left w:val="none" w:sz="0" w:space="0" w:color="auto"/>
                            <w:bottom w:val="none" w:sz="0" w:space="0" w:color="auto"/>
                            <w:right w:val="none" w:sz="0" w:space="0" w:color="auto"/>
                          </w:divBdr>
                          <w:divsChild>
                            <w:div w:id="719206711">
                              <w:marLeft w:val="0"/>
                              <w:marRight w:val="0"/>
                              <w:marTop w:val="0"/>
                              <w:marBottom w:val="0"/>
                              <w:divBdr>
                                <w:top w:val="none" w:sz="0" w:space="0" w:color="auto"/>
                                <w:left w:val="none" w:sz="0" w:space="0" w:color="auto"/>
                                <w:bottom w:val="none" w:sz="0" w:space="0" w:color="auto"/>
                                <w:right w:val="none" w:sz="0" w:space="0" w:color="auto"/>
                              </w:divBdr>
                              <w:divsChild>
                                <w:div w:id="1354381204">
                                  <w:marLeft w:val="0"/>
                                  <w:marRight w:val="0"/>
                                  <w:marTop w:val="0"/>
                                  <w:marBottom w:val="0"/>
                                  <w:divBdr>
                                    <w:top w:val="none" w:sz="0" w:space="0" w:color="auto"/>
                                    <w:left w:val="none" w:sz="0" w:space="0" w:color="auto"/>
                                    <w:bottom w:val="none" w:sz="0" w:space="0" w:color="auto"/>
                                    <w:right w:val="none" w:sz="0" w:space="0" w:color="auto"/>
                                  </w:divBdr>
                                </w:div>
                                <w:div w:id="1176767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7651318">
      <w:bodyDiv w:val="1"/>
      <w:marLeft w:val="0"/>
      <w:marRight w:val="0"/>
      <w:marTop w:val="0"/>
      <w:marBottom w:val="0"/>
      <w:divBdr>
        <w:top w:val="none" w:sz="0" w:space="0" w:color="auto"/>
        <w:left w:val="none" w:sz="0" w:space="0" w:color="auto"/>
        <w:bottom w:val="none" w:sz="0" w:space="0" w:color="auto"/>
        <w:right w:val="none" w:sz="0" w:space="0" w:color="auto"/>
      </w:divBdr>
    </w:div>
    <w:div w:id="1263995894">
      <w:bodyDiv w:val="1"/>
      <w:marLeft w:val="0"/>
      <w:marRight w:val="0"/>
      <w:marTop w:val="0"/>
      <w:marBottom w:val="0"/>
      <w:divBdr>
        <w:top w:val="none" w:sz="0" w:space="0" w:color="auto"/>
        <w:left w:val="none" w:sz="0" w:space="0" w:color="auto"/>
        <w:bottom w:val="none" w:sz="0" w:space="0" w:color="auto"/>
        <w:right w:val="none" w:sz="0" w:space="0" w:color="auto"/>
      </w:divBdr>
    </w:div>
    <w:div w:id="1525168542">
      <w:bodyDiv w:val="1"/>
      <w:marLeft w:val="0"/>
      <w:marRight w:val="0"/>
      <w:marTop w:val="0"/>
      <w:marBottom w:val="0"/>
      <w:divBdr>
        <w:top w:val="none" w:sz="0" w:space="0" w:color="auto"/>
        <w:left w:val="none" w:sz="0" w:space="0" w:color="auto"/>
        <w:bottom w:val="none" w:sz="0" w:space="0" w:color="auto"/>
        <w:right w:val="none" w:sz="0" w:space="0" w:color="auto"/>
      </w:divBdr>
    </w:div>
    <w:div w:id="2056542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12494</TotalTime>
  <Pages>10</Pages>
  <Words>2388</Words>
  <Characters>15237</Characters>
  <Application>Microsoft Office Word</Application>
  <DocSecurity>0</DocSecurity>
  <Lines>310</Lines>
  <Paragraphs>124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Adina Irimia (2125046)</dc:creator>
  <cp:keywords/>
  <dc:description/>
  <cp:lastModifiedBy>Adina Irimia (2125046)</cp:lastModifiedBy>
  <cp:revision>5</cp:revision>
  <dcterms:created xsi:type="dcterms:W3CDTF">2023-11-02T13:59:00Z</dcterms:created>
  <dcterms:modified xsi:type="dcterms:W3CDTF">2023-11-20T11:12:00Z</dcterms:modified>
</cp:coreProperties>
</file>