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C63AF" w:rsidRPr="002C63AF" w:rsidRDefault="002C63AF" w:rsidP="002C63AF">
      <w:pPr>
        <w:shd w:val="clear" w:color="auto" w:fill="FFFFFF"/>
        <w:spacing w:before="288" w:after="24" w:line="240" w:lineRule="auto"/>
        <w:textAlignment w:val="baseline"/>
        <w:outlineLvl w:val="1"/>
        <w:rPr>
          <w:rFonts w:eastAsia="Times New Roman" w:cs="Times New Roman"/>
          <w:b/>
          <w:bCs/>
          <w:color w:val="1C1C1C"/>
          <w:sz w:val="26"/>
          <w:szCs w:val="26"/>
          <w:lang w:eastAsia="en-GB"/>
        </w:rPr>
      </w:pPr>
      <w:r w:rsidRPr="002C63AF">
        <w:rPr>
          <w:rFonts w:eastAsia="Times New Roman" w:cs="Times New Roman"/>
          <w:b/>
          <w:bCs/>
          <w:color w:val="1C1C1C"/>
          <w:sz w:val="26"/>
          <w:szCs w:val="26"/>
          <w:lang w:eastAsia="en-GB"/>
        </w:rPr>
        <w:t>Colour in the Interface Exercise</w:t>
      </w:r>
    </w:p>
    <w:p w:rsidR="002C63AF" w:rsidRPr="002C63AF" w:rsidRDefault="002C63AF" w:rsidP="002C63AF">
      <w:pPr>
        <w:shd w:val="clear" w:color="auto" w:fill="FFFFFF"/>
        <w:spacing w:before="288" w:after="24" w:line="240" w:lineRule="auto"/>
        <w:textAlignment w:val="baseline"/>
        <w:outlineLvl w:val="1"/>
        <w:rPr>
          <w:rFonts w:eastAsia="Times New Roman" w:cs="Times New Roman"/>
          <w:b/>
          <w:bCs/>
          <w:color w:val="1C1C1C"/>
          <w:sz w:val="26"/>
          <w:szCs w:val="26"/>
          <w:lang w:eastAsia="en-GB"/>
        </w:rPr>
      </w:pPr>
      <w:r w:rsidRPr="002C63AF">
        <w:rPr>
          <w:rFonts w:eastAsia="Times New Roman" w:cs="Times New Roman"/>
          <w:b/>
          <w:bCs/>
          <w:color w:val="1C1C1C"/>
          <w:sz w:val="26"/>
          <w:szCs w:val="26"/>
          <w:lang w:eastAsia="en-GB"/>
        </w:rPr>
        <w:t>Colour can:</w:t>
      </w:r>
    </w:p>
    <w:p w:rsidR="002C63AF" w:rsidRPr="002C63AF" w:rsidRDefault="002C63AF" w:rsidP="002C63AF">
      <w:pPr>
        <w:numPr>
          <w:ilvl w:val="0"/>
          <w:numId w:val="1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Soothe or strike the eye</w:t>
      </w:r>
    </w:p>
    <w:p w:rsidR="002C63AF" w:rsidRPr="002C63AF" w:rsidRDefault="002C63AF" w:rsidP="002C63AF">
      <w:pPr>
        <w:numPr>
          <w:ilvl w:val="0"/>
          <w:numId w:val="1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Add accents to an uninteresting display</w:t>
      </w:r>
    </w:p>
    <w:p w:rsidR="002C63AF" w:rsidRPr="002C63AF" w:rsidRDefault="002C63AF" w:rsidP="002C63AF">
      <w:pPr>
        <w:numPr>
          <w:ilvl w:val="0"/>
          <w:numId w:val="1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Facilitate subtle discriminations in complex displays</w:t>
      </w:r>
    </w:p>
    <w:p w:rsidR="002C63AF" w:rsidRPr="002C63AF" w:rsidRDefault="002C63AF" w:rsidP="002C63AF">
      <w:pPr>
        <w:numPr>
          <w:ilvl w:val="0"/>
          <w:numId w:val="1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Emphasize the logical organization of information</w:t>
      </w:r>
    </w:p>
    <w:p w:rsidR="002C63AF" w:rsidRPr="002C63AF" w:rsidRDefault="002C63AF" w:rsidP="002C63AF">
      <w:pPr>
        <w:numPr>
          <w:ilvl w:val="0"/>
          <w:numId w:val="1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Draw attention to warnings</w:t>
      </w:r>
    </w:p>
    <w:p w:rsidR="002C63AF" w:rsidRPr="002C63AF" w:rsidRDefault="002C63AF" w:rsidP="002C63AF">
      <w:pPr>
        <w:numPr>
          <w:ilvl w:val="0"/>
          <w:numId w:val="1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Evoke strong emotions of joy, excitement, fear or anger</w:t>
      </w:r>
    </w:p>
    <w:p w:rsidR="002C63AF" w:rsidRPr="002C63AF" w:rsidRDefault="002C63AF" w:rsidP="002C63AF">
      <w:pPr>
        <w:shd w:val="clear" w:color="auto" w:fill="FFFFFF"/>
        <w:spacing w:before="288" w:after="24" w:line="240" w:lineRule="auto"/>
        <w:textAlignment w:val="baseline"/>
        <w:outlineLvl w:val="1"/>
        <w:rPr>
          <w:rFonts w:eastAsia="Times New Roman" w:cs="Times New Roman"/>
          <w:b/>
          <w:bCs/>
          <w:color w:val="1C1C1C"/>
          <w:sz w:val="26"/>
          <w:szCs w:val="26"/>
          <w:lang w:eastAsia="en-GB"/>
        </w:rPr>
      </w:pPr>
      <w:r w:rsidRPr="002C63AF">
        <w:rPr>
          <w:rFonts w:eastAsia="Times New Roman" w:cs="Times New Roman"/>
          <w:b/>
          <w:bCs/>
          <w:color w:val="1C1C1C"/>
          <w:sz w:val="26"/>
          <w:szCs w:val="26"/>
          <w:lang w:eastAsia="en-GB"/>
        </w:rPr>
        <w:t>Guidelines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Use colour conservatively –show meaningful relationships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Limit the number of colours –4 to 7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Recognize power of colour as a coding technique –speeds recognition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Ensure that coding supports the task – close linkage between tasks and colour coding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Have colour coding appear with minimal user effort –should not be assigned by users each time they perform a task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Place colour coding under user control –turn off if needed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Be consistent in colour coding use throughout system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Be alert to common expectations of colour codes – outside computer significance.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Be alert to problems with colour pairings.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Use colour changes to indicate status changes</w:t>
      </w:r>
    </w:p>
    <w:p w:rsidR="002C63AF" w:rsidRPr="002C63AF" w:rsidRDefault="002C63AF" w:rsidP="002C63AF">
      <w:pPr>
        <w:numPr>
          <w:ilvl w:val="0"/>
          <w:numId w:val="2"/>
        </w:numPr>
        <w:shd w:val="clear" w:color="auto" w:fill="FFFFFF"/>
        <w:spacing w:after="0" w:line="240" w:lineRule="auto"/>
        <w:ind w:left="336"/>
        <w:textAlignment w:val="baseline"/>
        <w:rPr>
          <w:rFonts w:eastAsia="Times New Roman" w:cs="Times New Roman"/>
          <w:color w:val="1C1C1C"/>
          <w:lang w:eastAsia="en-GB"/>
        </w:rPr>
      </w:pPr>
      <w:r w:rsidRPr="002C63AF">
        <w:rPr>
          <w:rFonts w:eastAsia="Times New Roman" w:cs="Times New Roman"/>
          <w:color w:val="1C1C1C"/>
          <w:lang w:eastAsia="en-GB"/>
        </w:rPr>
        <w:t>Use colour for greater information density</w:t>
      </w:r>
    </w:p>
    <w:p w:rsidR="002C63AF" w:rsidRPr="002C63AF" w:rsidRDefault="002C63AF">
      <w:r w:rsidRPr="002C63AF">
        <w:t xml:space="preserve">Ben </w:t>
      </w:r>
      <w:proofErr w:type="spellStart"/>
      <w:r w:rsidRPr="002C63AF">
        <w:t>Shneiderman</w:t>
      </w:r>
      <w:proofErr w:type="spellEnd"/>
      <w:r w:rsidRPr="002C63AF">
        <w:t xml:space="preserve">, Designing the User Interface (2016)  </w:t>
      </w:r>
    </w:p>
    <w:p w:rsidR="002C63AF" w:rsidRPr="002C63AF" w:rsidRDefault="002C63AF"/>
    <w:p w:rsidR="002C63AF" w:rsidRPr="002C63AF" w:rsidRDefault="002C63AF">
      <w:r w:rsidRPr="002C63AF">
        <w:t>Select a sports team we</w:t>
      </w:r>
      <w:bookmarkStart w:id="0" w:name="_GoBack"/>
      <w:bookmarkEnd w:id="0"/>
      <w:r w:rsidRPr="002C63AF">
        <w:t xml:space="preserve">bsite and evaluate the use of colour according to </w:t>
      </w:r>
      <w:proofErr w:type="spellStart"/>
      <w:r w:rsidRPr="002C63AF">
        <w:t>Shneideman’s</w:t>
      </w:r>
      <w:proofErr w:type="spellEnd"/>
      <w:r w:rsidRPr="002C63AF">
        <w:t xml:space="preserve"> guidelines. What changes would you suggest? </w:t>
      </w:r>
    </w:p>
    <w:p w:rsidR="002C63AF" w:rsidRDefault="002C63AF"/>
    <w:sectPr w:rsidR="002C63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5475694"/>
    <w:multiLevelType w:val="multilevel"/>
    <w:tmpl w:val="5AD8A8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381293E"/>
    <w:multiLevelType w:val="multilevel"/>
    <w:tmpl w:val="D6EE19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63AF"/>
    <w:rsid w:val="002C63AF"/>
    <w:rsid w:val="00526C36"/>
    <w:rsid w:val="00853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2A392DF-BBD1-4816-9CF3-B203204B69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C63A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C63A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6222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176</Words>
  <Characters>1005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1</cp:revision>
  <dcterms:created xsi:type="dcterms:W3CDTF">2016-10-20T14:13:00Z</dcterms:created>
  <dcterms:modified xsi:type="dcterms:W3CDTF">2016-10-20T14:22:00Z</dcterms:modified>
</cp:coreProperties>
</file>