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4536"/>
      </w:tblGrid>
      <w:tr w:rsidR="004151E6" w:rsidRPr="00A406E5" w14:paraId="2C7794F7" w14:textId="77777777" w:rsidTr="00C1696A">
        <w:tc>
          <w:tcPr>
            <w:tcW w:w="2093" w:type="dxa"/>
          </w:tcPr>
          <w:p w14:paraId="058C6B00" w14:textId="77777777" w:rsidR="004151E6" w:rsidRPr="00A406E5" w:rsidRDefault="004151E6" w:rsidP="00C1696A">
            <w:pPr>
              <w:spacing w:before="120" w:after="120"/>
              <w:jc w:val="both"/>
              <w:rPr>
                <w:rFonts w:ascii="Arial" w:hAnsi="Arial" w:cs="Arial"/>
                <w:b/>
              </w:rPr>
            </w:pPr>
            <w:r>
              <w:rPr>
                <w:rFonts w:ascii="Arial" w:hAnsi="Arial" w:cs="Arial"/>
                <w:b/>
              </w:rPr>
              <w:t>Student Name:</w:t>
            </w:r>
          </w:p>
        </w:tc>
        <w:tc>
          <w:tcPr>
            <w:tcW w:w="7829" w:type="dxa"/>
            <w:gridSpan w:val="2"/>
          </w:tcPr>
          <w:p w14:paraId="76F191E9" w14:textId="067ED0B0" w:rsidR="004151E6" w:rsidRPr="00A406E5" w:rsidRDefault="004151E6" w:rsidP="00C1696A">
            <w:pPr>
              <w:spacing w:before="120" w:after="120"/>
              <w:jc w:val="both"/>
              <w:rPr>
                <w:rFonts w:ascii="Arial" w:hAnsi="Arial" w:cs="Arial"/>
                <w:b/>
              </w:rPr>
            </w:pPr>
            <w:r>
              <w:rPr>
                <w:rFonts w:ascii="Arial" w:hAnsi="Arial" w:cs="Arial"/>
                <w:b/>
                <w:bCs/>
              </w:rPr>
              <w:t xml:space="preserve">Zsolt Czirjek </w:t>
            </w:r>
          </w:p>
        </w:tc>
      </w:tr>
      <w:tr w:rsidR="004151E6" w:rsidRPr="00A406E5" w14:paraId="5D6F49DE" w14:textId="77777777" w:rsidTr="00C1696A">
        <w:tc>
          <w:tcPr>
            <w:tcW w:w="2093" w:type="dxa"/>
          </w:tcPr>
          <w:p w14:paraId="029A8699" w14:textId="77777777" w:rsidR="004151E6" w:rsidRDefault="004151E6" w:rsidP="00C1696A">
            <w:pPr>
              <w:spacing w:before="120" w:after="120"/>
              <w:jc w:val="both"/>
              <w:rPr>
                <w:rFonts w:ascii="Arial" w:hAnsi="Arial" w:cs="Arial"/>
                <w:b/>
              </w:rPr>
            </w:pPr>
            <w:r>
              <w:rPr>
                <w:rFonts w:ascii="Arial" w:hAnsi="Arial" w:cs="Arial"/>
                <w:b/>
              </w:rPr>
              <w:t>Student ID:</w:t>
            </w:r>
          </w:p>
        </w:tc>
        <w:tc>
          <w:tcPr>
            <w:tcW w:w="7829" w:type="dxa"/>
            <w:gridSpan w:val="2"/>
          </w:tcPr>
          <w:p w14:paraId="7D2A5E44" w14:textId="2A43D4EE" w:rsidR="004151E6" w:rsidRDefault="004151E6" w:rsidP="00C1696A">
            <w:pPr>
              <w:spacing w:before="120" w:after="120"/>
              <w:jc w:val="both"/>
              <w:rPr>
                <w:rFonts w:ascii="Arial" w:hAnsi="Arial" w:cs="Arial"/>
                <w:b/>
                <w:bCs/>
              </w:rPr>
            </w:pPr>
            <w:r>
              <w:rPr>
                <w:rFonts w:ascii="Arial" w:hAnsi="Arial" w:cs="Arial"/>
                <w:b/>
                <w:bCs/>
              </w:rPr>
              <w:t>22120</w:t>
            </w:r>
            <w:r>
              <w:rPr>
                <w:rFonts w:ascii="Arial" w:hAnsi="Arial" w:cs="Arial"/>
                <w:b/>
                <w:bCs/>
              </w:rPr>
              <w:t>90</w:t>
            </w:r>
          </w:p>
        </w:tc>
      </w:tr>
      <w:tr w:rsidR="004151E6" w:rsidRPr="00A406E5" w14:paraId="2709A749" w14:textId="77777777" w:rsidTr="00C1696A">
        <w:tc>
          <w:tcPr>
            <w:tcW w:w="2093" w:type="dxa"/>
          </w:tcPr>
          <w:p w14:paraId="1171C176" w14:textId="77777777" w:rsidR="004151E6" w:rsidRPr="00A406E5" w:rsidRDefault="004151E6" w:rsidP="00C1696A">
            <w:pPr>
              <w:spacing w:before="120" w:after="120"/>
              <w:jc w:val="both"/>
              <w:rPr>
                <w:rFonts w:ascii="Arial" w:hAnsi="Arial" w:cs="Arial"/>
                <w:b/>
              </w:rPr>
            </w:pPr>
            <w:r w:rsidRPr="00A406E5">
              <w:rPr>
                <w:rFonts w:ascii="Arial" w:hAnsi="Arial" w:cs="Arial"/>
                <w:b/>
              </w:rPr>
              <w:t>Module:</w:t>
            </w:r>
          </w:p>
        </w:tc>
        <w:tc>
          <w:tcPr>
            <w:tcW w:w="7829" w:type="dxa"/>
            <w:gridSpan w:val="2"/>
          </w:tcPr>
          <w:p w14:paraId="5417905A" w14:textId="77777777" w:rsidR="004151E6" w:rsidRPr="00A406E5" w:rsidRDefault="004151E6" w:rsidP="00C1696A">
            <w:pPr>
              <w:spacing w:before="120" w:after="120"/>
              <w:rPr>
                <w:rFonts w:ascii="Arial" w:hAnsi="Arial" w:cs="Arial"/>
                <w:b/>
              </w:rPr>
            </w:pPr>
            <w:r w:rsidRPr="000C4A68">
              <w:rPr>
                <w:rFonts w:ascii="Arial" w:hAnsi="Arial" w:cs="Arial"/>
                <w:b/>
                <w:bCs/>
              </w:rPr>
              <w:t>Marketing Management</w:t>
            </w:r>
          </w:p>
        </w:tc>
      </w:tr>
      <w:tr w:rsidR="004151E6" w:rsidRPr="00A406E5" w14:paraId="735EA64D" w14:textId="77777777" w:rsidTr="00C1696A">
        <w:trPr>
          <w:gridAfter w:val="1"/>
          <w:wAfter w:w="4536" w:type="dxa"/>
        </w:trPr>
        <w:tc>
          <w:tcPr>
            <w:tcW w:w="2093" w:type="dxa"/>
          </w:tcPr>
          <w:p w14:paraId="38636626" w14:textId="77777777" w:rsidR="004151E6" w:rsidRPr="00A406E5" w:rsidRDefault="004151E6" w:rsidP="00C1696A">
            <w:pPr>
              <w:spacing w:before="120" w:after="120"/>
              <w:jc w:val="both"/>
              <w:rPr>
                <w:rFonts w:ascii="Arial" w:hAnsi="Arial" w:cs="Arial"/>
                <w:b/>
              </w:rPr>
            </w:pPr>
            <w:r w:rsidRPr="00A406E5">
              <w:rPr>
                <w:rFonts w:ascii="Arial" w:hAnsi="Arial" w:cs="Arial"/>
                <w:b/>
              </w:rPr>
              <w:t>Module code:</w:t>
            </w:r>
          </w:p>
        </w:tc>
        <w:tc>
          <w:tcPr>
            <w:tcW w:w="3293" w:type="dxa"/>
          </w:tcPr>
          <w:p w14:paraId="58529659" w14:textId="77777777" w:rsidR="004151E6" w:rsidRPr="00A406E5" w:rsidRDefault="004151E6" w:rsidP="00C1696A">
            <w:pPr>
              <w:spacing w:before="120" w:after="120"/>
              <w:jc w:val="both"/>
              <w:rPr>
                <w:rFonts w:ascii="Arial" w:hAnsi="Arial" w:cs="Arial"/>
                <w:b/>
              </w:rPr>
            </w:pPr>
            <w:r w:rsidRPr="000C4A68">
              <w:rPr>
                <w:rFonts w:ascii="Arial" w:hAnsi="Arial" w:cs="Arial"/>
                <w:b/>
                <w:bCs/>
              </w:rPr>
              <w:t>LCMB7024</w:t>
            </w:r>
          </w:p>
        </w:tc>
      </w:tr>
      <w:tr w:rsidR="004151E6" w:rsidRPr="00A406E5" w14:paraId="5312FD0A" w14:textId="77777777" w:rsidTr="00C1696A">
        <w:trPr>
          <w:gridAfter w:val="1"/>
          <w:wAfter w:w="4536" w:type="dxa"/>
        </w:trPr>
        <w:tc>
          <w:tcPr>
            <w:tcW w:w="2093" w:type="dxa"/>
          </w:tcPr>
          <w:p w14:paraId="111ECD3D" w14:textId="77777777" w:rsidR="004151E6" w:rsidRPr="00A406E5" w:rsidRDefault="004151E6" w:rsidP="00C1696A">
            <w:pPr>
              <w:spacing w:before="120" w:after="120"/>
              <w:jc w:val="both"/>
              <w:rPr>
                <w:rFonts w:ascii="Arial" w:hAnsi="Arial" w:cs="Arial"/>
                <w:b/>
              </w:rPr>
            </w:pPr>
            <w:r w:rsidRPr="00A406E5">
              <w:rPr>
                <w:rFonts w:ascii="Arial" w:hAnsi="Arial" w:cs="Arial"/>
                <w:b/>
              </w:rPr>
              <w:t>Lecturer:</w:t>
            </w:r>
          </w:p>
        </w:tc>
        <w:tc>
          <w:tcPr>
            <w:tcW w:w="3293" w:type="dxa"/>
          </w:tcPr>
          <w:p w14:paraId="65B45AF9" w14:textId="77777777" w:rsidR="004151E6" w:rsidRPr="00A406E5" w:rsidRDefault="004151E6" w:rsidP="00C1696A">
            <w:pPr>
              <w:spacing w:before="120" w:after="120"/>
              <w:rPr>
                <w:rFonts w:ascii="Arial" w:hAnsi="Arial" w:cs="Arial"/>
                <w:b/>
              </w:rPr>
            </w:pPr>
            <w:r>
              <w:rPr>
                <w:rFonts w:ascii="Arial" w:hAnsi="Arial" w:cs="Arial"/>
                <w:b/>
              </w:rPr>
              <w:t>Dian Mayasari (Birmingham)</w:t>
            </w:r>
          </w:p>
        </w:tc>
      </w:tr>
      <w:tr w:rsidR="004151E6" w:rsidRPr="00A406E5" w14:paraId="296C60FF" w14:textId="77777777" w:rsidTr="00C1696A">
        <w:trPr>
          <w:gridAfter w:val="1"/>
          <w:wAfter w:w="4536" w:type="dxa"/>
        </w:trPr>
        <w:tc>
          <w:tcPr>
            <w:tcW w:w="2093" w:type="dxa"/>
          </w:tcPr>
          <w:p w14:paraId="1A8248C5" w14:textId="77777777" w:rsidR="004151E6" w:rsidRPr="00A406E5" w:rsidRDefault="004151E6" w:rsidP="00C1696A">
            <w:pPr>
              <w:spacing w:before="120" w:after="120"/>
              <w:jc w:val="both"/>
              <w:rPr>
                <w:rFonts w:ascii="Arial" w:hAnsi="Arial" w:cs="Arial"/>
                <w:b/>
              </w:rPr>
            </w:pPr>
            <w:r w:rsidRPr="00A406E5">
              <w:rPr>
                <w:rFonts w:ascii="Arial" w:hAnsi="Arial" w:cs="Arial"/>
                <w:b/>
              </w:rPr>
              <w:t>Assignment Title:</w:t>
            </w:r>
          </w:p>
        </w:tc>
        <w:tc>
          <w:tcPr>
            <w:tcW w:w="3293" w:type="dxa"/>
          </w:tcPr>
          <w:p w14:paraId="132E62C5" w14:textId="77777777" w:rsidR="004151E6" w:rsidRPr="000C4A68" w:rsidRDefault="004151E6" w:rsidP="00C1696A">
            <w:pPr>
              <w:spacing w:before="120" w:after="120"/>
              <w:rPr>
                <w:rFonts w:ascii="Arial" w:hAnsi="Arial" w:cs="Arial"/>
                <w:b/>
              </w:rPr>
            </w:pPr>
            <w:r w:rsidRPr="04255BE5">
              <w:rPr>
                <w:rFonts w:ascii="Arial" w:hAnsi="Arial" w:cs="Arial"/>
                <w:b/>
                <w:bCs/>
              </w:rPr>
              <w:t>Marketing Environment Analysis</w:t>
            </w:r>
          </w:p>
          <w:p w14:paraId="758FD1B1" w14:textId="77777777" w:rsidR="004151E6" w:rsidRPr="00A406E5" w:rsidRDefault="004151E6" w:rsidP="00C1696A">
            <w:pPr>
              <w:spacing w:before="120" w:after="120"/>
              <w:rPr>
                <w:rFonts w:ascii="Arial" w:hAnsi="Arial" w:cs="Arial"/>
                <w:b/>
              </w:rPr>
            </w:pPr>
          </w:p>
        </w:tc>
      </w:tr>
    </w:tbl>
    <w:p w14:paraId="22452B46" w14:textId="77777777" w:rsidR="004151E6" w:rsidRDefault="004151E6" w:rsidP="004151E6">
      <w:pPr>
        <w:rPr>
          <w:rFonts w:ascii="Arial" w:hAnsi="Arial" w:cs="Arial"/>
          <w:b/>
          <w:bCs/>
        </w:rPr>
      </w:pPr>
    </w:p>
    <w:p w14:paraId="74C9466C" w14:textId="77777777" w:rsidR="004151E6" w:rsidRDefault="004151E6" w:rsidP="004151E6">
      <w:pPr>
        <w:rPr>
          <w:rFonts w:ascii="Arial" w:hAnsi="Arial" w:cs="Arial"/>
          <w:b/>
          <w:bCs/>
        </w:rPr>
      </w:pPr>
    </w:p>
    <w:p w14:paraId="4A6B3145" w14:textId="77777777" w:rsidR="004151E6" w:rsidRDefault="004151E6" w:rsidP="004151E6">
      <w:pPr>
        <w:rPr>
          <w:rFonts w:ascii="Arial" w:hAnsi="Arial" w:cs="Arial"/>
          <w:b/>
          <w:bCs/>
        </w:rPr>
      </w:pPr>
    </w:p>
    <w:p w14:paraId="04C796CF" w14:textId="77777777" w:rsidR="004151E6" w:rsidRDefault="004151E6" w:rsidP="004151E6">
      <w:pPr>
        <w:rPr>
          <w:rFonts w:ascii="Arial" w:hAnsi="Arial" w:cs="Arial"/>
          <w:b/>
          <w:bCs/>
        </w:rPr>
      </w:pPr>
    </w:p>
    <w:p w14:paraId="7D102DE7" w14:textId="77777777" w:rsidR="004151E6" w:rsidRDefault="004151E6" w:rsidP="004151E6">
      <w:pPr>
        <w:rPr>
          <w:rFonts w:ascii="Arial" w:hAnsi="Arial" w:cs="Arial"/>
          <w:b/>
          <w:bCs/>
        </w:rPr>
      </w:pPr>
    </w:p>
    <w:p w14:paraId="41E3BBD6" w14:textId="77777777" w:rsidR="004151E6" w:rsidRDefault="004151E6" w:rsidP="004151E6">
      <w:pPr>
        <w:rPr>
          <w:rFonts w:ascii="Arial" w:hAnsi="Arial" w:cs="Arial"/>
          <w:b/>
          <w:bCs/>
        </w:rPr>
      </w:pPr>
    </w:p>
    <w:p w14:paraId="0921C18F" w14:textId="77777777" w:rsidR="004151E6" w:rsidRDefault="004151E6" w:rsidP="004151E6">
      <w:pPr>
        <w:rPr>
          <w:rFonts w:ascii="Arial" w:hAnsi="Arial" w:cs="Arial"/>
          <w:b/>
          <w:bCs/>
        </w:rPr>
      </w:pPr>
    </w:p>
    <w:p w14:paraId="2057CB63" w14:textId="77777777" w:rsidR="004151E6" w:rsidRDefault="004151E6" w:rsidP="004151E6">
      <w:pPr>
        <w:rPr>
          <w:rFonts w:ascii="Arial" w:hAnsi="Arial" w:cs="Arial"/>
          <w:b/>
          <w:bCs/>
        </w:rPr>
      </w:pPr>
    </w:p>
    <w:p w14:paraId="3A1BB0DB" w14:textId="77777777" w:rsidR="004151E6" w:rsidRDefault="004151E6" w:rsidP="004151E6">
      <w:pPr>
        <w:rPr>
          <w:rFonts w:ascii="Arial" w:hAnsi="Arial" w:cs="Arial"/>
          <w:b/>
          <w:bCs/>
        </w:rPr>
      </w:pPr>
    </w:p>
    <w:p w14:paraId="205B4568" w14:textId="77777777" w:rsidR="004151E6" w:rsidRDefault="004151E6" w:rsidP="004151E6">
      <w:pPr>
        <w:rPr>
          <w:rFonts w:ascii="Arial" w:hAnsi="Arial" w:cs="Arial"/>
          <w:b/>
          <w:bCs/>
        </w:rPr>
      </w:pPr>
    </w:p>
    <w:p w14:paraId="6BAAE933" w14:textId="77777777" w:rsidR="004151E6" w:rsidRDefault="004151E6" w:rsidP="004151E6">
      <w:pPr>
        <w:rPr>
          <w:rFonts w:ascii="Arial" w:hAnsi="Arial" w:cs="Arial"/>
          <w:b/>
          <w:bCs/>
        </w:rPr>
      </w:pPr>
    </w:p>
    <w:p w14:paraId="0C0ECC89" w14:textId="77777777" w:rsidR="004151E6" w:rsidRDefault="004151E6" w:rsidP="004151E6">
      <w:pPr>
        <w:rPr>
          <w:rFonts w:ascii="Arial" w:hAnsi="Arial" w:cs="Arial"/>
          <w:b/>
          <w:bCs/>
        </w:rPr>
      </w:pPr>
    </w:p>
    <w:p w14:paraId="7CA9431E" w14:textId="77777777" w:rsidR="004151E6" w:rsidRDefault="004151E6" w:rsidP="004151E6">
      <w:pPr>
        <w:rPr>
          <w:rFonts w:ascii="Arial" w:hAnsi="Arial" w:cs="Arial"/>
          <w:b/>
          <w:bCs/>
        </w:rPr>
      </w:pPr>
    </w:p>
    <w:p w14:paraId="5B60AF43" w14:textId="77777777" w:rsidR="004151E6" w:rsidRDefault="004151E6" w:rsidP="004151E6">
      <w:pPr>
        <w:rPr>
          <w:rFonts w:ascii="Arial" w:hAnsi="Arial" w:cs="Arial"/>
          <w:b/>
          <w:bCs/>
        </w:rPr>
      </w:pPr>
    </w:p>
    <w:p w14:paraId="09059523" w14:textId="77777777" w:rsidR="004151E6" w:rsidRDefault="004151E6" w:rsidP="004151E6">
      <w:pPr>
        <w:rPr>
          <w:rFonts w:ascii="Arial" w:hAnsi="Arial" w:cs="Arial"/>
          <w:b/>
          <w:bCs/>
        </w:rPr>
      </w:pPr>
    </w:p>
    <w:p w14:paraId="7A80699D" w14:textId="77777777" w:rsidR="004151E6" w:rsidRDefault="004151E6" w:rsidP="004151E6">
      <w:pPr>
        <w:rPr>
          <w:rFonts w:ascii="Arial" w:hAnsi="Arial" w:cs="Arial"/>
          <w:b/>
          <w:bCs/>
        </w:rPr>
      </w:pPr>
    </w:p>
    <w:p w14:paraId="386E7E74" w14:textId="77777777" w:rsidR="004151E6" w:rsidRDefault="004151E6" w:rsidP="004151E6">
      <w:pPr>
        <w:rPr>
          <w:rFonts w:ascii="Arial" w:hAnsi="Arial" w:cs="Arial"/>
          <w:b/>
          <w:bCs/>
        </w:rPr>
      </w:pPr>
    </w:p>
    <w:p w14:paraId="56776331" w14:textId="77777777" w:rsidR="004151E6" w:rsidRDefault="004151E6" w:rsidP="004151E6">
      <w:pPr>
        <w:rPr>
          <w:rFonts w:ascii="Arial" w:hAnsi="Arial" w:cs="Arial"/>
          <w:b/>
          <w:bCs/>
        </w:rPr>
      </w:pPr>
    </w:p>
    <w:p w14:paraId="54617217" w14:textId="77777777" w:rsidR="004151E6" w:rsidRDefault="004151E6" w:rsidP="004151E6">
      <w:pPr>
        <w:rPr>
          <w:rFonts w:ascii="Arial" w:hAnsi="Arial" w:cs="Arial"/>
          <w:b/>
          <w:bCs/>
        </w:rPr>
      </w:pPr>
    </w:p>
    <w:p w14:paraId="1C5E9D8B" w14:textId="77777777" w:rsidR="004151E6" w:rsidRDefault="004151E6" w:rsidP="004151E6">
      <w:pPr>
        <w:rPr>
          <w:rFonts w:ascii="Arial" w:hAnsi="Arial" w:cs="Arial"/>
          <w:b/>
          <w:bCs/>
        </w:rPr>
      </w:pPr>
    </w:p>
    <w:p w14:paraId="36375420" w14:textId="77777777" w:rsidR="004151E6" w:rsidRDefault="004151E6" w:rsidP="004151E6">
      <w:pPr>
        <w:rPr>
          <w:rFonts w:ascii="Arial" w:hAnsi="Arial" w:cs="Arial"/>
          <w:b/>
          <w:bCs/>
        </w:rPr>
      </w:pPr>
    </w:p>
    <w:p w14:paraId="25E20740" w14:textId="77777777" w:rsidR="004151E6" w:rsidRDefault="004151E6" w:rsidP="004151E6">
      <w:pPr>
        <w:rPr>
          <w:rFonts w:ascii="Arial" w:hAnsi="Arial" w:cs="Arial"/>
          <w:b/>
          <w:bCs/>
        </w:rPr>
      </w:pPr>
    </w:p>
    <w:p w14:paraId="18924A3A" w14:textId="77777777" w:rsidR="004151E6" w:rsidRDefault="004151E6" w:rsidP="004151E6">
      <w:pPr>
        <w:rPr>
          <w:rFonts w:ascii="Arial" w:hAnsi="Arial" w:cs="Arial"/>
          <w:b/>
          <w:bCs/>
        </w:rPr>
      </w:pPr>
    </w:p>
    <w:p w14:paraId="222024CE" w14:textId="77777777" w:rsidR="004151E6" w:rsidRDefault="004151E6" w:rsidP="004151E6">
      <w:pPr>
        <w:rPr>
          <w:rFonts w:ascii="Arial" w:hAnsi="Arial" w:cs="Arial"/>
          <w:b/>
          <w:bCs/>
        </w:rPr>
      </w:pPr>
    </w:p>
    <w:p w14:paraId="58D29E66" w14:textId="77777777" w:rsidR="004151E6" w:rsidRDefault="004151E6" w:rsidP="004151E6">
      <w:pPr>
        <w:rPr>
          <w:rFonts w:ascii="Arial" w:hAnsi="Arial" w:cs="Arial"/>
          <w:b/>
          <w:bCs/>
        </w:rPr>
      </w:pPr>
    </w:p>
    <w:p w14:paraId="40ADFCE5" w14:textId="77777777" w:rsidR="004151E6" w:rsidRDefault="004151E6" w:rsidP="004151E6">
      <w:pPr>
        <w:rPr>
          <w:rFonts w:ascii="Arial" w:hAnsi="Arial" w:cs="Arial"/>
          <w:b/>
          <w:bCs/>
        </w:rPr>
      </w:pPr>
    </w:p>
    <w:p w14:paraId="3D72A5F9" w14:textId="77777777" w:rsidR="004151E6" w:rsidRDefault="004151E6" w:rsidP="004151E6">
      <w:pPr>
        <w:rPr>
          <w:rFonts w:ascii="Arial" w:hAnsi="Arial" w:cs="Arial"/>
          <w:b/>
          <w:bCs/>
        </w:rPr>
      </w:pPr>
    </w:p>
    <w:p w14:paraId="6AC416E7" w14:textId="77777777" w:rsidR="004151E6" w:rsidRDefault="004151E6" w:rsidP="004151E6">
      <w:pPr>
        <w:rPr>
          <w:rFonts w:ascii="Arial" w:hAnsi="Arial" w:cs="Arial"/>
          <w:b/>
          <w:bCs/>
        </w:rPr>
      </w:pPr>
    </w:p>
    <w:p w14:paraId="0BEBC6A2" w14:textId="77777777" w:rsidR="004151E6" w:rsidRDefault="004151E6" w:rsidP="004151E6">
      <w:pPr>
        <w:rPr>
          <w:rFonts w:ascii="Arial" w:hAnsi="Arial" w:cs="Arial"/>
          <w:b/>
          <w:bCs/>
        </w:rPr>
      </w:pPr>
    </w:p>
    <w:p w14:paraId="19DFC7FC" w14:textId="77777777" w:rsidR="004151E6" w:rsidRDefault="004151E6" w:rsidP="004151E6">
      <w:pPr>
        <w:rPr>
          <w:rFonts w:ascii="Arial" w:hAnsi="Arial" w:cs="Arial"/>
          <w:b/>
          <w:bCs/>
        </w:rPr>
      </w:pPr>
    </w:p>
    <w:p w14:paraId="7E067FAB" w14:textId="77777777" w:rsidR="004151E6" w:rsidRDefault="004151E6" w:rsidP="004151E6">
      <w:pPr>
        <w:rPr>
          <w:rFonts w:ascii="Arial" w:hAnsi="Arial" w:cs="Arial"/>
          <w:b/>
          <w:bCs/>
        </w:rPr>
      </w:pPr>
    </w:p>
    <w:p w14:paraId="35844477" w14:textId="77777777" w:rsidR="004151E6" w:rsidRDefault="004151E6" w:rsidP="004151E6">
      <w:pPr>
        <w:rPr>
          <w:rFonts w:ascii="Arial" w:hAnsi="Arial" w:cs="Arial"/>
          <w:b/>
          <w:bCs/>
        </w:rPr>
      </w:pPr>
    </w:p>
    <w:p w14:paraId="6B5ECE26" w14:textId="77777777" w:rsidR="004151E6" w:rsidRDefault="004151E6" w:rsidP="004151E6">
      <w:pPr>
        <w:rPr>
          <w:rFonts w:ascii="Arial" w:hAnsi="Arial" w:cs="Arial"/>
          <w:b/>
          <w:bCs/>
        </w:rPr>
      </w:pPr>
    </w:p>
    <w:p w14:paraId="4FB1A327" w14:textId="2E436AA3" w:rsidR="004151E6" w:rsidRPr="004151E6" w:rsidRDefault="004151E6" w:rsidP="004151E6">
      <w:pPr>
        <w:rPr>
          <w:rFonts w:ascii="Arial" w:hAnsi="Arial" w:cs="Arial"/>
          <w:b/>
          <w:bCs/>
        </w:rPr>
      </w:pPr>
      <w:r w:rsidRPr="004151E6">
        <w:rPr>
          <w:rFonts w:ascii="Arial" w:hAnsi="Arial" w:cs="Arial"/>
          <w:b/>
          <w:bCs/>
        </w:rPr>
        <w:t>1. Introduction</w:t>
      </w:r>
    </w:p>
    <w:p w14:paraId="6CCCED0D" w14:textId="77777777" w:rsidR="004151E6" w:rsidRPr="004151E6" w:rsidRDefault="004151E6" w:rsidP="004151E6">
      <w:pPr>
        <w:rPr>
          <w:rFonts w:ascii="Arial" w:hAnsi="Arial" w:cs="Arial"/>
        </w:rPr>
      </w:pPr>
      <w:r w:rsidRPr="004151E6">
        <w:rPr>
          <w:rFonts w:ascii="Arial" w:hAnsi="Arial" w:cs="Arial"/>
        </w:rPr>
        <w:t xml:space="preserve">The macro marketing environment exerts a profound influence on organisations’ strategic marketing decisions, especially in industries characterised by technological disruption and rapidly evolving consumer behaviour. The </w:t>
      </w:r>
      <w:r w:rsidRPr="004151E6">
        <w:rPr>
          <w:rFonts w:ascii="Arial" w:hAnsi="Arial" w:cs="Arial"/>
          <w:b/>
          <w:bCs/>
        </w:rPr>
        <w:t>food delivery industry</w:t>
      </w:r>
      <w:r w:rsidRPr="004151E6">
        <w:rPr>
          <w:rFonts w:ascii="Arial" w:hAnsi="Arial" w:cs="Arial"/>
        </w:rPr>
        <w:t xml:space="preserve"> exemplifies this dynamic context, driven by innovations in digital platforms, logistics, and changing sociocultural trends in consumption.</w:t>
      </w:r>
    </w:p>
    <w:p w14:paraId="0CAEFC6B" w14:textId="77777777" w:rsidR="004151E6" w:rsidRPr="004151E6" w:rsidRDefault="004151E6" w:rsidP="004151E6">
      <w:pPr>
        <w:rPr>
          <w:rFonts w:ascii="Arial" w:hAnsi="Arial" w:cs="Arial"/>
        </w:rPr>
      </w:pPr>
      <w:r w:rsidRPr="004151E6">
        <w:rPr>
          <w:rFonts w:ascii="Arial" w:hAnsi="Arial" w:cs="Arial"/>
        </w:rPr>
        <w:t>This paper critically analyses two macro marketing environment factors—</w:t>
      </w:r>
      <w:r w:rsidRPr="004151E6">
        <w:rPr>
          <w:rFonts w:ascii="Arial" w:hAnsi="Arial" w:cs="Arial"/>
          <w:b/>
          <w:bCs/>
        </w:rPr>
        <w:t>technological</w:t>
      </w:r>
      <w:r w:rsidRPr="004151E6">
        <w:rPr>
          <w:rFonts w:ascii="Arial" w:hAnsi="Arial" w:cs="Arial"/>
        </w:rPr>
        <w:t xml:space="preserve"> and </w:t>
      </w:r>
      <w:r w:rsidRPr="004151E6">
        <w:rPr>
          <w:rFonts w:ascii="Arial" w:hAnsi="Arial" w:cs="Arial"/>
          <w:b/>
          <w:bCs/>
        </w:rPr>
        <w:t>sociocultural</w:t>
      </w:r>
      <w:r w:rsidRPr="004151E6">
        <w:rPr>
          <w:rFonts w:ascii="Arial" w:hAnsi="Arial" w:cs="Arial"/>
        </w:rPr>
        <w:t xml:space="preserve">—and their implications for </w:t>
      </w:r>
      <w:r w:rsidRPr="004151E6">
        <w:rPr>
          <w:rFonts w:ascii="Arial" w:hAnsi="Arial" w:cs="Arial"/>
          <w:i/>
          <w:iCs/>
        </w:rPr>
        <w:t>pioneering</w:t>
      </w:r>
      <w:r w:rsidRPr="004151E6">
        <w:rPr>
          <w:rFonts w:ascii="Arial" w:hAnsi="Arial" w:cs="Arial"/>
        </w:rPr>
        <w:t xml:space="preserve"> and </w:t>
      </w:r>
      <w:r w:rsidRPr="004151E6">
        <w:rPr>
          <w:rFonts w:ascii="Arial" w:hAnsi="Arial" w:cs="Arial"/>
          <w:i/>
          <w:iCs/>
        </w:rPr>
        <w:t>follower</w:t>
      </w:r>
      <w:r w:rsidRPr="004151E6">
        <w:rPr>
          <w:rFonts w:ascii="Arial" w:hAnsi="Arial" w:cs="Arial"/>
        </w:rPr>
        <w:t xml:space="preserve"> organisations within the food delivery industry. The focus is on </w:t>
      </w:r>
      <w:r w:rsidRPr="004151E6">
        <w:rPr>
          <w:rFonts w:ascii="Arial" w:hAnsi="Arial" w:cs="Arial"/>
          <w:b/>
          <w:bCs/>
        </w:rPr>
        <w:t>Uber Eats</w:t>
      </w:r>
      <w:r w:rsidRPr="004151E6">
        <w:rPr>
          <w:rFonts w:ascii="Arial" w:hAnsi="Arial" w:cs="Arial"/>
        </w:rPr>
        <w:t xml:space="preserve"> as the pioneer and </w:t>
      </w:r>
      <w:r w:rsidRPr="004151E6">
        <w:rPr>
          <w:rFonts w:ascii="Arial" w:hAnsi="Arial" w:cs="Arial"/>
          <w:b/>
          <w:bCs/>
        </w:rPr>
        <w:t>DoorDash</w:t>
      </w:r>
      <w:r w:rsidRPr="004151E6">
        <w:rPr>
          <w:rFonts w:ascii="Arial" w:hAnsi="Arial" w:cs="Arial"/>
        </w:rPr>
        <w:t xml:space="preserve"> as the follower. The analysis examines how changes in these factors create opportunities and threats and evaluates how both firms strategically respond to maintain competitiveness. The discussion integrates established marketing frameworks, including </w:t>
      </w:r>
      <w:r w:rsidRPr="004151E6">
        <w:rPr>
          <w:rFonts w:ascii="Arial" w:hAnsi="Arial" w:cs="Arial"/>
          <w:b/>
          <w:bCs/>
        </w:rPr>
        <w:t>Porter’s Competitive Advantage</w:t>
      </w:r>
      <w:r w:rsidRPr="004151E6">
        <w:rPr>
          <w:rFonts w:ascii="Arial" w:hAnsi="Arial" w:cs="Arial"/>
        </w:rPr>
        <w:t xml:space="preserve">, </w:t>
      </w:r>
      <w:r w:rsidRPr="004151E6">
        <w:rPr>
          <w:rFonts w:ascii="Arial" w:hAnsi="Arial" w:cs="Arial"/>
          <w:b/>
          <w:bCs/>
        </w:rPr>
        <w:t>Ansoff’s Growth Matrix</w:t>
      </w:r>
      <w:r w:rsidRPr="004151E6">
        <w:rPr>
          <w:rFonts w:ascii="Arial" w:hAnsi="Arial" w:cs="Arial"/>
        </w:rPr>
        <w:t xml:space="preserve">, and the </w:t>
      </w:r>
      <w:r w:rsidRPr="004151E6">
        <w:rPr>
          <w:rFonts w:ascii="Arial" w:hAnsi="Arial" w:cs="Arial"/>
          <w:b/>
          <w:bCs/>
        </w:rPr>
        <w:t>Resource-Based View (RBV)</w:t>
      </w:r>
      <w:r w:rsidRPr="004151E6">
        <w:rPr>
          <w:rFonts w:ascii="Arial" w:hAnsi="Arial" w:cs="Arial"/>
        </w:rPr>
        <w:t>, supported by academic and industry evidence.</w:t>
      </w:r>
    </w:p>
    <w:p w14:paraId="30164F8B" w14:textId="2503CACC" w:rsidR="004151E6" w:rsidRPr="004151E6" w:rsidRDefault="004151E6" w:rsidP="004151E6">
      <w:pPr>
        <w:rPr>
          <w:rFonts w:ascii="Arial" w:hAnsi="Arial" w:cs="Arial"/>
        </w:rPr>
      </w:pPr>
    </w:p>
    <w:p w14:paraId="62F64396" w14:textId="77777777" w:rsidR="004151E6" w:rsidRPr="004151E6" w:rsidRDefault="004151E6" w:rsidP="004151E6">
      <w:pPr>
        <w:rPr>
          <w:rFonts w:ascii="Arial" w:hAnsi="Arial" w:cs="Arial"/>
          <w:b/>
          <w:bCs/>
        </w:rPr>
      </w:pPr>
      <w:r w:rsidRPr="004151E6">
        <w:rPr>
          <w:rFonts w:ascii="Arial" w:hAnsi="Arial" w:cs="Arial"/>
          <w:b/>
          <w:bCs/>
        </w:rPr>
        <w:t>2. Task 1: Macro Marketing Environment Analysis</w:t>
      </w:r>
    </w:p>
    <w:p w14:paraId="1C8BC542" w14:textId="77777777" w:rsidR="004151E6" w:rsidRPr="004151E6" w:rsidRDefault="004151E6" w:rsidP="004151E6">
      <w:pPr>
        <w:rPr>
          <w:rFonts w:ascii="Arial" w:hAnsi="Arial" w:cs="Arial"/>
          <w:b/>
          <w:bCs/>
        </w:rPr>
      </w:pPr>
      <w:r w:rsidRPr="004151E6">
        <w:rPr>
          <w:rFonts w:ascii="Arial" w:hAnsi="Arial" w:cs="Arial"/>
          <w:b/>
          <w:bCs/>
        </w:rPr>
        <w:t>2.1 Technological Factors</w:t>
      </w:r>
    </w:p>
    <w:p w14:paraId="391B40CE" w14:textId="77777777" w:rsidR="004151E6" w:rsidRPr="004151E6" w:rsidRDefault="004151E6" w:rsidP="004151E6">
      <w:pPr>
        <w:rPr>
          <w:rFonts w:ascii="Arial" w:hAnsi="Arial" w:cs="Arial"/>
        </w:rPr>
      </w:pPr>
      <w:r w:rsidRPr="004151E6">
        <w:rPr>
          <w:rFonts w:ascii="Arial" w:hAnsi="Arial" w:cs="Arial"/>
        </w:rPr>
        <w:t>Technology is the cornerstone of the food delivery industry. Advances in mobile applications, AI-based logistics, data analytics, and digital payment systems have revolutionised how consumers interact with food service providers (Deloitte, 2024). According to Kotler et al. (2022), technological transformation not only enables operational efficiency but also redefines customer value creation and service expectations.</w:t>
      </w:r>
    </w:p>
    <w:p w14:paraId="6591F1C8" w14:textId="77777777" w:rsidR="004151E6" w:rsidRPr="004151E6" w:rsidRDefault="004151E6" w:rsidP="004151E6">
      <w:pPr>
        <w:rPr>
          <w:rFonts w:ascii="Arial" w:hAnsi="Arial" w:cs="Arial"/>
        </w:rPr>
      </w:pPr>
      <w:r w:rsidRPr="004151E6">
        <w:rPr>
          <w:rFonts w:ascii="Arial" w:hAnsi="Arial" w:cs="Arial"/>
          <w:b/>
          <w:bCs/>
        </w:rPr>
        <w:t>Uber Eats (Pioneer Perspective):</w:t>
      </w:r>
      <w:r w:rsidRPr="004151E6">
        <w:rPr>
          <w:rFonts w:ascii="Arial" w:hAnsi="Arial" w:cs="Arial"/>
        </w:rPr>
        <w:br/>
        <w:t>As a pioneer, Uber Eats has been instrumental in shaping the technological landscape of the food delivery market. Leveraging its parent company’s ride-hailing infrastructure, Uber Eats built an integrated logistics platform powered by AI algorithms to optimise delivery routes, reduce waiting times, and enhance user experience (McKinsey, 2023).</w:t>
      </w:r>
    </w:p>
    <w:p w14:paraId="2AF5626B" w14:textId="77777777" w:rsidR="004151E6" w:rsidRPr="004151E6" w:rsidRDefault="004151E6" w:rsidP="004151E6">
      <w:pPr>
        <w:rPr>
          <w:rFonts w:ascii="Arial" w:hAnsi="Arial" w:cs="Arial"/>
        </w:rPr>
      </w:pPr>
      <w:r w:rsidRPr="004151E6">
        <w:rPr>
          <w:rFonts w:ascii="Arial" w:hAnsi="Arial" w:cs="Arial"/>
        </w:rPr>
        <w:t xml:space="preserve">The company’s early adoption of advanced technologies such as </w:t>
      </w:r>
      <w:r w:rsidRPr="004151E6">
        <w:rPr>
          <w:rFonts w:ascii="Arial" w:hAnsi="Arial" w:cs="Arial"/>
          <w:b/>
          <w:bCs/>
        </w:rPr>
        <w:t>predictive analytics</w:t>
      </w:r>
      <w:r w:rsidRPr="004151E6">
        <w:rPr>
          <w:rFonts w:ascii="Arial" w:hAnsi="Arial" w:cs="Arial"/>
        </w:rPr>
        <w:t xml:space="preserve">, </w:t>
      </w:r>
      <w:r w:rsidRPr="004151E6">
        <w:rPr>
          <w:rFonts w:ascii="Arial" w:hAnsi="Arial" w:cs="Arial"/>
          <w:b/>
          <w:bCs/>
        </w:rPr>
        <w:t>machine learning</w:t>
      </w:r>
      <w:r w:rsidRPr="004151E6">
        <w:rPr>
          <w:rFonts w:ascii="Arial" w:hAnsi="Arial" w:cs="Arial"/>
        </w:rPr>
        <w:t xml:space="preserve">, and </w:t>
      </w:r>
      <w:r w:rsidRPr="004151E6">
        <w:rPr>
          <w:rFonts w:ascii="Arial" w:hAnsi="Arial" w:cs="Arial"/>
          <w:b/>
          <w:bCs/>
        </w:rPr>
        <w:t>dynamic pricing</w:t>
      </w:r>
      <w:r w:rsidRPr="004151E6">
        <w:rPr>
          <w:rFonts w:ascii="Arial" w:hAnsi="Arial" w:cs="Arial"/>
        </w:rPr>
        <w:t xml:space="preserve"> has strengthened its position as a market innovator. Its global reach, supported by data-driven localisation, presents significant </w:t>
      </w:r>
      <w:r w:rsidRPr="004151E6">
        <w:rPr>
          <w:rFonts w:ascii="Arial" w:hAnsi="Arial" w:cs="Arial"/>
        </w:rPr>
        <w:lastRenderedPageBreak/>
        <w:t xml:space="preserve">opportunities for competitive differentiation. However, technological pioneering also brings </w:t>
      </w:r>
      <w:r w:rsidRPr="004151E6">
        <w:rPr>
          <w:rFonts w:ascii="Arial" w:hAnsi="Arial" w:cs="Arial"/>
          <w:b/>
          <w:bCs/>
        </w:rPr>
        <w:t>threats</w:t>
      </w:r>
      <w:r w:rsidRPr="004151E6">
        <w:rPr>
          <w:rFonts w:ascii="Arial" w:hAnsi="Arial" w:cs="Arial"/>
        </w:rPr>
        <w:t>—including high capital investment, increased cyber-security risks, and rapid technological obsolescence. Furthermore, regulatory scrutiny of gig-economy labour models poses additional challenges (The Economist, 2024).</w:t>
      </w:r>
    </w:p>
    <w:p w14:paraId="22CD77C4" w14:textId="77777777" w:rsidR="004151E6" w:rsidRPr="004151E6" w:rsidRDefault="004151E6" w:rsidP="004151E6">
      <w:pPr>
        <w:rPr>
          <w:rFonts w:ascii="Arial" w:hAnsi="Arial" w:cs="Arial"/>
        </w:rPr>
      </w:pPr>
      <w:r w:rsidRPr="004151E6">
        <w:rPr>
          <w:rFonts w:ascii="Arial" w:hAnsi="Arial" w:cs="Arial"/>
          <w:b/>
          <w:bCs/>
        </w:rPr>
        <w:t>DoorDash (Follower Perspective):</w:t>
      </w:r>
      <w:r w:rsidRPr="004151E6">
        <w:rPr>
          <w:rFonts w:ascii="Arial" w:hAnsi="Arial" w:cs="Arial"/>
        </w:rPr>
        <w:br/>
        <w:t xml:space="preserve">DoorDash, though a later entrant, has effectively leveraged the pioneering groundwork established by Uber Eats. As a follower, DoorDash focuses on </w:t>
      </w:r>
      <w:r w:rsidRPr="004151E6">
        <w:rPr>
          <w:rFonts w:ascii="Arial" w:hAnsi="Arial" w:cs="Arial"/>
          <w:b/>
          <w:bCs/>
        </w:rPr>
        <w:t>adaptive innovation</w:t>
      </w:r>
      <w:r w:rsidRPr="004151E6">
        <w:rPr>
          <w:rFonts w:ascii="Arial" w:hAnsi="Arial" w:cs="Arial"/>
        </w:rPr>
        <w:t>, using data analytics and AI to refine customer targeting and operational efficiency. Its platform integrates AI-driven demand prediction and customer segmentation to improve service speed and personalisation (DoorDash, 2024).</w:t>
      </w:r>
    </w:p>
    <w:p w14:paraId="3F786C53" w14:textId="77777777" w:rsidR="004151E6" w:rsidRPr="004151E6" w:rsidRDefault="004151E6" w:rsidP="004151E6">
      <w:pPr>
        <w:rPr>
          <w:rFonts w:ascii="Arial" w:hAnsi="Arial" w:cs="Arial"/>
        </w:rPr>
      </w:pPr>
      <w:r w:rsidRPr="004151E6">
        <w:rPr>
          <w:rFonts w:ascii="Arial" w:hAnsi="Arial" w:cs="Arial"/>
        </w:rPr>
        <w:t xml:space="preserve">By adopting proven technologies, DoorDash avoids the risks and costs associated with early experimentation, aligning with the </w:t>
      </w:r>
      <w:r w:rsidRPr="004151E6">
        <w:rPr>
          <w:rFonts w:ascii="Arial" w:hAnsi="Arial" w:cs="Arial"/>
          <w:i/>
          <w:iCs/>
        </w:rPr>
        <w:t>second-mover advantage theory</w:t>
      </w:r>
      <w:r w:rsidRPr="004151E6">
        <w:rPr>
          <w:rFonts w:ascii="Arial" w:hAnsi="Arial" w:cs="Arial"/>
        </w:rPr>
        <w:t xml:space="preserve"> (Lieberman and Montgomery, 1988). However, as a follower, the company faces </w:t>
      </w:r>
      <w:r w:rsidRPr="004151E6">
        <w:rPr>
          <w:rFonts w:ascii="Arial" w:hAnsi="Arial" w:cs="Arial"/>
          <w:b/>
          <w:bCs/>
        </w:rPr>
        <w:t>strategic threats</w:t>
      </w:r>
      <w:r w:rsidRPr="004151E6">
        <w:rPr>
          <w:rFonts w:ascii="Arial" w:hAnsi="Arial" w:cs="Arial"/>
        </w:rPr>
        <w:t xml:space="preserve"> such as limited brand differentiation and dependency on imitating industry trends. Maintaining innovation credibility is challenging when competing with a first mover’s established digital ecosystem.</w:t>
      </w:r>
    </w:p>
    <w:p w14:paraId="09E088FE" w14:textId="77777777" w:rsidR="004151E6" w:rsidRPr="004151E6" w:rsidRDefault="004151E6" w:rsidP="004151E6">
      <w:pPr>
        <w:rPr>
          <w:rFonts w:ascii="Arial" w:hAnsi="Arial" w:cs="Arial"/>
        </w:rPr>
      </w:pPr>
      <w:r w:rsidRPr="004151E6">
        <w:rPr>
          <w:rFonts w:ascii="Arial" w:hAnsi="Arial" w:cs="Arial"/>
          <w:b/>
          <w:bCs/>
        </w:rPr>
        <w:t>Comparative Insight:</w:t>
      </w:r>
      <w:r w:rsidRPr="004151E6">
        <w:rPr>
          <w:rFonts w:ascii="Arial" w:hAnsi="Arial" w:cs="Arial"/>
        </w:rPr>
        <w:br/>
        <w:t>Technological change creates opportunities for both firms but in distinct ways. Uber Eats gains from first-mover advantages, including customer lock-in and brand association with innovation. DoorDash benefits from learning effects and operational optimisation but faces challenges in establishing distinct technological identity. This dynamic highlights Porter’s (1985) assertion that sustainable advantage arises from unique and difficult-to-imitate resources—a key limitation for followers.</w:t>
      </w:r>
    </w:p>
    <w:p w14:paraId="05F42DC7" w14:textId="1D87AD95" w:rsidR="004151E6" w:rsidRPr="004151E6" w:rsidRDefault="004151E6" w:rsidP="004151E6">
      <w:pPr>
        <w:rPr>
          <w:rFonts w:ascii="Arial" w:hAnsi="Arial" w:cs="Arial"/>
        </w:rPr>
      </w:pPr>
    </w:p>
    <w:p w14:paraId="038CD2EF" w14:textId="77777777" w:rsidR="004151E6" w:rsidRPr="004151E6" w:rsidRDefault="004151E6" w:rsidP="004151E6">
      <w:pPr>
        <w:rPr>
          <w:rFonts w:ascii="Arial" w:hAnsi="Arial" w:cs="Arial"/>
          <w:b/>
          <w:bCs/>
        </w:rPr>
      </w:pPr>
      <w:r w:rsidRPr="004151E6">
        <w:rPr>
          <w:rFonts w:ascii="Arial" w:hAnsi="Arial" w:cs="Arial"/>
          <w:b/>
          <w:bCs/>
        </w:rPr>
        <w:t>2.2 Sociocultural Factors</w:t>
      </w:r>
    </w:p>
    <w:p w14:paraId="4C84D1AC" w14:textId="77777777" w:rsidR="004151E6" w:rsidRPr="004151E6" w:rsidRDefault="004151E6" w:rsidP="004151E6">
      <w:pPr>
        <w:rPr>
          <w:rFonts w:ascii="Arial" w:hAnsi="Arial" w:cs="Arial"/>
        </w:rPr>
      </w:pPr>
      <w:r w:rsidRPr="004151E6">
        <w:rPr>
          <w:rFonts w:ascii="Arial" w:hAnsi="Arial" w:cs="Arial"/>
        </w:rPr>
        <w:t>Sociocultural trends—particularly changes in consumer lifestyles, ethical consumption, and attitudes toward convenience—are reshaping the food delivery industry (Euromonitor, 2023). The post-pandemic period intensified demand for home delivery, while growing social awareness has increased focus on sustainability, health, and labour ethics.</w:t>
      </w:r>
    </w:p>
    <w:p w14:paraId="1E6C8BD4" w14:textId="77777777" w:rsidR="004151E6" w:rsidRPr="004151E6" w:rsidRDefault="004151E6" w:rsidP="004151E6">
      <w:pPr>
        <w:rPr>
          <w:rFonts w:ascii="Arial" w:hAnsi="Arial" w:cs="Arial"/>
        </w:rPr>
      </w:pPr>
      <w:r w:rsidRPr="004151E6">
        <w:rPr>
          <w:rFonts w:ascii="Arial" w:hAnsi="Arial" w:cs="Arial"/>
          <w:b/>
          <w:bCs/>
        </w:rPr>
        <w:t>Uber Eats (Pioneer Perspective):</w:t>
      </w:r>
      <w:r w:rsidRPr="004151E6">
        <w:rPr>
          <w:rFonts w:ascii="Arial" w:hAnsi="Arial" w:cs="Arial"/>
        </w:rPr>
        <w:br/>
        <w:t xml:space="preserve">Uber Eats capitalised early on the rise of convenience culture and the digitalisation of food services. By offering </w:t>
      </w:r>
      <w:r w:rsidRPr="004151E6">
        <w:rPr>
          <w:rFonts w:ascii="Arial" w:hAnsi="Arial" w:cs="Arial"/>
          <w:b/>
          <w:bCs/>
        </w:rPr>
        <w:t>contactless delivery</w:t>
      </w:r>
      <w:r w:rsidRPr="004151E6">
        <w:rPr>
          <w:rFonts w:ascii="Arial" w:hAnsi="Arial" w:cs="Arial"/>
        </w:rPr>
        <w:t xml:space="preserve"> and real-time order tracking, it aligned its brand with safety and convenience during the COVID-19 pandemic. The platform also reflects sociocultural diversification, enabling access to local cuisines and small business partnerships, appealing to inclusivity-minded consumers (Harvard Business Review, 2023).</w:t>
      </w:r>
    </w:p>
    <w:p w14:paraId="453CFD69" w14:textId="77777777" w:rsidR="004151E6" w:rsidRPr="004151E6" w:rsidRDefault="004151E6" w:rsidP="004151E6">
      <w:pPr>
        <w:rPr>
          <w:rFonts w:ascii="Arial" w:hAnsi="Arial" w:cs="Arial"/>
        </w:rPr>
      </w:pPr>
      <w:r w:rsidRPr="004151E6">
        <w:rPr>
          <w:rFonts w:ascii="Arial" w:hAnsi="Arial" w:cs="Arial"/>
        </w:rPr>
        <w:t xml:space="preserve">However, Uber Eats faces </w:t>
      </w:r>
      <w:r w:rsidRPr="004151E6">
        <w:rPr>
          <w:rFonts w:ascii="Arial" w:hAnsi="Arial" w:cs="Arial"/>
          <w:b/>
          <w:bCs/>
        </w:rPr>
        <w:t>sociocultural threats</w:t>
      </w:r>
      <w:r w:rsidRPr="004151E6">
        <w:rPr>
          <w:rFonts w:ascii="Arial" w:hAnsi="Arial" w:cs="Arial"/>
        </w:rPr>
        <w:t xml:space="preserve"> in the form of negative perceptions of gig economy employment, including criticism of pay inequality and lack of worker protection. Additionally, consumers’ growing emphasis on sustainability and healthy lifestyles creates pressure for the platform to reduce its environmental footprint and promote ethical practices.</w:t>
      </w:r>
    </w:p>
    <w:p w14:paraId="4FD2843A" w14:textId="77777777" w:rsidR="004151E6" w:rsidRPr="004151E6" w:rsidRDefault="004151E6" w:rsidP="004151E6">
      <w:pPr>
        <w:rPr>
          <w:rFonts w:ascii="Arial" w:hAnsi="Arial" w:cs="Arial"/>
        </w:rPr>
      </w:pPr>
      <w:r w:rsidRPr="004151E6">
        <w:rPr>
          <w:rFonts w:ascii="Arial" w:hAnsi="Arial" w:cs="Arial"/>
          <w:b/>
          <w:bCs/>
        </w:rPr>
        <w:t>DoorDash (Follower Perspective):</w:t>
      </w:r>
      <w:r w:rsidRPr="004151E6">
        <w:rPr>
          <w:rFonts w:ascii="Arial" w:hAnsi="Arial" w:cs="Arial"/>
        </w:rPr>
        <w:br/>
        <w:t xml:space="preserve">DoorDash followed Uber Eats in responding to these sociocultural shifts but adapted its approach to focus more heavily on </w:t>
      </w:r>
      <w:r w:rsidRPr="004151E6">
        <w:rPr>
          <w:rFonts w:ascii="Arial" w:hAnsi="Arial" w:cs="Arial"/>
          <w:b/>
          <w:bCs/>
        </w:rPr>
        <w:t>community and local partnerships</w:t>
      </w:r>
      <w:r w:rsidRPr="004151E6">
        <w:rPr>
          <w:rFonts w:ascii="Arial" w:hAnsi="Arial" w:cs="Arial"/>
        </w:rPr>
        <w:t>. Campaigns like “</w:t>
      </w:r>
      <w:r w:rsidRPr="004151E6">
        <w:rPr>
          <w:rFonts w:ascii="Arial" w:hAnsi="Arial" w:cs="Arial"/>
          <w:i/>
          <w:iCs/>
        </w:rPr>
        <w:t xml:space="preserve">Every </w:t>
      </w:r>
      <w:proofErr w:type="spellStart"/>
      <w:r w:rsidRPr="004151E6">
        <w:rPr>
          <w:rFonts w:ascii="Arial" w:hAnsi="Arial" w:cs="Arial"/>
          <w:i/>
          <w:iCs/>
        </w:rPr>
        <w:t>Flavor</w:t>
      </w:r>
      <w:proofErr w:type="spellEnd"/>
      <w:r w:rsidRPr="004151E6">
        <w:rPr>
          <w:rFonts w:ascii="Arial" w:hAnsi="Arial" w:cs="Arial"/>
          <w:i/>
          <w:iCs/>
        </w:rPr>
        <w:t xml:space="preserve"> Welcome</w:t>
      </w:r>
      <w:r w:rsidRPr="004151E6">
        <w:rPr>
          <w:rFonts w:ascii="Arial" w:hAnsi="Arial" w:cs="Arial"/>
        </w:rPr>
        <w:t>” and “</w:t>
      </w:r>
      <w:r w:rsidRPr="004151E6">
        <w:rPr>
          <w:rFonts w:ascii="Arial" w:hAnsi="Arial" w:cs="Arial"/>
          <w:i/>
          <w:iCs/>
        </w:rPr>
        <w:t>Local Heroes</w:t>
      </w:r>
      <w:r w:rsidRPr="004151E6">
        <w:rPr>
          <w:rFonts w:ascii="Arial" w:hAnsi="Arial" w:cs="Arial"/>
        </w:rPr>
        <w:t>” position DoorDash as a socially responsible brand that supports local restaurants and gig workers. This strategy leverages the cultural appeal of community support and ethical consumption (DoorDash, 2024).</w:t>
      </w:r>
    </w:p>
    <w:p w14:paraId="5A27922A" w14:textId="77777777" w:rsidR="004151E6" w:rsidRPr="004151E6" w:rsidRDefault="004151E6" w:rsidP="004151E6">
      <w:pPr>
        <w:rPr>
          <w:rFonts w:ascii="Arial" w:hAnsi="Arial" w:cs="Arial"/>
        </w:rPr>
      </w:pPr>
      <w:r w:rsidRPr="004151E6">
        <w:rPr>
          <w:rFonts w:ascii="Arial" w:hAnsi="Arial" w:cs="Arial"/>
        </w:rPr>
        <w:lastRenderedPageBreak/>
        <w:t xml:space="preserve">The follower approach presents </w:t>
      </w:r>
      <w:r w:rsidRPr="004151E6">
        <w:rPr>
          <w:rFonts w:ascii="Arial" w:hAnsi="Arial" w:cs="Arial"/>
          <w:b/>
          <w:bCs/>
        </w:rPr>
        <w:t>opportunities</w:t>
      </w:r>
      <w:r w:rsidRPr="004151E6">
        <w:rPr>
          <w:rFonts w:ascii="Arial" w:hAnsi="Arial" w:cs="Arial"/>
        </w:rPr>
        <w:t xml:space="preserve"> for differentiation through cultural authenticity and local engagement. However, DoorDash also faces </w:t>
      </w:r>
      <w:r w:rsidRPr="004151E6">
        <w:rPr>
          <w:rFonts w:ascii="Arial" w:hAnsi="Arial" w:cs="Arial"/>
          <w:b/>
          <w:bCs/>
        </w:rPr>
        <w:t>threats</w:t>
      </w:r>
      <w:r w:rsidRPr="004151E6">
        <w:rPr>
          <w:rFonts w:ascii="Arial" w:hAnsi="Arial" w:cs="Arial"/>
        </w:rPr>
        <w:t>—mainly brand perception as a reactive player and limited international recognition compared to Uber Eats’ global brand equity.</w:t>
      </w:r>
    </w:p>
    <w:p w14:paraId="3B1F4115" w14:textId="77777777" w:rsidR="004151E6" w:rsidRPr="004151E6" w:rsidRDefault="004151E6" w:rsidP="004151E6">
      <w:pPr>
        <w:rPr>
          <w:rFonts w:ascii="Arial" w:hAnsi="Arial" w:cs="Arial"/>
        </w:rPr>
      </w:pPr>
      <w:r w:rsidRPr="004151E6">
        <w:rPr>
          <w:rFonts w:ascii="Arial" w:hAnsi="Arial" w:cs="Arial"/>
          <w:b/>
          <w:bCs/>
        </w:rPr>
        <w:t>Comparative Insight:</w:t>
      </w:r>
      <w:r w:rsidRPr="004151E6">
        <w:rPr>
          <w:rFonts w:ascii="Arial" w:hAnsi="Arial" w:cs="Arial"/>
        </w:rPr>
        <w:br/>
        <w:t xml:space="preserve">Sociocultural change demands continuous adaptation. Uber Eats sets industry norms through pioneering initiatives that define consumer expectations, while DoorDash uses a follower strategy focused on emotional branding and community engagement. Both approaches align with the </w:t>
      </w:r>
      <w:r w:rsidRPr="004151E6">
        <w:rPr>
          <w:rFonts w:ascii="Arial" w:hAnsi="Arial" w:cs="Arial"/>
          <w:i/>
          <w:iCs/>
        </w:rPr>
        <w:t>shared value</w:t>
      </w:r>
      <w:r w:rsidRPr="004151E6">
        <w:rPr>
          <w:rFonts w:ascii="Arial" w:hAnsi="Arial" w:cs="Arial"/>
        </w:rPr>
        <w:t xml:space="preserve"> framework (Porter and Kramer, 2011</w:t>
      </w:r>
      <w:proofErr w:type="gramStart"/>
      <w:r w:rsidRPr="004151E6">
        <w:rPr>
          <w:rFonts w:ascii="Arial" w:hAnsi="Arial" w:cs="Arial"/>
        </w:rPr>
        <w:t>), but</w:t>
      </w:r>
      <w:proofErr w:type="gramEnd"/>
      <w:r w:rsidRPr="004151E6">
        <w:rPr>
          <w:rFonts w:ascii="Arial" w:hAnsi="Arial" w:cs="Arial"/>
        </w:rPr>
        <w:t xml:space="preserve"> differ in scope and execution.</w:t>
      </w:r>
    </w:p>
    <w:p w14:paraId="391084B7" w14:textId="791AECD1" w:rsidR="004151E6" w:rsidRPr="004151E6" w:rsidRDefault="004151E6" w:rsidP="004151E6">
      <w:pPr>
        <w:rPr>
          <w:rFonts w:ascii="Arial" w:hAnsi="Arial" w:cs="Arial"/>
        </w:rPr>
      </w:pPr>
    </w:p>
    <w:p w14:paraId="49C04243" w14:textId="77777777" w:rsidR="004151E6" w:rsidRPr="004151E6" w:rsidRDefault="004151E6" w:rsidP="004151E6">
      <w:pPr>
        <w:rPr>
          <w:rFonts w:ascii="Arial" w:hAnsi="Arial" w:cs="Arial"/>
          <w:b/>
          <w:bCs/>
        </w:rPr>
      </w:pPr>
      <w:r w:rsidRPr="004151E6">
        <w:rPr>
          <w:rFonts w:ascii="Arial" w:hAnsi="Arial" w:cs="Arial"/>
          <w:b/>
          <w:bCs/>
        </w:rPr>
        <w:t>3. Task 2: Strategic Responses of Pioneers and Followers</w:t>
      </w:r>
    </w:p>
    <w:p w14:paraId="6FBADFC0" w14:textId="77777777" w:rsidR="004151E6" w:rsidRPr="004151E6" w:rsidRDefault="004151E6" w:rsidP="004151E6">
      <w:pPr>
        <w:rPr>
          <w:rFonts w:ascii="Arial" w:hAnsi="Arial" w:cs="Arial"/>
          <w:b/>
          <w:bCs/>
        </w:rPr>
      </w:pPr>
      <w:r w:rsidRPr="004151E6">
        <w:rPr>
          <w:rFonts w:ascii="Arial" w:hAnsi="Arial" w:cs="Arial"/>
          <w:b/>
          <w:bCs/>
        </w:rPr>
        <w:t>3.1 Strategic Responses to Technological Change</w:t>
      </w:r>
    </w:p>
    <w:p w14:paraId="6F26B9AA" w14:textId="77777777" w:rsidR="004151E6" w:rsidRPr="004151E6" w:rsidRDefault="004151E6" w:rsidP="004151E6">
      <w:pPr>
        <w:rPr>
          <w:rFonts w:ascii="Arial" w:hAnsi="Arial" w:cs="Arial"/>
        </w:rPr>
      </w:pPr>
      <w:r w:rsidRPr="004151E6">
        <w:rPr>
          <w:rFonts w:ascii="Arial" w:hAnsi="Arial" w:cs="Arial"/>
        </w:rPr>
        <w:t xml:space="preserve">Technology drives not only operational capabilities but also marketing strategies. According to the </w:t>
      </w:r>
      <w:r w:rsidRPr="004151E6">
        <w:rPr>
          <w:rFonts w:ascii="Arial" w:hAnsi="Arial" w:cs="Arial"/>
          <w:b/>
          <w:bCs/>
        </w:rPr>
        <w:t>Resource-Based View (RBV)</w:t>
      </w:r>
      <w:r w:rsidRPr="004151E6">
        <w:rPr>
          <w:rFonts w:ascii="Arial" w:hAnsi="Arial" w:cs="Arial"/>
        </w:rPr>
        <w:t>, sustainable advantage arises from leveraging unique technological resources that are valuable, rare, and inimitable (Barney, 1991).</w:t>
      </w:r>
    </w:p>
    <w:p w14:paraId="3BADA4C5" w14:textId="77777777" w:rsidR="004151E6" w:rsidRPr="004151E6" w:rsidRDefault="004151E6" w:rsidP="004151E6">
      <w:pPr>
        <w:rPr>
          <w:rFonts w:ascii="Arial" w:hAnsi="Arial" w:cs="Arial"/>
        </w:rPr>
      </w:pPr>
      <w:r w:rsidRPr="004151E6">
        <w:rPr>
          <w:rFonts w:ascii="Arial" w:hAnsi="Arial" w:cs="Arial"/>
          <w:b/>
          <w:bCs/>
        </w:rPr>
        <w:t>Uber Eats’ Strategic Response:</w:t>
      </w:r>
      <w:r w:rsidRPr="004151E6">
        <w:rPr>
          <w:rFonts w:ascii="Arial" w:hAnsi="Arial" w:cs="Arial"/>
        </w:rPr>
        <w:br/>
        <w:t xml:space="preserve">Uber Eats employs a </w:t>
      </w:r>
      <w:r w:rsidRPr="004151E6">
        <w:rPr>
          <w:rFonts w:ascii="Arial" w:hAnsi="Arial" w:cs="Arial"/>
          <w:b/>
          <w:bCs/>
        </w:rPr>
        <w:t>platform leadership strategy</w:t>
      </w:r>
      <w:r w:rsidRPr="004151E6">
        <w:rPr>
          <w:rFonts w:ascii="Arial" w:hAnsi="Arial" w:cs="Arial"/>
        </w:rPr>
        <w:t xml:space="preserve">, integrating technologies across logistics, AI, and user interfaces to strengthen its ecosystem. By linking its food delivery and ride-hailing data, Uber creates network synergies that enhance customer retention. The use of </w:t>
      </w:r>
      <w:r w:rsidRPr="004151E6">
        <w:rPr>
          <w:rFonts w:ascii="Arial" w:hAnsi="Arial" w:cs="Arial"/>
          <w:b/>
          <w:bCs/>
        </w:rPr>
        <w:t>predictive AI</w:t>
      </w:r>
      <w:r w:rsidRPr="004151E6">
        <w:rPr>
          <w:rFonts w:ascii="Arial" w:hAnsi="Arial" w:cs="Arial"/>
        </w:rPr>
        <w:t xml:space="preserve"> allows Uber Eats to forecast order demand and optimise driver allocation (Forbes, 2023).</w:t>
      </w:r>
    </w:p>
    <w:p w14:paraId="0F96F6B5" w14:textId="77777777" w:rsidR="004151E6" w:rsidRPr="004151E6" w:rsidRDefault="004151E6" w:rsidP="004151E6">
      <w:pPr>
        <w:rPr>
          <w:rFonts w:ascii="Arial" w:hAnsi="Arial" w:cs="Arial"/>
        </w:rPr>
      </w:pPr>
      <w:r w:rsidRPr="004151E6">
        <w:rPr>
          <w:rFonts w:ascii="Arial" w:hAnsi="Arial" w:cs="Arial"/>
        </w:rPr>
        <w:t xml:space="preserve">Strategically, Uber Eats follows Porter’s </w:t>
      </w:r>
      <w:r w:rsidRPr="004151E6">
        <w:rPr>
          <w:rFonts w:ascii="Arial" w:hAnsi="Arial" w:cs="Arial"/>
          <w:i/>
          <w:iCs/>
        </w:rPr>
        <w:t>differentiation strategy</w:t>
      </w:r>
      <w:r w:rsidRPr="004151E6">
        <w:rPr>
          <w:rFonts w:ascii="Arial" w:hAnsi="Arial" w:cs="Arial"/>
        </w:rPr>
        <w:t xml:space="preserve">, using technology as the basis for superior service quality. It also reflects the </w:t>
      </w:r>
      <w:r w:rsidRPr="004151E6">
        <w:rPr>
          <w:rFonts w:ascii="Arial" w:hAnsi="Arial" w:cs="Arial"/>
          <w:i/>
          <w:iCs/>
        </w:rPr>
        <w:t>Ansoff Product Development</w:t>
      </w:r>
      <w:r w:rsidRPr="004151E6">
        <w:rPr>
          <w:rFonts w:ascii="Arial" w:hAnsi="Arial" w:cs="Arial"/>
        </w:rPr>
        <w:t xml:space="preserve"> model, continually upgrading its app features and services—such as </w:t>
      </w:r>
      <w:r w:rsidRPr="004151E6">
        <w:rPr>
          <w:rFonts w:ascii="Arial" w:hAnsi="Arial" w:cs="Arial"/>
          <w:b/>
          <w:bCs/>
        </w:rPr>
        <w:t>grocery delivery</w:t>
      </w:r>
      <w:r w:rsidRPr="004151E6">
        <w:rPr>
          <w:rFonts w:ascii="Arial" w:hAnsi="Arial" w:cs="Arial"/>
        </w:rPr>
        <w:t xml:space="preserve"> and </w:t>
      </w:r>
      <w:r w:rsidRPr="004151E6">
        <w:rPr>
          <w:rFonts w:ascii="Arial" w:hAnsi="Arial" w:cs="Arial"/>
          <w:b/>
          <w:bCs/>
        </w:rPr>
        <w:t>autonomous delivery pilots</w:t>
      </w:r>
      <w:r w:rsidRPr="004151E6">
        <w:rPr>
          <w:rFonts w:ascii="Arial" w:hAnsi="Arial" w:cs="Arial"/>
        </w:rPr>
        <w:t>—to diversify revenue streams.</w:t>
      </w:r>
    </w:p>
    <w:p w14:paraId="2D8328C4" w14:textId="77777777" w:rsidR="004151E6" w:rsidRPr="004151E6" w:rsidRDefault="004151E6" w:rsidP="004151E6">
      <w:pPr>
        <w:rPr>
          <w:rFonts w:ascii="Arial" w:hAnsi="Arial" w:cs="Arial"/>
        </w:rPr>
      </w:pPr>
      <w:r w:rsidRPr="004151E6">
        <w:rPr>
          <w:rFonts w:ascii="Arial" w:hAnsi="Arial" w:cs="Arial"/>
        </w:rPr>
        <w:t xml:space="preserve">However, technological leadership also brings </w:t>
      </w:r>
      <w:r w:rsidRPr="004151E6">
        <w:rPr>
          <w:rFonts w:ascii="Arial" w:hAnsi="Arial" w:cs="Arial"/>
          <w:b/>
          <w:bCs/>
        </w:rPr>
        <w:t>operational threats</w:t>
      </w:r>
      <w:r w:rsidRPr="004151E6">
        <w:rPr>
          <w:rFonts w:ascii="Arial" w:hAnsi="Arial" w:cs="Arial"/>
        </w:rPr>
        <w:t xml:space="preserve"> such as dependence on algorithmic performance, data privacy concerns, and regulatory barriers. The firm’s challenge is to maintain technological agility while ensuring ethical compliance and user trust.</w:t>
      </w:r>
    </w:p>
    <w:p w14:paraId="1BBFA4B9" w14:textId="77777777" w:rsidR="004151E6" w:rsidRPr="004151E6" w:rsidRDefault="004151E6" w:rsidP="004151E6">
      <w:pPr>
        <w:rPr>
          <w:rFonts w:ascii="Arial" w:hAnsi="Arial" w:cs="Arial"/>
        </w:rPr>
      </w:pPr>
      <w:r w:rsidRPr="004151E6">
        <w:rPr>
          <w:rFonts w:ascii="Arial" w:hAnsi="Arial" w:cs="Arial"/>
          <w:b/>
          <w:bCs/>
        </w:rPr>
        <w:t>DoorDash’s Strategic Response:</w:t>
      </w:r>
      <w:r w:rsidRPr="004151E6">
        <w:rPr>
          <w:rFonts w:ascii="Arial" w:hAnsi="Arial" w:cs="Arial"/>
        </w:rPr>
        <w:br/>
        <w:t xml:space="preserve">As a follower, DoorDash focuses on </w:t>
      </w:r>
      <w:r w:rsidRPr="004151E6">
        <w:rPr>
          <w:rFonts w:ascii="Arial" w:hAnsi="Arial" w:cs="Arial"/>
          <w:b/>
          <w:bCs/>
        </w:rPr>
        <w:t>incremental innovation</w:t>
      </w:r>
      <w:r w:rsidRPr="004151E6">
        <w:rPr>
          <w:rFonts w:ascii="Arial" w:hAnsi="Arial" w:cs="Arial"/>
        </w:rPr>
        <w:t xml:space="preserve"> rather than radical transformation. It uses technology to refine operational efficiency—optimising delivery routes, improving real-time order tracking, and enhancing predictive analytics for restaurant partners. DoorDash’s </w:t>
      </w:r>
      <w:r w:rsidRPr="004151E6">
        <w:rPr>
          <w:rFonts w:ascii="Arial" w:hAnsi="Arial" w:cs="Arial"/>
          <w:b/>
          <w:bCs/>
        </w:rPr>
        <w:t>Drive platform</w:t>
      </w:r>
      <w:r w:rsidRPr="004151E6">
        <w:rPr>
          <w:rFonts w:ascii="Arial" w:hAnsi="Arial" w:cs="Arial"/>
        </w:rPr>
        <w:t xml:space="preserve"> extends delivery technology to third-party merchants, expanding its service ecosystem without incurring the same development risks as Uber Eats (DoorDash, 2024).</w:t>
      </w:r>
    </w:p>
    <w:p w14:paraId="221F058E" w14:textId="77777777" w:rsidR="004151E6" w:rsidRPr="004151E6" w:rsidRDefault="004151E6" w:rsidP="004151E6">
      <w:pPr>
        <w:rPr>
          <w:rFonts w:ascii="Arial" w:hAnsi="Arial" w:cs="Arial"/>
        </w:rPr>
      </w:pPr>
      <w:r w:rsidRPr="004151E6">
        <w:rPr>
          <w:rFonts w:ascii="Arial" w:hAnsi="Arial" w:cs="Arial"/>
        </w:rPr>
        <w:t xml:space="preserve">This adaptive strategy aligns with </w:t>
      </w:r>
      <w:r w:rsidRPr="004151E6">
        <w:rPr>
          <w:rFonts w:ascii="Arial" w:hAnsi="Arial" w:cs="Arial"/>
          <w:i/>
          <w:iCs/>
        </w:rPr>
        <w:t>lean innovation</w:t>
      </w:r>
      <w:r w:rsidRPr="004151E6">
        <w:rPr>
          <w:rFonts w:ascii="Arial" w:hAnsi="Arial" w:cs="Arial"/>
        </w:rPr>
        <w:t xml:space="preserve"> principles, prioritising efficiency and flexibility over disruptive change (Ries, 2017). Moreover, by monitoring Uber Eats’ technological developments, DoorDash can fast-track improvements that directly respond to consumer expectations, ensuring competitive relevance with lower R&amp;D expenditure.</w:t>
      </w:r>
    </w:p>
    <w:p w14:paraId="1B24E2D8" w14:textId="77777777" w:rsidR="004151E6" w:rsidRPr="004151E6" w:rsidRDefault="004151E6" w:rsidP="004151E6">
      <w:pPr>
        <w:rPr>
          <w:rFonts w:ascii="Arial" w:hAnsi="Arial" w:cs="Arial"/>
        </w:rPr>
      </w:pPr>
      <w:r w:rsidRPr="004151E6">
        <w:rPr>
          <w:rFonts w:ascii="Arial" w:hAnsi="Arial" w:cs="Arial"/>
          <w:b/>
          <w:bCs/>
        </w:rPr>
        <w:t>Comparative Evaluation:</w:t>
      </w:r>
      <w:r w:rsidRPr="004151E6">
        <w:rPr>
          <w:rFonts w:ascii="Arial" w:hAnsi="Arial" w:cs="Arial"/>
        </w:rPr>
        <w:br/>
        <w:t xml:space="preserve">Uber Eats uses technology to achieve </w:t>
      </w:r>
      <w:r w:rsidRPr="004151E6">
        <w:rPr>
          <w:rFonts w:ascii="Arial" w:hAnsi="Arial" w:cs="Arial"/>
          <w:b/>
          <w:bCs/>
        </w:rPr>
        <w:t>strategic differentiation</w:t>
      </w:r>
      <w:r w:rsidRPr="004151E6">
        <w:rPr>
          <w:rFonts w:ascii="Arial" w:hAnsi="Arial" w:cs="Arial"/>
        </w:rPr>
        <w:t xml:space="preserve">, creating new market standards. DoorDash uses </w:t>
      </w:r>
      <w:r w:rsidRPr="004151E6">
        <w:rPr>
          <w:rFonts w:ascii="Arial" w:hAnsi="Arial" w:cs="Arial"/>
          <w:b/>
          <w:bCs/>
        </w:rPr>
        <w:t>adaptive benchmarking</w:t>
      </w:r>
      <w:r w:rsidRPr="004151E6">
        <w:rPr>
          <w:rFonts w:ascii="Arial" w:hAnsi="Arial" w:cs="Arial"/>
        </w:rPr>
        <w:t xml:space="preserve">, focusing on continuous improvement </w:t>
      </w:r>
      <w:r w:rsidRPr="004151E6">
        <w:rPr>
          <w:rFonts w:ascii="Arial" w:hAnsi="Arial" w:cs="Arial"/>
        </w:rPr>
        <w:lastRenderedPageBreak/>
        <w:t>and operational excellence. This mirrors the pioneer-follower dichotomy described by Lieberman and Montgomery (1988): pioneers shape the market, while followers optimise and expand it.</w:t>
      </w:r>
    </w:p>
    <w:p w14:paraId="711F2C2B" w14:textId="18FBF6E7" w:rsidR="004151E6" w:rsidRPr="004151E6" w:rsidRDefault="004151E6" w:rsidP="004151E6">
      <w:pPr>
        <w:rPr>
          <w:rFonts w:ascii="Arial" w:hAnsi="Arial" w:cs="Arial"/>
        </w:rPr>
      </w:pPr>
    </w:p>
    <w:p w14:paraId="53EE5432" w14:textId="77777777" w:rsidR="004151E6" w:rsidRPr="004151E6" w:rsidRDefault="004151E6" w:rsidP="004151E6">
      <w:pPr>
        <w:rPr>
          <w:rFonts w:ascii="Arial" w:hAnsi="Arial" w:cs="Arial"/>
          <w:b/>
          <w:bCs/>
        </w:rPr>
      </w:pPr>
      <w:r w:rsidRPr="004151E6">
        <w:rPr>
          <w:rFonts w:ascii="Arial" w:hAnsi="Arial" w:cs="Arial"/>
          <w:b/>
          <w:bCs/>
        </w:rPr>
        <w:t>3.2 Strategic Responses to Sociocultural Change</w:t>
      </w:r>
    </w:p>
    <w:p w14:paraId="7920F5A0" w14:textId="77777777" w:rsidR="004151E6" w:rsidRPr="004151E6" w:rsidRDefault="004151E6" w:rsidP="004151E6">
      <w:pPr>
        <w:rPr>
          <w:rFonts w:ascii="Arial" w:hAnsi="Arial" w:cs="Arial"/>
        </w:rPr>
      </w:pPr>
      <w:r w:rsidRPr="004151E6">
        <w:rPr>
          <w:rFonts w:ascii="Arial" w:hAnsi="Arial" w:cs="Arial"/>
          <w:b/>
          <w:bCs/>
        </w:rPr>
        <w:t>Uber Eats’ Strategic Response:</w:t>
      </w:r>
      <w:r w:rsidRPr="004151E6">
        <w:rPr>
          <w:rFonts w:ascii="Arial" w:hAnsi="Arial" w:cs="Arial"/>
        </w:rPr>
        <w:br/>
        <w:t xml:space="preserve">Uber Eats has increasingly aligned its brand with social and ethical values. Its sustainability initiatives include </w:t>
      </w:r>
      <w:r w:rsidRPr="004151E6">
        <w:rPr>
          <w:rFonts w:ascii="Arial" w:hAnsi="Arial" w:cs="Arial"/>
          <w:b/>
          <w:bCs/>
        </w:rPr>
        <w:t>eco-friendly packaging</w:t>
      </w:r>
      <w:r w:rsidRPr="004151E6">
        <w:rPr>
          <w:rFonts w:ascii="Arial" w:hAnsi="Arial" w:cs="Arial"/>
        </w:rPr>
        <w:t xml:space="preserve">, </w:t>
      </w:r>
      <w:r w:rsidRPr="004151E6">
        <w:rPr>
          <w:rFonts w:ascii="Arial" w:hAnsi="Arial" w:cs="Arial"/>
          <w:b/>
          <w:bCs/>
        </w:rPr>
        <w:t>carbon footprint reduction targets</w:t>
      </w:r>
      <w:r w:rsidRPr="004151E6">
        <w:rPr>
          <w:rFonts w:ascii="Arial" w:hAnsi="Arial" w:cs="Arial"/>
        </w:rPr>
        <w:t>, and support for small local restaurants through reduced commission rates (Uber, 2024). Furthermore, the platform’s marketing campaigns—such as “</w:t>
      </w:r>
      <w:r w:rsidRPr="004151E6">
        <w:rPr>
          <w:rFonts w:ascii="Arial" w:hAnsi="Arial" w:cs="Arial"/>
          <w:i/>
          <w:iCs/>
        </w:rPr>
        <w:t>Tonight I’ll Be Eating</w:t>
      </w:r>
      <w:r w:rsidRPr="004151E6">
        <w:rPr>
          <w:rFonts w:ascii="Arial" w:hAnsi="Arial" w:cs="Arial"/>
        </w:rPr>
        <w:t>”—highlight inclusivity, convenience, and cultural diversity.</w:t>
      </w:r>
    </w:p>
    <w:p w14:paraId="007BF7CF" w14:textId="77777777" w:rsidR="004151E6" w:rsidRPr="004151E6" w:rsidRDefault="004151E6" w:rsidP="004151E6">
      <w:pPr>
        <w:rPr>
          <w:rFonts w:ascii="Arial" w:hAnsi="Arial" w:cs="Arial"/>
        </w:rPr>
      </w:pPr>
      <w:r w:rsidRPr="004151E6">
        <w:rPr>
          <w:rFonts w:ascii="Arial" w:hAnsi="Arial" w:cs="Arial"/>
        </w:rPr>
        <w:t xml:space="preserve">From a theoretical standpoint, these actions reflect </w:t>
      </w:r>
      <w:r w:rsidRPr="004151E6">
        <w:rPr>
          <w:rFonts w:ascii="Arial" w:hAnsi="Arial" w:cs="Arial"/>
          <w:i/>
          <w:iCs/>
        </w:rPr>
        <w:t>brand activism</w:t>
      </w:r>
      <w:r w:rsidRPr="004151E6">
        <w:rPr>
          <w:rFonts w:ascii="Arial" w:hAnsi="Arial" w:cs="Arial"/>
        </w:rPr>
        <w:t xml:space="preserve"> (Kotler and Sarkar, 2018), where organisations engage with sociocultural issues to build brand loyalty and emotional connection. However, balancing profit motives with social responsibility remains challenging, particularly amid criticism of gig economy practices.</w:t>
      </w:r>
    </w:p>
    <w:p w14:paraId="2EDE7D44" w14:textId="77777777" w:rsidR="004151E6" w:rsidRPr="004151E6" w:rsidRDefault="004151E6" w:rsidP="004151E6">
      <w:pPr>
        <w:rPr>
          <w:rFonts w:ascii="Arial" w:hAnsi="Arial" w:cs="Arial"/>
        </w:rPr>
      </w:pPr>
      <w:r w:rsidRPr="004151E6">
        <w:rPr>
          <w:rFonts w:ascii="Arial" w:hAnsi="Arial" w:cs="Arial"/>
          <w:b/>
          <w:bCs/>
        </w:rPr>
        <w:t>DoorDash’s Strategic Response:</w:t>
      </w:r>
      <w:r w:rsidRPr="004151E6">
        <w:rPr>
          <w:rFonts w:ascii="Arial" w:hAnsi="Arial" w:cs="Arial"/>
        </w:rPr>
        <w:br/>
        <w:t xml:space="preserve">DoorDash responds to sociocultural trends through </w:t>
      </w:r>
      <w:r w:rsidRPr="004151E6">
        <w:rPr>
          <w:rFonts w:ascii="Arial" w:hAnsi="Arial" w:cs="Arial"/>
          <w:b/>
          <w:bCs/>
        </w:rPr>
        <w:t>community branding</w:t>
      </w:r>
      <w:r w:rsidRPr="004151E6">
        <w:rPr>
          <w:rFonts w:ascii="Arial" w:hAnsi="Arial" w:cs="Arial"/>
        </w:rPr>
        <w:t xml:space="preserve"> and </w:t>
      </w:r>
      <w:r w:rsidRPr="004151E6">
        <w:rPr>
          <w:rFonts w:ascii="Arial" w:hAnsi="Arial" w:cs="Arial"/>
          <w:b/>
          <w:bCs/>
        </w:rPr>
        <w:t>corporate social responsibility (CSR)</w:t>
      </w:r>
      <w:r w:rsidRPr="004151E6">
        <w:rPr>
          <w:rFonts w:ascii="Arial" w:hAnsi="Arial" w:cs="Arial"/>
        </w:rPr>
        <w:t xml:space="preserve"> initiatives. Its “</w:t>
      </w:r>
      <w:r w:rsidRPr="004151E6">
        <w:rPr>
          <w:rFonts w:ascii="Arial" w:hAnsi="Arial" w:cs="Arial"/>
          <w:i/>
          <w:iCs/>
        </w:rPr>
        <w:t>Main Street Strong</w:t>
      </w:r>
      <w:r w:rsidRPr="004151E6">
        <w:rPr>
          <w:rFonts w:ascii="Arial" w:hAnsi="Arial" w:cs="Arial"/>
        </w:rPr>
        <w:t>” program provides financial assistance to local restaurants and drivers, reinforcing a socially supportive brand identity (DoorDash, 2024). Moreover, DoorDash promotes environmentally friendly packaging partnerships and integrates health-conscious restaurant options to appeal to wellness-oriented consumers.</w:t>
      </w:r>
    </w:p>
    <w:p w14:paraId="287874F8" w14:textId="77777777" w:rsidR="004151E6" w:rsidRPr="004151E6" w:rsidRDefault="004151E6" w:rsidP="004151E6">
      <w:pPr>
        <w:rPr>
          <w:rFonts w:ascii="Arial" w:hAnsi="Arial" w:cs="Arial"/>
        </w:rPr>
      </w:pPr>
      <w:r w:rsidRPr="004151E6">
        <w:rPr>
          <w:rFonts w:ascii="Arial" w:hAnsi="Arial" w:cs="Arial"/>
        </w:rPr>
        <w:t xml:space="preserve">This follower strategy aligns with </w:t>
      </w:r>
      <w:r w:rsidRPr="004151E6">
        <w:rPr>
          <w:rFonts w:ascii="Arial" w:hAnsi="Arial" w:cs="Arial"/>
          <w:i/>
          <w:iCs/>
        </w:rPr>
        <w:t>cause-related marketing</w:t>
      </w:r>
      <w:r w:rsidRPr="004151E6">
        <w:rPr>
          <w:rFonts w:ascii="Arial" w:hAnsi="Arial" w:cs="Arial"/>
        </w:rPr>
        <w:t xml:space="preserve"> (Varadarajan and Menon, 1988), creating goodwill through community impact rather than global activism. It also leverages </w:t>
      </w:r>
      <w:r w:rsidRPr="004151E6">
        <w:rPr>
          <w:rFonts w:ascii="Arial" w:hAnsi="Arial" w:cs="Arial"/>
          <w:i/>
          <w:iCs/>
        </w:rPr>
        <w:t>relationship marketing</w:t>
      </w:r>
      <w:r w:rsidRPr="004151E6">
        <w:rPr>
          <w:rFonts w:ascii="Arial" w:hAnsi="Arial" w:cs="Arial"/>
        </w:rPr>
        <w:t>, fostering long-term trust and loyalty among local stakeholders.</w:t>
      </w:r>
    </w:p>
    <w:p w14:paraId="302C1637" w14:textId="77777777" w:rsidR="004151E6" w:rsidRPr="004151E6" w:rsidRDefault="004151E6" w:rsidP="004151E6">
      <w:pPr>
        <w:rPr>
          <w:rFonts w:ascii="Arial" w:hAnsi="Arial" w:cs="Arial"/>
        </w:rPr>
      </w:pPr>
      <w:r w:rsidRPr="004151E6">
        <w:rPr>
          <w:rFonts w:ascii="Arial" w:hAnsi="Arial" w:cs="Arial"/>
          <w:b/>
          <w:bCs/>
        </w:rPr>
        <w:t>Comparative Evaluation:</w:t>
      </w:r>
      <w:r w:rsidRPr="004151E6">
        <w:rPr>
          <w:rFonts w:ascii="Arial" w:hAnsi="Arial" w:cs="Arial"/>
        </w:rPr>
        <w:br/>
        <w:t xml:space="preserve">Uber Eats adopts a </w:t>
      </w:r>
      <w:r w:rsidRPr="004151E6">
        <w:rPr>
          <w:rFonts w:ascii="Arial" w:hAnsi="Arial" w:cs="Arial"/>
          <w:b/>
          <w:bCs/>
        </w:rPr>
        <w:t>global brand activism approach</w:t>
      </w:r>
      <w:r w:rsidRPr="004151E6">
        <w:rPr>
          <w:rFonts w:ascii="Arial" w:hAnsi="Arial" w:cs="Arial"/>
        </w:rPr>
        <w:t xml:space="preserve">, influencing industry-wide standards for social responsibility. DoorDash implements a </w:t>
      </w:r>
      <w:r w:rsidRPr="004151E6">
        <w:rPr>
          <w:rFonts w:ascii="Arial" w:hAnsi="Arial" w:cs="Arial"/>
          <w:b/>
          <w:bCs/>
        </w:rPr>
        <w:t>localised CSR model</w:t>
      </w:r>
      <w:r w:rsidRPr="004151E6">
        <w:rPr>
          <w:rFonts w:ascii="Arial" w:hAnsi="Arial" w:cs="Arial"/>
        </w:rPr>
        <w:t>, focusing on tangible community engagement. Both align sociocultural strategy with brand values but differ in geographic and emotional reach.</w:t>
      </w:r>
    </w:p>
    <w:p w14:paraId="265CFC15" w14:textId="153BC1D4" w:rsidR="004151E6" w:rsidRPr="004151E6" w:rsidRDefault="004151E6" w:rsidP="004151E6">
      <w:pPr>
        <w:rPr>
          <w:rFonts w:ascii="Arial" w:hAnsi="Arial" w:cs="Arial"/>
        </w:rPr>
      </w:pPr>
    </w:p>
    <w:p w14:paraId="583F8762" w14:textId="77777777" w:rsidR="004151E6" w:rsidRPr="004151E6" w:rsidRDefault="004151E6" w:rsidP="004151E6">
      <w:pPr>
        <w:rPr>
          <w:rFonts w:ascii="Arial" w:hAnsi="Arial" w:cs="Arial"/>
          <w:b/>
          <w:bCs/>
        </w:rPr>
      </w:pPr>
      <w:r w:rsidRPr="004151E6">
        <w:rPr>
          <w:rFonts w:ascii="Arial" w:hAnsi="Arial" w:cs="Arial"/>
          <w:b/>
          <w:bCs/>
        </w:rPr>
        <w:t>4. Comparative Discussion</w:t>
      </w:r>
    </w:p>
    <w:p w14:paraId="1839A351" w14:textId="77777777" w:rsidR="004151E6" w:rsidRPr="004151E6" w:rsidRDefault="004151E6" w:rsidP="004151E6">
      <w:pPr>
        <w:rPr>
          <w:rFonts w:ascii="Arial" w:hAnsi="Arial" w:cs="Arial"/>
        </w:rPr>
      </w:pPr>
      <w:r w:rsidRPr="004151E6">
        <w:rPr>
          <w:rFonts w:ascii="Arial" w:hAnsi="Arial" w:cs="Arial"/>
        </w:rPr>
        <w:t>A comparative synthesis of Uber Eats and DoorDash reveals how pioneers and followers navigate technological and sociocultural forces through distinct strategies.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0"/>
        <w:gridCol w:w="3266"/>
        <w:gridCol w:w="3780"/>
      </w:tblGrid>
      <w:tr w:rsidR="004151E6" w:rsidRPr="004151E6" w14:paraId="52C3AC77" w14:textId="77777777">
        <w:trPr>
          <w:tblHeader/>
          <w:tblCellSpacing w:w="15" w:type="dxa"/>
        </w:trPr>
        <w:tc>
          <w:tcPr>
            <w:tcW w:w="0" w:type="auto"/>
            <w:vAlign w:val="center"/>
            <w:hideMark/>
          </w:tcPr>
          <w:p w14:paraId="763B1B03" w14:textId="77777777" w:rsidR="004151E6" w:rsidRPr="004151E6" w:rsidRDefault="004151E6" w:rsidP="004151E6">
            <w:pPr>
              <w:rPr>
                <w:rFonts w:ascii="Arial" w:hAnsi="Arial" w:cs="Arial"/>
                <w:b/>
                <w:bCs/>
              </w:rPr>
            </w:pPr>
            <w:r w:rsidRPr="004151E6">
              <w:rPr>
                <w:rFonts w:ascii="Arial" w:hAnsi="Arial" w:cs="Arial"/>
                <w:b/>
                <w:bCs/>
              </w:rPr>
              <w:t>Dimension</w:t>
            </w:r>
          </w:p>
        </w:tc>
        <w:tc>
          <w:tcPr>
            <w:tcW w:w="0" w:type="auto"/>
            <w:vAlign w:val="center"/>
            <w:hideMark/>
          </w:tcPr>
          <w:p w14:paraId="548831F5" w14:textId="77777777" w:rsidR="004151E6" w:rsidRPr="004151E6" w:rsidRDefault="004151E6" w:rsidP="004151E6">
            <w:pPr>
              <w:rPr>
                <w:rFonts w:ascii="Arial" w:hAnsi="Arial" w:cs="Arial"/>
                <w:b/>
                <w:bCs/>
              </w:rPr>
            </w:pPr>
            <w:r w:rsidRPr="004151E6">
              <w:rPr>
                <w:rFonts w:ascii="Arial" w:hAnsi="Arial" w:cs="Arial"/>
                <w:b/>
                <w:bCs/>
              </w:rPr>
              <w:t>Uber Eats (Pioneer)</w:t>
            </w:r>
          </w:p>
        </w:tc>
        <w:tc>
          <w:tcPr>
            <w:tcW w:w="0" w:type="auto"/>
            <w:vAlign w:val="center"/>
            <w:hideMark/>
          </w:tcPr>
          <w:p w14:paraId="07F16531" w14:textId="77777777" w:rsidR="004151E6" w:rsidRPr="004151E6" w:rsidRDefault="004151E6" w:rsidP="004151E6">
            <w:pPr>
              <w:rPr>
                <w:rFonts w:ascii="Arial" w:hAnsi="Arial" w:cs="Arial"/>
                <w:b/>
                <w:bCs/>
              </w:rPr>
            </w:pPr>
            <w:r w:rsidRPr="004151E6">
              <w:rPr>
                <w:rFonts w:ascii="Arial" w:hAnsi="Arial" w:cs="Arial"/>
                <w:b/>
                <w:bCs/>
              </w:rPr>
              <w:t>DoorDash (Follower)</w:t>
            </w:r>
          </w:p>
        </w:tc>
      </w:tr>
      <w:tr w:rsidR="004151E6" w:rsidRPr="004151E6" w14:paraId="50B012CE" w14:textId="77777777">
        <w:trPr>
          <w:tblCellSpacing w:w="15" w:type="dxa"/>
        </w:trPr>
        <w:tc>
          <w:tcPr>
            <w:tcW w:w="0" w:type="auto"/>
            <w:vAlign w:val="center"/>
            <w:hideMark/>
          </w:tcPr>
          <w:p w14:paraId="37BC3CC1" w14:textId="77777777" w:rsidR="004151E6" w:rsidRPr="004151E6" w:rsidRDefault="004151E6" w:rsidP="004151E6">
            <w:pPr>
              <w:rPr>
                <w:rFonts w:ascii="Arial" w:hAnsi="Arial" w:cs="Arial"/>
              </w:rPr>
            </w:pPr>
            <w:r w:rsidRPr="004151E6">
              <w:rPr>
                <w:rFonts w:ascii="Arial" w:hAnsi="Arial" w:cs="Arial"/>
                <w:b/>
                <w:bCs/>
              </w:rPr>
              <w:t>Technological Approach</w:t>
            </w:r>
          </w:p>
        </w:tc>
        <w:tc>
          <w:tcPr>
            <w:tcW w:w="0" w:type="auto"/>
            <w:vAlign w:val="center"/>
            <w:hideMark/>
          </w:tcPr>
          <w:p w14:paraId="4B7384B1" w14:textId="77777777" w:rsidR="004151E6" w:rsidRPr="004151E6" w:rsidRDefault="004151E6" w:rsidP="004151E6">
            <w:pPr>
              <w:rPr>
                <w:rFonts w:ascii="Arial" w:hAnsi="Arial" w:cs="Arial"/>
              </w:rPr>
            </w:pPr>
            <w:r w:rsidRPr="004151E6">
              <w:rPr>
                <w:rFonts w:ascii="Arial" w:hAnsi="Arial" w:cs="Arial"/>
              </w:rPr>
              <w:t>Radical innovation, platform integration, AI-driven operations</w:t>
            </w:r>
          </w:p>
        </w:tc>
        <w:tc>
          <w:tcPr>
            <w:tcW w:w="0" w:type="auto"/>
            <w:vAlign w:val="center"/>
            <w:hideMark/>
          </w:tcPr>
          <w:p w14:paraId="29B64634" w14:textId="77777777" w:rsidR="004151E6" w:rsidRPr="004151E6" w:rsidRDefault="004151E6" w:rsidP="004151E6">
            <w:pPr>
              <w:rPr>
                <w:rFonts w:ascii="Arial" w:hAnsi="Arial" w:cs="Arial"/>
              </w:rPr>
            </w:pPr>
            <w:r w:rsidRPr="004151E6">
              <w:rPr>
                <w:rFonts w:ascii="Arial" w:hAnsi="Arial" w:cs="Arial"/>
              </w:rPr>
              <w:t>Incremental innovation, operational refinement, adaptive benchmarking</w:t>
            </w:r>
          </w:p>
        </w:tc>
      </w:tr>
      <w:tr w:rsidR="004151E6" w:rsidRPr="004151E6" w14:paraId="1B1DADBD" w14:textId="77777777">
        <w:trPr>
          <w:tblCellSpacing w:w="15" w:type="dxa"/>
        </w:trPr>
        <w:tc>
          <w:tcPr>
            <w:tcW w:w="0" w:type="auto"/>
            <w:vAlign w:val="center"/>
            <w:hideMark/>
          </w:tcPr>
          <w:p w14:paraId="0DCE417B" w14:textId="77777777" w:rsidR="004151E6" w:rsidRPr="004151E6" w:rsidRDefault="004151E6" w:rsidP="004151E6">
            <w:pPr>
              <w:rPr>
                <w:rFonts w:ascii="Arial" w:hAnsi="Arial" w:cs="Arial"/>
              </w:rPr>
            </w:pPr>
            <w:r w:rsidRPr="004151E6">
              <w:rPr>
                <w:rFonts w:ascii="Arial" w:hAnsi="Arial" w:cs="Arial"/>
                <w:b/>
                <w:bCs/>
              </w:rPr>
              <w:t>Sociocultural Strategy</w:t>
            </w:r>
          </w:p>
        </w:tc>
        <w:tc>
          <w:tcPr>
            <w:tcW w:w="0" w:type="auto"/>
            <w:vAlign w:val="center"/>
            <w:hideMark/>
          </w:tcPr>
          <w:p w14:paraId="3CB2BA97" w14:textId="77777777" w:rsidR="004151E6" w:rsidRPr="004151E6" w:rsidRDefault="004151E6" w:rsidP="004151E6">
            <w:pPr>
              <w:rPr>
                <w:rFonts w:ascii="Arial" w:hAnsi="Arial" w:cs="Arial"/>
              </w:rPr>
            </w:pPr>
            <w:r w:rsidRPr="004151E6">
              <w:rPr>
                <w:rFonts w:ascii="Arial" w:hAnsi="Arial" w:cs="Arial"/>
              </w:rPr>
              <w:t>Global brand activism and inclusivity marketing</w:t>
            </w:r>
          </w:p>
        </w:tc>
        <w:tc>
          <w:tcPr>
            <w:tcW w:w="0" w:type="auto"/>
            <w:vAlign w:val="center"/>
            <w:hideMark/>
          </w:tcPr>
          <w:p w14:paraId="2FAD0175" w14:textId="77777777" w:rsidR="004151E6" w:rsidRPr="004151E6" w:rsidRDefault="004151E6" w:rsidP="004151E6">
            <w:pPr>
              <w:rPr>
                <w:rFonts w:ascii="Arial" w:hAnsi="Arial" w:cs="Arial"/>
              </w:rPr>
            </w:pPr>
            <w:r w:rsidRPr="004151E6">
              <w:rPr>
                <w:rFonts w:ascii="Arial" w:hAnsi="Arial" w:cs="Arial"/>
              </w:rPr>
              <w:t>Community engagement and local CSR focus</w:t>
            </w:r>
          </w:p>
        </w:tc>
      </w:tr>
      <w:tr w:rsidR="004151E6" w:rsidRPr="004151E6" w14:paraId="7CF439D3" w14:textId="77777777">
        <w:trPr>
          <w:tblCellSpacing w:w="15" w:type="dxa"/>
        </w:trPr>
        <w:tc>
          <w:tcPr>
            <w:tcW w:w="0" w:type="auto"/>
            <w:vAlign w:val="center"/>
            <w:hideMark/>
          </w:tcPr>
          <w:p w14:paraId="5C9EE308" w14:textId="77777777" w:rsidR="004151E6" w:rsidRPr="004151E6" w:rsidRDefault="004151E6" w:rsidP="004151E6">
            <w:pPr>
              <w:rPr>
                <w:rFonts w:ascii="Arial" w:hAnsi="Arial" w:cs="Arial"/>
              </w:rPr>
            </w:pPr>
            <w:r w:rsidRPr="004151E6">
              <w:rPr>
                <w:rFonts w:ascii="Arial" w:hAnsi="Arial" w:cs="Arial"/>
                <w:b/>
                <w:bCs/>
              </w:rPr>
              <w:t>Competitive Focus</w:t>
            </w:r>
          </w:p>
        </w:tc>
        <w:tc>
          <w:tcPr>
            <w:tcW w:w="0" w:type="auto"/>
            <w:vAlign w:val="center"/>
            <w:hideMark/>
          </w:tcPr>
          <w:p w14:paraId="56788CA9" w14:textId="77777777" w:rsidR="004151E6" w:rsidRPr="004151E6" w:rsidRDefault="004151E6" w:rsidP="004151E6">
            <w:pPr>
              <w:rPr>
                <w:rFonts w:ascii="Arial" w:hAnsi="Arial" w:cs="Arial"/>
              </w:rPr>
            </w:pPr>
            <w:r w:rsidRPr="004151E6">
              <w:rPr>
                <w:rFonts w:ascii="Arial" w:hAnsi="Arial" w:cs="Arial"/>
              </w:rPr>
              <w:t>Differentiation through technology leadership</w:t>
            </w:r>
          </w:p>
        </w:tc>
        <w:tc>
          <w:tcPr>
            <w:tcW w:w="0" w:type="auto"/>
            <w:vAlign w:val="center"/>
            <w:hideMark/>
          </w:tcPr>
          <w:p w14:paraId="69B918AB" w14:textId="77777777" w:rsidR="004151E6" w:rsidRPr="004151E6" w:rsidRDefault="004151E6" w:rsidP="004151E6">
            <w:pPr>
              <w:rPr>
                <w:rFonts w:ascii="Arial" w:hAnsi="Arial" w:cs="Arial"/>
              </w:rPr>
            </w:pPr>
            <w:r w:rsidRPr="004151E6">
              <w:rPr>
                <w:rFonts w:ascii="Arial" w:hAnsi="Arial" w:cs="Arial"/>
              </w:rPr>
              <w:t>Cost efficiency and service personalisation</w:t>
            </w:r>
          </w:p>
        </w:tc>
      </w:tr>
      <w:tr w:rsidR="004151E6" w:rsidRPr="004151E6" w14:paraId="53C9D22B" w14:textId="77777777">
        <w:trPr>
          <w:tblCellSpacing w:w="15" w:type="dxa"/>
        </w:trPr>
        <w:tc>
          <w:tcPr>
            <w:tcW w:w="0" w:type="auto"/>
            <w:vAlign w:val="center"/>
            <w:hideMark/>
          </w:tcPr>
          <w:p w14:paraId="405B4E76" w14:textId="77777777" w:rsidR="004151E6" w:rsidRPr="004151E6" w:rsidRDefault="004151E6" w:rsidP="004151E6">
            <w:pPr>
              <w:rPr>
                <w:rFonts w:ascii="Arial" w:hAnsi="Arial" w:cs="Arial"/>
              </w:rPr>
            </w:pPr>
            <w:r w:rsidRPr="004151E6">
              <w:rPr>
                <w:rFonts w:ascii="Arial" w:hAnsi="Arial" w:cs="Arial"/>
                <w:b/>
                <w:bCs/>
              </w:rPr>
              <w:lastRenderedPageBreak/>
              <w:t>Opportunities</w:t>
            </w:r>
          </w:p>
        </w:tc>
        <w:tc>
          <w:tcPr>
            <w:tcW w:w="0" w:type="auto"/>
            <w:vAlign w:val="center"/>
            <w:hideMark/>
          </w:tcPr>
          <w:p w14:paraId="09DDD39F" w14:textId="77777777" w:rsidR="004151E6" w:rsidRPr="004151E6" w:rsidRDefault="004151E6" w:rsidP="004151E6">
            <w:pPr>
              <w:rPr>
                <w:rFonts w:ascii="Arial" w:hAnsi="Arial" w:cs="Arial"/>
              </w:rPr>
            </w:pPr>
            <w:r w:rsidRPr="004151E6">
              <w:rPr>
                <w:rFonts w:ascii="Arial" w:hAnsi="Arial" w:cs="Arial"/>
              </w:rPr>
              <w:t>Market leadership, brand visibility, data advantage</w:t>
            </w:r>
          </w:p>
        </w:tc>
        <w:tc>
          <w:tcPr>
            <w:tcW w:w="0" w:type="auto"/>
            <w:vAlign w:val="center"/>
            <w:hideMark/>
          </w:tcPr>
          <w:p w14:paraId="1E0C2A92" w14:textId="77777777" w:rsidR="004151E6" w:rsidRPr="004151E6" w:rsidRDefault="004151E6" w:rsidP="004151E6">
            <w:pPr>
              <w:rPr>
                <w:rFonts w:ascii="Arial" w:hAnsi="Arial" w:cs="Arial"/>
              </w:rPr>
            </w:pPr>
            <w:r w:rsidRPr="004151E6">
              <w:rPr>
                <w:rFonts w:ascii="Arial" w:hAnsi="Arial" w:cs="Arial"/>
              </w:rPr>
              <w:t>Customer loyalty, agility, local market dominance</w:t>
            </w:r>
          </w:p>
        </w:tc>
      </w:tr>
      <w:tr w:rsidR="004151E6" w:rsidRPr="004151E6" w14:paraId="2F7ACC87" w14:textId="77777777">
        <w:trPr>
          <w:tblCellSpacing w:w="15" w:type="dxa"/>
        </w:trPr>
        <w:tc>
          <w:tcPr>
            <w:tcW w:w="0" w:type="auto"/>
            <w:vAlign w:val="center"/>
            <w:hideMark/>
          </w:tcPr>
          <w:p w14:paraId="00909F21" w14:textId="77777777" w:rsidR="004151E6" w:rsidRPr="004151E6" w:rsidRDefault="004151E6" w:rsidP="004151E6">
            <w:pPr>
              <w:rPr>
                <w:rFonts w:ascii="Arial" w:hAnsi="Arial" w:cs="Arial"/>
              </w:rPr>
            </w:pPr>
            <w:r w:rsidRPr="004151E6">
              <w:rPr>
                <w:rFonts w:ascii="Arial" w:hAnsi="Arial" w:cs="Arial"/>
                <w:b/>
                <w:bCs/>
              </w:rPr>
              <w:t>Threats</w:t>
            </w:r>
          </w:p>
        </w:tc>
        <w:tc>
          <w:tcPr>
            <w:tcW w:w="0" w:type="auto"/>
            <w:vAlign w:val="center"/>
            <w:hideMark/>
          </w:tcPr>
          <w:p w14:paraId="473570DB" w14:textId="77777777" w:rsidR="004151E6" w:rsidRPr="004151E6" w:rsidRDefault="004151E6" w:rsidP="004151E6">
            <w:pPr>
              <w:rPr>
                <w:rFonts w:ascii="Arial" w:hAnsi="Arial" w:cs="Arial"/>
              </w:rPr>
            </w:pPr>
            <w:r w:rsidRPr="004151E6">
              <w:rPr>
                <w:rFonts w:ascii="Arial" w:hAnsi="Arial" w:cs="Arial"/>
              </w:rPr>
              <w:t>Regulatory scrutiny, high R&amp;D costs, reputational risk</w:t>
            </w:r>
          </w:p>
        </w:tc>
        <w:tc>
          <w:tcPr>
            <w:tcW w:w="0" w:type="auto"/>
            <w:vAlign w:val="center"/>
            <w:hideMark/>
          </w:tcPr>
          <w:p w14:paraId="6837606B" w14:textId="77777777" w:rsidR="004151E6" w:rsidRPr="004151E6" w:rsidRDefault="004151E6" w:rsidP="004151E6">
            <w:pPr>
              <w:rPr>
                <w:rFonts w:ascii="Arial" w:hAnsi="Arial" w:cs="Arial"/>
              </w:rPr>
            </w:pPr>
            <w:r w:rsidRPr="004151E6">
              <w:rPr>
                <w:rFonts w:ascii="Arial" w:hAnsi="Arial" w:cs="Arial"/>
              </w:rPr>
              <w:t>Brand imitation, slower innovation perception</w:t>
            </w:r>
          </w:p>
        </w:tc>
      </w:tr>
    </w:tbl>
    <w:p w14:paraId="150520DA" w14:textId="77777777" w:rsidR="004151E6" w:rsidRPr="004151E6" w:rsidRDefault="004151E6" w:rsidP="004151E6">
      <w:pPr>
        <w:rPr>
          <w:rFonts w:ascii="Arial" w:hAnsi="Arial" w:cs="Arial"/>
        </w:rPr>
      </w:pPr>
      <w:r w:rsidRPr="004151E6">
        <w:rPr>
          <w:rFonts w:ascii="Arial" w:hAnsi="Arial" w:cs="Arial"/>
        </w:rPr>
        <w:t xml:space="preserve">This comparison reinforces Porter’s (1985) framework: pioneers achieve competitive advantage through differentiation, while followers sustain performance through focus and cost efficiency. Furthermore, both companies’ strategies demonstrate the growing importance of </w:t>
      </w:r>
      <w:r w:rsidRPr="004151E6">
        <w:rPr>
          <w:rFonts w:ascii="Arial" w:hAnsi="Arial" w:cs="Arial"/>
          <w:i/>
          <w:iCs/>
        </w:rPr>
        <w:t>strategic agility</w:t>
      </w:r>
      <w:r w:rsidRPr="004151E6">
        <w:rPr>
          <w:rFonts w:ascii="Arial" w:hAnsi="Arial" w:cs="Arial"/>
        </w:rPr>
        <w:t>—the ability to sense and respond rapidly to environmental change (Teece et al., 2016).</w:t>
      </w:r>
    </w:p>
    <w:p w14:paraId="00C9FB74" w14:textId="0B2F99F3" w:rsidR="004151E6" w:rsidRPr="004151E6" w:rsidRDefault="004151E6" w:rsidP="004151E6">
      <w:pPr>
        <w:rPr>
          <w:rFonts w:ascii="Arial" w:hAnsi="Arial" w:cs="Arial"/>
        </w:rPr>
      </w:pPr>
    </w:p>
    <w:p w14:paraId="5FC043B7" w14:textId="77777777" w:rsidR="004151E6" w:rsidRPr="004151E6" w:rsidRDefault="004151E6" w:rsidP="004151E6">
      <w:pPr>
        <w:rPr>
          <w:rFonts w:ascii="Arial" w:hAnsi="Arial" w:cs="Arial"/>
          <w:b/>
          <w:bCs/>
        </w:rPr>
      </w:pPr>
      <w:r w:rsidRPr="004151E6">
        <w:rPr>
          <w:rFonts w:ascii="Arial" w:hAnsi="Arial" w:cs="Arial"/>
          <w:b/>
          <w:bCs/>
        </w:rPr>
        <w:t>5. Conclusion</w:t>
      </w:r>
    </w:p>
    <w:p w14:paraId="6DF2B49F" w14:textId="77777777" w:rsidR="004151E6" w:rsidRPr="004151E6" w:rsidRDefault="004151E6" w:rsidP="004151E6">
      <w:pPr>
        <w:rPr>
          <w:rFonts w:ascii="Arial" w:hAnsi="Arial" w:cs="Arial"/>
        </w:rPr>
      </w:pPr>
      <w:r w:rsidRPr="004151E6">
        <w:rPr>
          <w:rFonts w:ascii="Arial" w:hAnsi="Arial" w:cs="Arial"/>
        </w:rPr>
        <w:t>The analysis of Uber Eats and DoorDash within the macro marketing environment illustrates the profound influence of technological and sociocultural factors on strategic marketing management. For pioneers like Uber Eats, technological leadership and global sociocultural engagement drive brand differentiation and long-term competitiveness. However, these strategies entail substantial investment and regulatory exposure. For followers like DoorDash, adaptive innovation and community-oriented branding offer a viable pathway to sustainable growth, leveraging operational efficiency and local relevance.</w:t>
      </w:r>
    </w:p>
    <w:p w14:paraId="130827B5" w14:textId="77777777" w:rsidR="004151E6" w:rsidRPr="004151E6" w:rsidRDefault="004151E6" w:rsidP="004151E6">
      <w:pPr>
        <w:rPr>
          <w:rFonts w:ascii="Arial" w:hAnsi="Arial" w:cs="Arial"/>
        </w:rPr>
      </w:pPr>
      <w:r w:rsidRPr="004151E6">
        <w:rPr>
          <w:rFonts w:ascii="Arial" w:hAnsi="Arial" w:cs="Arial"/>
        </w:rPr>
        <w:t>Ultimately, in the rapidly evolving food delivery industry, both pioneers and followers must balance technological capability with social responsibility. Success depends not solely on being first to innovate but on aligning innovation with evolving cultural expectations and stakeholder values. As consumer awareness deepens and technology continues to evolve, strategic agility and ethical authenticity will determine future leadership in the sector.</w:t>
      </w:r>
    </w:p>
    <w:p w14:paraId="3AE80C9E" w14:textId="3087A78D" w:rsidR="004151E6" w:rsidRPr="004151E6" w:rsidRDefault="004151E6" w:rsidP="004151E6">
      <w:pPr>
        <w:rPr>
          <w:rFonts w:ascii="Arial" w:hAnsi="Arial" w:cs="Arial"/>
        </w:rPr>
      </w:pPr>
    </w:p>
    <w:p w14:paraId="59D165B7" w14:textId="77777777" w:rsidR="004151E6" w:rsidRDefault="004151E6" w:rsidP="004151E6">
      <w:pPr>
        <w:rPr>
          <w:rFonts w:ascii="Arial" w:hAnsi="Arial" w:cs="Arial"/>
          <w:b/>
          <w:bCs/>
        </w:rPr>
      </w:pPr>
    </w:p>
    <w:p w14:paraId="6CA4849D" w14:textId="77777777" w:rsidR="004151E6" w:rsidRDefault="004151E6" w:rsidP="004151E6">
      <w:pPr>
        <w:rPr>
          <w:rFonts w:ascii="Arial" w:hAnsi="Arial" w:cs="Arial"/>
          <w:b/>
          <w:bCs/>
        </w:rPr>
      </w:pPr>
    </w:p>
    <w:p w14:paraId="1D365C43" w14:textId="77777777" w:rsidR="004151E6" w:rsidRDefault="004151E6" w:rsidP="004151E6">
      <w:pPr>
        <w:rPr>
          <w:rFonts w:ascii="Arial" w:hAnsi="Arial" w:cs="Arial"/>
          <w:b/>
          <w:bCs/>
        </w:rPr>
      </w:pPr>
    </w:p>
    <w:p w14:paraId="08F17EC6" w14:textId="77777777" w:rsidR="004151E6" w:rsidRDefault="004151E6" w:rsidP="004151E6">
      <w:pPr>
        <w:rPr>
          <w:rFonts w:ascii="Arial" w:hAnsi="Arial" w:cs="Arial"/>
          <w:b/>
          <w:bCs/>
        </w:rPr>
      </w:pPr>
    </w:p>
    <w:p w14:paraId="143A2418" w14:textId="77777777" w:rsidR="004151E6" w:rsidRDefault="004151E6" w:rsidP="004151E6">
      <w:pPr>
        <w:rPr>
          <w:rFonts w:ascii="Arial" w:hAnsi="Arial" w:cs="Arial"/>
          <w:b/>
          <w:bCs/>
        </w:rPr>
      </w:pPr>
    </w:p>
    <w:p w14:paraId="09480463" w14:textId="77777777" w:rsidR="004151E6" w:rsidRDefault="004151E6" w:rsidP="004151E6">
      <w:pPr>
        <w:rPr>
          <w:rFonts w:ascii="Arial" w:hAnsi="Arial" w:cs="Arial"/>
          <w:b/>
          <w:bCs/>
        </w:rPr>
      </w:pPr>
    </w:p>
    <w:p w14:paraId="7A5870B4" w14:textId="77777777" w:rsidR="004151E6" w:rsidRDefault="004151E6" w:rsidP="004151E6">
      <w:pPr>
        <w:rPr>
          <w:rFonts w:ascii="Arial" w:hAnsi="Arial" w:cs="Arial"/>
          <w:b/>
          <w:bCs/>
        </w:rPr>
      </w:pPr>
    </w:p>
    <w:p w14:paraId="50888BEF" w14:textId="77777777" w:rsidR="004151E6" w:rsidRDefault="004151E6" w:rsidP="004151E6">
      <w:pPr>
        <w:rPr>
          <w:rFonts w:ascii="Arial" w:hAnsi="Arial" w:cs="Arial"/>
          <w:b/>
          <w:bCs/>
        </w:rPr>
      </w:pPr>
    </w:p>
    <w:p w14:paraId="7293DF8F" w14:textId="77777777" w:rsidR="004151E6" w:rsidRDefault="004151E6" w:rsidP="004151E6">
      <w:pPr>
        <w:rPr>
          <w:rFonts w:ascii="Arial" w:hAnsi="Arial" w:cs="Arial"/>
          <w:b/>
          <w:bCs/>
        </w:rPr>
      </w:pPr>
    </w:p>
    <w:p w14:paraId="13193433" w14:textId="77777777" w:rsidR="004151E6" w:rsidRDefault="004151E6" w:rsidP="004151E6">
      <w:pPr>
        <w:rPr>
          <w:rFonts w:ascii="Arial" w:hAnsi="Arial" w:cs="Arial"/>
          <w:b/>
          <w:bCs/>
        </w:rPr>
      </w:pPr>
    </w:p>
    <w:p w14:paraId="5ED3CB55" w14:textId="77777777" w:rsidR="004151E6" w:rsidRDefault="004151E6" w:rsidP="004151E6">
      <w:pPr>
        <w:rPr>
          <w:rFonts w:ascii="Arial" w:hAnsi="Arial" w:cs="Arial"/>
          <w:b/>
          <w:bCs/>
        </w:rPr>
      </w:pPr>
    </w:p>
    <w:p w14:paraId="0896065A" w14:textId="77777777" w:rsidR="004151E6" w:rsidRDefault="004151E6" w:rsidP="004151E6">
      <w:pPr>
        <w:rPr>
          <w:rFonts w:ascii="Arial" w:hAnsi="Arial" w:cs="Arial"/>
          <w:b/>
          <w:bCs/>
        </w:rPr>
      </w:pPr>
    </w:p>
    <w:p w14:paraId="518508EE" w14:textId="77777777" w:rsidR="004151E6" w:rsidRDefault="004151E6" w:rsidP="004151E6">
      <w:pPr>
        <w:rPr>
          <w:rFonts w:ascii="Arial" w:hAnsi="Arial" w:cs="Arial"/>
          <w:b/>
          <w:bCs/>
        </w:rPr>
      </w:pPr>
    </w:p>
    <w:p w14:paraId="62017CBE" w14:textId="77777777" w:rsidR="004151E6" w:rsidRDefault="004151E6" w:rsidP="004151E6">
      <w:pPr>
        <w:rPr>
          <w:rFonts w:ascii="Arial" w:hAnsi="Arial" w:cs="Arial"/>
          <w:b/>
          <w:bCs/>
        </w:rPr>
      </w:pPr>
    </w:p>
    <w:p w14:paraId="2ECD6B06" w14:textId="77777777" w:rsidR="004151E6" w:rsidRDefault="004151E6" w:rsidP="004151E6">
      <w:pPr>
        <w:rPr>
          <w:rFonts w:ascii="Arial" w:hAnsi="Arial" w:cs="Arial"/>
          <w:b/>
          <w:bCs/>
        </w:rPr>
      </w:pPr>
    </w:p>
    <w:p w14:paraId="31F780FA" w14:textId="77777777" w:rsidR="004151E6" w:rsidRDefault="004151E6" w:rsidP="004151E6">
      <w:pPr>
        <w:rPr>
          <w:rFonts w:ascii="Arial" w:hAnsi="Arial" w:cs="Arial"/>
          <w:b/>
          <w:bCs/>
        </w:rPr>
      </w:pPr>
    </w:p>
    <w:p w14:paraId="68CA78F2" w14:textId="77777777" w:rsidR="004151E6" w:rsidRDefault="004151E6" w:rsidP="004151E6">
      <w:pPr>
        <w:rPr>
          <w:rFonts w:ascii="Arial" w:hAnsi="Arial" w:cs="Arial"/>
          <w:b/>
          <w:bCs/>
        </w:rPr>
      </w:pPr>
    </w:p>
    <w:p w14:paraId="1115F0D2" w14:textId="77777777" w:rsidR="004151E6" w:rsidRDefault="004151E6" w:rsidP="004151E6">
      <w:pPr>
        <w:rPr>
          <w:rFonts w:ascii="Arial" w:hAnsi="Arial" w:cs="Arial"/>
          <w:b/>
          <w:bCs/>
        </w:rPr>
      </w:pPr>
    </w:p>
    <w:p w14:paraId="373A6645" w14:textId="77777777" w:rsidR="004151E6" w:rsidRDefault="004151E6" w:rsidP="004151E6">
      <w:pPr>
        <w:rPr>
          <w:rFonts w:ascii="Arial" w:hAnsi="Arial" w:cs="Arial"/>
          <w:b/>
          <w:bCs/>
        </w:rPr>
      </w:pPr>
    </w:p>
    <w:p w14:paraId="76462E93" w14:textId="77777777" w:rsidR="004151E6" w:rsidRDefault="004151E6" w:rsidP="004151E6">
      <w:pPr>
        <w:rPr>
          <w:rFonts w:ascii="Arial" w:hAnsi="Arial" w:cs="Arial"/>
          <w:b/>
          <w:bCs/>
        </w:rPr>
      </w:pPr>
    </w:p>
    <w:p w14:paraId="25D89903" w14:textId="77777777" w:rsidR="004151E6" w:rsidRDefault="004151E6" w:rsidP="004151E6">
      <w:pPr>
        <w:rPr>
          <w:rFonts w:ascii="Arial" w:hAnsi="Arial" w:cs="Arial"/>
          <w:b/>
          <w:bCs/>
        </w:rPr>
      </w:pPr>
    </w:p>
    <w:p w14:paraId="29C63905" w14:textId="77777777" w:rsidR="004151E6" w:rsidRDefault="004151E6" w:rsidP="004151E6">
      <w:pPr>
        <w:rPr>
          <w:rFonts w:ascii="Arial" w:hAnsi="Arial" w:cs="Arial"/>
          <w:b/>
          <w:bCs/>
        </w:rPr>
      </w:pPr>
    </w:p>
    <w:p w14:paraId="1FD4DC96" w14:textId="77777777" w:rsidR="004151E6" w:rsidRDefault="004151E6" w:rsidP="004151E6">
      <w:pPr>
        <w:rPr>
          <w:rFonts w:ascii="Arial" w:hAnsi="Arial" w:cs="Arial"/>
          <w:b/>
          <w:bCs/>
        </w:rPr>
      </w:pPr>
    </w:p>
    <w:p w14:paraId="7338D646" w14:textId="441F27DE" w:rsidR="004151E6" w:rsidRPr="004151E6" w:rsidRDefault="004151E6" w:rsidP="004151E6">
      <w:pPr>
        <w:rPr>
          <w:rFonts w:ascii="Arial" w:hAnsi="Arial" w:cs="Arial"/>
          <w:b/>
          <w:bCs/>
        </w:rPr>
      </w:pPr>
      <w:r w:rsidRPr="004151E6">
        <w:rPr>
          <w:rFonts w:ascii="Arial" w:hAnsi="Arial" w:cs="Arial"/>
          <w:b/>
          <w:bCs/>
        </w:rPr>
        <w:t>References (Harvard Style)</w:t>
      </w:r>
    </w:p>
    <w:p w14:paraId="66812334" w14:textId="77777777" w:rsidR="004151E6" w:rsidRPr="004151E6" w:rsidRDefault="004151E6" w:rsidP="004151E6">
      <w:pPr>
        <w:rPr>
          <w:rFonts w:ascii="Arial" w:hAnsi="Arial" w:cs="Arial"/>
        </w:rPr>
      </w:pPr>
      <w:r w:rsidRPr="004151E6">
        <w:rPr>
          <w:rFonts w:ascii="Arial" w:hAnsi="Arial" w:cs="Arial"/>
        </w:rPr>
        <w:t xml:space="preserve">Barney, J. (1991) ‘Firm resources and sustained competitive advantage’. </w:t>
      </w:r>
      <w:r w:rsidRPr="004151E6">
        <w:rPr>
          <w:rFonts w:ascii="Arial" w:hAnsi="Arial" w:cs="Arial"/>
          <w:i/>
          <w:iCs/>
        </w:rPr>
        <w:t>Journal of Management</w:t>
      </w:r>
      <w:r w:rsidRPr="004151E6">
        <w:rPr>
          <w:rFonts w:ascii="Arial" w:hAnsi="Arial" w:cs="Arial"/>
        </w:rPr>
        <w:t>, 17(1), pp. 99–120.</w:t>
      </w:r>
    </w:p>
    <w:p w14:paraId="033071C3" w14:textId="77777777" w:rsidR="004151E6" w:rsidRPr="004151E6" w:rsidRDefault="004151E6" w:rsidP="004151E6">
      <w:pPr>
        <w:rPr>
          <w:rFonts w:ascii="Arial" w:hAnsi="Arial" w:cs="Arial"/>
        </w:rPr>
      </w:pPr>
      <w:r w:rsidRPr="004151E6">
        <w:rPr>
          <w:rFonts w:ascii="Arial" w:hAnsi="Arial" w:cs="Arial"/>
        </w:rPr>
        <w:t xml:space="preserve">Deloitte (2024) </w:t>
      </w:r>
      <w:r w:rsidRPr="004151E6">
        <w:rPr>
          <w:rFonts w:ascii="Arial" w:hAnsi="Arial" w:cs="Arial"/>
          <w:i/>
          <w:iCs/>
        </w:rPr>
        <w:t>Global Food Delivery Industry Report 2024</w:t>
      </w:r>
      <w:r w:rsidRPr="004151E6">
        <w:rPr>
          <w:rFonts w:ascii="Arial" w:hAnsi="Arial" w:cs="Arial"/>
        </w:rPr>
        <w:t>. London: Deloitte Insights.</w:t>
      </w:r>
    </w:p>
    <w:p w14:paraId="74890095" w14:textId="77777777" w:rsidR="004151E6" w:rsidRPr="004151E6" w:rsidRDefault="004151E6" w:rsidP="004151E6">
      <w:pPr>
        <w:rPr>
          <w:rFonts w:ascii="Arial" w:hAnsi="Arial" w:cs="Arial"/>
        </w:rPr>
      </w:pPr>
      <w:r w:rsidRPr="004151E6">
        <w:rPr>
          <w:rFonts w:ascii="Arial" w:hAnsi="Arial" w:cs="Arial"/>
        </w:rPr>
        <w:t xml:space="preserve">DoorDash (2024) </w:t>
      </w:r>
      <w:r w:rsidRPr="004151E6">
        <w:rPr>
          <w:rFonts w:ascii="Arial" w:hAnsi="Arial" w:cs="Arial"/>
          <w:i/>
          <w:iCs/>
        </w:rPr>
        <w:t>Corporate Responsibility and Sustainability Report 2024</w:t>
      </w:r>
      <w:r w:rsidRPr="004151E6">
        <w:rPr>
          <w:rFonts w:ascii="Arial" w:hAnsi="Arial" w:cs="Arial"/>
        </w:rPr>
        <w:t>. Available at: https://www.doordashimpact.com (Accessed: 17 October 2025).</w:t>
      </w:r>
    </w:p>
    <w:p w14:paraId="46E83D8E" w14:textId="77777777" w:rsidR="004151E6" w:rsidRPr="004151E6" w:rsidRDefault="004151E6" w:rsidP="004151E6">
      <w:pPr>
        <w:rPr>
          <w:rFonts w:ascii="Arial" w:hAnsi="Arial" w:cs="Arial"/>
        </w:rPr>
      </w:pPr>
      <w:r w:rsidRPr="004151E6">
        <w:rPr>
          <w:rFonts w:ascii="Arial" w:hAnsi="Arial" w:cs="Arial"/>
        </w:rPr>
        <w:t xml:space="preserve">Euromonitor (2023) </w:t>
      </w:r>
      <w:r w:rsidRPr="004151E6">
        <w:rPr>
          <w:rFonts w:ascii="Arial" w:hAnsi="Arial" w:cs="Arial"/>
          <w:i/>
          <w:iCs/>
        </w:rPr>
        <w:t>Food Delivery and Takeaway Market Trends 2023</w:t>
      </w:r>
      <w:r w:rsidRPr="004151E6">
        <w:rPr>
          <w:rFonts w:ascii="Arial" w:hAnsi="Arial" w:cs="Arial"/>
        </w:rPr>
        <w:t>. London: Euromonitor International.</w:t>
      </w:r>
    </w:p>
    <w:p w14:paraId="568E50DE" w14:textId="77777777" w:rsidR="004151E6" w:rsidRPr="004151E6" w:rsidRDefault="004151E6" w:rsidP="004151E6">
      <w:pPr>
        <w:rPr>
          <w:rFonts w:ascii="Arial" w:hAnsi="Arial" w:cs="Arial"/>
        </w:rPr>
      </w:pPr>
      <w:r w:rsidRPr="004151E6">
        <w:rPr>
          <w:rFonts w:ascii="Arial" w:hAnsi="Arial" w:cs="Arial"/>
        </w:rPr>
        <w:t xml:space="preserve">Forbes (2023) ‘Uber Eats’ Technology and the Future of On-Demand Delivery’. </w:t>
      </w:r>
      <w:r w:rsidRPr="004151E6">
        <w:rPr>
          <w:rFonts w:ascii="Arial" w:hAnsi="Arial" w:cs="Arial"/>
          <w:i/>
          <w:iCs/>
        </w:rPr>
        <w:t>Forbes Online</w:t>
      </w:r>
      <w:r w:rsidRPr="004151E6">
        <w:rPr>
          <w:rFonts w:ascii="Arial" w:hAnsi="Arial" w:cs="Arial"/>
        </w:rPr>
        <w:t>, 11 August. Available at: https://www.forbes.com (Accessed: 15 October 2025).</w:t>
      </w:r>
    </w:p>
    <w:p w14:paraId="2CC13E26" w14:textId="77777777" w:rsidR="004151E6" w:rsidRPr="004151E6" w:rsidRDefault="004151E6" w:rsidP="004151E6">
      <w:pPr>
        <w:rPr>
          <w:rFonts w:ascii="Arial" w:hAnsi="Arial" w:cs="Arial"/>
        </w:rPr>
      </w:pPr>
      <w:r w:rsidRPr="004151E6">
        <w:rPr>
          <w:rFonts w:ascii="Arial" w:hAnsi="Arial" w:cs="Arial"/>
        </w:rPr>
        <w:t xml:space="preserve">Harvard Business Review (2023) ‘Digital Disruption in the Food Delivery Sector’. </w:t>
      </w:r>
      <w:r w:rsidRPr="004151E6">
        <w:rPr>
          <w:rFonts w:ascii="Arial" w:hAnsi="Arial" w:cs="Arial"/>
          <w:i/>
          <w:iCs/>
        </w:rPr>
        <w:t>HBR Digital Articles</w:t>
      </w:r>
      <w:r w:rsidRPr="004151E6">
        <w:rPr>
          <w:rFonts w:ascii="Arial" w:hAnsi="Arial" w:cs="Arial"/>
        </w:rPr>
        <w:t>, 101(3), pp. 22–31.</w:t>
      </w:r>
    </w:p>
    <w:p w14:paraId="0C7A080E" w14:textId="77777777" w:rsidR="004151E6" w:rsidRPr="004151E6" w:rsidRDefault="004151E6" w:rsidP="004151E6">
      <w:pPr>
        <w:rPr>
          <w:rFonts w:ascii="Arial" w:hAnsi="Arial" w:cs="Arial"/>
        </w:rPr>
      </w:pPr>
      <w:r w:rsidRPr="004151E6">
        <w:rPr>
          <w:rFonts w:ascii="Arial" w:hAnsi="Arial" w:cs="Arial"/>
        </w:rPr>
        <w:t xml:space="preserve">Kotler, P., Keller, K. L. and Chernev, A. (2022) </w:t>
      </w:r>
      <w:r w:rsidRPr="004151E6">
        <w:rPr>
          <w:rFonts w:ascii="Arial" w:hAnsi="Arial" w:cs="Arial"/>
          <w:i/>
          <w:iCs/>
        </w:rPr>
        <w:t>Marketing Management</w:t>
      </w:r>
      <w:r w:rsidRPr="004151E6">
        <w:rPr>
          <w:rFonts w:ascii="Arial" w:hAnsi="Arial" w:cs="Arial"/>
        </w:rPr>
        <w:t xml:space="preserve">. 16th </w:t>
      </w:r>
      <w:proofErr w:type="spellStart"/>
      <w:r w:rsidRPr="004151E6">
        <w:rPr>
          <w:rFonts w:ascii="Arial" w:hAnsi="Arial" w:cs="Arial"/>
        </w:rPr>
        <w:t>edn</w:t>
      </w:r>
      <w:proofErr w:type="spellEnd"/>
      <w:r w:rsidRPr="004151E6">
        <w:rPr>
          <w:rFonts w:ascii="Arial" w:hAnsi="Arial" w:cs="Arial"/>
        </w:rPr>
        <w:t>. Harlow: Pearson.</w:t>
      </w:r>
    </w:p>
    <w:p w14:paraId="4093C92B" w14:textId="77777777" w:rsidR="004151E6" w:rsidRPr="004151E6" w:rsidRDefault="004151E6" w:rsidP="004151E6">
      <w:pPr>
        <w:rPr>
          <w:rFonts w:ascii="Arial" w:hAnsi="Arial" w:cs="Arial"/>
        </w:rPr>
      </w:pPr>
      <w:r w:rsidRPr="004151E6">
        <w:rPr>
          <w:rFonts w:ascii="Arial" w:hAnsi="Arial" w:cs="Arial"/>
        </w:rPr>
        <w:t xml:space="preserve">Kotler, P. and Sarkar, C. (2018) ‘Brand Activism: From Purpose to Action’. </w:t>
      </w:r>
      <w:r w:rsidRPr="004151E6">
        <w:rPr>
          <w:rFonts w:ascii="Arial" w:hAnsi="Arial" w:cs="Arial"/>
          <w:i/>
          <w:iCs/>
        </w:rPr>
        <w:t>Journal of Brand Strategy</w:t>
      </w:r>
      <w:r w:rsidRPr="004151E6">
        <w:rPr>
          <w:rFonts w:ascii="Arial" w:hAnsi="Arial" w:cs="Arial"/>
        </w:rPr>
        <w:t>, 7(4), pp. 345–352.</w:t>
      </w:r>
    </w:p>
    <w:p w14:paraId="0099466D" w14:textId="77777777" w:rsidR="004151E6" w:rsidRPr="004151E6" w:rsidRDefault="004151E6" w:rsidP="004151E6">
      <w:pPr>
        <w:rPr>
          <w:rFonts w:ascii="Arial" w:hAnsi="Arial" w:cs="Arial"/>
        </w:rPr>
      </w:pPr>
      <w:r w:rsidRPr="004151E6">
        <w:rPr>
          <w:rFonts w:ascii="Arial" w:hAnsi="Arial" w:cs="Arial"/>
        </w:rPr>
        <w:t xml:space="preserve">Lieberman, M. and Montgomery, D. (1988) ‘First-Mover Advantages’. </w:t>
      </w:r>
      <w:r w:rsidRPr="004151E6">
        <w:rPr>
          <w:rFonts w:ascii="Arial" w:hAnsi="Arial" w:cs="Arial"/>
          <w:i/>
          <w:iCs/>
        </w:rPr>
        <w:t>Strategic Management Journal</w:t>
      </w:r>
      <w:r w:rsidRPr="004151E6">
        <w:rPr>
          <w:rFonts w:ascii="Arial" w:hAnsi="Arial" w:cs="Arial"/>
        </w:rPr>
        <w:t>, 9(S1), pp. 41–58.</w:t>
      </w:r>
    </w:p>
    <w:p w14:paraId="132F61DF" w14:textId="77777777" w:rsidR="004151E6" w:rsidRPr="004151E6" w:rsidRDefault="004151E6" w:rsidP="004151E6">
      <w:pPr>
        <w:rPr>
          <w:rFonts w:ascii="Arial" w:hAnsi="Arial" w:cs="Arial"/>
        </w:rPr>
      </w:pPr>
      <w:r w:rsidRPr="004151E6">
        <w:rPr>
          <w:rFonts w:ascii="Arial" w:hAnsi="Arial" w:cs="Arial"/>
        </w:rPr>
        <w:t xml:space="preserve">McKinsey &amp; Company (2023) </w:t>
      </w:r>
      <w:r w:rsidRPr="004151E6">
        <w:rPr>
          <w:rFonts w:ascii="Arial" w:hAnsi="Arial" w:cs="Arial"/>
          <w:i/>
          <w:iCs/>
        </w:rPr>
        <w:t>The State of Online Food Delivery 2023</w:t>
      </w:r>
      <w:r w:rsidRPr="004151E6">
        <w:rPr>
          <w:rFonts w:ascii="Arial" w:hAnsi="Arial" w:cs="Arial"/>
        </w:rPr>
        <w:t>. New York: McKinsey Global Institute.</w:t>
      </w:r>
    </w:p>
    <w:p w14:paraId="1BCA6A2D" w14:textId="77777777" w:rsidR="004151E6" w:rsidRPr="004151E6" w:rsidRDefault="004151E6" w:rsidP="004151E6">
      <w:pPr>
        <w:rPr>
          <w:rFonts w:ascii="Arial" w:hAnsi="Arial" w:cs="Arial"/>
        </w:rPr>
      </w:pPr>
      <w:r w:rsidRPr="004151E6">
        <w:rPr>
          <w:rFonts w:ascii="Arial" w:hAnsi="Arial" w:cs="Arial"/>
        </w:rPr>
        <w:t xml:space="preserve">Porter, M. E. (1985) </w:t>
      </w:r>
      <w:r w:rsidRPr="004151E6">
        <w:rPr>
          <w:rFonts w:ascii="Arial" w:hAnsi="Arial" w:cs="Arial"/>
          <w:i/>
          <w:iCs/>
        </w:rPr>
        <w:t>Competitive Advantage: Creating and Sustaining Superior Performance</w:t>
      </w:r>
      <w:r w:rsidRPr="004151E6">
        <w:rPr>
          <w:rFonts w:ascii="Arial" w:hAnsi="Arial" w:cs="Arial"/>
        </w:rPr>
        <w:t>. New York: Free Press.</w:t>
      </w:r>
    </w:p>
    <w:p w14:paraId="3F580E3C" w14:textId="77777777" w:rsidR="004151E6" w:rsidRPr="004151E6" w:rsidRDefault="004151E6" w:rsidP="004151E6">
      <w:pPr>
        <w:rPr>
          <w:rFonts w:ascii="Arial" w:hAnsi="Arial" w:cs="Arial"/>
        </w:rPr>
      </w:pPr>
      <w:r w:rsidRPr="004151E6">
        <w:rPr>
          <w:rFonts w:ascii="Arial" w:hAnsi="Arial" w:cs="Arial"/>
        </w:rPr>
        <w:t xml:space="preserve">Porter, M. E. and Kramer, M. R. (2011) ‘Creating Shared Value’. </w:t>
      </w:r>
      <w:r w:rsidRPr="004151E6">
        <w:rPr>
          <w:rFonts w:ascii="Arial" w:hAnsi="Arial" w:cs="Arial"/>
          <w:i/>
          <w:iCs/>
        </w:rPr>
        <w:t>Harvard Business Review</w:t>
      </w:r>
      <w:r w:rsidRPr="004151E6">
        <w:rPr>
          <w:rFonts w:ascii="Arial" w:hAnsi="Arial" w:cs="Arial"/>
        </w:rPr>
        <w:t>, 89(1–2), pp. 62–77.</w:t>
      </w:r>
    </w:p>
    <w:p w14:paraId="3026F9BD" w14:textId="77777777" w:rsidR="004151E6" w:rsidRPr="004151E6" w:rsidRDefault="004151E6" w:rsidP="004151E6">
      <w:pPr>
        <w:rPr>
          <w:rFonts w:ascii="Arial" w:hAnsi="Arial" w:cs="Arial"/>
        </w:rPr>
      </w:pPr>
      <w:r w:rsidRPr="004151E6">
        <w:rPr>
          <w:rFonts w:ascii="Arial" w:hAnsi="Arial" w:cs="Arial"/>
        </w:rPr>
        <w:t xml:space="preserve">Ries, E. (2017) </w:t>
      </w:r>
      <w:r w:rsidRPr="004151E6">
        <w:rPr>
          <w:rFonts w:ascii="Arial" w:hAnsi="Arial" w:cs="Arial"/>
          <w:i/>
          <w:iCs/>
        </w:rPr>
        <w:t>The Startup Way: How Modern Companies Use Entrepreneurial Management to Transform Culture and Drive Long-Term Growth</w:t>
      </w:r>
      <w:r w:rsidRPr="004151E6">
        <w:rPr>
          <w:rFonts w:ascii="Arial" w:hAnsi="Arial" w:cs="Arial"/>
        </w:rPr>
        <w:t>. New York: Currency.</w:t>
      </w:r>
    </w:p>
    <w:p w14:paraId="62479309" w14:textId="77777777" w:rsidR="004151E6" w:rsidRPr="004151E6" w:rsidRDefault="004151E6" w:rsidP="004151E6">
      <w:pPr>
        <w:rPr>
          <w:rFonts w:ascii="Arial" w:hAnsi="Arial" w:cs="Arial"/>
        </w:rPr>
      </w:pPr>
      <w:r w:rsidRPr="004151E6">
        <w:rPr>
          <w:rFonts w:ascii="Arial" w:hAnsi="Arial" w:cs="Arial"/>
        </w:rPr>
        <w:lastRenderedPageBreak/>
        <w:t xml:space="preserve">Teece, D., </w:t>
      </w:r>
      <w:proofErr w:type="spellStart"/>
      <w:r w:rsidRPr="004151E6">
        <w:rPr>
          <w:rFonts w:ascii="Arial" w:hAnsi="Arial" w:cs="Arial"/>
        </w:rPr>
        <w:t>Peteraf</w:t>
      </w:r>
      <w:proofErr w:type="spellEnd"/>
      <w:r w:rsidRPr="004151E6">
        <w:rPr>
          <w:rFonts w:ascii="Arial" w:hAnsi="Arial" w:cs="Arial"/>
        </w:rPr>
        <w:t xml:space="preserve">, M. and Leih, S. (2016) ‘Dynamic capabilities and organizational agility’. </w:t>
      </w:r>
      <w:r w:rsidRPr="004151E6">
        <w:rPr>
          <w:rFonts w:ascii="Arial" w:hAnsi="Arial" w:cs="Arial"/>
          <w:i/>
          <w:iCs/>
        </w:rPr>
        <w:t>California Management Review</w:t>
      </w:r>
      <w:r w:rsidRPr="004151E6">
        <w:rPr>
          <w:rFonts w:ascii="Arial" w:hAnsi="Arial" w:cs="Arial"/>
        </w:rPr>
        <w:t>, 58(4), pp. 13–35.</w:t>
      </w:r>
    </w:p>
    <w:p w14:paraId="6EE0B621" w14:textId="77777777" w:rsidR="004151E6" w:rsidRPr="004151E6" w:rsidRDefault="004151E6" w:rsidP="004151E6">
      <w:pPr>
        <w:rPr>
          <w:rFonts w:ascii="Arial" w:hAnsi="Arial" w:cs="Arial"/>
        </w:rPr>
      </w:pPr>
      <w:r w:rsidRPr="004151E6">
        <w:rPr>
          <w:rFonts w:ascii="Arial" w:hAnsi="Arial" w:cs="Arial"/>
        </w:rPr>
        <w:t xml:space="preserve">The Economist (2024) </w:t>
      </w:r>
      <w:r w:rsidRPr="004151E6">
        <w:rPr>
          <w:rFonts w:ascii="Arial" w:hAnsi="Arial" w:cs="Arial"/>
          <w:i/>
          <w:iCs/>
        </w:rPr>
        <w:t>The Gig Economy and the Future of Delivery Work</w:t>
      </w:r>
      <w:r w:rsidRPr="004151E6">
        <w:rPr>
          <w:rFonts w:ascii="Arial" w:hAnsi="Arial" w:cs="Arial"/>
        </w:rPr>
        <w:t>. London: The Economist Intelligence Unit.</w:t>
      </w:r>
    </w:p>
    <w:p w14:paraId="3DB8057A" w14:textId="77777777" w:rsidR="004151E6" w:rsidRPr="004151E6" w:rsidRDefault="004151E6" w:rsidP="004151E6">
      <w:pPr>
        <w:rPr>
          <w:rFonts w:ascii="Arial" w:hAnsi="Arial" w:cs="Arial"/>
        </w:rPr>
      </w:pPr>
      <w:r w:rsidRPr="004151E6">
        <w:rPr>
          <w:rFonts w:ascii="Arial" w:hAnsi="Arial" w:cs="Arial"/>
        </w:rPr>
        <w:t xml:space="preserve">Uber (2024) </w:t>
      </w:r>
      <w:r w:rsidRPr="004151E6">
        <w:rPr>
          <w:rFonts w:ascii="Arial" w:hAnsi="Arial" w:cs="Arial"/>
          <w:i/>
          <w:iCs/>
        </w:rPr>
        <w:t>Uber Eats Sustainability Initiatives 2024</w:t>
      </w:r>
      <w:r w:rsidRPr="004151E6">
        <w:rPr>
          <w:rFonts w:ascii="Arial" w:hAnsi="Arial" w:cs="Arial"/>
        </w:rPr>
        <w:t>. Available at: https://www.uber.com (Accessed: 15 October 2025).</w:t>
      </w:r>
    </w:p>
    <w:p w14:paraId="368B4D8E" w14:textId="77777777" w:rsidR="003F15E6" w:rsidRPr="004151E6" w:rsidRDefault="003F15E6">
      <w:pPr>
        <w:rPr>
          <w:rFonts w:ascii="Arial" w:hAnsi="Arial" w:cs="Arial"/>
        </w:rPr>
      </w:pPr>
    </w:p>
    <w:sectPr w:rsidR="003F15E6" w:rsidRPr="004151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1E6"/>
    <w:rsid w:val="003F15E6"/>
    <w:rsid w:val="004151E6"/>
    <w:rsid w:val="008E5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34814"/>
  <w15:chartTrackingRefBased/>
  <w15:docId w15:val="{F932833C-9007-4B7E-8B6B-A6C6EAF1C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51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51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51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51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51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51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51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51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51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1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51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51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51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51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51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51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51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51E6"/>
    <w:rPr>
      <w:rFonts w:eastAsiaTheme="majorEastAsia" w:cstheme="majorBidi"/>
      <w:color w:val="272727" w:themeColor="text1" w:themeTint="D8"/>
    </w:rPr>
  </w:style>
  <w:style w:type="paragraph" w:styleId="Title">
    <w:name w:val="Title"/>
    <w:basedOn w:val="Normal"/>
    <w:next w:val="Normal"/>
    <w:link w:val="TitleChar"/>
    <w:uiPriority w:val="10"/>
    <w:qFormat/>
    <w:rsid w:val="004151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51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51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51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51E6"/>
    <w:pPr>
      <w:spacing w:before="160"/>
      <w:jc w:val="center"/>
    </w:pPr>
    <w:rPr>
      <w:i/>
      <w:iCs/>
      <w:color w:val="404040" w:themeColor="text1" w:themeTint="BF"/>
    </w:rPr>
  </w:style>
  <w:style w:type="character" w:customStyle="1" w:styleId="QuoteChar">
    <w:name w:val="Quote Char"/>
    <w:basedOn w:val="DefaultParagraphFont"/>
    <w:link w:val="Quote"/>
    <w:uiPriority w:val="29"/>
    <w:rsid w:val="004151E6"/>
    <w:rPr>
      <w:i/>
      <w:iCs/>
      <w:color w:val="404040" w:themeColor="text1" w:themeTint="BF"/>
    </w:rPr>
  </w:style>
  <w:style w:type="paragraph" w:styleId="ListParagraph">
    <w:name w:val="List Paragraph"/>
    <w:basedOn w:val="Normal"/>
    <w:uiPriority w:val="34"/>
    <w:qFormat/>
    <w:rsid w:val="004151E6"/>
    <w:pPr>
      <w:ind w:left="720"/>
      <w:contextualSpacing/>
    </w:pPr>
  </w:style>
  <w:style w:type="character" w:styleId="IntenseEmphasis">
    <w:name w:val="Intense Emphasis"/>
    <w:basedOn w:val="DefaultParagraphFont"/>
    <w:uiPriority w:val="21"/>
    <w:qFormat/>
    <w:rsid w:val="004151E6"/>
    <w:rPr>
      <w:i/>
      <w:iCs/>
      <w:color w:val="0F4761" w:themeColor="accent1" w:themeShade="BF"/>
    </w:rPr>
  </w:style>
  <w:style w:type="paragraph" w:styleId="IntenseQuote">
    <w:name w:val="Intense Quote"/>
    <w:basedOn w:val="Normal"/>
    <w:next w:val="Normal"/>
    <w:link w:val="IntenseQuoteChar"/>
    <w:uiPriority w:val="30"/>
    <w:qFormat/>
    <w:rsid w:val="004151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51E6"/>
    <w:rPr>
      <w:i/>
      <w:iCs/>
      <w:color w:val="0F4761" w:themeColor="accent1" w:themeShade="BF"/>
    </w:rPr>
  </w:style>
  <w:style w:type="character" w:styleId="IntenseReference">
    <w:name w:val="Intense Reference"/>
    <w:basedOn w:val="DefaultParagraphFont"/>
    <w:uiPriority w:val="32"/>
    <w:qFormat/>
    <w:rsid w:val="004151E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2263</Words>
  <Characters>12900</Characters>
  <Application>Microsoft Office Word</Application>
  <DocSecurity>0</DocSecurity>
  <Lines>107</Lines>
  <Paragraphs>30</Paragraphs>
  <ScaleCrop>false</ScaleCrop>
  <Company/>
  <LinksUpToDate>false</LinksUpToDate>
  <CharactersWithSpaces>15133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Craciun</dc:creator>
  <cp:keywords/>
  <dc:description/>
  <cp:lastModifiedBy>Andreea Craciun</cp:lastModifiedBy>
  <cp:revision>1</cp:revision>
  <dcterms:created xsi:type="dcterms:W3CDTF">2025-10-23T08:02:00Z</dcterms:created>
  <dcterms:modified xsi:type="dcterms:W3CDTF">2025-10-23T08:05:00Z</dcterms:modified>
</cp:coreProperties>
</file>