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Subtitle"/>
        <w:bidi w:val="0"/>
      </w:pPr>
    </w:p>
    <w:p>
      <w:pPr>
        <w:pStyle w:val="Subtitle"/>
        <w:bidi w:val="0"/>
      </w:pPr>
    </w:p>
    <w:p>
      <w:pPr>
        <w:pStyle w:val="Subtitle"/>
        <w:bidi w:val="0"/>
      </w:pPr>
    </w:p>
    <w:p>
      <w:pPr>
        <w:pStyle w:val="Subtitle"/>
        <w:bidi w:val="0"/>
      </w:pPr>
      <w:r>
        <w:rPr>
          <w:rFonts w:cs="Arial Unicode MS" w:eastAsia="Arial Unicode MS"/>
          <w:rtl w:val="0"/>
          <w:lang w:val="en-US"/>
        </w:rPr>
        <w:t>Introduction</w:t>
      </w:r>
    </w:p>
    <w:p>
      <w:pPr>
        <w:pStyle w:val="Body"/>
        <w:bidi w:val="0"/>
      </w:pPr>
    </w:p>
    <w:p>
      <w:pPr>
        <w:pStyle w:val="Body.0"/>
        <w:spacing w:before="20" w:after="20" w:line="360" w:lineRule="auto"/>
        <w:rPr>
          <w:rFonts w:ascii="Arial" w:cs="Arial" w:hAnsi="Arial" w:eastAsia="Arial"/>
          <w:sz w:val="24"/>
          <w:szCs w:val="24"/>
        </w:rPr>
      </w:pPr>
      <w:r>
        <w:rPr>
          <w:rFonts w:ascii="Arial" w:hAnsi="Arial"/>
          <w:sz w:val="24"/>
          <w:szCs w:val="24"/>
          <w:rtl w:val="0"/>
          <w:lang w:val="en-US"/>
        </w:rPr>
        <w:t>To further understand the methods of multi- and inter-disciplinary working involved in the successful design of digital technology that supports a policy or strategy aim, a reflective framework was identified. It was important that the reflective structure was developed for a healthcare setting. I identified 4 key reflective cycles designed for healthcare: Gibbs Reflective cycle (Gibbs 1988), John</w:t>
      </w:r>
      <w:r>
        <w:rPr>
          <w:rFonts w:ascii="Arial" w:hAnsi="Arial" w:hint="default"/>
          <w:sz w:val="24"/>
          <w:szCs w:val="24"/>
          <w:rtl w:val="0"/>
          <w:lang w:val="en-US"/>
        </w:rPr>
        <w:t>’</w:t>
      </w:r>
      <w:r>
        <w:rPr>
          <w:rFonts w:ascii="Arial" w:hAnsi="Arial"/>
          <w:sz w:val="24"/>
          <w:szCs w:val="24"/>
          <w:rtl w:val="0"/>
          <w:lang w:val="en-US"/>
        </w:rPr>
        <w:t xml:space="preserve">s model of structured reflection (Johns 2013), Kolbs learning cycle (Kolb 1984), Rolfe, Freshwater and Jaspers (2001) framework of reflective practice (Reference). The goal is to be able to understand and reflect on the identification of stakeholders involved in the strategy aim, identify service improvements and digital technology requirements for the use of artificial intelligence to assist with triage of referrals into the Cardiff and Vale Physiotherapy outpatients department. The Kolb's learning cycle is designed to reflect of actually experiences to allow you to make sense of it, although this cycle is comprehensive in its ability to understand an experience, it does not necessarily help to understand the internal and external factors that relate to the experience or analyse stakeholders or individuals. This is a similar to the </w:t>
      </w:r>
      <w:r>
        <w:rPr>
          <w:rFonts w:ascii="Arial" w:hAnsi="Arial"/>
          <w:sz w:val="24"/>
          <w:szCs w:val="24"/>
          <w:rtl w:val="0"/>
          <w:lang w:val="en-US"/>
        </w:rPr>
        <w:t>Rolfe, Freshwater and Jaspers framework of reflective practice</w:t>
      </w:r>
      <w:r>
        <w:rPr>
          <w:rFonts w:ascii="Arial" w:hAnsi="Arial"/>
          <w:sz w:val="24"/>
          <w:szCs w:val="24"/>
          <w:rtl w:val="0"/>
          <w:lang w:val="en-US"/>
        </w:rPr>
        <w:t xml:space="preserve"> which uses </w:t>
      </w:r>
      <w:r>
        <w:rPr>
          <w:rFonts w:ascii="Arial" w:hAnsi="Arial" w:hint="default"/>
          <w:sz w:val="24"/>
          <w:szCs w:val="24"/>
          <w:rtl w:val="0"/>
          <w:lang w:val="en-US"/>
        </w:rPr>
        <w:t>“</w:t>
      </w:r>
      <w:r>
        <w:rPr>
          <w:rFonts w:ascii="Arial" w:hAnsi="Arial"/>
          <w:sz w:val="24"/>
          <w:szCs w:val="24"/>
          <w:rtl w:val="0"/>
          <w:lang w:val="en-US"/>
        </w:rPr>
        <w:t>What? So what? And then what?</w:t>
      </w:r>
      <w:r>
        <w:rPr>
          <w:rFonts w:ascii="Arial" w:hAnsi="Arial" w:hint="default"/>
          <w:sz w:val="24"/>
          <w:szCs w:val="24"/>
          <w:rtl w:val="0"/>
          <w:lang w:val="en-US"/>
        </w:rPr>
        <w:t xml:space="preserve">” </w:t>
      </w:r>
      <w:r>
        <w:rPr>
          <w:rFonts w:ascii="Arial" w:hAnsi="Arial"/>
          <w:sz w:val="24"/>
          <w:szCs w:val="24"/>
          <w:rtl w:val="0"/>
          <w:lang w:val="en-US"/>
        </w:rPr>
        <w:t>This allows for the reflector to start broad, and then probes deeper thought processes. This is however an individualised reflection which does not have the complexity to look into multifactorial processes. Gibbs</w:t>
      </w:r>
      <w:r>
        <w:rPr>
          <w:rFonts w:ascii="Arial" w:hAnsi="Arial" w:hint="default"/>
          <w:sz w:val="24"/>
          <w:szCs w:val="24"/>
          <w:rtl w:val="0"/>
          <w:lang w:val="en-US"/>
        </w:rPr>
        <w:t xml:space="preserve">’ </w:t>
      </w:r>
      <w:r>
        <w:rPr>
          <w:rFonts w:ascii="Arial" w:hAnsi="Arial"/>
          <w:sz w:val="24"/>
          <w:szCs w:val="24"/>
          <w:rtl w:val="0"/>
          <w:lang w:val="en-US"/>
        </w:rPr>
        <w:t xml:space="preserve">reflection cycle is more suited to this as it has more or a systematical breakdown of the people involved eg stakeholders, but is still more focused on individual thoughts and feelings and therefore and personal development perspective rather than the success of a design. Which is why I have chosen Johns model of structure reflection (2013). This allows for the deepened understanding of the internal and external factors. It requires that you fully understand what the aims where, what influenced your decision making to achieve those aims, who was involved and what the consequences where for all stakeholders. </w:t>
      </w:r>
    </w:p>
    <w:p>
      <w:pPr>
        <w:pStyle w:val="Subtitle"/>
        <w:bidi w:val="0"/>
      </w:pPr>
    </w:p>
    <w:p>
      <w:pPr>
        <w:pStyle w:val="Subtitle"/>
        <w:bidi w:val="0"/>
      </w:pPr>
      <w:r>
        <w:rPr>
          <w:rFonts w:cs="Arial Unicode MS" w:eastAsia="Arial Unicode MS"/>
          <w:rtl w:val="0"/>
          <w:lang w:val="en-US"/>
        </w:rPr>
        <w:t>Describe the experience</w:t>
      </w:r>
    </w:p>
    <w:p>
      <w:pPr>
        <w:pStyle w:val="Body.0"/>
        <w:spacing w:before="20" w:after="20" w:line="360" w:lineRule="auto"/>
        <w:rPr>
          <w:rFonts w:ascii="Arial" w:cs="Arial" w:hAnsi="Arial" w:eastAsia="Arial"/>
          <w:sz w:val="24"/>
          <w:szCs w:val="24"/>
        </w:rPr>
      </w:pPr>
    </w:p>
    <w:p>
      <w:pPr>
        <w:pStyle w:val="Body.0"/>
        <w:spacing w:before="20" w:after="20" w:line="360" w:lineRule="auto"/>
        <w:rPr>
          <w:rFonts w:ascii="Arial" w:cs="Arial" w:hAnsi="Arial" w:eastAsia="Arial"/>
          <w:sz w:val="24"/>
          <w:szCs w:val="24"/>
        </w:rPr>
      </w:pPr>
      <w:r>
        <w:rPr>
          <w:rFonts w:ascii="Arial" w:hAnsi="Arial"/>
          <w:sz w:val="24"/>
          <w:szCs w:val="24"/>
          <w:rtl w:val="0"/>
          <w:lang w:val="en-US"/>
        </w:rPr>
        <w:t>It is with the structure of Johns model that I will format this essay and reflect on the service improvement structure created.</w:t>
      </w:r>
    </w:p>
    <w:p>
      <w:pPr>
        <w:pStyle w:val="Body.0"/>
        <w:spacing w:before="20" w:after="20" w:line="360" w:lineRule="auto"/>
        <w:rPr>
          <w:rFonts w:ascii="Arial" w:cs="Arial" w:hAnsi="Arial" w:eastAsia="Arial"/>
          <w:sz w:val="24"/>
          <w:szCs w:val="24"/>
        </w:rPr>
      </w:pPr>
      <w:r>
        <w:rPr>
          <w:rFonts w:ascii="Arial" w:hAnsi="Arial"/>
          <w:sz w:val="24"/>
          <w:szCs w:val="24"/>
          <w:rtl w:val="0"/>
          <w:lang w:val="en-US"/>
        </w:rPr>
        <w:t>Describe the experience:</w:t>
      </w:r>
    </w:p>
    <w:p>
      <w:pPr>
        <w:pStyle w:val="Body.0"/>
        <w:spacing w:before="20" w:after="20" w:line="360" w:lineRule="auto"/>
        <w:rPr>
          <w:rFonts w:ascii="Arial" w:cs="Arial" w:hAnsi="Arial" w:eastAsia="Arial"/>
          <w:sz w:val="24"/>
          <w:szCs w:val="24"/>
        </w:rPr>
      </w:pPr>
      <w:r>
        <w:rPr>
          <w:rFonts w:ascii="Arial" w:hAnsi="Arial"/>
          <w:sz w:val="24"/>
          <w:szCs w:val="24"/>
          <w:rtl w:val="0"/>
          <w:lang w:val="en-US"/>
        </w:rPr>
        <w:t>The service improvement as outlined by Cardiff and Vale</w:t>
      </w:r>
      <w:r>
        <w:rPr>
          <w:rFonts w:ascii="Arial" w:hAnsi="Arial" w:hint="default"/>
          <w:sz w:val="24"/>
          <w:szCs w:val="24"/>
          <w:rtl w:val="0"/>
          <w:lang w:val="en-US"/>
        </w:rPr>
        <w:t>’</w:t>
      </w:r>
      <w:r>
        <w:rPr>
          <w:rFonts w:ascii="Arial" w:hAnsi="Arial"/>
          <w:sz w:val="24"/>
          <w:szCs w:val="24"/>
          <w:rtl w:val="0"/>
          <w:lang w:val="en-US"/>
        </w:rPr>
        <w:t xml:space="preserve">s 2015-2025 year plan titled </w:t>
      </w:r>
      <w:r>
        <w:rPr>
          <w:rFonts w:ascii="Arial" w:hAnsi="Arial" w:hint="default"/>
          <w:sz w:val="24"/>
          <w:szCs w:val="24"/>
          <w:rtl w:val="0"/>
          <w:lang w:val="en-US"/>
        </w:rPr>
        <w:t>“</w:t>
      </w:r>
      <w:r>
        <w:rPr>
          <w:rFonts w:ascii="Arial" w:hAnsi="Arial"/>
          <w:sz w:val="24"/>
          <w:szCs w:val="24"/>
          <w:rtl w:val="0"/>
          <w:lang w:val="en-US"/>
        </w:rPr>
        <w:t>Shaping Our Future Wellbeing Strategy</w:t>
      </w:r>
      <w:r>
        <w:rPr>
          <w:rFonts w:ascii="Arial" w:hAnsi="Arial" w:hint="default"/>
          <w:sz w:val="24"/>
          <w:szCs w:val="24"/>
          <w:rtl w:val="0"/>
          <w:lang w:val="en-US"/>
        </w:rPr>
        <w:t xml:space="preserve">” </w:t>
      </w:r>
      <w:r>
        <w:rPr>
          <w:rFonts w:ascii="Arial" w:hAnsi="Arial"/>
          <w:sz w:val="24"/>
          <w:szCs w:val="24"/>
          <w:rtl w:val="0"/>
          <w:lang w:val="en-US"/>
        </w:rPr>
        <w:t>(CAVUHB 2015) here the Health board aims to tackle the ever growing demands of the pressures put upon resources. Here they have outline several key objectives, two of which will be focussed on:</w:t>
      </w:r>
    </w:p>
    <w:p>
      <w:pPr>
        <w:pStyle w:val="Body"/>
        <w:numPr>
          <w:ilvl w:val="0"/>
          <w:numId w:val="2"/>
        </w:numPr>
        <w:spacing w:before="20" w:after="20" w:line="360" w:lineRule="auto"/>
        <w:rPr>
          <w:rFonts w:ascii="Arial" w:hAnsi="Arial" w:hint="default"/>
          <w:lang w:val="en-US"/>
        </w:rPr>
      </w:pPr>
      <w:r>
        <w:rPr>
          <w:rFonts w:ascii="Arial" w:hAnsi="Arial" w:hint="default"/>
          <w:rtl w:val="0"/>
          <w:lang w:val="en-US"/>
        </w:rPr>
        <w:t>“</w:t>
      </w:r>
      <w:r>
        <w:rPr>
          <w:rFonts w:ascii="Arial" w:hAnsi="Arial"/>
          <w:rtl w:val="0"/>
          <w:lang w:val="en-US"/>
        </w:rPr>
        <w:t>Creating Sustainable and Managing Our Resources.</w:t>
      </w:r>
      <w:r>
        <w:rPr>
          <w:rFonts w:ascii="Arial" w:hAnsi="Arial" w:hint="default"/>
          <w:rtl w:val="0"/>
          <w:lang w:val="en-US"/>
        </w:rPr>
        <w:t xml:space="preserve">” </w:t>
      </w:r>
      <w:r>
        <w:rPr>
          <w:rFonts w:ascii="Arial" w:hAnsi="Arial"/>
          <w:rtl w:val="0"/>
          <w:lang w:val="en-US"/>
        </w:rPr>
        <w:t>This is directly appropriate to the Physiotherapy service as waiting lists grow increasing the waiting time for both urgent and non urgent appointments. It also means that patients are more likely to be discharged with advice on self managing due to increased clinician demand, this lack of support to the individual can cause them to not complete their rehabilitation, or resolving their issue and therefore result in them re-entering the service often on multiple occasions</w:t>
      </w:r>
    </w:p>
    <w:p>
      <w:pPr>
        <w:pStyle w:val="Body"/>
        <w:numPr>
          <w:ilvl w:val="0"/>
          <w:numId w:val="2"/>
        </w:numPr>
        <w:spacing w:before="20" w:after="20" w:line="360" w:lineRule="auto"/>
        <w:rPr>
          <w:rFonts w:ascii="Arial" w:hAnsi="Arial" w:hint="default"/>
          <w:lang w:val="en-US"/>
        </w:rPr>
      </w:pPr>
      <w:r>
        <w:rPr>
          <w:rFonts w:ascii="Arial" w:hAnsi="Arial" w:hint="default"/>
          <w:rtl w:val="0"/>
          <w:lang w:val="en-US"/>
        </w:rPr>
        <w:t>“</w:t>
      </w:r>
      <w:r>
        <w:rPr>
          <w:rFonts w:ascii="Arial" w:hAnsi="Arial"/>
          <w:rtl w:val="0"/>
          <w:lang w:val="en-US"/>
        </w:rPr>
        <w:t>Keeping Pace with Technology and Changes in Clinical Practice.</w:t>
      </w:r>
      <w:r>
        <w:rPr>
          <w:rFonts w:ascii="Arial" w:hAnsi="Arial" w:hint="default"/>
          <w:rtl w:val="0"/>
          <w:lang w:val="en-US"/>
        </w:rPr>
        <w:t xml:space="preserve">” </w:t>
      </w:r>
      <w:r>
        <w:rPr>
          <w:rFonts w:ascii="Arial" w:hAnsi="Arial"/>
          <w:rtl w:val="0"/>
          <w:lang w:val="en-US"/>
        </w:rPr>
        <w:t>By using technologies that already exist, and applying them into our own services, it allows for digitalisation and automation of time consuming tasks which are currently being carried out by staff.</w:t>
      </w:r>
      <w:r>
        <w:rPr>
          <w:rFonts w:ascii="Arial" w:hAnsi="Arial"/>
          <w:rtl w:val="0"/>
        </w:rPr>
        <w:t xml:space="preserve"> (CAVUHB 2015)</w:t>
      </w:r>
      <w:r>
        <w:rPr>
          <w:rFonts w:ascii="Arial" w:hAnsi="Arial"/>
          <w:rtl w:val="0"/>
          <w:lang w:val="en-US"/>
        </w:rPr>
        <w:t>.</w:t>
      </w:r>
    </w:p>
    <w:p>
      <w:pPr>
        <w:pStyle w:val="Body"/>
        <w:spacing w:before="20" w:after="20" w:line="360" w:lineRule="auto"/>
        <w:rPr>
          <w:rFonts w:ascii="Arial" w:cs="Arial" w:hAnsi="Arial" w:eastAsia="Arial"/>
        </w:rPr>
      </w:pPr>
    </w:p>
    <w:p>
      <w:pPr>
        <w:pStyle w:val="Body.0"/>
        <w:spacing w:before="20" w:after="20" w:line="360" w:lineRule="auto"/>
        <w:rPr>
          <w:rFonts w:ascii="Arial" w:cs="Arial" w:hAnsi="Arial" w:eastAsia="Arial"/>
          <w:sz w:val="24"/>
          <w:szCs w:val="24"/>
        </w:rPr>
      </w:pPr>
    </w:p>
    <w:p>
      <w:pPr>
        <w:pStyle w:val="Body.0"/>
        <w:spacing w:before="20" w:after="20" w:line="360" w:lineRule="auto"/>
        <w:rPr>
          <w:rFonts w:ascii="Arial" w:cs="Arial" w:hAnsi="Arial" w:eastAsia="Arial"/>
          <w:sz w:val="24"/>
          <w:szCs w:val="24"/>
        </w:rPr>
      </w:pPr>
      <w:r>
        <w:rPr>
          <w:rFonts w:ascii="Arial" w:hAnsi="Arial"/>
          <w:sz w:val="24"/>
          <w:szCs w:val="24"/>
          <w:rtl w:val="0"/>
          <w:lang w:val="en-US"/>
        </w:rPr>
        <w:t>The core of this service improvement was the stakeholders. It is therefor key to identify them and understand how they will benefit from service improvements. Arguably the most important stakeholder is the service user, this is the physiotherapy patients that is being referred. They are currently experiencing a 14 week waiting list. Often there is variation between their pathways due to individual clinician bias and a lack of clarity in clinical pathways. This means that the waiting lists are not as streamlined as they should be, and patients are not always being seen by the right person at the right time. It is in their interest to smooth out the patient journey and avoid any unnecessary intervention or time wasting.</w:t>
      </w:r>
    </w:p>
    <w:p>
      <w:pPr>
        <w:pStyle w:val="Body.0"/>
        <w:spacing w:before="20" w:after="20" w:line="360" w:lineRule="auto"/>
        <w:rPr>
          <w:rFonts w:ascii="Arial" w:cs="Arial" w:hAnsi="Arial" w:eastAsia="Arial"/>
          <w:sz w:val="24"/>
          <w:szCs w:val="24"/>
        </w:rPr>
      </w:pPr>
      <w:r>
        <w:rPr>
          <w:rFonts w:ascii="Arial" w:hAnsi="Arial"/>
          <w:sz w:val="24"/>
          <w:szCs w:val="24"/>
          <w:rtl w:val="0"/>
          <w:lang w:val="en-US"/>
        </w:rPr>
        <w:t>The second stakeholder is the clinician. Their time spent triaging could be better used in other aspects of service improvement or seeing patients and reducing waiting lists.</w:t>
      </w:r>
    </w:p>
    <w:p>
      <w:pPr>
        <w:pStyle w:val="Body.0"/>
        <w:spacing w:before="20" w:after="20" w:line="360" w:lineRule="auto"/>
        <w:rPr>
          <w:rFonts w:ascii="Arial" w:cs="Arial" w:hAnsi="Arial" w:eastAsia="Arial"/>
          <w:sz w:val="24"/>
          <w:szCs w:val="24"/>
        </w:rPr>
      </w:pPr>
      <w:r>
        <w:rPr>
          <w:rFonts w:ascii="Arial" w:hAnsi="Arial"/>
          <w:sz w:val="24"/>
          <w:szCs w:val="24"/>
          <w:rtl w:val="0"/>
          <w:lang w:val="en-US"/>
        </w:rPr>
        <w:t>Thirdly other healthcare professionals will benefit, including GP services where the musculoskeletal patients caseload can be removed from their waiting lists, and patients can be directed to the correct service once they have been correctly triaged. The hope is that this reduces chronicity of conditions.</w:t>
      </w:r>
    </w:p>
    <w:p>
      <w:pPr>
        <w:pStyle w:val="Body.0"/>
        <w:spacing w:before="20" w:after="20" w:line="360" w:lineRule="auto"/>
        <w:rPr>
          <w:rFonts w:ascii="Arial" w:cs="Arial" w:hAnsi="Arial" w:eastAsia="Arial"/>
          <w:sz w:val="24"/>
          <w:szCs w:val="24"/>
        </w:rPr>
      </w:pPr>
      <w:r>
        <w:rPr>
          <w:rFonts w:ascii="Arial" w:hAnsi="Arial"/>
          <w:sz w:val="24"/>
          <w:szCs w:val="24"/>
          <w:rtl w:val="0"/>
          <w:lang w:val="en-US"/>
        </w:rPr>
        <w:t>The physiotherapy outpatient department is another key stake holder, in the long term the digitalisation of this service will be more cost effective in both a literal sense as less money is spent on paying high level clinicians to do the triaging, but also reducing duplication and streamlining the service.</w:t>
      </w:r>
    </w:p>
    <w:p>
      <w:pPr>
        <w:pStyle w:val="Body.0"/>
        <w:spacing w:before="20" w:after="20" w:line="360" w:lineRule="auto"/>
        <w:rPr>
          <w:rFonts w:ascii="Arial" w:cs="Arial" w:hAnsi="Arial" w:eastAsia="Arial"/>
          <w:sz w:val="24"/>
          <w:szCs w:val="24"/>
        </w:rPr>
      </w:pPr>
    </w:p>
    <w:p>
      <w:pPr>
        <w:pStyle w:val="Body.0"/>
        <w:spacing w:before="20" w:after="20" w:line="360" w:lineRule="auto"/>
        <w:rPr>
          <w:rFonts w:ascii="Arial" w:cs="Arial" w:hAnsi="Arial" w:eastAsia="Arial"/>
          <w:sz w:val="24"/>
          <w:szCs w:val="24"/>
        </w:rPr>
      </w:pPr>
    </w:p>
    <w:p>
      <w:pPr>
        <w:pStyle w:val="Subtitle"/>
        <w:bidi w:val="0"/>
      </w:pPr>
      <w:r>
        <w:rPr>
          <w:rFonts w:cs="Arial Unicode MS" w:eastAsia="Arial Unicode MS"/>
          <w:rtl w:val="0"/>
          <w:lang w:val="en-US"/>
        </w:rPr>
        <w:t>Reflection</w:t>
      </w:r>
    </w:p>
    <w:p>
      <w:pPr>
        <w:pStyle w:val="Body"/>
        <w:bidi w:val="0"/>
      </w:pPr>
    </w:p>
    <w:p>
      <w:pPr>
        <w:pStyle w:val="Body.0"/>
        <w:spacing w:before="20" w:after="20" w:line="360" w:lineRule="auto"/>
        <w:rPr>
          <w:rFonts w:ascii="Arial" w:cs="Arial" w:hAnsi="Arial" w:eastAsia="Arial"/>
          <w:sz w:val="24"/>
          <w:szCs w:val="24"/>
        </w:rPr>
      </w:pPr>
      <w:r>
        <w:rPr>
          <w:rFonts w:ascii="Arial" w:hAnsi="Arial"/>
          <w:sz w:val="24"/>
          <w:szCs w:val="24"/>
          <w:rtl w:val="0"/>
          <w:lang w:val="en-US"/>
        </w:rPr>
        <w:t xml:space="preserve">On reflection, there are areas of this project which could hinder the success. Firstly having previously identified the stakeholders, it is vital that they are engaged in the change of process to allow for its success. (Mcinskey 2018) identified that less than one-third of organisational digital  transformation projects succeeded. When researching deeper into the causations of this 5 main characteristics where identified </w:t>
      </w:r>
      <w:r>
        <w:rPr>
          <w:rFonts w:ascii="Arial" w:hAnsi="Arial"/>
          <w:sz w:val="24"/>
          <w:szCs w:val="24"/>
          <w:rtl w:val="0"/>
          <w:lang w:val="en-US"/>
        </w:rPr>
        <w:t>leadership, capability building, empowering workers, upgrading tools, and communication</w:t>
      </w:r>
      <w:r>
        <w:rPr>
          <w:rFonts w:ascii="Arial" w:hAnsi="Arial"/>
          <w:sz w:val="24"/>
          <w:szCs w:val="24"/>
          <w:rtl w:val="0"/>
          <w:lang w:val="en-US"/>
        </w:rPr>
        <w:t xml:space="preserve">. Firstly when engaging staff within the team on both a managerial level and a patient facing level, it is key to address the </w:t>
      </w:r>
      <w:r>
        <w:rPr>
          <w:rFonts w:ascii="Arial" w:hAnsi="Arial" w:hint="default"/>
          <w:sz w:val="24"/>
          <w:szCs w:val="24"/>
          <w:rtl w:val="0"/>
          <w:lang w:val="en-US"/>
        </w:rPr>
        <w:t>“</w:t>
      </w:r>
      <w:r>
        <w:rPr>
          <w:rFonts w:ascii="Arial" w:hAnsi="Arial"/>
          <w:sz w:val="24"/>
          <w:szCs w:val="24"/>
          <w:rtl w:val="0"/>
          <w:lang w:val="en-US"/>
        </w:rPr>
        <w:t>Iceburg of ignorance</w:t>
      </w:r>
      <w:r>
        <w:rPr>
          <w:rFonts w:ascii="Arial" w:hAnsi="Arial" w:hint="default"/>
          <w:sz w:val="24"/>
          <w:szCs w:val="24"/>
          <w:rtl w:val="0"/>
          <w:lang w:val="en-US"/>
        </w:rPr>
        <w:t xml:space="preserve">” </w:t>
      </w:r>
      <w:r>
        <w:rPr>
          <w:rFonts w:ascii="Arial" w:hAnsi="Arial"/>
          <w:sz w:val="24"/>
          <w:szCs w:val="24"/>
          <w:rtl w:val="0"/>
          <w:lang w:val="en-US"/>
        </w:rPr>
        <w:t xml:space="preserve">(McLean et al 2019). This is an understanding of how aware different team members are aware of issues within the department. With top level management being aware of around 4% of problems and 100% of problems being known to front facing employees. Whether these percentages are perceived or accurate, it is key that to engage both service users and patient facing staff that this numerical range is reduced and that top level management are closer to the patient facing staff in understanding day to day problems with the runnings of the service. If the patient facing staff are engaged then changes will always be patient-centric and this is where change initiatives will happen. This works parallel with avoiding a </w:t>
      </w:r>
      <w:r>
        <w:rPr>
          <w:rFonts w:ascii="Arial" w:hAnsi="Arial" w:hint="default"/>
          <w:sz w:val="24"/>
          <w:szCs w:val="24"/>
          <w:rtl w:val="0"/>
          <w:lang w:val="en-US"/>
        </w:rPr>
        <w:t>“</w:t>
      </w:r>
      <w:r>
        <w:rPr>
          <w:rFonts w:ascii="Arial" w:hAnsi="Arial"/>
          <w:sz w:val="24"/>
          <w:szCs w:val="24"/>
          <w:rtl w:val="0"/>
          <w:lang w:val="en-US"/>
        </w:rPr>
        <w:t>top down</w:t>
      </w:r>
      <w:r>
        <w:rPr>
          <w:rFonts w:ascii="Arial" w:hAnsi="Arial" w:hint="default"/>
          <w:sz w:val="24"/>
          <w:szCs w:val="24"/>
          <w:rtl w:val="0"/>
          <w:lang w:val="en-US"/>
        </w:rPr>
        <w:t xml:space="preserve">” </w:t>
      </w:r>
      <w:r>
        <w:rPr>
          <w:rFonts w:ascii="Arial" w:hAnsi="Arial"/>
          <w:sz w:val="24"/>
          <w:szCs w:val="24"/>
          <w:rtl w:val="0"/>
          <w:lang w:val="en-US"/>
        </w:rPr>
        <w:t xml:space="preserve">approach. </w:t>
      </w:r>
    </w:p>
    <w:p>
      <w:pPr>
        <w:pStyle w:val="Body.0"/>
        <w:spacing w:before="20" w:after="20" w:line="360" w:lineRule="auto"/>
        <w:rPr>
          <w:rFonts w:ascii="Arial" w:cs="Arial" w:hAnsi="Arial" w:eastAsia="Arial"/>
          <w:sz w:val="24"/>
          <w:szCs w:val="24"/>
        </w:rPr>
      </w:pPr>
    </w:p>
    <w:p>
      <w:pPr>
        <w:pStyle w:val="Subtitle"/>
        <w:bidi w:val="0"/>
      </w:pPr>
      <w:r>
        <w:rPr>
          <w:rFonts w:cs="Arial Unicode MS" w:eastAsia="Arial Unicode MS" w:hint="default"/>
          <w:rtl w:val="0"/>
        </w:rPr>
        <w:t> </w:t>
      </w:r>
    </w:p>
    <w:p>
      <w:pPr>
        <w:pStyle w:val="Subtitle"/>
        <w:bidi w:val="0"/>
      </w:pPr>
      <w:r>
        <w:rPr>
          <w:rFonts w:cs="Arial Unicode MS" w:eastAsia="Arial Unicode MS"/>
          <w:rtl w:val="0"/>
          <w:lang w:val="en-US"/>
        </w:rPr>
        <w:t>Influencing factors</w:t>
      </w:r>
    </w:p>
    <w:p>
      <w:pPr>
        <w:pStyle w:val="Body"/>
        <w:bidi w:val="0"/>
      </w:pPr>
    </w:p>
    <w:p>
      <w:pPr>
        <w:pStyle w:val="Body.0"/>
        <w:spacing w:before="20" w:after="20" w:line="360" w:lineRule="auto"/>
        <w:rPr>
          <w:rFonts w:ascii="Arial" w:cs="Arial" w:hAnsi="Arial" w:eastAsia="Arial"/>
          <w:sz w:val="24"/>
          <w:szCs w:val="24"/>
        </w:rPr>
      </w:pPr>
      <w:r>
        <w:rPr>
          <w:rFonts w:ascii="Arial" w:hAnsi="Arial"/>
          <w:sz w:val="24"/>
          <w:szCs w:val="24"/>
          <w:rtl w:val="0"/>
          <w:lang w:val="en-US"/>
        </w:rPr>
        <w:t>As planned as part of the digital strategy last year the Physiotherapy department transitioned from paper to digital notes. This in my opinion was a much needed change which had taken far too long to be implemented. Of course like any changes that are made within the NHS it was a slow and arduous process, with conversations between management, Information governance and digital leads kept very much in the management offices. So although this transformation had taken months (almost a year) to implement, due to the lack of communication and preparation between management and patient facing staff, the implementation felt very sudden and rushed. As an IT literate millennial, I did not struggle with the transition, however this was not the same for many of my senior peers. This transition coincided with many of these staff going off sick with stress. There were multiple factors for this I feel. 1. General burn out and multiple change that had occurred with COVID, 2. Struggles with time keeping and managing the workload as digital note writing for many took a lot longer 3. A lack of communication from management and therefore a general feeling of being undervalued by the patient facing team as a wave of unexpected change hit them throughout the year of the pandemic, and due to poor change implementation individuals struggling to adapt.</w:t>
      </w:r>
    </w:p>
    <w:p>
      <w:pPr>
        <w:pStyle w:val="Body.0"/>
        <w:spacing w:before="20" w:after="20" w:line="360" w:lineRule="auto"/>
        <w:rPr>
          <w:rFonts w:ascii="Arial" w:cs="Arial" w:hAnsi="Arial" w:eastAsia="Arial"/>
          <w:sz w:val="24"/>
          <w:szCs w:val="24"/>
        </w:rPr>
      </w:pPr>
    </w:p>
    <w:p>
      <w:pPr>
        <w:pStyle w:val="Subtitle"/>
        <w:bidi w:val="0"/>
      </w:pPr>
      <w:r>
        <w:rPr>
          <w:rFonts w:cs="Arial Unicode MS" w:eastAsia="Arial Unicode MS"/>
          <w:rtl w:val="0"/>
          <w:lang w:val="en-US"/>
        </w:rPr>
        <w:t>Could I have dealt with it better?</w:t>
      </w:r>
    </w:p>
    <w:p>
      <w:pPr>
        <w:pStyle w:val="Body"/>
        <w:bidi w:val="0"/>
      </w:pPr>
    </w:p>
    <w:p>
      <w:pPr>
        <w:pStyle w:val="Body.0"/>
        <w:spacing w:before="20" w:after="20" w:line="360" w:lineRule="auto"/>
        <w:rPr>
          <w:rFonts w:ascii="Arial" w:cs="Arial" w:hAnsi="Arial" w:eastAsia="Arial"/>
          <w:sz w:val="24"/>
          <w:szCs w:val="24"/>
        </w:rPr>
      </w:pPr>
      <w:r>
        <w:rPr>
          <w:rFonts w:ascii="Arial" w:hAnsi="Arial"/>
          <w:sz w:val="24"/>
          <w:szCs w:val="24"/>
          <w:rtl w:val="0"/>
          <w:lang w:val="en-US"/>
        </w:rPr>
        <w:t xml:space="preserve">Within the Physiotherapy department the general culture was fairly negative. The idea of change was challenging and lack of communication between management and patient facing staff meant that staff room chat was definitely focussed around groupthink as opposed to consensus. The implementation of new systems was often hit by a wave of negativity and protest as many of the strong personalities, mostly individuals who had been working in the department for many years. This combined with a poor change process meant that those with the loudest voice set the culture of </w:t>
      </w:r>
      <w:r>
        <w:rPr>
          <w:rFonts w:ascii="Arial" w:hAnsi="Arial" w:hint="default"/>
          <w:sz w:val="24"/>
          <w:szCs w:val="24"/>
          <w:rtl w:val="0"/>
          <w:lang w:val="en-US"/>
        </w:rPr>
        <w:t>“</w:t>
      </w:r>
      <w:r>
        <w:rPr>
          <w:rFonts w:ascii="Arial" w:hAnsi="Arial"/>
          <w:sz w:val="24"/>
          <w:szCs w:val="24"/>
          <w:rtl w:val="0"/>
          <w:lang w:val="en-US"/>
        </w:rPr>
        <w:t>us vs them</w:t>
      </w:r>
      <w:r>
        <w:rPr>
          <w:rFonts w:ascii="Arial" w:hAnsi="Arial" w:hint="default"/>
          <w:sz w:val="24"/>
          <w:szCs w:val="24"/>
          <w:rtl w:val="0"/>
          <w:lang w:val="en-US"/>
        </w:rPr>
        <w:t xml:space="preserve">” </w:t>
      </w:r>
      <w:r>
        <w:rPr>
          <w:rFonts w:ascii="Arial" w:hAnsi="Arial"/>
          <w:sz w:val="24"/>
          <w:szCs w:val="24"/>
          <w:rtl w:val="0"/>
          <w:lang w:val="en-US"/>
        </w:rPr>
        <w:t xml:space="preserve">with us being the front facing staff and them being the managers. </w:t>
      </w:r>
    </w:p>
    <w:p>
      <w:pPr>
        <w:pStyle w:val="Body.0"/>
        <w:spacing w:before="20" w:after="20" w:line="360" w:lineRule="auto"/>
        <w:rPr>
          <w:rFonts w:ascii="Arial" w:cs="Arial" w:hAnsi="Arial" w:eastAsia="Arial"/>
          <w:sz w:val="24"/>
          <w:szCs w:val="24"/>
        </w:rPr>
      </w:pPr>
    </w:p>
    <w:p>
      <w:pPr>
        <w:pStyle w:val="Subtitle"/>
        <w:bidi w:val="0"/>
      </w:pPr>
      <w:r>
        <w:rPr>
          <w:rFonts w:cs="Arial Unicode MS" w:eastAsia="Arial Unicode MS"/>
          <w:rtl w:val="0"/>
          <w:lang w:val="en-US"/>
        </w:rPr>
        <w:t>Learning</w:t>
      </w:r>
    </w:p>
    <w:p>
      <w:pPr>
        <w:pStyle w:val="Body"/>
        <w:bidi w:val="0"/>
      </w:pPr>
    </w:p>
    <w:p>
      <w:pPr>
        <w:pStyle w:val="Body.0"/>
        <w:spacing w:before="20" w:after="20" w:line="360" w:lineRule="auto"/>
        <w:rPr>
          <w:rFonts w:ascii="Arial" w:cs="Arial" w:hAnsi="Arial" w:eastAsia="Arial"/>
          <w:sz w:val="24"/>
          <w:szCs w:val="24"/>
        </w:rPr>
      </w:pPr>
      <w:r>
        <w:rPr>
          <w:rFonts w:ascii="Arial" w:hAnsi="Arial"/>
          <w:sz w:val="24"/>
          <w:szCs w:val="24"/>
          <w:rtl w:val="0"/>
          <w:lang w:val="en-US"/>
        </w:rPr>
        <w:t>I feel that in order to reduce down this spiralling negative culture varying responsibility should be delegated to front facing staff. Having champions on the ground whose role is to convey from management to the patient facing team which will firstly improve communications from the management team to the patient facing staff, provide individuals with more variety and responsibility as part of their role, and encourage discussions and relations to build between management and staff. It would be key that this was identified as part of an existing role as I could foresee individuals wanting increased pay as part of the growing responsibility and so enough non-clinical time, as well as access to managerial meetings should be adequate. It would also be important that roles were chosen adequately so that they matched the interests and personalities of the people partaking. I feel that by pairing up staff for these roles could neutralise those who are more dominant and hopefully provide opportunity for the less dominant.</w:t>
      </w:r>
    </w:p>
    <w:p>
      <w:pPr>
        <w:pStyle w:val="Body.0"/>
        <w:spacing w:before="20" w:after="20" w:line="360" w:lineRule="auto"/>
        <w:rPr>
          <w:rFonts w:ascii="Arial" w:cs="Arial" w:hAnsi="Arial" w:eastAsia="Arial"/>
          <w:sz w:val="24"/>
          <w:szCs w:val="24"/>
        </w:rPr>
      </w:pPr>
    </w:p>
    <w:p>
      <w:pPr>
        <w:pStyle w:val="Body.0"/>
        <w:spacing w:before="20" w:after="20" w:line="360" w:lineRule="auto"/>
        <w:rPr>
          <w:rFonts w:ascii="Arial" w:cs="Arial" w:hAnsi="Arial" w:eastAsia="Arial"/>
          <w:sz w:val="24"/>
          <w:szCs w:val="24"/>
        </w:rPr>
      </w:pPr>
    </w:p>
    <w:p>
      <w:pPr>
        <w:pStyle w:val="Body.0"/>
        <w:spacing w:before="20" w:after="20" w:line="360" w:lineRule="auto"/>
        <w:rPr>
          <w:rFonts w:ascii="Arial" w:cs="Arial" w:hAnsi="Arial" w:eastAsia="Arial"/>
          <w:sz w:val="24"/>
          <w:szCs w:val="24"/>
        </w:rPr>
      </w:pPr>
    </w:p>
    <w:p>
      <w:pPr>
        <w:pStyle w:val="Body.0"/>
        <w:spacing w:before="20" w:after="20" w:line="360" w:lineRule="auto"/>
        <w:rPr>
          <w:rFonts w:ascii="Arial" w:cs="Arial" w:hAnsi="Arial" w:eastAsia="Arial"/>
          <w:sz w:val="24"/>
          <w:szCs w:val="24"/>
        </w:rPr>
      </w:pPr>
    </w:p>
    <w:p>
      <w:pPr>
        <w:pStyle w:val="Body.0"/>
        <w:spacing w:before="20" w:after="20" w:line="360" w:lineRule="auto"/>
        <w:rPr>
          <w:rFonts w:ascii="Arial" w:cs="Arial" w:hAnsi="Arial" w:eastAsia="Arial"/>
          <w:sz w:val="24"/>
          <w:szCs w:val="24"/>
        </w:rPr>
      </w:pPr>
    </w:p>
    <w:p>
      <w:pPr>
        <w:pStyle w:val="Body.0"/>
        <w:spacing w:before="20" w:after="20" w:line="360" w:lineRule="auto"/>
        <w:rPr>
          <w:rFonts w:ascii="Arial" w:cs="Arial" w:hAnsi="Arial" w:eastAsia="Arial"/>
          <w:sz w:val="24"/>
          <w:szCs w:val="24"/>
        </w:rPr>
      </w:pPr>
    </w:p>
    <w:p>
      <w:pPr>
        <w:pStyle w:val="Body.0"/>
        <w:spacing w:before="20" w:after="20" w:line="360" w:lineRule="auto"/>
        <w:rPr>
          <w:rFonts w:ascii="Arial" w:cs="Arial" w:hAnsi="Arial" w:eastAsia="Arial"/>
          <w:sz w:val="24"/>
          <w:szCs w:val="24"/>
        </w:rPr>
      </w:pPr>
    </w:p>
    <w:p>
      <w:pPr>
        <w:pStyle w:val="Body.0"/>
        <w:spacing w:before="20" w:after="20" w:line="360" w:lineRule="auto"/>
        <w:rPr>
          <w:rFonts w:ascii="Arial" w:cs="Arial" w:hAnsi="Arial" w:eastAsia="Arial"/>
          <w:sz w:val="24"/>
          <w:szCs w:val="24"/>
        </w:rPr>
      </w:pPr>
    </w:p>
    <w:p>
      <w:pPr>
        <w:pStyle w:val="Body.0"/>
        <w:spacing w:before="20" w:after="20" w:line="360" w:lineRule="auto"/>
        <w:rPr>
          <w:rFonts w:ascii="Arial" w:cs="Arial" w:hAnsi="Arial" w:eastAsia="Arial"/>
          <w:sz w:val="24"/>
          <w:szCs w:val="24"/>
        </w:rPr>
      </w:pPr>
    </w:p>
    <w:p>
      <w:pPr>
        <w:pStyle w:val="Body.0"/>
        <w:spacing w:before="20" w:after="20" w:line="360" w:lineRule="auto"/>
        <w:rPr>
          <w:rFonts w:ascii="Arial" w:cs="Arial" w:hAnsi="Arial" w:eastAsia="Arial"/>
          <w:sz w:val="24"/>
          <w:szCs w:val="24"/>
        </w:rPr>
      </w:pPr>
    </w:p>
    <w:p>
      <w:pPr>
        <w:pStyle w:val="Body.0"/>
        <w:spacing w:before="20" w:after="20" w:line="360" w:lineRule="auto"/>
        <w:rPr>
          <w:rFonts w:ascii="Arial" w:cs="Arial" w:hAnsi="Arial" w:eastAsia="Arial"/>
          <w:sz w:val="24"/>
          <w:szCs w:val="24"/>
        </w:rPr>
      </w:pPr>
    </w:p>
    <w:p>
      <w:pPr>
        <w:pStyle w:val="Body.0"/>
        <w:spacing w:before="20" w:after="20" w:line="360" w:lineRule="auto"/>
        <w:rPr>
          <w:rFonts w:ascii="Arial" w:cs="Arial" w:hAnsi="Arial" w:eastAsia="Arial"/>
          <w:sz w:val="24"/>
          <w:szCs w:val="24"/>
        </w:rPr>
      </w:pPr>
      <w:r>
        <w:rPr>
          <w:rFonts w:ascii="Arial" w:hAnsi="Arial"/>
          <w:sz w:val="24"/>
          <w:szCs w:val="24"/>
          <w:rtl w:val="0"/>
          <w:lang w:val="en-US"/>
        </w:rPr>
        <w:t>References</w:t>
      </w:r>
    </w:p>
    <w:p>
      <w:pPr>
        <w:pStyle w:val="Body.0"/>
        <w:spacing w:before="20" w:after="20" w:line="360" w:lineRule="auto"/>
        <w:rPr>
          <w:rFonts w:ascii="Arial" w:cs="Arial" w:hAnsi="Arial" w:eastAsia="Arial"/>
          <w:sz w:val="24"/>
          <w:szCs w:val="24"/>
        </w:rPr>
      </w:pPr>
    </w:p>
    <w:p>
      <w:pPr>
        <w:pStyle w:val="Default"/>
        <w:bidi w:val="0"/>
        <w:spacing w:before="20" w:after="20" w:line="360" w:lineRule="auto"/>
        <w:ind w:left="0" w:right="0" w:firstLine="0"/>
        <w:jc w:val="left"/>
        <w:rPr>
          <w:rFonts w:ascii="Arial" w:cs="Arial" w:hAnsi="Arial" w:eastAsia="Arial"/>
          <w:shd w:val="clear" w:color="auto" w:fill="ffffff"/>
          <w:rtl w:val="0"/>
        </w:rPr>
      </w:pPr>
      <w:r>
        <w:rPr>
          <w:rFonts w:ascii="Arial" w:hAnsi="Arial"/>
          <w:shd w:val="clear" w:color="auto" w:fill="ffffff"/>
          <w:rtl w:val="0"/>
          <w:lang w:val="en-US"/>
        </w:rPr>
        <w:t>Gibbon, B. (2002) 'Critical Reflection for Nursing and the Helping Professions. A User</w:t>
      </w:r>
      <w:r>
        <w:rPr>
          <w:rFonts w:ascii="Arial" w:hAnsi="Arial" w:hint="default"/>
          <w:shd w:val="clear" w:color="auto" w:fill="ffffff"/>
          <w:rtl w:val="0"/>
        </w:rPr>
        <w:t>’</w:t>
      </w:r>
      <w:r>
        <w:rPr>
          <w:rFonts w:ascii="Arial" w:hAnsi="Arial"/>
          <w:shd w:val="clear" w:color="auto" w:fill="ffffff"/>
          <w:rtl w:val="0"/>
          <w:lang w:val="en-US"/>
        </w:rPr>
        <w:t>s Guide Critical Reflection for Nursing and the Helping Professions. A User</w:t>
      </w:r>
      <w:r>
        <w:rPr>
          <w:rFonts w:ascii="Arial" w:hAnsi="Arial" w:hint="default"/>
          <w:shd w:val="clear" w:color="auto" w:fill="ffffff"/>
          <w:rtl w:val="0"/>
        </w:rPr>
        <w:t>’</w:t>
      </w:r>
      <w:r>
        <w:rPr>
          <w:rFonts w:ascii="Arial" w:hAnsi="Arial"/>
          <w:shd w:val="clear" w:color="auto" w:fill="ffffff"/>
          <w:rtl w:val="0"/>
          <w:lang w:val="it-IT"/>
        </w:rPr>
        <w:t>s Guide', Nursing standard, 16(20), pp. 29. doi: 10.7748/ns2002.01.16.20.29.b305.</w:t>
      </w:r>
    </w:p>
    <w:p>
      <w:pPr>
        <w:pStyle w:val="Default"/>
        <w:bidi w:val="0"/>
        <w:spacing w:before="20" w:after="20" w:line="360" w:lineRule="auto"/>
        <w:ind w:left="0" w:right="0" w:firstLine="0"/>
        <w:jc w:val="left"/>
        <w:rPr>
          <w:rFonts w:ascii="Arial" w:cs="Arial" w:hAnsi="Arial" w:eastAsia="Arial"/>
          <w:shd w:val="clear" w:color="auto" w:fill="ffffff"/>
          <w:rtl w:val="0"/>
        </w:rPr>
      </w:pPr>
    </w:p>
    <w:p>
      <w:pPr>
        <w:pStyle w:val="Default"/>
        <w:bidi w:val="0"/>
        <w:spacing w:before="20" w:after="20" w:line="360" w:lineRule="auto"/>
        <w:ind w:left="0" w:right="0" w:firstLine="0"/>
        <w:jc w:val="left"/>
        <w:rPr>
          <w:rFonts w:ascii="Arial" w:cs="Arial" w:hAnsi="Arial" w:eastAsia="Arial"/>
          <w:shd w:val="clear" w:color="auto" w:fill="ffffff"/>
          <w:rtl w:val="0"/>
        </w:rPr>
      </w:pPr>
      <w:r>
        <w:rPr>
          <w:rFonts w:ascii="Arial" w:hAnsi="Arial"/>
          <w:shd w:val="clear" w:color="auto" w:fill="ffffff"/>
          <w:rtl w:val="0"/>
          <w:lang w:val="en-US"/>
        </w:rPr>
        <w:t>Gibbs, G. (1988) 'Learning by doing : a guide to teaching and learning methods' London: FEU.</w:t>
      </w:r>
    </w:p>
    <w:p>
      <w:pPr>
        <w:pStyle w:val="Default"/>
        <w:bidi w:val="0"/>
        <w:spacing w:before="20" w:after="20" w:line="360" w:lineRule="auto"/>
        <w:ind w:left="0" w:right="0" w:firstLine="0"/>
        <w:jc w:val="left"/>
        <w:rPr>
          <w:rFonts w:ascii="Arial" w:cs="Arial" w:hAnsi="Arial" w:eastAsia="Arial"/>
          <w:shd w:val="clear" w:color="auto" w:fill="ffffff"/>
          <w:rtl w:val="0"/>
        </w:rPr>
      </w:pPr>
    </w:p>
    <w:p>
      <w:pPr>
        <w:pStyle w:val="Default"/>
        <w:bidi w:val="0"/>
        <w:spacing w:before="20" w:after="20" w:line="360" w:lineRule="auto"/>
        <w:ind w:left="0" w:right="0" w:firstLine="0"/>
        <w:jc w:val="left"/>
        <w:rPr>
          <w:rFonts w:ascii="Arial" w:cs="Arial" w:hAnsi="Arial" w:eastAsia="Arial"/>
          <w:shd w:val="clear" w:color="auto" w:fill="ffffff"/>
          <w:rtl w:val="0"/>
        </w:rPr>
      </w:pPr>
      <w:r>
        <w:rPr>
          <w:rFonts w:ascii="Arial" w:hAnsi="Arial"/>
          <w:shd w:val="clear" w:color="auto" w:fill="ffffff"/>
          <w:rtl w:val="0"/>
          <w:lang w:val="fr-FR"/>
        </w:rPr>
        <w:t>Hortense de la Bouteti</w:t>
      </w:r>
      <w:r>
        <w:rPr>
          <w:rFonts w:ascii="Arial" w:hAnsi="Arial" w:hint="default"/>
          <w:shd w:val="clear" w:color="auto" w:fill="ffffff"/>
          <w:rtl w:val="0"/>
          <w:lang w:val="fr-FR"/>
        </w:rPr>
        <w:t>è</w:t>
      </w:r>
      <w:r>
        <w:rPr>
          <w:rFonts w:ascii="Arial" w:hAnsi="Arial"/>
          <w:shd w:val="clear" w:color="auto" w:fill="ffffff"/>
          <w:rtl w:val="0"/>
          <w:lang w:val="en-US"/>
        </w:rPr>
        <w:t>re, Montagner, A. and Reich, A. (2018) 'Unlocking success in digital transformations', McKinsey Insights</w:t>
      </w:r>
      <w:r>
        <w:rPr>
          <w:rFonts w:ascii="Arial" w:hAnsi="Arial"/>
          <w:shd w:val="clear" w:color="auto" w:fill="ffffff"/>
          <w:rtl w:val="0"/>
          <w:lang w:val="en-US"/>
        </w:rPr>
        <w:t>.</w:t>
      </w:r>
    </w:p>
    <w:p>
      <w:pPr>
        <w:pStyle w:val="Default"/>
        <w:bidi w:val="0"/>
        <w:spacing w:before="20" w:after="20" w:line="360" w:lineRule="auto"/>
        <w:ind w:left="0" w:right="0" w:firstLine="0"/>
        <w:jc w:val="left"/>
        <w:rPr>
          <w:rFonts w:ascii="Arial" w:cs="Arial" w:hAnsi="Arial" w:eastAsia="Arial"/>
          <w:shd w:val="clear" w:color="auto" w:fill="ffffff"/>
          <w:rtl w:val="0"/>
        </w:rPr>
      </w:pPr>
    </w:p>
    <w:p>
      <w:pPr>
        <w:pStyle w:val="Default"/>
        <w:bidi w:val="0"/>
        <w:spacing w:before="20" w:after="20" w:line="360" w:lineRule="auto"/>
        <w:ind w:left="0" w:right="0" w:firstLine="0"/>
        <w:jc w:val="left"/>
        <w:rPr>
          <w:rFonts w:ascii="Arial" w:cs="Arial" w:hAnsi="Arial" w:eastAsia="Arial"/>
          <w:shd w:val="clear" w:color="auto" w:fill="ffffff"/>
          <w:rtl w:val="0"/>
        </w:rPr>
      </w:pPr>
      <w:r>
        <w:rPr>
          <w:rFonts w:ascii="Arial" w:hAnsi="Arial"/>
          <w:shd w:val="clear" w:color="auto" w:fill="ffffff"/>
          <w:rtl w:val="0"/>
          <w:lang w:val="en-US"/>
        </w:rPr>
        <w:t>Johns, C. and Burnie, S. (2013) 'Becoming a reflective practitioner'. 4th edn. Chichester, West Sussex: John Wiley &amp; Sons.</w:t>
      </w:r>
    </w:p>
    <w:p>
      <w:pPr>
        <w:pStyle w:val="Default"/>
        <w:bidi w:val="0"/>
        <w:spacing w:before="20" w:after="20" w:line="360" w:lineRule="auto"/>
        <w:ind w:left="0" w:right="0" w:firstLine="0"/>
        <w:jc w:val="left"/>
        <w:rPr>
          <w:rFonts w:ascii="Arial" w:cs="Arial" w:hAnsi="Arial" w:eastAsia="Arial"/>
          <w:shd w:val="clear" w:color="auto" w:fill="ffffff"/>
          <w:rtl w:val="0"/>
        </w:rPr>
      </w:pPr>
    </w:p>
    <w:p>
      <w:pPr>
        <w:pStyle w:val="Default"/>
        <w:bidi w:val="0"/>
        <w:spacing w:before="20" w:after="20" w:line="360" w:lineRule="auto"/>
        <w:ind w:left="0" w:right="0" w:firstLine="0"/>
        <w:jc w:val="left"/>
        <w:rPr>
          <w:rFonts w:ascii="Arial" w:cs="Arial" w:hAnsi="Arial" w:eastAsia="Arial"/>
          <w:shd w:val="clear" w:color="auto" w:fill="ffffff"/>
          <w:rtl w:val="0"/>
        </w:rPr>
      </w:pPr>
      <w:r>
        <w:rPr>
          <w:rFonts w:ascii="Arial" w:hAnsi="Arial"/>
          <w:shd w:val="clear" w:color="auto" w:fill="ffffff"/>
          <w:rtl w:val="0"/>
          <w:lang w:val="en-US"/>
        </w:rPr>
        <w:t>Kolb, D.A. (1984) 'Experiential learning : experience as the source of learning and development' London: Prentice-Hall.</w:t>
      </w:r>
    </w:p>
    <w:p>
      <w:pPr>
        <w:pStyle w:val="Default"/>
        <w:bidi w:val="0"/>
        <w:spacing w:before="20" w:after="20" w:line="360" w:lineRule="auto"/>
        <w:ind w:left="0" w:right="0" w:firstLine="0"/>
        <w:jc w:val="left"/>
        <w:rPr>
          <w:rFonts w:ascii="Arial" w:cs="Arial" w:hAnsi="Arial" w:eastAsia="Arial"/>
          <w:shd w:val="clear" w:color="auto" w:fill="ffffff"/>
          <w:rtl w:val="0"/>
        </w:rPr>
      </w:pPr>
    </w:p>
    <w:p>
      <w:pPr>
        <w:pStyle w:val="Default"/>
        <w:bidi w:val="0"/>
        <w:spacing w:before="20" w:after="20" w:line="360" w:lineRule="auto"/>
        <w:ind w:left="0" w:right="0" w:firstLine="0"/>
        <w:jc w:val="left"/>
        <w:rPr>
          <w:rFonts w:ascii="Arial" w:cs="Arial" w:hAnsi="Arial" w:eastAsia="Arial"/>
          <w:shd w:val="clear" w:color="auto" w:fill="ffffff"/>
          <w:rtl w:val="0"/>
        </w:rPr>
      </w:pPr>
      <w:r>
        <w:rPr>
          <w:rFonts w:ascii="Arial" w:hAnsi="Arial"/>
          <w:shd w:val="clear" w:color="auto" w:fill="ffffff"/>
          <w:rtl w:val="0"/>
          <w:lang w:val="en-US"/>
        </w:rPr>
        <w:t>Mullins, L.J. and McLean, J.E. (2019) 'Organisational behaviour in the workplace' Harlow, United Kingdom: Pearson Education Limited.</w:t>
      </w:r>
    </w:p>
    <w:p>
      <w:pPr>
        <w:pStyle w:val="Default"/>
        <w:bidi w:val="0"/>
        <w:spacing w:before="20" w:after="20" w:line="360" w:lineRule="auto"/>
        <w:ind w:left="0" w:right="0" w:firstLine="0"/>
        <w:jc w:val="left"/>
        <w:rPr>
          <w:rFonts w:ascii="Arial" w:cs="Arial" w:hAnsi="Arial" w:eastAsia="Arial"/>
          <w:shd w:val="clear" w:color="auto" w:fill="ffffff"/>
          <w:rtl w:val="0"/>
        </w:rPr>
      </w:pPr>
    </w:p>
    <w:p>
      <w:pPr>
        <w:pStyle w:val="Default"/>
        <w:bidi w:val="0"/>
        <w:spacing w:before="20" w:after="20" w:line="360" w:lineRule="auto"/>
        <w:ind w:left="0" w:right="0" w:firstLine="0"/>
        <w:jc w:val="left"/>
        <w:rPr>
          <w:rFonts w:ascii="Arial" w:cs="Arial" w:hAnsi="Arial" w:eastAsia="Arial"/>
          <w:shd w:val="clear" w:color="auto" w:fill="ffffff"/>
          <w:rtl w:val="0"/>
        </w:rPr>
      </w:pPr>
      <w:r>
        <w:rPr>
          <w:rFonts w:ascii="Arial" w:hAnsi="Arial"/>
          <w:shd w:val="clear" w:color="auto" w:fill="ffffff"/>
          <w:rtl w:val="0"/>
          <w:lang w:val="en-US"/>
        </w:rPr>
        <w:t>Otia, J.E. and Bracci, E. (2022) 'Digital transformation and the public sector auditing: The SAI's perspective', Financial Accountability &amp; Management, 38(2), pp. 252-280. doi: 10.1111/faam.12317.</w:t>
      </w:r>
    </w:p>
    <w:p>
      <w:pPr>
        <w:pStyle w:val="Default"/>
        <w:bidi w:val="0"/>
        <w:spacing w:before="20" w:after="20" w:line="360" w:lineRule="auto"/>
        <w:ind w:left="0" w:right="0" w:firstLine="0"/>
        <w:jc w:val="left"/>
        <w:rPr>
          <w:rFonts w:ascii="Arial" w:cs="Arial" w:hAnsi="Arial" w:eastAsia="Arial"/>
          <w:shd w:val="clear" w:color="auto" w:fill="ffffff"/>
          <w:rtl w:val="0"/>
        </w:rPr>
      </w:pPr>
    </w:p>
    <w:p>
      <w:pPr>
        <w:pStyle w:val="Default"/>
        <w:bidi w:val="0"/>
        <w:spacing w:before="20" w:after="20" w:line="360" w:lineRule="auto"/>
        <w:ind w:left="0" w:right="0" w:firstLine="0"/>
        <w:jc w:val="left"/>
        <w:rPr>
          <w:rtl w:val="0"/>
        </w:rPr>
      </w:pPr>
      <w:r>
        <w:rPr>
          <w:rFonts w:ascii="Arial" w:hAnsi="Arial"/>
          <w:shd w:val="clear" w:color="auto" w:fill="ffffff"/>
          <w:rtl w:val="0"/>
          <w:lang w:val="en-US"/>
        </w:rPr>
        <w:t>Villavicencio, V.V. (2019) Reflective Practice: Exploring Counseling Interns</w:t>
      </w:r>
      <w:r>
        <w:rPr>
          <w:rFonts w:ascii="Arial" w:hAnsi="Arial" w:hint="default"/>
          <w:shd w:val="clear" w:color="auto" w:fill="ffffff"/>
          <w:rtl w:val="0"/>
        </w:rPr>
        <w:t xml:space="preserve">’ </w:t>
      </w:r>
      <w:r>
        <w:rPr>
          <w:rFonts w:ascii="Arial" w:hAnsi="Arial"/>
          <w:shd w:val="clear" w:color="auto" w:fill="ffffff"/>
          <w:rtl w:val="0"/>
          <w:lang w:val="en-US"/>
        </w:rPr>
        <w:t xml:space="preserve">Reflection in Nonprofit Community Mental Health Setting. . ProQuest Dissertations Publishing. Available at: (Accessed: </w:t>
      </w:r>
      <w:r>
        <w:rPr>
          <w:rFonts w:ascii="Arial" w:hAnsi="Arial"/>
          <w:shd w:val="clear" w:color="auto" w:fill="ffffff"/>
          <w:rtl w:val="0"/>
          <w:lang w:val="en-US"/>
        </w:rPr>
        <w:t>09.06.2022)</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tl w:val="0"/>
        <w:lang w:val="en-US"/>
      </w:rPr>
      <w:t>Assignment 2</w:t>
    </w:r>
    <w:r>
      <w:rPr>
        <w:rtl w:val="0"/>
      </w:rPr>
      <w:tab/>
      <w:t>2112756</w:t>
      <w:tab/>
    </w:r>
    <w:r>
      <w:rPr>
        <w:rtl w:val="0"/>
        <w:lang w:val="en-US"/>
      </w:rPr>
      <w:t>Stephanie Lock</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40"/>
      <w:szCs w:val="40"/>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numbering" w:styleId="Numbered">
    <w:name w:val="Numbered"/>
    <w:pPr>
      <w:numPr>
        <w:numId w:val="1"/>
      </w:numPr>
    </w:p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