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BB69B" w14:textId="77777777" w:rsidR="00145A9B" w:rsidRPr="00145A9B" w:rsidRDefault="00145A9B" w:rsidP="00145A9B">
      <w:pPr>
        <w:rPr>
          <w:rFonts w:cs="Times New Roman"/>
          <w:b/>
          <w:bCs/>
          <w:sz w:val="32"/>
          <w:szCs w:val="32"/>
        </w:rPr>
      </w:pPr>
    </w:p>
    <w:p w14:paraId="04B9233E" w14:textId="77777777" w:rsidR="00145A9B" w:rsidRPr="00145A9B" w:rsidRDefault="00145A9B" w:rsidP="00145A9B">
      <w:pPr>
        <w:spacing w:line="480" w:lineRule="auto"/>
        <w:rPr>
          <w:rFonts w:cs="Times New Roman"/>
          <w:b/>
          <w:bCs/>
          <w:szCs w:val="24"/>
        </w:rPr>
      </w:pPr>
      <w:r w:rsidRPr="00145A9B">
        <w:rPr>
          <w:rFonts w:cs="Times New Roman"/>
          <w:noProof/>
        </w:rPr>
        <w:drawing>
          <wp:inline distT="0" distB="0" distL="0" distR="0" wp14:anchorId="4A4F7D7E" wp14:editId="668E2A3B">
            <wp:extent cx="2266950" cy="904875"/>
            <wp:effectExtent l="0" t="0" r="0" b="9525"/>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lose 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6950" cy="904875"/>
                    </a:xfrm>
                    <a:prstGeom prst="rect">
                      <a:avLst/>
                    </a:prstGeom>
                    <a:noFill/>
                    <a:ln>
                      <a:noFill/>
                    </a:ln>
                  </pic:spPr>
                </pic:pic>
              </a:graphicData>
            </a:graphic>
          </wp:inline>
        </w:drawing>
      </w:r>
    </w:p>
    <w:p w14:paraId="4D89A736" w14:textId="77777777" w:rsidR="00145A9B" w:rsidRPr="00145A9B" w:rsidRDefault="00145A9B" w:rsidP="00145A9B">
      <w:pPr>
        <w:rPr>
          <w:rFonts w:cs="Times New Roman"/>
        </w:rPr>
      </w:pPr>
      <w:r w:rsidRPr="00145A9B">
        <w:rPr>
          <w:rFonts w:cs="Times New Roman"/>
          <w:noProof/>
        </w:rPr>
        <w:t xml:space="preserve">                   </w:t>
      </w:r>
    </w:p>
    <w:p w14:paraId="34E0AA78" w14:textId="77777777" w:rsidR="00145A9B" w:rsidRPr="00145A9B" w:rsidRDefault="00145A9B" w:rsidP="00145A9B">
      <w:pPr>
        <w:rPr>
          <w:rFonts w:cs="Times New Roman"/>
        </w:rPr>
      </w:pPr>
    </w:p>
    <w:p w14:paraId="29F88DFE" w14:textId="77777777" w:rsidR="00145A9B" w:rsidRPr="00145A9B" w:rsidRDefault="00145A9B" w:rsidP="00145A9B">
      <w:pPr>
        <w:rPr>
          <w:rFonts w:cs="Times New Roman"/>
        </w:rPr>
      </w:pPr>
      <w:r w:rsidRPr="00145A9B">
        <w:rPr>
          <w:rFonts w:cs="Times New Roman"/>
          <w:noProof/>
        </w:rPr>
        <mc:AlternateContent>
          <mc:Choice Requires="wps">
            <w:drawing>
              <wp:anchor distT="0" distB="0" distL="114299" distR="114299" simplePos="0" relativeHeight="251659264" behindDoc="0" locked="0" layoutInCell="1" allowOverlap="1" wp14:anchorId="76F71A02" wp14:editId="624725BC">
                <wp:simplePos x="0" y="0"/>
                <wp:positionH relativeFrom="column">
                  <wp:posOffset>4619307</wp:posOffset>
                </wp:positionH>
                <wp:positionV relativeFrom="paragraph">
                  <wp:posOffset>187007</wp:posOffset>
                </wp:positionV>
                <wp:extent cx="0" cy="1800225"/>
                <wp:effectExtent l="0" t="0" r="38100" b="2857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800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39BCC5" id="Straight Connector 5" o:spid="_x0000_s1026" style="position:absolute;z-index:25165926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363.7pt,14.7pt" to="363.7pt,15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" strokecolor="black [3040]">
                <o:lock v:ext="edit" shapetype="f"/>
              </v:line>
            </w:pict>
          </mc:Fallback>
        </mc:AlternateContent>
      </w:r>
    </w:p>
    <w:p w14:paraId="3F6C1F4B" w14:textId="1D89D56A" w:rsidR="00145A9B" w:rsidRPr="00145A9B" w:rsidRDefault="00145A9B" w:rsidP="00145A9B">
      <w:pPr>
        <w:rPr>
          <w:rFonts w:cs="Times New Roman"/>
        </w:rPr>
      </w:pPr>
      <w:r w:rsidRPr="00145A9B">
        <w:rPr>
          <w:rFonts w:cs="Times New Roman"/>
        </w:rPr>
        <w:t xml:space="preserve">                                                                                                                </w:t>
      </w:r>
    </w:p>
    <w:p w14:paraId="31F947CE" w14:textId="59849107" w:rsidR="00145A9B" w:rsidRPr="00145A9B" w:rsidRDefault="00145A9B" w:rsidP="00145A9B">
      <w:pPr>
        <w:jc w:val="center"/>
        <w:rPr>
          <w:rFonts w:cs="Times New Roman"/>
          <w:sz w:val="96"/>
          <w:szCs w:val="96"/>
        </w:rPr>
      </w:pPr>
      <w:r w:rsidRPr="00145A9B">
        <w:rPr>
          <w:rFonts w:cs="Times New Roman"/>
          <w:sz w:val="96"/>
          <w:szCs w:val="96"/>
        </w:rPr>
        <w:t>ASSIGNMENT    2022</w:t>
      </w:r>
    </w:p>
    <w:p w14:paraId="336B98D4" w14:textId="7D565210" w:rsidR="00145A9B" w:rsidRPr="00145A9B" w:rsidRDefault="00145A9B" w:rsidP="00145A9B">
      <w:pPr>
        <w:rPr>
          <w:rFonts w:cs="Times New Roman"/>
          <w:sz w:val="40"/>
          <w:szCs w:val="40"/>
        </w:rPr>
      </w:pPr>
      <w:r w:rsidRPr="00145A9B">
        <w:rPr>
          <w:rFonts w:cs="Times New Roman"/>
          <w:sz w:val="40"/>
          <w:szCs w:val="40"/>
        </w:rPr>
        <w:t xml:space="preserve">International </w:t>
      </w:r>
      <w:r w:rsidR="0044627B">
        <w:rPr>
          <w:rFonts w:cs="Times New Roman"/>
          <w:sz w:val="40"/>
          <w:szCs w:val="40"/>
        </w:rPr>
        <w:t>Financial Management</w:t>
      </w:r>
    </w:p>
    <w:p w14:paraId="0CF7F1E9" w14:textId="1F082128" w:rsidR="00145A9B" w:rsidRPr="00145A9B" w:rsidRDefault="00145A9B" w:rsidP="00145A9B">
      <w:pPr>
        <w:rPr>
          <w:rFonts w:cs="Times New Roman"/>
          <w:sz w:val="40"/>
          <w:szCs w:val="40"/>
        </w:rPr>
      </w:pPr>
    </w:p>
    <w:p w14:paraId="15ECC723" w14:textId="77777777" w:rsidR="00145A9B" w:rsidRPr="00145A9B" w:rsidRDefault="00145A9B" w:rsidP="00145A9B">
      <w:pPr>
        <w:rPr>
          <w:rFonts w:cs="Times New Roman"/>
          <w:sz w:val="40"/>
          <w:szCs w:val="40"/>
        </w:rPr>
      </w:pPr>
    </w:p>
    <w:p w14:paraId="41D2BC8E" w14:textId="5B1C9893" w:rsidR="00145A9B" w:rsidRPr="00145A9B" w:rsidRDefault="00145A9B" w:rsidP="00145A9B">
      <w:pPr>
        <w:jc w:val="center"/>
        <w:rPr>
          <w:rFonts w:cs="Times New Roman"/>
          <w:b/>
          <w:bCs/>
          <w:sz w:val="48"/>
          <w:szCs w:val="48"/>
        </w:rPr>
      </w:pPr>
      <w:r w:rsidRPr="00145A9B">
        <w:rPr>
          <w:rFonts w:cs="Times New Roman"/>
          <w:sz w:val="48"/>
          <w:szCs w:val="48"/>
        </w:rPr>
        <w:t xml:space="preserve">Essay </w:t>
      </w:r>
    </w:p>
    <w:p w14:paraId="4C986EA0" w14:textId="77777777" w:rsidR="00145A9B" w:rsidRPr="00145A9B" w:rsidRDefault="00145A9B" w:rsidP="00145A9B">
      <w:pPr>
        <w:rPr>
          <w:rFonts w:cs="Times New Roman"/>
          <w:b/>
          <w:bCs/>
          <w:sz w:val="40"/>
          <w:szCs w:val="40"/>
        </w:rPr>
      </w:pPr>
    </w:p>
    <w:p w14:paraId="0ED8BE34" w14:textId="5BD0DFF6" w:rsidR="00145A9B" w:rsidRPr="00145A9B" w:rsidRDefault="00145A9B" w:rsidP="00145A9B">
      <w:pPr>
        <w:rPr>
          <w:rFonts w:cs="Times New Roman"/>
          <w:b/>
          <w:bCs/>
          <w:i/>
          <w:iCs/>
          <w:szCs w:val="24"/>
        </w:rPr>
      </w:pPr>
      <w:r w:rsidRPr="00145A9B">
        <w:rPr>
          <w:rFonts w:cs="Times New Roman"/>
          <w:b/>
          <w:bCs/>
          <w:i/>
          <w:iCs/>
        </w:rPr>
        <w:t xml:space="preserve">Lecturer: Dr </w:t>
      </w:r>
      <w:r w:rsidRPr="00145A9B">
        <w:rPr>
          <w:rFonts w:cs="Times New Roman"/>
          <w:b/>
          <w:bCs/>
          <w:i/>
          <w:iCs/>
        </w:rPr>
        <w:t xml:space="preserve">Taye </w:t>
      </w:r>
      <w:proofErr w:type="spellStart"/>
      <w:r w:rsidRPr="00145A9B">
        <w:rPr>
          <w:rFonts w:cs="Times New Roman"/>
          <w:b/>
          <w:bCs/>
          <w:i/>
          <w:iCs/>
        </w:rPr>
        <w:t>Osadiya</w:t>
      </w:r>
      <w:proofErr w:type="spellEnd"/>
    </w:p>
    <w:p w14:paraId="4C9CEDF6" w14:textId="41452BBE" w:rsidR="00C8366A" w:rsidRPr="00145A9B" w:rsidRDefault="00145A9B" w:rsidP="00145A9B">
      <w:pPr>
        <w:rPr>
          <w:rFonts w:cs="Times New Roman"/>
          <w:b/>
          <w:bCs/>
          <w:i/>
          <w:iCs/>
        </w:rPr>
      </w:pPr>
      <w:r w:rsidRPr="00145A9B">
        <w:rPr>
          <w:rFonts w:cs="Times New Roman"/>
          <w:b/>
          <w:bCs/>
          <w:i/>
          <w:iCs/>
        </w:rPr>
        <w:t>Submitted by:</w:t>
      </w:r>
      <w:r w:rsidRPr="00145A9B">
        <w:rPr>
          <w:rFonts w:cs="Times New Roman"/>
          <w:b/>
          <w:bCs/>
          <w:i/>
          <w:iCs/>
        </w:rPr>
        <w:t xml:space="preserve"> </w:t>
      </w:r>
      <w:r w:rsidRPr="00145A9B">
        <w:rPr>
          <w:rFonts w:cs="Times New Roman"/>
          <w:b/>
          <w:bCs/>
        </w:rPr>
        <w:t>Marcela Iuliana Dan (1917714)</w:t>
      </w:r>
      <w:r w:rsidR="007D67F6" w:rsidRPr="00145A9B">
        <w:rPr>
          <w:rFonts w:cs="Times New Roman"/>
          <w:sz w:val="28"/>
          <w:szCs w:val="24"/>
        </w:rPr>
        <w:br w:type="page"/>
      </w:r>
    </w:p>
    <w:sdt>
      <w:sdtPr>
        <w:rPr>
          <w:rFonts w:ascii="Times New Roman" w:eastAsiaTheme="minorHAnsi" w:hAnsi="Times New Roman" w:cs="Times New Roman"/>
          <w:b w:val="0"/>
          <w:bCs w:val="0"/>
          <w:color w:val="auto"/>
          <w:sz w:val="24"/>
          <w:szCs w:val="22"/>
          <w:lang w:val="en-GB"/>
        </w:rPr>
        <w:id w:val="664129"/>
        <w:docPartObj>
          <w:docPartGallery w:val="Table of Contents"/>
          <w:docPartUnique/>
        </w:docPartObj>
      </w:sdtPr>
      <w:sdtEndPr/>
      <w:sdtContent>
        <w:p w14:paraId="3B61E1D1" w14:textId="77777777" w:rsidR="00C8366A" w:rsidRPr="00145A9B" w:rsidRDefault="007D67F6" w:rsidP="00C24D3A">
          <w:pPr>
            <w:pStyle w:val="TOCHeading"/>
            <w:spacing w:line="360" w:lineRule="auto"/>
            <w:jc w:val="both"/>
            <w:rPr>
              <w:rFonts w:ascii="Times New Roman" w:hAnsi="Times New Roman" w:cs="Times New Roman"/>
            </w:rPr>
          </w:pPr>
          <w:r w:rsidRPr="00145A9B">
            <w:rPr>
              <w:rFonts w:ascii="Times New Roman" w:hAnsi="Times New Roman" w:cs="Times New Roman"/>
              <w:sz w:val="24"/>
            </w:rPr>
            <w:t>Table of Contents</w:t>
          </w:r>
        </w:p>
        <w:p w14:paraId="790C0D91" w14:textId="0B7C2BFE" w:rsidR="00CC30E4" w:rsidRDefault="00CF58AE">
          <w:pPr>
            <w:pStyle w:val="TOC1"/>
            <w:tabs>
              <w:tab w:val="right" w:leader="dot" w:pos="9350"/>
            </w:tabs>
            <w:rPr>
              <w:rFonts w:asciiTheme="minorHAnsi" w:eastAsiaTheme="minorEastAsia" w:hAnsiTheme="minorHAnsi"/>
              <w:noProof/>
              <w:sz w:val="22"/>
              <w:lang w:eastAsia="en-GB"/>
            </w:rPr>
          </w:pPr>
          <w:r w:rsidRPr="00145A9B">
            <w:rPr>
              <w:rFonts w:cs="Times New Roman"/>
            </w:rPr>
            <w:fldChar w:fldCharType="begin"/>
          </w:r>
          <w:r w:rsidR="007D67F6" w:rsidRPr="00145A9B">
            <w:rPr>
              <w:rFonts w:cs="Times New Roman"/>
            </w:rPr>
            <w:instrText xml:space="preserve"> TOC \o "1-3" \h \z \u </w:instrText>
          </w:r>
          <w:r w:rsidRPr="00145A9B">
            <w:rPr>
              <w:rFonts w:cs="Times New Roman"/>
            </w:rPr>
            <w:fldChar w:fldCharType="separate"/>
          </w:r>
          <w:hyperlink w:anchor="_Toc101815077" w:history="1">
            <w:r w:rsidR="00CC30E4" w:rsidRPr="0020491A">
              <w:rPr>
                <w:rStyle w:val="Hyperlink"/>
                <w:rFonts w:cs="Times New Roman"/>
                <w:noProof/>
              </w:rPr>
              <w:t>Introduction</w:t>
            </w:r>
            <w:r w:rsidR="00CC30E4">
              <w:rPr>
                <w:noProof/>
                <w:webHidden/>
              </w:rPr>
              <w:tab/>
            </w:r>
            <w:r w:rsidR="00CC30E4">
              <w:rPr>
                <w:noProof/>
                <w:webHidden/>
              </w:rPr>
              <w:fldChar w:fldCharType="begin"/>
            </w:r>
            <w:r w:rsidR="00CC30E4">
              <w:rPr>
                <w:noProof/>
                <w:webHidden/>
              </w:rPr>
              <w:instrText xml:space="preserve"> PAGEREF _Toc101815077 \h </w:instrText>
            </w:r>
            <w:r w:rsidR="00CC30E4">
              <w:rPr>
                <w:noProof/>
                <w:webHidden/>
              </w:rPr>
            </w:r>
            <w:r w:rsidR="00CC30E4">
              <w:rPr>
                <w:noProof/>
                <w:webHidden/>
              </w:rPr>
              <w:fldChar w:fldCharType="separate"/>
            </w:r>
            <w:r w:rsidR="00CC30E4">
              <w:rPr>
                <w:noProof/>
                <w:webHidden/>
              </w:rPr>
              <w:t>3</w:t>
            </w:r>
            <w:r w:rsidR="00CC30E4">
              <w:rPr>
                <w:noProof/>
                <w:webHidden/>
              </w:rPr>
              <w:fldChar w:fldCharType="end"/>
            </w:r>
          </w:hyperlink>
        </w:p>
        <w:p w14:paraId="5E715947" w14:textId="25102D73" w:rsidR="00CC30E4" w:rsidRDefault="00CC30E4">
          <w:pPr>
            <w:pStyle w:val="TOC1"/>
            <w:tabs>
              <w:tab w:val="left" w:pos="440"/>
              <w:tab w:val="right" w:leader="dot" w:pos="9350"/>
            </w:tabs>
            <w:rPr>
              <w:rFonts w:asciiTheme="minorHAnsi" w:eastAsiaTheme="minorEastAsia" w:hAnsiTheme="minorHAnsi"/>
              <w:noProof/>
              <w:sz w:val="22"/>
              <w:lang w:eastAsia="en-GB"/>
            </w:rPr>
          </w:pPr>
          <w:hyperlink w:anchor="_Toc101815078" w:history="1">
            <w:r w:rsidRPr="0020491A">
              <w:rPr>
                <w:rStyle w:val="Hyperlink"/>
                <w:rFonts w:cs="Times New Roman"/>
                <w:noProof/>
              </w:rPr>
              <w:t>1.</w:t>
            </w:r>
            <w:r>
              <w:rPr>
                <w:rFonts w:asciiTheme="minorHAnsi" w:eastAsiaTheme="minorEastAsia" w:hAnsiTheme="minorHAnsi"/>
                <w:noProof/>
                <w:sz w:val="22"/>
                <w:lang w:eastAsia="en-GB"/>
              </w:rPr>
              <w:tab/>
            </w:r>
            <w:r w:rsidRPr="0020491A">
              <w:rPr>
                <w:rStyle w:val="Hyperlink"/>
                <w:rFonts w:cs="Times New Roman"/>
                <w:noProof/>
              </w:rPr>
              <w:t>Analysis and evaluation of the corporation's dividend distribution policy</w:t>
            </w:r>
            <w:r>
              <w:rPr>
                <w:noProof/>
                <w:webHidden/>
              </w:rPr>
              <w:tab/>
            </w:r>
            <w:r>
              <w:rPr>
                <w:noProof/>
                <w:webHidden/>
              </w:rPr>
              <w:fldChar w:fldCharType="begin"/>
            </w:r>
            <w:r>
              <w:rPr>
                <w:noProof/>
                <w:webHidden/>
              </w:rPr>
              <w:instrText xml:space="preserve"> PAGEREF _Toc101815078 \h </w:instrText>
            </w:r>
            <w:r>
              <w:rPr>
                <w:noProof/>
                <w:webHidden/>
              </w:rPr>
            </w:r>
            <w:r>
              <w:rPr>
                <w:noProof/>
                <w:webHidden/>
              </w:rPr>
              <w:fldChar w:fldCharType="separate"/>
            </w:r>
            <w:r>
              <w:rPr>
                <w:noProof/>
                <w:webHidden/>
              </w:rPr>
              <w:t>4</w:t>
            </w:r>
            <w:r>
              <w:rPr>
                <w:noProof/>
                <w:webHidden/>
              </w:rPr>
              <w:fldChar w:fldCharType="end"/>
            </w:r>
          </w:hyperlink>
        </w:p>
        <w:p w14:paraId="3D7ADE52" w14:textId="1C66F652" w:rsidR="00CC30E4" w:rsidRDefault="00CC30E4">
          <w:pPr>
            <w:pStyle w:val="TOC1"/>
            <w:tabs>
              <w:tab w:val="left" w:pos="440"/>
              <w:tab w:val="right" w:leader="dot" w:pos="9350"/>
            </w:tabs>
            <w:rPr>
              <w:rFonts w:asciiTheme="minorHAnsi" w:eastAsiaTheme="minorEastAsia" w:hAnsiTheme="minorHAnsi"/>
              <w:noProof/>
              <w:sz w:val="22"/>
              <w:lang w:eastAsia="en-GB"/>
            </w:rPr>
          </w:pPr>
          <w:hyperlink w:anchor="_Toc101815079" w:history="1">
            <w:r w:rsidRPr="0020491A">
              <w:rPr>
                <w:rStyle w:val="Hyperlink"/>
                <w:rFonts w:cs="Times New Roman"/>
                <w:noProof/>
              </w:rPr>
              <w:t>2.</w:t>
            </w:r>
            <w:r>
              <w:rPr>
                <w:rFonts w:asciiTheme="minorHAnsi" w:eastAsiaTheme="minorEastAsia" w:hAnsiTheme="minorHAnsi"/>
                <w:noProof/>
                <w:sz w:val="22"/>
                <w:lang w:eastAsia="en-GB"/>
              </w:rPr>
              <w:tab/>
            </w:r>
            <w:r w:rsidRPr="0020491A">
              <w:rPr>
                <w:rStyle w:val="Hyperlink"/>
                <w:rFonts w:cs="Times New Roman"/>
                <w:noProof/>
              </w:rPr>
              <w:t>Analysis of market hypothesis theory in the context of the corporation</w:t>
            </w:r>
            <w:r>
              <w:rPr>
                <w:noProof/>
                <w:webHidden/>
              </w:rPr>
              <w:tab/>
            </w:r>
            <w:r>
              <w:rPr>
                <w:noProof/>
                <w:webHidden/>
              </w:rPr>
              <w:fldChar w:fldCharType="begin"/>
            </w:r>
            <w:r>
              <w:rPr>
                <w:noProof/>
                <w:webHidden/>
              </w:rPr>
              <w:instrText xml:space="preserve"> PAGEREF _Toc101815079 \h </w:instrText>
            </w:r>
            <w:r>
              <w:rPr>
                <w:noProof/>
                <w:webHidden/>
              </w:rPr>
            </w:r>
            <w:r>
              <w:rPr>
                <w:noProof/>
                <w:webHidden/>
              </w:rPr>
              <w:fldChar w:fldCharType="separate"/>
            </w:r>
            <w:r>
              <w:rPr>
                <w:noProof/>
                <w:webHidden/>
              </w:rPr>
              <w:t>7</w:t>
            </w:r>
            <w:r>
              <w:rPr>
                <w:noProof/>
                <w:webHidden/>
              </w:rPr>
              <w:fldChar w:fldCharType="end"/>
            </w:r>
          </w:hyperlink>
        </w:p>
        <w:p w14:paraId="2DAFCE5A" w14:textId="428127CD" w:rsidR="00CC30E4" w:rsidRDefault="00CC30E4">
          <w:pPr>
            <w:pStyle w:val="TOC1"/>
            <w:tabs>
              <w:tab w:val="left" w:pos="440"/>
              <w:tab w:val="right" w:leader="dot" w:pos="9350"/>
            </w:tabs>
            <w:rPr>
              <w:rFonts w:asciiTheme="minorHAnsi" w:eastAsiaTheme="minorEastAsia" w:hAnsiTheme="minorHAnsi"/>
              <w:noProof/>
              <w:sz w:val="22"/>
              <w:lang w:eastAsia="en-GB"/>
            </w:rPr>
          </w:pPr>
          <w:hyperlink w:anchor="_Toc101815080" w:history="1">
            <w:r w:rsidRPr="0020491A">
              <w:rPr>
                <w:rStyle w:val="Hyperlink"/>
                <w:rFonts w:cs="Times New Roman"/>
                <w:noProof/>
              </w:rPr>
              <w:t>3.</w:t>
            </w:r>
            <w:r>
              <w:rPr>
                <w:rFonts w:asciiTheme="minorHAnsi" w:eastAsiaTheme="minorEastAsia" w:hAnsiTheme="minorHAnsi"/>
                <w:noProof/>
                <w:sz w:val="22"/>
                <w:lang w:eastAsia="en-GB"/>
              </w:rPr>
              <w:tab/>
            </w:r>
            <w:r w:rsidRPr="0020491A">
              <w:rPr>
                <w:rStyle w:val="Hyperlink"/>
                <w:rFonts w:cs="Times New Roman"/>
                <w:noProof/>
              </w:rPr>
              <w:t>Analysis and evaluation of methods of appraising projects in the corporation</w:t>
            </w:r>
            <w:r>
              <w:rPr>
                <w:noProof/>
                <w:webHidden/>
              </w:rPr>
              <w:tab/>
            </w:r>
            <w:r>
              <w:rPr>
                <w:noProof/>
                <w:webHidden/>
              </w:rPr>
              <w:fldChar w:fldCharType="begin"/>
            </w:r>
            <w:r>
              <w:rPr>
                <w:noProof/>
                <w:webHidden/>
              </w:rPr>
              <w:instrText xml:space="preserve"> PAGEREF _Toc101815080 \h </w:instrText>
            </w:r>
            <w:r>
              <w:rPr>
                <w:noProof/>
                <w:webHidden/>
              </w:rPr>
            </w:r>
            <w:r>
              <w:rPr>
                <w:noProof/>
                <w:webHidden/>
              </w:rPr>
              <w:fldChar w:fldCharType="separate"/>
            </w:r>
            <w:r>
              <w:rPr>
                <w:noProof/>
                <w:webHidden/>
              </w:rPr>
              <w:t>9</w:t>
            </w:r>
            <w:r>
              <w:rPr>
                <w:noProof/>
                <w:webHidden/>
              </w:rPr>
              <w:fldChar w:fldCharType="end"/>
            </w:r>
          </w:hyperlink>
        </w:p>
        <w:p w14:paraId="4C8C0F03" w14:textId="6646825F" w:rsidR="00CC30E4" w:rsidRDefault="00CC30E4">
          <w:pPr>
            <w:pStyle w:val="TOC1"/>
            <w:tabs>
              <w:tab w:val="left" w:pos="440"/>
              <w:tab w:val="right" w:leader="dot" w:pos="9350"/>
            </w:tabs>
            <w:rPr>
              <w:rFonts w:asciiTheme="minorHAnsi" w:eastAsiaTheme="minorEastAsia" w:hAnsiTheme="minorHAnsi"/>
              <w:noProof/>
              <w:sz w:val="22"/>
              <w:lang w:eastAsia="en-GB"/>
            </w:rPr>
          </w:pPr>
          <w:hyperlink w:anchor="_Toc101815081" w:history="1">
            <w:r w:rsidRPr="0020491A">
              <w:rPr>
                <w:rStyle w:val="Hyperlink"/>
                <w:rFonts w:cs="Times New Roman"/>
                <w:noProof/>
              </w:rPr>
              <w:t>4.</w:t>
            </w:r>
            <w:r>
              <w:rPr>
                <w:rFonts w:asciiTheme="minorHAnsi" w:eastAsiaTheme="minorEastAsia" w:hAnsiTheme="minorHAnsi"/>
                <w:noProof/>
                <w:sz w:val="22"/>
                <w:lang w:eastAsia="en-GB"/>
              </w:rPr>
              <w:tab/>
            </w:r>
            <w:r w:rsidRPr="0020491A">
              <w:rPr>
                <w:rStyle w:val="Hyperlink"/>
                <w:rFonts w:cs="Times New Roman"/>
                <w:noProof/>
              </w:rPr>
              <w:t>Conclusion</w:t>
            </w:r>
            <w:r>
              <w:rPr>
                <w:noProof/>
                <w:webHidden/>
              </w:rPr>
              <w:tab/>
            </w:r>
            <w:r>
              <w:rPr>
                <w:noProof/>
                <w:webHidden/>
              </w:rPr>
              <w:fldChar w:fldCharType="begin"/>
            </w:r>
            <w:r>
              <w:rPr>
                <w:noProof/>
                <w:webHidden/>
              </w:rPr>
              <w:instrText xml:space="preserve"> PAGEREF _Toc101815081 \h </w:instrText>
            </w:r>
            <w:r>
              <w:rPr>
                <w:noProof/>
                <w:webHidden/>
              </w:rPr>
            </w:r>
            <w:r>
              <w:rPr>
                <w:noProof/>
                <w:webHidden/>
              </w:rPr>
              <w:fldChar w:fldCharType="separate"/>
            </w:r>
            <w:r>
              <w:rPr>
                <w:noProof/>
                <w:webHidden/>
              </w:rPr>
              <w:t>11</w:t>
            </w:r>
            <w:r>
              <w:rPr>
                <w:noProof/>
                <w:webHidden/>
              </w:rPr>
              <w:fldChar w:fldCharType="end"/>
            </w:r>
          </w:hyperlink>
        </w:p>
        <w:p w14:paraId="3428C866" w14:textId="56A2C6BC" w:rsidR="00CC30E4" w:rsidRDefault="00CC30E4">
          <w:pPr>
            <w:pStyle w:val="TOC1"/>
            <w:tabs>
              <w:tab w:val="right" w:leader="dot" w:pos="9350"/>
            </w:tabs>
            <w:rPr>
              <w:rFonts w:asciiTheme="minorHAnsi" w:eastAsiaTheme="minorEastAsia" w:hAnsiTheme="minorHAnsi"/>
              <w:noProof/>
              <w:sz w:val="22"/>
              <w:lang w:eastAsia="en-GB"/>
            </w:rPr>
          </w:pPr>
          <w:hyperlink w:anchor="_Toc101815082" w:history="1">
            <w:r w:rsidRPr="0020491A">
              <w:rPr>
                <w:rStyle w:val="Hyperlink"/>
                <w:rFonts w:cs="Times New Roman"/>
                <w:noProof/>
              </w:rPr>
              <w:t>References</w:t>
            </w:r>
            <w:r>
              <w:rPr>
                <w:noProof/>
                <w:webHidden/>
              </w:rPr>
              <w:tab/>
            </w:r>
            <w:r>
              <w:rPr>
                <w:noProof/>
                <w:webHidden/>
              </w:rPr>
              <w:fldChar w:fldCharType="begin"/>
            </w:r>
            <w:r>
              <w:rPr>
                <w:noProof/>
                <w:webHidden/>
              </w:rPr>
              <w:instrText xml:space="preserve"> PAGEREF _Toc101815082 \h </w:instrText>
            </w:r>
            <w:r>
              <w:rPr>
                <w:noProof/>
                <w:webHidden/>
              </w:rPr>
            </w:r>
            <w:r>
              <w:rPr>
                <w:noProof/>
                <w:webHidden/>
              </w:rPr>
              <w:fldChar w:fldCharType="separate"/>
            </w:r>
            <w:r>
              <w:rPr>
                <w:noProof/>
                <w:webHidden/>
              </w:rPr>
              <w:t>12</w:t>
            </w:r>
            <w:r>
              <w:rPr>
                <w:noProof/>
                <w:webHidden/>
              </w:rPr>
              <w:fldChar w:fldCharType="end"/>
            </w:r>
          </w:hyperlink>
        </w:p>
        <w:p w14:paraId="671A59AE" w14:textId="1B9CB086" w:rsidR="00C8366A" w:rsidRPr="00145A9B" w:rsidRDefault="00CF58AE" w:rsidP="00C24D3A">
          <w:pPr>
            <w:spacing w:line="360" w:lineRule="auto"/>
            <w:rPr>
              <w:rFonts w:cs="Times New Roman"/>
            </w:rPr>
          </w:pPr>
          <w:r w:rsidRPr="00145A9B">
            <w:rPr>
              <w:rFonts w:cs="Times New Roman"/>
            </w:rPr>
            <w:fldChar w:fldCharType="end"/>
          </w:r>
        </w:p>
      </w:sdtContent>
    </w:sdt>
    <w:p w14:paraId="78EF603E" w14:textId="77777777" w:rsidR="004A0D83" w:rsidRPr="00145A9B" w:rsidRDefault="004A0D83" w:rsidP="00C24D3A">
      <w:pPr>
        <w:spacing w:after="200" w:line="360" w:lineRule="auto"/>
        <w:jc w:val="left"/>
        <w:rPr>
          <w:rFonts w:cs="Times New Roman"/>
          <w:sz w:val="28"/>
          <w:lang w:val="en-US"/>
        </w:rPr>
      </w:pPr>
      <w:r w:rsidRPr="00145A9B">
        <w:rPr>
          <w:rFonts w:cs="Times New Roman"/>
          <w:sz w:val="28"/>
          <w:lang w:val="en-US"/>
        </w:rPr>
        <w:br w:type="page"/>
      </w:r>
    </w:p>
    <w:p w14:paraId="124C2A47" w14:textId="77777777" w:rsidR="004A0D83" w:rsidRPr="00145A9B" w:rsidRDefault="004A0D83" w:rsidP="00C24D3A">
      <w:pPr>
        <w:pStyle w:val="Heading1"/>
        <w:spacing w:line="360" w:lineRule="auto"/>
        <w:rPr>
          <w:rFonts w:cs="Times New Roman"/>
        </w:rPr>
      </w:pPr>
      <w:bookmarkStart w:id="0" w:name="_Toc101815077"/>
      <w:r w:rsidRPr="00145A9B">
        <w:rPr>
          <w:rFonts w:cs="Times New Roman"/>
        </w:rPr>
        <w:lastRenderedPageBreak/>
        <w:t>Introduction</w:t>
      </w:r>
      <w:bookmarkEnd w:id="0"/>
    </w:p>
    <w:p w14:paraId="342ED60A" w14:textId="481FC691" w:rsidR="00145A9B" w:rsidRPr="00145A9B" w:rsidRDefault="00145A9B" w:rsidP="00145A9B">
      <w:pPr>
        <w:spacing w:line="360" w:lineRule="auto"/>
        <w:ind w:firstLine="720"/>
        <w:rPr>
          <w:rFonts w:cs="Times New Roman"/>
        </w:rPr>
      </w:pPr>
      <w:r w:rsidRPr="00145A9B">
        <w:rPr>
          <w:rFonts w:cs="Times New Roman"/>
        </w:rPr>
        <w:t>In this essay, the IBM Corporation has been chosen to be analysed.</w:t>
      </w:r>
    </w:p>
    <w:p w14:paraId="0EFEB419" w14:textId="09E394A2" w:rsidR="004A0D83" w:rsidRPr="00145A9B" w:rsidRDefault="00145A9B" w:rsidP="00145A9B">
      <w:pPr>
        <w:spacing w:line="360" w:lineRule="auto"/>
        <w:ind w:firstLine="720"/>
        <w:rPr>
          <w:rFonts w:cs="Times New Roman"/>
        </w:rPr>
      </w:pPr>
      <w:r w:rsidRPr="00145A9B">
        <w:rPr>
          <w:rFonts w:cs="Times New Roman"/>
        </w:rPr>
        <w:t xml:space="preserve">The structure of the essay highlights </w:t>
      </w:r>
      <w:r w:rsidR="004A0D83" w:rsidRPr="00145A9B">
        <w:rPr>
          <w:rFonts w:cs="Times New Roman"/>
        </w:rPr>
        <w:t>the dividend policy, market hypothesis theory</w:t>
      </w:r>
      <w:r w:rsidRPr="00145A9B">
        <w:rPr>
          <w:rFonts w:cs="Times New Roman"/>
        </w:rPr>
        <w:t>, a</w:t>
      </w:r>
      <w:r w:rsidR="00CC30E4">
        <w:rPr>
          <w:rFonts w:cs="Times New Roman"/>
        </w:rPr>
        <w:t xml:space="preserve">long with </w:t>
      </w:r>
      <w:r w:rsidRPr="00145A9B">
        <w:rPr>
          <w:rFonts w:cs="Times New Roman"/>
        </w:rPr>
        <w:t>IBM's project appraisal techniques</w:t>
      </w:r>
      <w:r w:rsidR="004A0D83" w:rsidRPr="00145A9B">
        <w:rPr>
          <w:rFonts w:cs="Times New Roman"/>
        </w:rPr>
        <w:t xml:space="preserve"> will be written. The first question will di</w:t>
      </w:r>
      <w:r w:rsidR="000253B5" w:rsidRPr="00145A9B">
        <w:rPr>
          <w:rFonts w:cs="Times New Roman"/>
        </w:rPr>
        <w:t xml:space="preserve">ctate the dividend policies of </w:t>
      </w:r>
      <w:r w:rsidR="004A0D83" w:rsidRPr="00145A9B">
        <w:rPr>
          <w:rFonts w:cs="Times New Roman"/>
        </w:rPr>
        <w:t>IBM to understand how it is distributed</w:t>
      </w:r>
      <w:r w:rsidRPr="00145A9B">
        <w:rPr>
          <w:rFonts w:cs="Times New Roman"/>
        </w:rPr>
        <w:t>—t</w:t>
      </w:r>
      <w:r w:rsidR="004A0D83" w:rsidRPr="00145A9B">
        <w:rPr>
          <w:rFonts w:cs="Times New Roman"/>
        </w:rPr>
        <w:t xml:space="preserve">hen followed by the market hypothesis theory and which theory applies to IBM. That last </w:t>
      </w:r>
      <w:r w:rsidRPr="00145A9B">
        <w:rPr>
          <w:rFonts w:cs="Times New Roman"/>
        </w:rPr>
        <w:t>analysis</w:t>
      </w:r>
      <w:r w:rsidR="004A0D83" w:rsidRPr="00145A9B">
        <w:rPr>
          <w:rFonts w:cs="Times New Roman"/>
        </w:rPr>
        <w:t xml:space="preserve"> will describe the project appraisal techniques that </w:t>
      </w:r>
      <w:r w:rsidRPr="00145A9B">
        <w:rPr>
          <w:rFonts w:cs="Times New Roman"/>
        </w:rPr>
        <w:t>IBM uses</w:t>
      </w:r>
      <w:r w:rsidR="004A0D83" w:rsidRPr="00145A9B">
        <w:rPr>
          <w:rFonts w:cs="Times New Roman"/>
        </w:rPr>
        <w:t xml:space="preserve"> to appraise the growth of </w:t>
      </w:r>
      <w:r w:rsidRPr="00145A9B">
        <w:rPr>
          <w:rFonts w:cs="Times New Roman"/>
        </w:rPr>
        <w:t>its</w:t>
      </w:r>
      <w:r w:rsidR="004A0D83" w:rsidRPr="00145A9B">
        <w:rPr>
          <w:rFonts w:cs="Times New Roman"/>
        </w:rPr>
        <w:t xml:space="preserve"> projects. </w:t>
      </w:r>
    </w:p>
    <w:p w14:paraId="5C4FCF70" w14:textId="77777777" w:rsidR="00C8366A" w:rsidRPr="00145A9B" w:rsidRDefault="007D67F6" w:rsidP="00C24D3A">
      <w:pPr>
        <w:spacing w:after="200" w:line="360" w:lineRule="auto"/>
        <w:jc w:val="left"/>
        <w:rPr>
          <w:rFonts w:cs="Times New Roman"/>
          <w:sz w:val="28"/>
          <w:lang w:val="en-US"/>
        </w:rPr>
      </w:pPr>
      <w:r w:rsidRPr="00145A9B">
        <w:rPr>
          <w:rFonts w:cs="Times New Roman"/>
          <w:sz w:val="28"/>
          <w:lang w:val="en-US"/>
        </w:rPr>
        <w:br w:type="page"/>
      </w:r>
    </w:p>
    <w:p w14:paraId="7CD5E9E7" w14:textId="1808C137" w:rsidR="00C8366A" w:rsidRPr="00145A9B" w:rsidRDefault="007D67F6" w:rsidP="00CC30E4">
      <w:pPr>
        <w:pStyle w:val="Heading1"/>
        <w:numPr>
          <w:ilvl w:val="0"/>
          <w:numId w:val="3"/>
        </w:numPr>
        <w:spacing w:line="360" w:lineRule="auto"/>
        <w:rPr>
          <w:rFonts w:cs="Times New Roman"/>
          <w:szCs w:val="24"/>
        </w:rPr>
      </w:pPr>
      <w:bookmarkStart w:id="1" w:name="_Toc101815078"/>
      <w:r w:rsidRPr="00145A9B">
        <w:rPr>
          <w:rFonts w:cs="Times New Roman"/>
        </w:rPr>
        <w:lastRenderedPageBreak/>
        <w:t xml:space="preserve">Analysis and evaluation of the corporation's </w:t>
      </w:r>
      <w:r w:rsidRPr="00145A9B">
        <w:rPr>
          <w:rFonts w:cs="Times New Roman"/>
          <w:szCs w:val="24"/>
        </w:rPr>
        <w:t>dividend distribution policy</w:t>
      </w:r>
      <w:bookmarkEnd w:id="1"/>
    </w:p>
    <w:p w14:paraId="357B4A8A" w14:textId="697F5680" w:rsidR="00360C2A" w:rsidRPr="00145A9B" w:rsidRDefault="007D67F6" w:rsidP="00145A9B">
      <w:pPr>
        <w:spacing w:line="360" w:lineRule="auto"/>
        <w:ind w:firstLine="720"/>
        <w:rPr>
          <w:rFonts w:cs="Times New Roman"/>
        </w:rPr>
      </w:pPr>
      <w:r w:rsidRPr="00145A9B">
        <w:rPr>
          <w:rFonts w:cs="Times New Roman"/>
          <w:lang w:val="en-US"/>
        </w:rPr>
        <w:t xml:space="preserve">The success of a business is prominently dependent on the </w:t>
      </w:r>
      <w:r w:rsidR="00F920CC" w:rsidRPr="00145A9B">
        <w:rPr>
          <w:rFonts w:cs="Times New Roman"/>
          <w:lang w:val="en-US"/>
        </w:rPr>
        <w:t>value it creates for its stakeholders</w:t>
      </w:r>
      <w:r w:rsidR="00824A3F" w:rsidRPr="00145A9B">
        <w:rPr>
          <w:rFonts w:cs="Times New Roman"/>
          <w:lang w:val="en-US"/>
        </w:rPr>
        <w:t xml:space="preserve">. Such value creation </w:t>
      </w:r>
      <w:r w:rsidR="00145A9B" w:rsidRPr="00145A9B">
        <w:rPr>
          <w:rFonts w:cs="Times New Roman"/>
          <w:lang w:val="en-US"/>
        </w:rPr>
        <w:t>must</w:t>
      </w:r>
      <w:r w:rsidR="00824A3F" w:rsidRPr="00145A9B">
        <w:rPr>
          <w:rFonts w:cs="Times New Roman"/>
          <w:lang w:val="en-US"/>
        </w:rPr>
        <w:t xml:space="preserve"> be mainly based on </w:t>
      </w:r>
      <w:r w:rsidR="005879FA" w:rsidRPr="00145A9B">
        <w:rPr>
          <w:rFonts w:cs="Times New Roman"/>
          <w:lang w:val="en-US"/>
        </w:rPr>
        <w:t xml:space="preserve">ethics and morals, thereby improving the low </w:t>
      </w:r>
      <w:proofErr w:type="gramStart"/>
      <w:r w:rsidR="005879FA" w:rsidRPr="00145A9B">
        <w:rPr>
          <w:rFonts w:cs="Times New Roman"/>
          <w:lang w:val="en-US"/>
        </w:rPr>
        <w:t>standards</w:t>
      </w:r>
      <w:proofErr w:type="gramEnd"/>
      <w:r w:rsidR="005879FA" w:rsidRPr="00145A9B">
        <w:rPr>
          <w:rFonts w:cs="Times New Roman"/>
          <w:lang w:val="en-US"/>
        </w:rPr>
        <w:t xml:space="preserve"> and building up efficiency. </w:t>
      </w:r>
      <w:r w:rsidR="00145A9B" w:rsidRPr="00145A9B">
        <w:rPr>
          <w:rFonts w:cs="Times New Roman"/>
          <w:lang w:val="en-US"/>
        </w:rPr>
        <w:t>T</w:t>
      </w:r>
      <w:r w:rsidR="005879FA" w:rsidRPr="00145A9B">
        <w:rPr>
          <w:rFonts w:cs="Times New Roman"/>
          <w:lang w:val="en-US"/>
        </w:rPr>
        <w:t xml:space="preserve">hese are guided </w:t>
      </w:r>
      <w:r w:rsidR="00145A9B" w:rsidRPr="00145A9B">
        <w:rPr>
          <w:rFonts w:cs="Times New Roman"/>
          <w:lang w:val="en-US"/>
        </w:rPr>
        <w:t>by</w:t>
      </w:r>
      <w:r w:rsidR="00C24D8B" w:rsidRPr="00145A9B">
        <w:rPr>
          <w:rFonts w:cs="Times New Roman"/>
          <w:lang w:val="en-US"/>
        </w:rPr>
        <w:t xml:space="preserve"> the stakeholder t</w:t>
      </w:r>
      <w:r w:rsidRPr="00145A9B">
        <w:rPr>
          <w:rFonts w:cs="Times New Roman"/>
          <w:lang w:val="en-US"/>
        </w:rPr>
        <w:t xml:space="preserve">heory </w:t>
      </w:r>
      <w:r w:rsidR="002C1BBF" w:rsidRPr="00145A9B">
        <w:rPr>
          <w:rFonts w:cs="Times New Roman"/>
          <w:lang w:val="en-US"/>
        </w:rPr>
        <w:t>(</w:t>
      </w:r>
      <w:r w:rsidR="002C1BBF" w:rsidRPr="00CC30E4">
        <w:rPr>
          <w:rFonts w:cs="Times New Roman"/>
          <w:i/>
          <w:iCs/>
        </w:rPr>
        <w:t>Harrison et al., 2019</w:t>
      </w:r>
      <w:r w:rsidR="002C1BBF" w:rsidRPr="00145A9B">
        <w:rPr>
          <w:rFonts w:cs="Times New Roman"/>
        </w:rPr>
        <w:t xml:space="preserve">). </w:t>
      </w:r>
      <w:r w:rsidR="00A13EFF" w:rsidRPr="00145A9B">
        <w:rPr>
          <w:rFonts w:cs="Times New Roman"/>
        </w:rPr>
        <w:t xml:space="preserve">The shareholders are counted as one of the </w:t>
      </w:r>
      <w:r w:rsidR="00AC1C04" w:rsidRPr="00145A9B">
        <w:rPr>
          <w:rFonts w:cs="Times New Roman"/>
        </w:rPr>
        <w:t xml:space="preserve">key stakeholders of IBM. </w:t>
      </w:r>
      <w:r w:rsidR="00AF7F76" w:rsidRPr="00145A9B">
        <w:rPr>
          <w:rFonts w:cs="Times New Roman"/>
        </w:rPr>
        <w:t>This multinational corporation serves its shareholders with a</w:t>
      </w:r>
      <w:r w:rsidR="00145A9B" w:rsidRPr="00145A9B">
        <w:rPr>
          <w:rFonts w:cs="Times New Roman"/>
        </w:rPr>
        <w:t xml:space="preserve"> compelling</w:t>
      </w:r>
      <w:r w:rsidR="00CD1F9B" w:rsidRPr="00145A9B">
        <w:rPr>
          <w:rFonts w:cs="Times New Roman"/>
        </w:rPr>
        <w:t xml:space="preserve"> dividend distribution policy in place. The dividend distribution policy can be understood as the </w:t>
      </w:r>
      <w:r w:rsidR="00072F34" w:rsidRPr="00145A9B">
        <w:rPr>
          <w:rFonts w:cs="Times New Roman"/>
        </w:rPr>
        <w:t xml:space="preserve">policy formulated with </w:t>
      </w:r>
      <w:r w:rsidR="00F70C94" w:rsidRPr="00145A9B">
        <w:rPr>
          <w:rFonts w:cs="Times New Roman"/>
        </w:rPr>
        <w:t>respect</w:t>
      </w:r>
      <w:r w:rsidR="00072F34" w:rsidRPr="00145A9B">
        <w:rPr>
          <w:rFonts w:cs="Times New Roman"/>
        </w:rPr>
        <w:t xml:space="preserve"> to </w:t>
      </w:r>
      <w:r w:rsidR="00121A20" w:rsidRPr="00145A9B">
        <w:rPr>
          <w:rFonts w:cs="Times New Roman"/>
        </w:rPr>
        <w:t xml:space="preserve">the distribution of a company's profits with the shareholders in the form of cash. </w:t>
      </w:r>
      <w:r w:rsidR="00256A38" w:rsidRPr="00145A9B">
        <w:rPr>
          <w:rFonts w:cs="Times New Roman"/>
        </w:rPr>
        <w:t>This policy comprises two key elements</w:t>
      </w:r>
      <w:r w:rsidR="00145A9B" w:rsidRPr="00145A9B">
        <w:rPr>
          <w:rFonts w:cs="Times New Roman"/>
        </w:rPr>
        <w:t>: the first concerns the decision to share</w:t>
      </w:r>
      <w:r w:rsidR="00554C22" w:rsidRPr="00145A9B">
        <w:rPr>
          <w:rFonts w:cs="Times New Roman"/>
        </w:rPr>
        <w:t xml:space="preserve"> the profits with the shareholders</w:t>
      </w:r>
      <w:r w:rsidR="00145A9B" w:rsidRPr="00145A9B">
        <w:rPr>
          <w:rFonts w:cs="Times New Roman"/>
        </w:rPr>
        <w:t>. In contrast,</w:t>
      </w:r>
      <w:r w:rsidR="00554C22" w:rsidRPr="00145A9B">
        <w:rPr>
          <w:rFonts w:cs="Times New Roman"/>
        </w:rPr>
        <w:t xml:space="preserve"> the second one is the </w:t>
      </w:r>
      <w:r w:rsidR="003136DE" w:rsidRPr="00145A9B">
        <w:rPr>
          <w:rFonts w:cs="Times New Roman"/>
        </w:rPr>
        <w:t>retention of profits in the business itself (</w:t>
      </w:r>
      <w:proofErr w:type="spellStart"/>
      <w:r w:rsidR="00CC30E4" w:rsidRPr="00CC30E4">
        <w:rPr>
          <w:rFonts w:cs="Times New Roman"/>
          <w:i/>
          <w:iCs/>
        </w:rPr>
        <w:t>Kanakriyah</w:t>
      </w:r>
      <w:proofErr w:type="spellEnd"/>
      <w:r w:rsidR="003136DE" w:rsidRPr="00CC30E4">
        <w:rPr>
          <w:rFonts w:cs="Times New Roman"/>
          <w:i/>
          <w:iCs/>
        </w:rPr>
        <w:t>, 2020</w:t>
      </w:r>
      <w:r w:rsidR="003136DE" w:rsidRPr="00145A9B">
        <w:rPr>
          <w:rFonts w:cs="Times New Roman"/>
        </w:rPr>
        <w:t xml:space="preserve">). </w:t>
      </w:r>
    </w:p>
    <w:p w14:paraId="0EB3A5B4" w14:textId="77777777" w:rsidR="00CC30E4" w:rsidRDefault="00145A9B" w:rsidP="00CC30E4">
      <w:pPr>
        <w:spacing w:line="360" w:lineRule="auto"/>
        <w:ind w:firstLine="720"/>
        <w:rPr>
          <w:rFonts w:cs="Times New Roman"/>
        </w:rPr>
      </w:pPr>
      <w:r w:rsidRPr="00145A9B">
        <w:rPr>
          <w:rFonts w:cs="Times New Roman"/>
        </w:rPr>
        <w:t>Different forms of dividends</w:t>
      </w:r>
      <w:r w:rsidR="007D67F6" w:rsidRPr="00145A9B">
        <w:rPr>
          <w:rFonts w:cs="Times New Roman"/>
        </w:rPr>
        <w:t xml:space="preserve"> can be distributed</w:t>
      </w:r>
      <w:r w:rsidR="008A419C" w:rsidRPr="00145A9B">
        <w:rPr>
          <w:rFonts w:cs="Times New Roman"/>
        </w:rPr>
        <w:t xml:space="preserve"> to the shareholders</w:t>
      </w:r>
      <w:r w:rsidR="007D67F6" w:rsidRPr="00145A9B">
        <w:rPr>
          <w:rFonts w:cs="Times New Roman"/>
        </w:rPr>
        <w:t>.</w:t>
      </w:r>
      <w:r w:rsidR="00845DDA" w:rsidRPr="00145A9B">
        <w:rPr>
          <w:rFonts w:cs="Times New Roman"/>
        </w:rPr>
        <w:t xml:space="preserve"> A cash dividend is the most common form of dividend distribution where </w:t>
      </w:r>
      <w:r w:rsidR="0072071C" w:rsidRPr="00145A9B">
        <w:rPr>
          <w:rFonts w:cs="Times New Roman"/>
        </w:rPr>
        <w:t xml:space="preserve">profits are distributed on each share in a pre-decided proportion. </w:t>
      </w:r>
      <w:r w:rsidR="00C90F31" w:rsidRPr="00145A9B">
        <w:rPr>
          <w:rFonts w:cs="Times New Roman"/>
        </w:rPr>
        <w:t>The</w:t>
      </w:r>
      <w:r w:rsidR="00B1483D" w:rsidRPr="00145A9B">
        <w:rPr>
          <w:rFonts w:cs="Times New Roman"/>
        </w:rPr>
        <w:t xml:space="preserve"> scrip dividends are another form where a certificate of dividend is issued mentioning the amount of dividend </w:t>
      </w:r>
      <w:r w:rsidR="00C90F31" w:rsidRPr="00145A9B">
        <w:rPr>
          <w:rFonts w:cs="Times New Roman"/>
        </w:rPr>
        <w:t>instead</w:t>
      </w:r>
      <w:r w:rsidR="00B1483D" w:rsidRPr="00145A9B">
        <w:rPr>
          <w:rFonts w:cs="Times New Roman"/>
        </w:rPr>
        <w:t xml:space="preserve"> of cash</w:t>
      </w:r>
      <w:r w:rsidR="00C90F31" w:rsidRPr="00145A9B">
        <w:rPr>
          <w:rFonts w:cs="Times New Roman"/>
        </w:rPr>
        <w:t xml:space="preserve"> which can be redeemed later to obtain either profits or additional shares (</w:t>
      </w:r>
      <w:proofErr w:type="spellStart"/>
      <w:r w:rsidR="00CC30E4" w:rsidRPr="00CC30E4">
        <w:rPr>
          <w:rFonts w:cs="Times New Roman"/>
          <w:i/>
          <w:iCs/>
        </w:rPr>
        <w:t>Kanakriyah</w:t>
      </w:r>
      <w:proofErr w:type="spellEnd"/>
      <w:r w:rsidR="00C90F31" w:rsidRPr="00145A9B">
        <w:rPr>
          <w:rFonts w:cs="Times New Roman"/>
        </w:rPr>
        <w:t xml:space="preserve">, </w:t>
      </w:r>
      <w:r w:rsidR="00C90F31" w:rsidRPr="00CC30E4">
        <w:rPr>
          <w:rFonts w:cs="Times New Roman"/>
          <w:i/>
          <w:iCs/>
        </w:rPr>
        <w:t>2020</w:t>
      </w:r>
      <w:r w:rsidR="00C90F31" w:rsidRPr="00145A9B">
        <w:rPr>
          <w:rFonts w:cs="Times New Roman"/>
        </w:rPr>
        <w:t xml:space="preserve">). </w:t>
      </w:r>
    </w:p>
    <w:p w14:paraId="633A2BEC" w14:textId="77777777" w:rsidR="00CC30E4" w:rsidRDefault="002445AF" w:rsidP="00CC30E4">
      <w:pPr>
        <w:spacing w:line="360" w:lineRule="auto"/>
        <w:ind w:firstLine="720"/>
        <w:rPr>
          <w:rFonts w:cs="Times New Roman"/>
        </w:rPr>
      </w:pPr>
      <w:r w:rsidRPr="00145A9B">
        <w:rPr>
          <w:rFonts w:cs="Times New Roman"/>
        </w:rPr>
        <w:t xml:space="preserve">The non-cash dividends include the payment of the </w:t>
      </w:r>
      <w:r w:rsidR="00145A9B" w:rsidRPr="00145A9B">
        <w:rPr>
          <w:rFonts w:cs="Times New Roman"/>
        </w:rPr>
        <w:t>dividend amount</w:t>
      </w:r>
      <w:r w:rsidRPr="00145A9B">
        <w:rPr>
          <w:rFonts w:cs="Times New Roman"/>
        </w:rPr>
        <w:t xml:space="preserve"> in the form of the issue of new shares. </w:t>
      </w:r>
      <w:r w:rsidR="00A346C8" w:rsidRPr="00145A9B">
        <w:rPr>
          <w:rFonts w:cs="Times New Roman"/>
        </w:rPr>
        <w:t xml:space="preserve">Shares split is another </w:t>
      </w:r>
      <w:r w:rsidR="00145A9B" w:rsidRPr="00145A9B">
        <w:rPr>
          <w:rFonts w:cs="Times New Roman"/>
        </w:rPr>
        <w:t xml:space="preserve">form where the existing stocks are split to increase the number of shares issued, which reduces the </w:t>
      </w:r>
      <w:proofErr w:type="gramStart"/>
      <w:r w:rsidR="00145A9B" w:rsidRPr="00145A9B">
        <w:rPr>
          <w:rFonts w:cs="Times New Roman"/>
        </w:rPr>
        <w:t>amount</w:t>
      </w:r>
      <w:proofErr w:type="gramEnd"/>
      <w:r w:rsidR="00145A9B" w:rsidRPr="00145A9B">
        <w:rPr>
          <w:rFonts w:cs="Times New Roman"/>
        </w:rPr>
        <w:t xml:space="preserve"> of dividends</w:t>
      </w:r>
      <w:r w:rsidR="00F00ADE" w:rsidRPr="00145A9B">
        <w:rPr>
          <w:rFonts w:cs="Times New Roman"/>
        </w:rPr>
        <w:t xml:space="preserve"> (</w:t>
      </w:r>
      <w:proofErr w:type="spellStart"/>
      <w:r w:rsidR="00CC30E4" w:rsidRPr="00CC30E4">
        <w:rPr>
          <w:rFonts w:cs="Times New Roman"/>
          <w:i/>
          <w:iCs/>
        </w:rPr>
        <w:t>Kanakriyah</w:t>
      </w:r>
      <w:proofErr w:type="spellEnd"/>
      <w:r w:rsidR="00F00ADE" w:rsidRPr="00145A9B">
        <w:rPr>
          <w:rFonts w:cs="Times New Roman"/>
        </w:rPr>
        <w:t xml:space="preserve">, </w:t>
      </w:r>
      <w:r w:rsidR="00F00ADE" w:rsidRPr="00CC30E4">
        <w:rPr>
          <w:rFonts w:cs="Times New Roman"/>
          <w:i/>
          <w:iCs/>
        </w:rPr>
        <w:t>2020</w:t>
      </w:r>
      <w:r w:rsidR="00F00ADE" w:rsidRPr="00145A9B">
        <w:rPr>
          <w:rFonts w:cs="Times New Roman"/>
        </w:rPr>
        <w:t>).</w:t>
      </w:r>
    </w:p>
    <w:p w14:paraId="55E76147" w14:textId="14388BB2" w:rsidR="0079449A" w:rsidRPr="00145A9B" w:rsidRDefault="00EE2970" w:rsidP="00CC30E4">
      <w:pPr>
        <w:spacing w:line="360" w:lineRule="auto"/>
        <w:ind w:firstLine="720"/>
        <w:rPr>
          <w:rFonts w:cs="Times New Roman"/>
        </w:rPr>
      </w:pPr>
      <w:r w:rsidRPr="00145A9B">
        <w:rPr>
          <w:rFonts w:cs="Times New Roman"/>
        </w:rPr>
        <w:t xml:space="preserve"> Buyback of shares or reverse </w:t>
      </w:r>
      <w:r w:rsidR="00C7293C" w:rsidRPr="00145A9B">
        <w:rPr>
          <w:rFonts w:cs="Times New Roman"/>
        </w:rPr>
        <w:t xml:space="preserve">stock split dividend policy </w:t>
      </w:r>
      <w:r w:rsidR="0084019E" w:rsidRPr="00145A9B">
        <w:rPr>
          <w:rFonts w:cs="Times New Roman"/>
        </w:rPr>
        <w:t xml:space="preserve">is done to reduce the number of shares outstanding in the market so that </w:t>
      </w:r>
      <w:r w:rsidR="00AA06F0" w:rsidRPr="00145A9B">
        <w:rPr>
          <w:rFonts w:cs="Times New Roman"/>
        </w:rPr>
        <w:t xml:space="preserve">dividend is payable on the reduced number of shares. Lastly, quality distributions and bond dividends are </w:t>
      </w:r>
      <w:r w:rsidR="000A3AB4" w:rsidRPr="00145A9B">
        <w:rPr>
          <w:rFonts w:cs="Times New Roman"/>
        </w:rPr>
        <w:t>such policies where the company distributes its investments, bonds, goods, etc.</w:t>
      </w:r>
      <w:r w:rsidR="00145A9B" w:rsidRPr="00145A9B">
        <w:rPr>
          <w:rFonts w:cs="Times New Roman"/>
        </w:rPr>
        <w:t>,</w:t>
      </w:r>
      <w:r w:rsidR="000A3AB4" w:rsidRPr="00145A9B">
        <w:rPr>
          <w:rFonts w:cs="Times New Roman"/>
        </w:rPr>
        <w:t xml:space="preserve"> in the form of dividends (</w:t>
      </w:r>
      <w:proofErr w:type="spellStart"/>
      <w:r w:rsidR="00CC30E4" w:rsidRPr="00CC30E4">
        <w:rPr>
          <w:rFonts w:cs="Times New Roman"/>
          <w:i/>
          <w:iCs/>
        </w:rPr>
        <w:t>Kanakriyah</w:t>
      </w:r>
      <w:proofErr w:type="spellEnd"/>
      <w:r w:rsidR="000A3AB4" w:rsidRPr="00145A9B">
        <w:rPr>
          <w:rFonts w:cs="Times New Roman"/>
        </w:rPr>
        <w:t xml:space="preserve">, </w:t>
      </w:r>
      <w:r w:rsidR="000A3AB4" w:rsidRPr="00CC30E4">
        <w:rPr>
          <w:rFonts w:cs="Times New Roman"/>
          <w:i/>
          <w:iCs/>
        </w:rPr>
        <w:t>2020</w:t>
      </w:r>
      <w:r w:rsidR="000A3AB4" w:rsidRPr="00145A9B">
        <w:rPr>
          <w:rFonts w:cs="Times New Roman"/>
        </w:rPr>
        <w:t>).</w:t>
      </w:r>
    </w:p>
    <w:p w14:paraId="288BD622" w14:textId="77777777" w:rsidR="008A419C" w:rsidRPr="00145A9B" w:rsidRDefault="007D67F6" w:rsidP="00C24D3A">
      <w:pPr>
        <w:spacing w:line="360" w:lineRule="auto"/>
        <w:jc w:val="center"/>
        <w:rPr>
          <w:rFonts w:cs="Times New Roman"/>
        </w:rPr>
      </w:pPr>
      <w:r w:rsidRPr="00145A9B">
        <w:rPr>
          <w:rFonts w:cs="Times New Roman"/>
          <w:noProof/>
          <w:lang w:val="en-US"/>
        </w:rPr>
        <w:lastRenderedPageBreak/>
        <w:drawing>
          <wp:inline distT="0" distB="0" distL="0" distR="0" wp14:anchorId="38742E95" wp14:editId="5C2BE9E3">
            <wp:extent cx="5479548" cy="2254102"/>
            <wp:effectExtent l="0" t="0" r="6413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7A29B10" w14:textId="77777777" w:rsidR="00845DDA" w:rsidRPr="00145A9B" w:rsidRDefault="007D67F6" w:rsidP="00C24D3A">
      <w:pPr>
        <w:spacing w:line="360" w:lineRule="auto"/>
        <w:jc w:val="center"/>
        <w:rPr>
          <w:rFonts w:cs="Times New Roman"/>
        </w:rPr>
      </w:pPr>
      <w:r w:rsidRPr="00145A9B">
        <w:rPr>
          <w:rFonts w:cs="Times New Roman"/>
        </w:rPr>
        <w:t>Figure: Different forms of dividends</w:t>
      </w:r>
    </w:p>
    <w:p w14:paraId="54237DF1" w14:textId="7EE43625" w:rsidR="00845DDA" w:rsidRPr="00145A9B" w:rsidRDefault="007D67F6" w:rsidP="00C24D3A">
      <w:pPr>
        <w:spacing w:line="360" w:lineRule="auto"/>
        <w:jc w:val="center"/>
        <w:rPr>
          <w:rFonts w:cs="Times New Roman"/>
        </w:rPr>
      </w:pPr>
      <w:r w:rsidRPr="00145A9B">
        <w:rPr>
          <w:rFonts w:cs="Times New Roman"/>
        </w:rPr>
        <w:t xml:space="preserve">Source: </w:t>
      </w:r>
      <w:r w:rsidR="00CC30E4">
        <w:rPr>
          <w:rFonts w:cs="Times New Roman"/>
        </w:rPr>
        <w:t>Created by learner</w:t>
      </w:r>
    </w:p>
    <w:p w14:paraId="70A36B2D" w14:textId="295107B3" w:rsidR="00A92D77" w:rsidRPr="00145A9B" w:rsidRDefault="007D67F6" w:rsidP="00CC30E4">
      <w:pPr>
        <w:spacing w:line="360" w:lineRule="auto"/>
        <w:ind w:firstLine="720"/>
        <w:rPr>
          <w:rFonts w:cs="Times New Roman"/>
        </w:rPr>
      </w:pPr>
      <w:r w:rsidRPr="00145A9B">
        <w:rPr>
          <w:rFonts w:cs="Times New Roman"/>
        </w:rPr>
        <w:t>IBM pays dividends to its shareholders each year</w:t>
      </w:r>
      <w:r w:rsidR="00086EA2" w:rsidRPr="00145A9B">
        <w:rPr>
          <w:rFonts w:cs="Times New Roman"/>
        </w:rPr>
        <w:t xml:space="preserve"> quarterly. </w:t>
      </w:r>
      <w:r w:rsidR="001366EA" w:rsidRPr="00145A9B">
        <w:rPr>
          <w:rFonts w:cs="Times New Roman"/>
        </w:rPr>
        <w:t xml:space="preserve">Usually, such payment is made on the tenth of every March, June, </w:t>
      </w:r>
      <w:proofErr w:type="gramStart"/>
      <w:r w:rsidR="001366EA" w:rsidRPr="00145A9B">
        <w:rPr>
          <w:rFonts w:cs="Times New Roman"/>
        </w:rPr>
        <w:t>September</w:t>
      </w:r>
      <w:proofErr w:type="gramEnd"/>
      <w:r w:rsidR="001366EA" w:rsidRPr="00145A9B">
        <w:rPr>
          <w:rFonts w:cs="Times New Roman"/>
        </w:rPr>
        <w:t xml:space="preserve"> and December. These dividends are </w:t>
      </w:r>
      <w:r w:rsidR="00145A9B">
        <w:rPr>
          <w:rFonts w:cs="Times New Roman"/>
        </w:rPr>
        <w:t>typically paid in cash</w:t>
      </w:r>
      <w:r w:rsidR="001D7AA5" w:rsidRPr="00145A9B">
        <w:rPr>
          <w:rFonts w:cs="Times New Roman"/>
        </w:rPr>
        <w:t xml:space="preserve"> to the shareholders holding the shares on the record date</w:t>
      </w:r>
      <w:r w:rsidRPr="00145A9B">
        <w:rPr>
          <w:rFonts w:cs="Times New Roman"/>
        </w:rPr>
        <w:t>, exclusive of the adjustments made with respect to stock splits (</w:t>
      </w:r>
      <w:r w:rsidRPr="00CC30E4">
        <w:rPr>
          <w:rFonts w:cs="Times New Roman"/>
          <w:i/>
          <w:iCs/>
        </w:rPr>
        <w:t>IBM, 2022</w:t>
      </w:r>
      <w:r w:rsidRPr="00145A9B">
        <w:rPr>
          <w:rFonts w:cs="Times New Roman"/>
        </w:rPr>
        <w:t>).</w:t>
      </w:r>
    </w:p>
    <w:p w14:paraId="48539B60" w14:textId="77777777" w:rsidR="00A92D77" w:rsidRPr="00145A9B" w:rsidRDefault="007D67F6" w:rsidP="00C24D3A">
      <w:pPr>
        <w:spacing w:line="360" w:lineRule="auto"/>
        <w:rPr>
          <w:rFonts w:cs="Times New Roman"/>
        </w:rPr>
      </w:pPr>
      <w:r w:rsidRPr="00145A9B">
        <w:rPr>
          <w:rFonts w:cs="Times New Roman"/>
          <w:noProof/>
          <w:lang w:val="en-US"/>
        </w:rPr>
        <w:drawing>
          <wp:inline distT="0" distB="0" distL="0" distR="0" wp14:anchorId="1BB8888D" wp14:editId="115B4FF5">
            <wp:extent cx="5943600" cy="208170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4" cstate="print"/>
                    <a:stretch>
                      <a:fillRect/>
                    </a:stretch>
                  </pic:blipFill>
                  <pic:spPr bwMode="auto">
                    <a:xfrm>
                      <a:off x="0" y="0"/>
                      <a:ext cx="5943600" cy="2081701"/>
                    </a:xfrm>
                    <a:prstGeom prst="rect">
                      <a:avLst/>
                    </a:prstGeom>
                    <a:noFill/>
                    <a:ln w="9525">
                      <a:noFill/>
                      <a:miter lim="800000"/>
                      <a:headEnd/>
                      <a:tailEnd/>
                    </a:ln>
                  </pic:spPr>
                </pic:pic>
              </a:graphicData>
            </a:graphic>
          </wp:inline>
        </w:drawing>
      </w:r>
    </w:p>
    <w:p w14:paraId="4A7C9FCB" w14:textId="77777777" w:rsidR="00252F8F" w:rsidRPr="00145A9B" w:rsidRDefault="007D67F6" w:rsidP="00C24D3A">
      <w:pPr>
        <w:spacing w:line="360" w:lineRule="auto"/>
        <w:jc w:val="center"/>
        <w:rPr>
          <w:rFonts w:cs="Times New Roman"/>
        </w:rPr>
      </w:pPr>
      <w:r w:rsidRPr="00145A9B">
        <w:rPr>
          <w:rFonts w:cs="Times New Roman"/>
        </w:rPr>
        <w:t>Figure: Dividend distribution details of IBM</w:t>
      </w:r>
    </w:p>
    <w:p w14:paraId="2A0B1A7F" w14:textId="77777777" w:rsidR="00252F8F" w:rsidRPr="00145A9B" w:rsidRDefault="007D67F6" w:rsidP="00C24D3A">
      <w:pPr>
        <w:spacing w:line="360" w:lineRule="auto"/>
        <w:jc w:val="center"/>
        <w:rPr>
          <w:rFonts w:cs="Times New Roman"/>
        </w:rPr>
      </w:pPr>
      <w:r w:rsidRPr="00145A9B">
        <w:rPr>
          <w:rFonts w:cs="Times New Roman"/>
        </w:rPr>
        <w:t>Source: IBM, 2022.</w:t>
      </w:r>
    </w:p>
    <w:p w14:paraId="62594A0E" w14:textId="77777777" w:rsidR="00CC30E4" w:rsidRDefault="007D67F6" w:rsidP="00CC30E4">
      <w:pPr>
        <w:spacing w:line="360" w:lineRule="auto"/>
        <w:ind w:firstLine="720"/>
        <w:rPr>
          <w:rFonts w:cs="Times New Roman"/>
        </w:rPr>
      </w:pPr>
      <w:r w:rsidRPr="00145A9B">
        <w:rPr>
          <w:rFonts w:cs="Times New Roman"/>
        </w:rPr>
        <w:t xml:space="preserve">This record date is established by the board of directors of IBM </w:t>
      </w:r>
      <w:r w:rsidR="007557F9" w:rsidRPr="00145A9B">
        <w:rPr>
          <w:rFonts w:cs="Times New Roman"/>
        </w:rPr>
        <w:t>while making decisions concerning dividend declaration</w:t>
      </w:r>
      <w:r w:rsidR="00A92D77" w:rsidRPr="00145A9B">
        <w:rPr>
          <w:rFonts w:cs="Times New Roman"/>
        </w:rPr>
        <w:t>.</w:t>
      </w:r>
      <w:r w:rsidR="00960C3D" w:rsidRPr="00145A9B">
        <w:rPr>
          <w:rFonts w:cs="Times New Roman"/>
        </w:rPr>
        <w:t xml:space="preserve"> </w:t>
      </w:r>
      <w:r w:rsidR="00D30F77" w:rsidRPr="00145A9B">
        <w:rPr>
          <w:rFonts w:cs="Times New Roman"/>
        </w:rPr>
        <w:t xml:space="preserve">The organisation directly deposits the amount of the dividend in </w:t>
      </w:r>
      <w:r w:rsidR="00D30F77" w:rsidRPr="00145A9B">
        <w:rPr>
          <w:rFonts w:cs="Times New Roman"/>
        </w:rPr>
        <w:lastRenderedPageBreak/>
        <w:t xml:space="preserve">the </w:t>
      </w:r>
      <w:r w:rsidR="00D97CDA" w:rsidRPr="00145A9B">
        <w:rPr>
          <w:rFonts w:cs="Times New Roman"/>
        </w:rPr>
        <w:t>respective designated bank</w:t>
      </w:r>
      <w:r w:rsidR="00D30F77" w:rsidRPr="00145A9B">
        <w:rPr>
          <w:rFonts w:cs="Times New Roman"/>
        </w:rPr>
        <w:t xml:space="preserve"> accounts of the shareholders</w:t>
      </w:r>
      <w:r w:rsidR="00145A9B">
        <w:rPr>
          <w:rFonts w:cs="Times New Roman"/>
        </w:rPr>
        <w:t>. It</w:t>
      </w:r>
      <w:r w:rsidR="00E53CBF" w:rsidRPr="00145A9B">
        <w:rPr>
          <w:rFonts w:cs="Times New Roman"/>
        </w:rPr>
        <w:t xml:space="preserve"> even provides the option of reinvestment of dividends </w:t>
      </w:r>
      <w:r w:rsidR="003A40B1" w:rsidRPr="00145A9B">
        <w:rPr>
          <w:rFonts w:cs="Times New Roman"/>
        </w:rPr>
        <w:t>to purchase additional shares of the business later (</w:t>
      </w:r>
      <w:r w:rsidR="003A40B1" w:rsidRPr="00CC30E4">
        <w:rPr>
          <w:rFonts w:cs="Times New Roman"/>
          <w:i/>
          <w:iCs/>
        </w:rPr>
        <w:t>IBM, 2022).</w:t>
      </w:r>
      <w:r w:rsidR="00BB7E50" w:rsidRPr="00145A9B">
        <w:rPr>
          <w:rFonts w:cs="Times New Roman"/>
        </w:rPr>
        <w:t xml:space="preserve"> </w:t>
      </w:r>
    </w:p>
    <w:p w14:paraId="07043542" w14:textId="2B4A7438" w:rsidR="00845DDA" w:rsidRPr="00145A9B" w:rsidRDefault="00BB7E50" w:rsidP="00CC30E4">
      <w:pPr>
        <w:spacing w:line="360" w:lineRule="auto"/>
        <w:ind w:firstLine="720"/>
        <w:rPr>
          <w:rFonts w:cs="Times New Roman"/>
        </w:rPr>
      </w:pPr>
      <w:r w:rsidRPr="00145A9B">
        <w:rPr>
          <w:rFonts w:cs="Times New Roman"/>
        </w:rPr>
        <w:t>All these are a part of IBM</w:t>
      </w:r>
      <w:r w:rsidR="00145A9B" w:rsidRPr="00145A9B">
        <w:rPr>
          <w:rFonts w:cs="Times New Roman"/>
        </w:rPr>
        <w:t>'</w:t>
      </w:r>
      <w:r w:rsidRPr="00145A9B">
        <w:rPr>
          <w:rFonts w:cs="Times New Roman"/>
        </w:rPr>
        <w:t>s dividend policy</w:t>
      </w:r>
      <w:r w:rsidR="00032DFD" w:rsidRPr="00145A9B">
        <w:rPr>
          <w:rFonts w:cs="Times New Roman"/>
        </w:rPr>
        <w:t xml:space="preserve">. The latest </w:t>
      </w:r>
      <w:r w:rsidR="006C7CEF" w:rsidRPr="00145A9B">
        <w:rPr>
          <w:rFonts w:cs="Times New Roman"/>
        </w:rPr>
        <w:t>dividend date of IBM was 9 March 2022</w:t>
      </w:r>
      <w:r w:rsidR="00145A9B">
        <w:rPr>
          <w:rFonts w:cs="Times New Roman"/>
        </w:rPr>
        <w:t>,</w:t>
      </w:r>
      <w:r w:rsidR="006C7CEF" w:rsidRPr="00145A9B">
        <w:rPr>
          <w:rFonts w:cs="Times New Roman"/>
        </w:rPr>
        <w:t xml:space="preserve"> and its annual dividend rate has been determined to be $6.56 per share </w:t>
      </w:r>
      <w:r w:rsidR="000C10F3" w:rsidRPr="00145A9B">
        <w:rPr>
          <w:rFonts w:cs="Times New Roman"/>
        </w:rPr>
        <w:t>with a yield rate of 5.14% (</w:t>
      </w:r>
      <w:r w:rsidR="000C10F3" w:rsidRPr="00CC30E4">
        <w:rPr>
          <w:rFonts w:cs="Times New Roman"/>
          <w:i/>
          <w:iCs/>
        </w:rPr>
        <w:t>Yahoo Finance, 2022</w:t>
      </w:r>
      <w:r w:rsidR="000C10F3" w:rsidRPr="00145A9B">
        <w:rPr>
          <w:rFonts w:cs="Times New Roman"/>
        </w:rPr>
        <w:t xml:space="preserve">). </w:t>
      </w:r>
    </w:p>
    <w:p w14:paraId="477BE484" w14:textId="77777777" w:rsidR="000F0D8A" w:rsidRPr="00145A9B" w:rsidRDefault="007D67F6" w:rsidP="00C24D3A">
      <w:pPr>
        <w:spacing w:line="360" w:lineRule="auto"/>
        <w:jc w:val="center"/>
        <w:rPr>
          <w:rFonts w:cs="Times New Roman"/>
        </w:rPr>
      </w:pPr>
      <w:r w:rsidRPr="00145A9B">
        <w:rPr>
          <w:rFonts w:cs="Times New Roman"/>
          <w:noProof/>
          <w:lang w:val="en-US"/>
        </w:rPr>
        <w:drawing>
          <wp:inline distT="0" distB="0" distL="0" distR="0" wp14:anchorId="77172F76" wp14:editId="4F84AA51">
            <wp:extent cx="3955415" cy="3083560"/>
            <wp:effectExtent l="19050" t="0" r="698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5" cstate="print"/>
                    <a:stretch>
                      <a:fillRect/>
                    </a:stretch>
                  </pic:blipFill>
                  <pic:spPr bwMode="auto">
                    <a:xfrm>
                      <a:off x="0" y="0"/>
                      <a:ext cx="3955415" cy="3083560"/>
                    </a:xfrm>
                    <a:prstGeom prst="rect">
                      <a:avLst/>
                    </a:prstGeom>
                    <a:noFill/>
                    <a:ln w="9525">
                      <a:noFill/>
                      <a:miter lim="800000"/>
                      <a:headEnd/>
                      <a:tailEnd/>
                    </a:ln>
                  </pic:spPr>
                </pic:pic>
              </a:graphicData>
            </a:graphic>
          </wp:inline>
        </w:drawing>
      </w:r>
    </w:p>
    <w:p w14:paraId="76FA76FD" w14:textId="77777777" w:rsidR="000C10F3" w:rsidRPr="00145A9B" w:rsidRDefault="007D67F6" w:rsidP="00C24D3A">
      <w:pPr>
        <w:spacing w:line="360" w:lineRule="auto"/>
        <w:jc w:val="center"/>
        <w:rPr>
          <w:rFonts w:cs="Times New Roman"/>
        </w:rPr>
      </w:pPr>
      <w:r w:rsidRPr="00145A9B">
        <w:rPr>
          <w:rFonts w:cs="Times New Roman"/>
        </w:rPr>
        <w:t>Figure: Latest dividend and split details of IBM</w:t>
      </w:r>
    </w:p>
    <w:p w14:paraId="01B3BC5A" w14:textId="77777777" w:rsidR="000C10F3" w:rsidRPr="00145A9B" w:rsidRDefault="007D67F6" w:rsidP="00C24D3A">
      <w:pPr>
        <w:spacing w:line="360" w:lineRule="auto"/>
        <w:jc w:val="center"/>
        <w:rPr>
          <w:rFonts w:cs="Times New Roman"/>
        </w:rPr>
      </w:pPr>
      <w:r w:rsidRPr="00145A9B">
        <w:rPr>
          <w:rFonts w:cs="Times New Roman"/>
        </w:rPr>
        <w:t xml:space="preserve">Source: </w:t>
      </w:r>
      <w:r w:rsidR="00130365" w:rsidRPr="00145A9B">
        <w:rPr>
          <w:rFonts w:cs="Times New Roman"/>
        </w:rPr>
        <w:t>Yahoo Finance, 2022</w:t>
      </w:r>
      <w:r w:rsidRPr="00145A9B">
        <w:rPr>
          <w:rFonts w:cs="Times New Roman"/>
        </w:rPr>
        <w:t>.</w:t>
      </w:r>
    </w:p>
    <w:p w14:paraId="674D86A9" w14:textId="77777777" w:rsidR="000C10F3" w:rsidRPr="00145A9B" w:rsidRDefault="000C10F3" w:rsidP="00C24D3A">
      <w:pPr>
        <w:spacing w:line="360" w:lineRule="auto"/>
        <w:rPr>
          <w:rFonts w:cs="Times New Roman"/>
        </w:rPr>
      </w:pPr>
    </w:p>
    <w:p w14:paraId="2433E38E" w14:textId="77777777" w:rsidR="004A0D83" w:rsidRPr="00145A9B" w:rsidRDefault="004A0D83" w:rsidP="00C24D3A">
      <w:pPr>
        <w:spacing w:after="200" w:line="360" w:lineRule="auto"/>
        <w:jc w:val="left"/>
        <w:rPr>
          <w:rFonts w:cs="Times New Roman"/>
          <w:lang w:val="en-US"/>
        </w:rPr>
      </w:pPr>
      <w:r w:rsidRPr="00145A9B">
        <w:rPr>
          <w:rFonts w:cs="Times New Roman"/>
          <w:lang w:val="en-US"/>
        </w:rPr>
        <w:br w:type="page"/>
      </w:r>
    </w:p>
    <w:p w14:paraId="75AD871D" w14:textId="50DF7B41" w:rsidR="004A0D83" w:rsidRPr="00145A9B" w:rsidRDefault="004A0D83" w:rsidP="00CC30E4">
      <w:pPr>
        <w:pStyle w:val="Heading1"/>
        <w:numPr>
          <w:ilvl w:val="0"/>
          <w:numId w:val="3"/>
        </w:numPr>
        <w:spacing w:line="360" w:lineRule="auto"/>
        <w:rPr>
          <w:rFonts w:cs="Times New Roman"/>
        </w:rPr>
      </w:pPr>
      <w:bookmarkStart w:id="2" w:name="_Toc101815079"/>
      <w:r w:rsidRPr="00145A9B">
        <w:rPr>
          <w:rFonts w:cs="Times New Roman"/>
        </w:rPr>
        <w:lastRenderedPageBreak/>
        <w:t xml:space="preserve">Analysis of market hypothesis theory in </w:t>
      </w:r>
      <w:r w:rsidR="00145A9B">
        <w:rPr>
          <w:rFonts w:cs="Times New Roman"/>
        </w:rPr>
        <w:t xml:space="preserve">the </w:t>
      </w:r>
      <w:r w:rsidRPr="00145A9B">
        <w:rPr>
          <w:rFonts w:cs="Times New Roman"/>
        </w:rPr>
        <w:t>context of the corporation</w:t>
      </w:r>
      <w:bookmarkEnd w:id="2"/>
    </w:p>
    <w:p w14:paraId="10179567" w14:textId="77777777" w:rsidR="00CC30E4" w:rsidRDefault="00D16A2C" w:rsidP="00CC30E4">
      <w:pPr>
        <w:spacing w:line="360" w:lineRule="auto"/>
        <w:ind w:firstLine="720"/>
        <w:rPr>
          <w:rFonts w:cs="Times New Roman"/>
        </w:rPr>
      </w:pPr>
      <w:r w:rsidRPr="00145A9B">
        <w:rPr>
          <w:rFonts w:cs="Times New Roman"/>
        </w:rPr>
        <w:t xml:space="preserve">As stated by </w:t>
      </w:r>
      <w:r w:rsidRPr="00CC30E4">
        <w:rPr>
          <w:rFonts w:cs="Times New Roman"/>
          <w:i/>
          <w:iCs/>
        </w:rPr>
        <w:t>Singh et al</w:t>
      </w:r>
      <w:r w:rsidR="00145A9B" w:rsidRPr="00CC30E4">
        <w:rPr>
          <w:rFonts w:cs="Times New Roman"/>
          <w:i/>
          <w:iCs/>
        </w:rPr>
        <w:t>.</w:t>
      </w:r>
      <w:r w:rsidRPr="00CC30E4">
        <w:rPr>
          <w:rFonts w:cs="Times New Roman"/>
          <w:i/>
          <w:iCs/>
        </w:rPr>
        <w:t xml:space="preserve"> (2021)</w:t>
      </w:r>
      <w:r w:rsidRPr="00145A9B">
        <w:rPr>
          <w:rFonts w:cs="Times New Roman"/>
        </w:rPr>
        <w:t xml:space="preserve">, the efficient market hypothesis theory states that share prices reflect all the information about the valuation and related information about the company. It states the market reflects all information correctly so that investors can make better decisions related to the purchase and sale of securities and stocks. This theory has been divided into three heads that are weak, semi-strong and strong market hypotheses. </w:t>
      </w:r>
    </w:p>
    <w:p w14:paraId="2EC2595B" w14:textId="77777777" w:rsidR="00CC30E4" w:rsidRDefault="00D16A2C" w:rsidP="00CC30E4">
      <w:pPr>
        <w:spacing w:line="360" w:lineRule="auto"/>
        <w:rPr>
          <w:rFonts w:cs="Times New Roman"/>
        </w:rPr>
      </w:pPr>
      <w:r w:rsidRPr="00145A9B">
        <w:rPr>
          <w:rFonts w:cs="Times New Roman"/>
        </w:rPr>
        <w:t>Efficient market hypothesis theory states that there is no way the use of technical and fundamental analysis will help the investors in getting alpha returns</w:t>
      </w:r>
      <w:r w:rsidR="00145A9B">
        <w:rPr>
          <w:rFonts w:cs="Times New Roman"/>
        </w:rPr>
        <w:t>,</w:t>
      </w:r>
      <w:r w:rsidRPr="00145A9B">
        <w:rPr>
          <w:rFonts w:cs="Times New Roman"/>
        </w:rPr>
        <w:t xml:space="preserve"> and the insider information will lead to outsi</w:t>
      </w:r>
      <w:r w:rsidR="00CC30E4">
        <w:rPr>
          <w:rFonts w:cs="Times New Roman"/>
        </w:rPr>
        <w:t>z</w:t>
      </w:r>
      <w:r w:rsidRPr="00145A9B">
        <w:rPr>
          <w:rFonts w:cs="Times New Roman"/>
        </w:rPr>
        <w:t>ed risk-related returns. Based on this analysis</w:t>
      </w:r>
      <w:r w:rsidR="00145A9B">
        <w:rPr>
          <w:rFonts w:cs="Times New Roman"/>
        </w:rPr>
        <w:t>,</w:t>
      </w:r>
      <w:r w:rsidRPr="00145A9B">
        <w:rPr>
          <w:rFonts w:cs="Times New Roman"/>
        </w:rPr>
        <w:t xml:space="preserve"> the market hypothesis theory has both proponents and opponents that believe in two different ideas. Considering IBM, it is a very stable stock growing at a constant rate and thus includes a very less volatile profile. In this situation, there are no abnormal gains or returns</w:t>
      </w:r>
      <w:r w:rsidR="00145A9B">
        <w:rPr>
          <w:rFonts w:cs="Times New Roman"/>
        </w:rPr>
        <w:t>.</w:t>
      </w:r>
      <w:r w:rsidRPr="00145A9B">
        <w:rPr>
          <w:rFonts w:cs="Times New Roman"/>
        </w:rPr>
        <w:t xml:space="preserve"> IBM possess</w:t>
      </w:r>
      <w:r w:rsidR="00145A9B">
        <w:rPr>
          <w:rFonts w:cs="Times New Roman"/>
        </w:rPr>
        <w:t>es a semi-strong market hypothesis theory as the business organisation as the current stock prices are driven by the information</w:t>
      </w:r>
      <w:r w:rsidRPr="00145A9B">
        <w:rPr>
          <w:rFonts w:cs="Times New Roman"/>
        </w:rPr>
        <w:t xml:space="preserve"> accessible to the public</w:t>
      </w:r>
      <w:r w:rsidR="00145A9B">
        <w:rPr>
          <w:rFonts w:cs="Times New Roman"/>
        </w:rPr>
        <w:t xml:space="preserve">. </w:t>
      </w:r>
      <w:proofErr w:type="gramStart"/>
      <w:r w:rsidR="00145A9B">
        <w:rPr>
          <w:rFonts w:cs="Times New Roman"/>
        </w:rPr>
        <w:t>T</w:t>
      </w:r>
      <w:r w:rsidRPr="00145A9B">
        <w:rPr>
          <w:rFonts w:cs="Times New Roman"/>
        </w:rPr>
        <w:t>hus</w:t>
      </w:r>
      <w:proofErr w:type="gramEnd"/>
      <w:r w:rsidRPr="00145A9B">
        <w:rPr>
          <w:rFonts w:cs="Times New Roman"/>
        </w:rPr>
        <w:t xml:space="preserve"> the market prices react to the reactions that are set against the ongoing happening of IBM (</w:t>
      </w:r>
      <w:r w:rsidRPr="00CC30E4">
        <w:rPr>
          <w:rFonts w:cs="Times New Roman"/>
          <w:i/>
          <w:iCs/>
        </w:rPr>
        <w:t>James and Valenzuela, 2020</w:t>
      </w:r>
      <w:r w:rsidRPr="00145A9B">
        <w:rPr>
          <w:rFonts w:cs="Times New Roman"/>
        </w:rPr>
        <w:t>). Being a public limited company</w:t>
      </w:r>
      <w:r w:rsidR="00145A9B">
        <w:rPr>
          <w:rFonts w:cs="Times New Roman"/>
        </w:rPr>
        <w:t>, IBM needs to follow the suit of corporate governance and the code of ethics that involves the company disclosing all the information to the public so that investors can make better investment decisions. Thus,</w:t>
      </w:r>
      <w:r w:rsidRPr="00145A9B">
        <w:rPr>
          <w:rFonts w:cs="Times New Roman"/>
        </w:rPr>
        <w:t xml:space="preserve"> it prevents the purchase of securities at over or undervalued prices. Because of the less volatile nature of IBM, the use of technical or fundamental analysis cannot benefit the investors. </w:t>
      </w:r>
    </w:p>
    <w:p w14:paraId="1D255D25" w14:textId="6A94D2D4" w:rsidR="00D16A2C" w:rsidRPr="00145A9B" w:rsidRDefault="00D16A2C" w:rsidP="00CC30E4">
      <w:pPr>
        <w:spacing w:line="360" w:lineRule="auto"/>
        <w:ind w:firstLine="720"/>
        <w:rPr>
          <w:rFonts w:cs="Times New Roman"/>
        </w:rPr>
      </w:pPr>
      <w:r w:rsidRPr="00145A9B">
        <w:rPr>
          <w:rFonts w:cs="Times New Roman"/>
        </w:rPr>
        <w:t>IBM has been stable for the past year</w:t>
      </w:r>
      <w:r w:rsidR="00145A9B">
        <w:rPr>
          <w:rFonts w:cs="Times New Roman"/>
        </w:rPr>
        <w:t>,</w:t>
      </w:r>
      <w:r w:rsidRPr="00145A9B">
        <w:rPr>
          <w:rFonts w:cs="Times New Roman"/>
        </w:rPr>
        <w:t xml:space="preserve"> and there is no such volatility that can be seen in </w:t>
      </w:r>
      <w:r w:rsidR="00CC30E4">
        <w:rPr>
          <w:rFonts w:cs="Times New Roman"/>
        </w:rPr>
        <w:t>the</w:t>
      </w:r>
      <w:r w:rsidRPr="00145A9B">
        <w:rPr>
          <w:rFonts w:cs="Times New Roman"/>
        </w:rPr>
        <w:t xml:space="preserve"> value of the stock. This makes it a stable invest</w:t>
      </w:r>
      <w:r w:rsidR="00145A9B">
        <w:rPr>
          <w:rFonts w:cs="Times New Roman"/>
        </w:rPr>
        <w:t>ment</w:t>
      </w:r>
      <w:r w:rsidRPr="00145A9B">
        <w:rPr>
          <w:rFonts w:cs="Times New Roman"/>
        </w:rPr>
        <w:t xml:space="preserve"> option</w:t>
      </w:r>
      <w:r w:rsidR="00145A9B">
        <w:rPr>
          <w:rFonts w:cs="Times New Roman"/>
        </w:rPr>
        <w:t>,</w:t>
      </w:r>
      <w:r w:rsidRPr="00145A9B">
        <w:rPr>
          <w:rFonts w:cs="Times New Roman"/>
        </w:rPr>
        <w:t xml:space="preserve"> and thus the </w:t>
      </w:r>
      <w:proofErr w:type="gramStart"/>
      <w:r w:rsidRPr="00145A9B">
        <w:rPr>
          <w:rFonts w:cs="Times New Roman"/>
        </w:rPr>
        <w:t>Technical</w:t>
      </w:r>
      <w:proofErr w:type="gramEnd"/>
      <w:r w:rsidRPr="00145A9B">
        <w:rPr>
          <w:rFonts w:cs="Times New Roman"/>
        </w:rPr>
        <w:t xml:space="preserve"> analysis can only be used as a source to understand the momentum of price and growth of the stock. The stock has been trading within the +- 3% of the values of its current prices (</w:t>
      </w:r>
      <w:r w:rsidRPr="00CC30E4">
        <w:rPr>
          <w:rFonts w:cs="Times New Roman"/>
          <w:i/>
          <w:iCs/>
        </w:rPr>
        <w:t>James and Valenzuela, 2020</w:t>
      </w:r>
      <w:r w:rsidRPr="00145A9B">
        <w:rPr>
          <w:rFonts w:cs="Times New Roman"/>
        </w:rPr>
        <w:t xml:space="preserve">).  </w:t>
      </w:r>
    </w:p>
    <w:p w14:paraId="3D7326CA" w14:textId="28596B8A" w:rsidR="00D16A2C" w:rsidRPr="00145A9B" w:rsidRDefault="00D16A2C" w:rsidP="00CC30E4">
      <w:pPr>
        <w:spacing w:line="360" w:lineRule="auto"/>
        <w:ind w:firstLine="720"/>
        <w:rPr>
          <w:rFonts w:cs="Times New Roman"/>
        </w:rPr>
      </w:pPr>
      <w:r w:rsidRPr="00145A9B">
        <w:rPr>
          <w:rFonts w:cs="Times New Roman"/>
        </w:rPr>
        <w:t xml:space="preserve">Therefore, the market hypothesis theory that can be applied in the case of IBM is </w:t>
      </w:r>
      <w:r w:rsidR="00145A9B">
        <w:rPr>
          <w:rFonts w:cs="Times New Roman"/>
        </w:rPr>
        <w:t>strong,</w:t>
      </w:r>
      <w:r w:rsidRPr="00145A9B">
        <w:rPr>
          <w:rFonts w:cs="Times New Roman"/>
        </w:rPr>
        <w:t xml:space="preserve"> and the use of technical and fundamental analysis doesn</w:t>
      </w:r>
      <w:r w:rsidR="00145A9B" w:rsidRPr="00145A9B">
        <w:rPr>
          <w:rFonts w:cs="Times New Roman"/>
        </w:rPr>
        <w:t>'</w:t>
      </w:r>
      <w:r w:rsidRPr="00145A9B">
        <w:rPr>
          <w:rFonts w:cs="Times New Roman"/>
        </w:rPr>
        <w:t>t impact the decisions of investors that could impact the earnings or the decision that can be made by investors related to the buying or selling of stocks. Only following the trend of the stocks that will detail the movement of stock in either upward or downward movement will impact the decisions that will be taken by investors (</w:t>
      </w:r>
      <w:r w:rsidRPr="00CC30E4">
        <w:rPr>
          <w:rFonts w:cs="Times New Roman"/>
          <w:i/>
          <w:iCs/>
        </w:rPr>
        <w:t>Singh et al., 2021).</w:t>
      </w:r>
      <w:r w:rsidRPr="00145A9B">
        <w:rPr>
          <w:rFonts w:cs="Times New Roman"/>
        </w:rPr>
        <w:t xml:space="preserve"> </w:t>
      </w:r>
    </w:p>
    <w:p w14:paraId="05A3DEC4" w14:textId="77777777" w:rsidR="00D16A2C" w:rsidRPr="00145A9B" w:rsidRDefault="00D16A2C" w:rsidP="00C24D3A">
      <w:pPr>
        <w:spacing w:line="360" w:lineRule="auto"/>
        <w:jc w:val="center"/>
        <w:rPr>
          <w:rFonts w:cs="Times New Roman"/>
        </w:rPr>
      </w:pPr>
      <w:r w:rsidRPr="00145A9B">
        <w:rPr>
          <w:rFonts w:cs="Times New Roman"/>
          <w:noProof/>
          <w:lang w:val="en-US"/>
        </w:rPr>
        <w:lastRenderedPageBreak/>
        <w:drawing>
          <wp:inline distT="0" distB="0" distL="0" distR="0" wp14:anchorId="2F86C75C" wp14:editId="609AD768">
            <wp:extent cx="5943600" cy="3623733"/>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20220412-WA0008.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623733"/>
                    </a:xfrm>
                    <a:prstGeom prst="rect">
                      <a:avLst/>
                    </a:prstGeom>
                  </pic:spPr>
                </pic:pic>
              </a:graphicData>
            </a:graphic>
          </wp:inline>
        </w:drawing>
      </w:r>
    </w:p>
    <w:p w14:paraId="7AA5AE56" w14:textId="77777777" w:rsidR="00D16A2C" w:rsidRPr="00145A9B" w:rsidRDefault="00D16A2C" w:rsidP="00C24D3A">
      <w:pPr>
        <w:spacing w:line="360" w:lineRule="auto"/>
        <w:jc w:val="center"/>
        <w:rPr>
          <w:rFonts w:cs="Times New Roman"/>
        </w:rPr>
      </w:pPr>
      <w:r w:rsidRPr="00145A9B">
        <w:rPr>
          <w:rFonts w:cs="Times New Roman"/>
        </w:rPr>
        <w:t>Figure: IBM advance analysis chart</w:t>
      </w:r>
    </w:p>
    <w:p w14:paraId="411E0EBB" w14:textId="77777777" w:rsidR="00D16A2C" w:rsidRPr="00145A9B" w:rsidRDefault="00D16A2C" w:rsidP="00C24D3A">
      <w:pPr>
        <w:spacing w:line="360" w:lineRule="auto"/>
        <w:jc w:val="center"/>
        <w:rPr>
          <w:rFonts w:cs="Times New Roman"/>
        </w:rPr>
      </w:pPr>
      <w:r w:rsidRPr="00145A9B">
        <w:rPr>
          <w:rFonts w:cs="Times New Roman"/>
        </w:rPr>
        <w:t>Source: NASDAQ, 2022.</w:t>
      </w:r>
    </w:p>
    <w:p w14:paraId="3927EE95" w14:textId="77777777" w:rsidR="00D16A2C" w:rsidRPr="00145A9B" w:rsidRDefault="00D16A2C" w:rsidP="00C24D3A">
      <w:pPr>
        <w:spacing w:after="200" w:line="360" w:lineRule="auto"/>
        <w:jc w:val="left"/>
        <w:rPr>
          <w:rFonts w:cs="Times New Roman"/>
        </w:rPr>
      </w:pPr>
      <w:r w:rsidRPr="00145A9B">
        <w:rPr>
          <w:rFonts w:cs="Times New Roman"/>
        </w:rPr>
        <w:br w:type="page"/>
      </w:r>
    </w:p>
    <w:p w14:paraId="4BF88B04" w14:textId="05CA460A" w:rsidR="00D16A2C" w:rsidRPr="00145A9B" w:rsidRDefault="00D16A2C" w:rsidP="00CC30E4">
      <w:pPr>
        <w:pStyle w:val="Heading1"/>
        <w:numPr>
          <w:ilvl w:val="0"/>
          <w:numId w:val="3"/>
        </w:numPr>
        <w:spacing w:line="360" w:lineRule="auto"/>
        <w:rPr>
          <w:rFonts w:cs="Times New Roman"/>
        </w:rPr>
      </w:pPr>
      <w:bookmarkStart w:id="3" w:name="_Toc101815080"/>
      <w:r w:rsidRPr="00145A9B">
        <w:rPr>
          <w:rFonts w:cs="Times New Roman"/>
        </w:rPr>
        <w:lastRenderedPageBreak/>
        <w:t xml:space="preserve">Analysis and evaluation of methods of </w:t>
      </w:r>
      <w:r w:rsidR="00DE475B" w:rsidRPr="00145A9B">
        <w:rPr>
          <w:rFonts w:cs="Times New Roman"/>
        </w:rPr>
        <w:t>appraising</w:t>
      </w:r>
      <w:r w:rsidRPr="00145A9B">
        <w:rPr>
          <w:rFonts w:cs="Times New Roman"/>
        </w:rPr>
        <w:t xml:space="preserve"> projects in the corporation</w:t>
      </w:r>
      <w:bookmarkEnd w:id="3"/>
    </w:p>
    <w:p w14:paraId="18F9FDD5" w14:textId="4F1372F1" w:rsidR="00D16A2C" w:rsidRPr="00145A9B" w:rsidRDefault="00D16A2C" w:rsidP="00CC30E4">
      <w:pPr>
        <w:spacing w:line="360" w:lineRule="auto"/>
        <w:ind w:firstLine="720"/>
        <w:rPr>
          <w:rFonts w:cs="Times New Roman"/>
        </w:rPr>
      </w:pPr>
      <w:r w:rsidRPr="00145A9B">
        <w:rPr>
          <w:rFonts w:cs="Times New Roman"/>
        </w:rPr>
        <w:t xml:space="preserve">It consists of the methods that help </w:t>
      </w:r>
      <w:r w:rsidR="00145A9B">
        <w:rPr>
          <w:rFonts w:cs="Times New Roman"/>
        </w:rPr>
        <w:t>assess the values of the project against the risk factor</w:t>
      </w:r>
      <w:r w:rsidRPr="00145A9B">
        <w:rPr>
          <w:rFonts w:cs="Times New Roman"/>
        </w:rPr>
        <w:t xml:space="preserve"> involved in it. It is the technique of assessing the project feasibility through technical, </w:t>
      </w:r>
      <w:proofErr w:type="gramStart"/>
      <w:r w:rsidRPr="00145A9B">
        <w:rPr>
          <w:rFonts w:cs="Times New Roman"/>
        </w:rPr>
        <w:t>economic</w:t>
      </w:r>
      <w:proofErr w:type="gramEnd"/>
      <w:r w:rsidRPr="00145A9B">
        <w:rPr>
          <w:rFonts w:cs="Times New Roman"/>
        </w:rPr>
        <w:t xml:space="preserve"> and financial techniques to ensure that correct and growth-oriented projects are selected. Many project appraisal techniques can be used in making effective project analyses before investing in any project (</w:t>
      </w:r>
      <w:r w:rsidRPr="00CC30E4">
        <w:rPr>
          <w:rFonts w:cs="Times New Roman"/>
          <w:i/>
          <w:iCs/>
        </w:rPr>
        <w:t>Nielsen et al., 2019</w:t>
      </w:r>
      <w:r w:rsidRPr="00145A9B">
        <w:rPr>
          <w:rFonts w:cs="Times New Roman"/>
        </w:rPr>
        <w:t xml:space="preserve">). The techniques that </w:t>
      </w:r>
      <w:r w:rsidR="00145A9B">
        <w:rPr>
          <w:rFonts w:cs="Times New Roman"/>
        </w:rPr>
        <w:t>IBM uses</w:t>
      </w:r>
      <w:r w:rsidRPr="00145A9B">
        <w:rPr>
          <w:rFonts w:cs="Times New Roman"/>
        </w:rPr>
        <w:t xml:space="preserve"> to make project appraisals are:</w:t>
      </w:r>
    </w:p>
    <w:p w14:paraId="498BA500" w14:textId="43F684D0" w:rsidR="00D16A2C" w:rsidRPr="00145A9B" w:rsidRDefault="00D16A2C" w:rsidP="00CC30E4">
      <w:pPr>
        <w:spacing w:line="360" w:lineRule="auto"/>
        <w:ind w:firstLine="720"/>
        <w:rPr>
          <w:rFonts w:cs="Times New Roman"/>
        </w:rPr>
      </w:pPr>
      <w:r w:rsidRPr="00145A9B">
        <w:rPr>
          <w:rFonts w:cs="Times New Roman"/>
          <w:b/>
        </w:rPr>
        <w:t xml:space="preserve">Financial analysis: </w:t>
      </w:r>
      <w:r w:rsidRPr="00145A9B">
        <w:rPr>
          <w:rFonts w:cs="Times New Roman"/>
        </w:rPr>
        <w:t>a financial technique of project appraisal involves the use of investment appraisal techniques so that analysis related to the project return can be measured. The financial technique uses the NPV</w:t>
      </w:r>
      <w:r w:rsidR="00145A9B">
        <w:rPr>
          <w:rFonts w:cs="Times New Roman"/>
        </w:rPr>
        <w:t>, the IRR, and other appraisal methods that help make</w:t>
      </w:r>
      <w:r w:rsidRPr="00145A9B">
        <w:rPr>
          <w:rFonts w:cs="Times New Roman"/>
        </w:rPr>
        <w:t xml:space="preserve"> a better analysis of the returns that would be accepted out of the money that will be an investment option. This includes the consideration of two types of techniques that makes the use of time value of money and the techniques that don't encounter this factor. This helps </w:t>
      </w:r>
      <w:r w:rsidR="00145A9B">
        <w:rPr>
          <w:rFonts w:cs="Times New Roman"/>
        </w:rPr>
        <w:t>analyse</w:t>
      </w:r>
      <w:r w:rsidRPr="00145A9B">
        <w:rPr>
          <w:rFonts w:cs="Times New Roman"/>
        </w:rPr>
        <w:t xml:space="preserve"> the impact of inflation on the projects and returns of IBM. IBM uses these techniques to </w:t>
      </w:r>
      <w:r w:rsidR="00145A9B">
        <w:rPr>
          <w:rFonts w:cs="Times New Roman"/>
        </w:rPr>
        <w:t>en</w:t>
      </w:r>
      <w:r w:rsidRPr="00145A9B">
        <w:rPr>
          <w:rFonts w:cs="Times New Roman"/>
        </w:rPr>
        <w:t>sure that investment is properly attributed to resources so that better risk-reward analysis can be obtained. The use of NPV has made projects of IBM effective and profit-oriented and thus enhanced business growth. Some of the financial tools that are used in the project appraisal are capital budgeting, IRR, NPV, Budgeting and more.</w:t>
      </w:r>
    </w:p>
    <w:p w14:paraId="0D45DBED" w14:textId="0ACFB8A5" w:rsidR="00D16A2C" w:rsidRPr="00145A9B" w:rsidRDefault="00D16A2C" w:rsidP="00CC30E4">
      <w:pPr>
        <w:spacing w:line="360" w:lineRule="auto"/>
        <w:ind w:firstLine="720"/>
        <w:rPr>
          <w:rFonts w:cs="Times New Roman"/>
        </w:rPr>
      </w:pPr>
      <w:r w:rsidRPr="00145A9B">
        <w:rPr>
          <w:rFonts w:cs="Times New Roman"/>
          <w:b/>
        </w:rPr>
        <w:t>Technical feasibility:</w:t>
      </w:r>
      <w:r w:rsidRPr="00145A9B">
        <w:rPr>
          <w:rFonts w:cs="Times New Roman"/>
        </w:rPr>
        <w:t xml:space="preserve"> it determines whether the technical parameters are conceived soundly. It is very important for the organisation of the size and nature of IBM will help in making better decisions related to the chosen project. Good technological feasibility will help </w:t>
      </w:r>
      <w:r w:rsidR="00145A9B">
        <w:rPr>
          <w:rFonts w:cs="Times New Roman"/>
        </w:rPr>
        <w:t>take advanced technological projects that would yield better results in allocating</w:t>
      </w:r>
      <w:r w:rsidRPr="00145A9B">
        <w:rPr>
          <w:rFonts w:cs="Times New Roman"/>
        </w:rPr>
        <w:t xml:space="preserve"> similar resources. The availability of the resources, materials, transportation facility and power, sanitary and all other factors comes under the technological feasibility of the business organisation. The business organisation needs to make sure that all the necessary technical resources are implemented in the operations of the company so that better results from the projects can be extracted. IBM makes sure that a technical checklist should be completed so that all the necessary technological resources can be allocated in the business organisation. This checklist includes physical scale and availability of raw materials and inventory management technology, labour-intensive techniques, resource management techniques, procurement arrangement, and implementation of better technology </w:t>
      </w:r>
      <w:r w:rsidR="00145A9B">
        <w:rPr>
          <w:rFonts w:cs="Times New Roman"/>
        </w:rPr>
        <w:t>to ensure more uniformity</w:t>
      </w:r>
      <w:r w:rsidRPr="00145A9B">
        <w:rPr>
          <w:rFonts w:cs="Times New Roman"/>
        </w:rPr>
        <w:t xml:space="preserve"> in the procurement of goods and services (</w:t>
      </w:r>
      <w:proofErr w:type="spellStart"/>
      <w:r w:rsidRPr="00CC30E4">
        <w:rPr>
          <w:rFonts w:cs="Times New Roman"/>
          <w:i/>
          <w:iCs/>
        </w:rPr>
        <w:t>Mungodla</w:t>
      </w:r>
      <w:proofErr w:type="spellEnd"/>
      <w:r w:rsidRPr="00CC30E4">
        <w:rPr>
          <w:rFonts w:cs="Times New Roman"/>
          <w:i/>
          <w:iCs/>
        </w:rPr>
        <w:t xml:space="preserve"> et al., 2019</w:t>
      </w:r>
      <w:r w:rsidRPr="00145A9B">
        <w:rPr>
          <w:rFonts w:cs="Times New Roman"/>
        </w:rPr>
        <w:t xml:space="preserve">).  </w:t>
      </w:r>
    </w:p>
    <w:p w14:paraId="4C12CE4A" w14:textId="4C7398C6" w:rsidR="00D16A2C" w:rsidRPr="00145A9B" w:rsidRDefault="00D16A2C" w:rsidP="00CC30E4">
      <w:pPr>
        <w:spacing w:line="360" w:lineRule="auto"/>
        <w:ind w:firstLine="720"/>
        <w:rPr>
          <w:rFonts w:cs="Times New Roman"/>
        </w:rPr>
      </w:pPr>
      <w:r w:rsidRPr="00145A9B">
        <w:rPr>
          <w:rFonts w:cs="Times New Roman"/>
          <w:b/>
        </w:rPr>
        <w:lastRenderedPageBreak/>
        <w:t>Commercial analysis:</w:t>
      </w:r>
      <w:r w:rsidRPr="00145A9B">
        <w:rPr>
          <w:rFonts w:cs="Times New Roman"/>
        </w:rPr>
        <w:t xml:space="preserve"> the demand and scope of the project need to be analysed successfully so that stakeholders can be communicated with better use of information. The commercial appraisal helps </w:t>
      </w:r>
      <w:r w:rsidR="00145A9B">
        <w:rPr>
          <w:rFonts w:cs="Times New Roman"/>
        </w:rPr>
        <w:t>make better use of the demand and supply analysis and</w:t>
      </w:r>
      <w:r w:rsidRPr="00145A9B">
        <w:rPr>
          <w:rFonts w:cs="Times New Roman"/>
        </w:rPr>
        <w:t xml:space="preserve"> the information related to the market structure and growth. This enables the project to get adequate demand and resources </w:t>
      </w:r>
      <w:r w:rsidR="00145A9B">
        <w:rPr>
          <w:rFonts w:cs="Times New Roman"/>
        </w:rPr>
        <w:t>to ensure better business growth and development</w:t>
      </w:r>
      <w:r w:rsidRPr="00145A9B">
        <w:rPr>
          <w:rFonts w:cs="Times New Roman"/>
        </w:rPr>
        <w:t xml:space="preserve"> (</w:t>
      </w:r>
      <w:r w:rsidRPr="00CC30E4">
        <w:rPr>
          <w:rFonts w:cs="Times New Roman"/>
          <w:i/>
          <w:iCs/>
        </w:rPr>
        <w:t>Nielsen et al., 2019</w:t>
      </w:r>
      <w:r w:rsidRPr="00145A9B">
        <w:rPr>
          <w:rFonts w:cs="Times New Roman"/>
        </w:rPr>
        <w:t xml:space="preserve">). </w:t>
      </w:r>
    </w:p>
    <w:p w14:paraId="0880D9C2" w14:textId="77777777" w:rsidR="00D16A2C" w:rsidRPr="00145A9B" w:rsidRDefault="00D16A2C" w:rsidP="00C24D3A">
      <w:pPr>
        <w:spacing w:line="360" w:lineRule="auto"/>
        <w:rPr>
          <w:rFonts w:cs="Times New Roman"/>
        </w:rPr>
      </w:pPr>
      <w:r w:rsidRPr="00145A9B">
        <w:rPr>
          <w:rFonts w:cs="Times New Roman"/>
        </w:rPr>
        <w:br w:type="page"/>
      </w:r>
    </w:p>
    <w:p w14:paraId="522E9808" w14:textId="681693C3" w:rsidR="00D16A2C" w:rsidRPr="00145A9B" w:rsidRDefault="00DE475B" w:rsidP="00CC30E4">
      <w:pPr>
        <w:pStyle w:val="Heading1"/>
        <w:numPr>
          <w:ilvl w:val="0"/>
          <w:numId w:val="3"/>
        </w:numPr>
        <w:spacing w:line="360" w:lineRule="auto"/>
        <w:rPr>
          <w:rFonts w:cs="Times New Roman"/>
        </w:rPr>
      </w:pPr>
      <w:bookmarkStart w:id="4" w:name="_Toc101815081"/>
      <w:r w:rsidRPr="00145A9B">
        <w:rPr>
          <w:rFonts w:cs="Times New Roman"/>
        </w:rPr>
        <w:lastRenderedPageBreak/>
        <w:t>Conclusion</w:t>
      </w:r>
      <w:bookmarkEnd w:id="4"/>
    </w:p>
    <w:p w14:paraId="608B395B" w14:textId="0EA32174" w:rsidR="00D16A2C" w:rsidRPr="00145A9B" w:rsidRDefault="00D16A2C" w:rsidP="00CC30E4">
      <w:pPr>
        <w:spacing w:line="360" w:lineRule="auto"/>
        <w:ind w:firstLine="720"/>
        <w:rPr>
          <w:rFonts w:cs="Times New Roman"/>
        </w:rPr>
      </w:pPr>
      <w:r w:rsidRPr="00145A9B">
        <w:rPr>
          <w:rFonts w:cs="Times New Roman"/>
        </w:rPr>
        <w:t>Through this essay</w:t>
      </w:r>
      <w:r w:rsidR="00145A9B">
        <w:rPr>
          <w:rFonts w:cs="Times New Roman"/>
        </w:rPr>
        <w:t>,</w:t>
      </w:r>
      <w:r w:rsidRPr="00145A9B">
        <w:rPr>
          <w:rFonts w:cs="Times New Roman"/>
        </w:rPr>
        <w:t xml:space="preserve"> </w:t>
      </w:r>
      <w:r w:rsidR="00145A9B">
        <w:rPr>
          <w:rFonts w:cs="Times New Roman"/>
        </w:rPr>
        <w:t xml:space="preserve">the </w:t>
      </w:r>
      <w:r w:rsidRPr="00145A9B">
        <w:rPr>
          <w:rFonts w:cs="Times New Roman"/>
        </w:rPr>
        <w:t>policy a</w:t>
      </w:r>
      <w:r w:rsidR="00145A9B">
        <w:rPr>
          <w:rFonts w:cs="Times New Roman"/>
        </w:rPr>
        <w:t xml:space="preserve">nd the market hypothesis theorem and the project appraisal techniques of IBM have been identified. All </w:t>
      </w:r>
      <w:proofErr w:type="gramStart"/>
      <w:r w:rsidR="00145A9B">
        <w:rPr>
          <w:rFonts w:cs="Times New Roman"/>
        </w:rPr>
        <w:t>these help</w:t>
      </w:r>
      <w:proofErr w:type="gramEnd"/>
      <w:r w:rsidR="00145A9B">
        <w:rPr>
          <w:rFonts w:cs="Times New Roman"/>
        </w:rPr>
        <w:t xml:space="preserve"> enhance the understanding related to the company's financial viabilit</w:t>
      </w:r>
      <w:r w:rsidRPr="00145A9B">
        <w:rPr>
          <w:rFonts w:cs="Times New Roman"/>
        </w:rPr>
        <w:t>y. Along with that, dividend policies include the basis on which the dividends are divided</w:t>
      </w:r>
      <w:r w:rsidR="00145A9B">
        <w:rPr>
          <w:rFonts w:cs="Times New Roman"/>
        </w:rPr>
        <w:t>. The</w:t>
      </w:r>
      <w:r w:rsidRPr="00145A9B">
        <w:rPr>
          <w:rFonts w:cs="Times New Roman"/>
        </w:rPr>
        <w:t xml:space="preserve"> technical, </w:t>
      </w:r>
      <w:proofErr w:type="gramStart"/>
      <w:r w:rsidRPr="00145A9B">
        <w:rPr>
          <w:rFonts w:cs="Times New Roman"/>
        </w:rPr>
        <w:t>financial</w:t>
      </w:r>
      <w:proofErr w:type="gramEnd"/>
      <w:r w:rsidRPr="00145A9B">
        <w:rPr>
          <w:rFonts w:cs="Times New Roman"/>
        </w:rPr>
        <w:t xml:space="preserve"> and commercial feasibility of IBM ha</w:t>
      </w:r>
      <w:r w:rsidR="00145A9B">
        <w:rPr>
          <w:rFonts w:cs="Times New Roman"/>
        </w:rPr>
        <w:t>s</w:t>
      </w:r>
      <w:r w:rsidRPr="00145A9B">
        <w:rPr>
          <w:rFonts w:cs="Times New Roman"/>
        </w:rPr>
        <w:t xml:space="preserve"> been discussed to understand the project appraisal techniques of IBM.</w:t>
      </w:r>
    </w:p>
    <w:p w14:paraId="582438B7" w14:textId="77777777" w:rsidR="00360C2A" w:rsidRPr="00145A9B" w:rsidRDefault="007D67F6" w:rsidP="00C24D3A">
      <w:pPr>
        <w:spacing w:line="360" w:lineRule="auto"/>
        <w:rPr>
          <w:rFonts w:cs="Times New Roman"/>
        </w:rPr>
      </w:pPr>
      <w:r w:rsidRPr="00145A9B">
        <w:rPr>
          <w:rFonts w:cs="Times New Roman"/>
        </w:rPr>
        <w:br w:type="page"/>
      </w:r>
    </w:p>
    <w:p w14:paraId="00A0AA76" w14:textId="77777777" w:rsidR="00360C2A" w:rsidRPr="00145A9B" w:rsidRDefault="007D67F6" w:rsidP="00C24D3A">
      <w:pPr>
        <w:pStyle w:val="Heading1"/>
        <w:spacing w:line="360" w:lineRule="auto"/>
        <w:rPr>
          <w:rFonts w:cs="Times New Roman"/>
        </w:rPr>
      </w:pPr>
      <w:bookmarkStart w:id="5" w:name="_Toc101815082"/>
      <w:r w:rsidRPr="00145A9B">
        <w:rPr>
          <w:rFonts w:cs="Times New Roman"/>
        </w:rPr>
        <w:lastRenderedPageBreak/>
        <w:t>References</w:t>
      </w:r>
      <w:bookmarkEnd w:id="5"/>
    </w:p>
    <w:p w14:paraId="2EB82C83" w14:textId="21790CED" w:rsidR="00260FA9" w:rsidRPr="00145A9B" w:rsidRDefault="00260FA9" w:rsidP="00145A9B">
      <w:pPr>
        <w:pStyle w:val="ListParagraph"/>
        <w:numPr>
          <w:ilvl w:val="0"/>
          <w:numId w:val="2"/>
        </w:numPr>
        <w:spacing w:line="360" w:lineRule="auto"/>
        <w:rPr>
          <w:rFonts w:cs="Times New Roman"/>
        </w:rPr>
      </w:pPr>
      <w:r w:rsidRPr="00145A9B">
        <w:rPr>
          <w:rFonts w:cs="Times New Roman"/>
        </w:rPr>
        <w:t>Harrison, J.S., Barney, J.B., Freeman, R.E. and Phillips, R.A. eds. (2019). </w:t>
      </w:r>
      <w:r w:rsidRPr="00145A9B">
        <w:rPr>
          <w:rFonts w:cs="Times New Roman"/>
          <w:i/>
          <w:iCs/>
        </w:rPr>
        <w:t>The Cambridge handbook of stakeholder theory</w:t>
      </w:r>
      <w:r w:rsidRPr="00145A9B">
        <w:rPr>
          <w:rFonts w:cs="Times New Roman"/>
        </w:rPr>
        <w:t xml:space="preserve">. Cambridge University Press. </w:t>
      </w:r>
    </w:p>
    <w:p w14:paraId="6A90678B" w14:textId="1F654F9C" w:rsidR="00260FA9" w:rsidRPr="00145A9B" w:rsidRDefault="00260FA9" w:rsidP="00145A9B">
      <w:pPr>
        <w:pStyle w:val="ListParagraph"/>
        <w:numPr>
          <w:ilvl w:val="0"/>
          <w:numId w:val="2"/>
        </w:numPr>
        <w:spacing w:line="360" w:lineRule="auto"/>
        <w:rPr>
          <w:rFonts w:cs="Times New Roman"/>
        </w:rPr>
      </w:pPr>
      <w:r w:rsidRPr="00145A9B">
        <w:rPr>
          <w:rFonts w:cs="Times New Roman"/>
        </w:rPr>
        <w:t xml:space="preserve">IBM. (2022). </w:t>
      </w:r>
      <w:r w:rsidRPr="00145A9B">
        <w:rPr>
          <w:rFonts w:cs="Times New Roman"/>
          <w:i/>
        </w:rPr>
        <w:t>IBM cash dividend payments</w:t>
      </w:r>
      <w:r w:rsidRPr="00145A9B">
        <w:rPr>
          <w:rFonts w:cs="Times New Roman"/>
        </w:rPr>
        <w:t xml:space="preserve">. (Online) available at: </w:t>
      </w:r>
      <w:hyperlink r:id="rId17" w:anchor=":~:text=IBM's%20dividends%20are%20normally%20paid,hold%20on%20a%20record%20date" w:history="1">
        <w:r w:rsidRPr="00145A9B">
          <w:rPr>
            <w:rStyle w:val="Hyperlink"/>
            <w:rFonts w:cs="Times New Roman"/>
          </w:rPr>
          <w:t>https://www.ibm.com/investor/help/ibm-cash-dividend-payments#:~:text=IBM's%20dividends%20are%20normally%20paid,hold%20on%20a%20record%20date</w:t>
        </w:r>
      </w:hyperlink>
      <w:r w:rsidRPr="00145A9B">
        <w:rPr>
          <w:rFonts w:cs="Times New Roman"/>
        </w:rPr>
        <w:t xml:space="preserve">. </w:t>
      </w:r>
      <w:r w:rsidR="00145A9B">
        <w:rPr>
          <w:rFonts w:cs="Times New Roman"/>
        </w:rPr>
        <w:t>A</w:t>
      </w:r>
      <w:r w:rsidRPr="00145A9B">
        <w:rPr>
          <w:rFonts w:cs="Times New Roman"/>
        </w:rPr>
        <w:t xml:space="preserve">ccessed on 10 April 2022. </w:t>
      </w:r>
    </w:p>
    <w:p w14:paraId="40E12F8D" w14:textId="60F149A7" w:rsidR="00260FA9" w:rsidRPr="00145A9B" w:rsidRDefault="00260FA9" w:rsidP="00145A9B">
      <w:pPr>
        <w:pStyle w:val="ListParagraph"/>
        <w:numPr>
          <w:ilvl w:val="0"/>
          <w:numId w:val="2"/>
        </w:numPr>
        <w:spacing w:line="360" w:lineRule="auto"/>
        <w:rPr>
          <w:rFonts w:cs="Times New Roman"/>
        </w:rPr>
      </w:pPr>
      <w:r w:rsidRPr="00145A9B">
        <w:rPr>
          <w:rFonts w:cs="Times New Roman"/>
        </w:rPr>
        <w:t xml:space="preserve">IBM. (2022). </w:t>
      </w:r>
      <w:r w:rsidRPr="00145A9B">
        <w:rPr>
          <w:rFonts w:cs="Times New Roman"/>
          <w:i/>
        </w:rPr>
        <w:t>IBM Investor Relations</w:t>
      </w:r>
      <w:r w:rsidRPr="00145A9B">
        <w:rPr>
          <w:rFonts w:cs="Times New Roman"/>
        </w:rPr>
        <w:t xml:space="preserve">. (Online) available at: </w:t>
      </w:r>
      <w:hyperlink r:id="rId18" w:history="1">
        <w:r w:rsidRPr="00145A9B">
          <w:rPr>
            <w:rStyle w:val="Hyperlink"/>
            <w:rFonts w:cs="Times New Roman"/>
          </w:rPr>
          <w:t>https://www.ibm.com/investor/att/pdf/IBM-Cash-Dividends.pdf</w:t>
        </w:r>
      </w:hyperlink>
      <w:r w:rsidRPr="00145A9B">
        <w:rPr>
          <w:rFonts w:cs="Times New Roman"/>
        </w:rPr>
        <w:t xml:space="preserve">. </w:t>
      </w:r>
      <w:r w:rsidR="00145A9B">
        <w:rPr>
          <w:rFonts w:cs="Times New Roman"/>
        </w:rPr>
        <w:t>A</w:t>
      </w:r>
      <w:r w:rsidRPr="00145A9B">
        <w:rPr>
          <w:rFonts w:cs="Times New Roman"/>
        </w:rPr>
        <w:t xml:space="preserve">ccessed on 10 April 2022. </w:t>
      </w:r>
    </w:p>
    <w:p w14:paraId="19EA1389" w14:textId="252FD5D6" w:rsidR="00260FA9" w:rsidRPr="00145A9B" w:rsidRDefault="00260FA9" w:rsidP="00145A9B">
      <w:pPr>
        <w:pStyle w:val="ListParagraph"/>
        <w:numPr>
          <w:ilvl w:val="0"/>
          <w:numId w:val="2"/>
        </w:numPr>
        <w:spacing w:line="360" w:lineRule="auto"/>
        <w:rPr>
          <w:rFonts w:cs="Times New Roman"/>
        </w:rPr>
      </w:pPr>
      <w:r w:rsidRPr="00145A9B">
        <w:rPr>
          <w:rFonts w:cs="Times New Roman"/>
        </w:rPr>
        <w:t>James, K. R. and Valenzuela, M. (2020). The efficient IPO market hypothesis: theory and evidence. </w:t>
      </w:r>
      <w:r w:rsidRPr="00145A9B">
        <w:rPr>
          <w:rFonts w:cs="Times New Roman"/>
          <w:i/>
          <w:iCs/>
        </w:rPr>
        <w:t>Journal of Financial and Quantitative Analysis</w:t>
      </w:r>
      <w:r w:rsidRPr="00145A9B">
        <w:rPr>
          <w:rFonts w:cs="Times New Roman"/>
        </w:rPr>
        <w:t>, </w:t>
      </w:r>
      <w:r w:rsidRPr="00145A9B">
        <w:rPr>
          <w:rFonts w:cs="Times New Roman"/>
          <w:i/>
          <w:iCs/>
        </w:rPr>
        <w:t>55</w:t>
      </w:r>
      <w:r w:rsidRPr="00145A9B">
        <w:rPr>
          <w:rFonts w:cs="Times New Roman"/>
        </w:rPr>
        <w:t>(7), 2304-2333.</w:t>
      </w:r>
    </w:p>
    <w:p w14:paraId="43FC240B" w14:textId="5C0CCF67" w:rsidR="00260FA9" w:rsidRPr="00145A9B" w:rsidRDefault="00260FA9" w:rsidP="00145A9B">
      <w:pPr>
        <w:pStyle w:val="ListParagraph"/>
        <w:numPr>
          <w:ilvl w:val="0"/>
          <w:numId w:val="2"/>
        </w:numPr>
        <w:spacing w:line="360" w:lineRule="auto"/>
        <w:rPr>
          <w:rFonts w:cs="Times New Roman"/>
        </w:rPr>
      </w:pPr>
      <w:r w:rsidRPr="00145A9B">
        <w:rPr>
          <w:rFonts w:cs="Times New Roman"/>
        </w:rPr>
        <w:t>KANAKRIYAH, R. (2020). Dividend policy and companies' financial performance. </w:t>
      </w:r>
      <w:r w:rsidRPr="00145A9B">
        <w:rPr>
          <w:rFonts w:cs="Times New Roman"/>
          <w:i/>
          <w:iCs/>
        </w:rPr>
        <w:t>The Journal of Asian Finance, Economics, and Business</w:t>
      </w:r>
      <w:r w:rsidRPr="00145A9B">
        <w:rPr>
          <w:rFonts w:cs="Times New Roman"/>
        </w:rPr>
        <w:t>, </w:t>
      </w:r>
      <w:r w:rsidRPr="00145A9B">
        <w:rPr>
          <w:rFonts w:cs="Times New Roman"/>
          <w:i/>
          <w:iCs/>
        </w:rPr>
        <w:t>7</w:t>
      </w:r>
      <w:r w:rsidRPr="00145A9B">
        <w:rPr>
          <w:rFonts w:cs="Times New Roman"/>
        </w:rPr>
        <w:t>(10), pp.531-541.</w:t>
      </w:r>
    </w:p>
    <w:p w14:paraId="7AAEE0B6" w14:textId="032961B7" w:rsidR="00260FA9" w:rsidRPr="00145A9B" w:rsidRDefault="00260FA9" w:rsidP="00145A9B">
      <w:pPr>
        <w:pStyle w:val="ListParagraph"/>
        <w:numPr>
          <w:ilvl w:val="0"/>
          <w:numId w:val="2"/>
        </w:numPr>
        <w:spacing w:line="360" w:lineRule="auto"/>
        <w:rPr>
          <w:rFonts w:cs="Times New Roman"/>
        </w:rPr>
      </w:pPr>
      <w:proofErr w:type="spellStart"/>
      <w:r w:rsidRPr="00145A9B">
        <w:rPr>
          <w:rFonts w:cs="Times New Roman"/>
        </w:rPr>
        <w:t>Mungodla</w:t>
      </w:r>
      <w:proofErr w:type="spellEnd"/>
      <w:r w:rsidRPr="00145A9B">
        <w:rPr>
          <w:rFonts w:cs="Times New Roman"/>
        </w:rPr>
        <w:t xml:space="preserve">, S. G., </w:t>
      </w:r>
      <w:proofErr w:type="spellStart"/>
      <w:r w:rsidRPr="00145A9B">
        <w:rPr>
          <w:rFonts w:cs="Times New Roman"/>
        </w:rPr>
        <w:t>Linganiso</w:t>
      </w:r>
      <w:proofErr w:type="spellEnd"/>
      <w:r w:rsidRPr="00145A9B">
        <w:rPr>
          <w:rFonts w:cs="Times New Roman"/>
        </w:rPr>
        <w:t>, L. Z., Mlambo, S. and Motaung, T. (2019). Economic and technical feasibility studies: technologies for second</w:t>
      </w:r>
      <w:r w:rsidR="00145A9B" w:rsidRPr="00145A9B">
        <w:rPr>
          <w:rFonts w:cs="Times New Roman"/>
        </w:rPr>
        <w:t>-</w:t>
      </w:r>
      <w:r w:rsidRPr="00145A9B">
        <w:rPr>
          <w:rFonts w:cs="Times New Roman"/>
        </w:rPr>
        <w:t>generation biofuels. </w:t>
      </w:r>
      <w:r w:rsidRPr="00145A9B">
        <w:rPr>
          <w:rFonts w:cs="Times New Roman"/>
          <w:i/>
          <w:iCs/>
        </w:rPr>
        <w:t>Journal of Engineering, Design and Technology</w:t>
      </w:r>
      <w:r w:rsidRPr="00145A9B">
        <w:rPr>
          <w:rFonts w:cs="Times New Roman"/>
        </w:rPr>
        <w:t>.</w:t>
      </w:r>
    </w:p>
    <w:p w14:paraId="21EFA3B3" w14:textId="707D5415" w:rsidR="00260FA9" w:rsidRPr="00145A9B" w:rsidRDefault="00260FA9" w:rsidP="00145A9B">
      <w:pPr>
        <w:pStyle w:val="ListParagraph"/>
        <w:numPr>
          <w:ilvl w:val="0"/>
          <w:numId w:val="2"/>
        </w:numPr>
        <w:spacing w:line="360" w:lineRule="auto"/>
        <w:rPr>
          <w:rFonts w:cs="Times New Roman"/>
        </w:rPr>
      </w:pPr>
      <w:r w:rsidRPr="00145A9B">
        <w:rPr>
          <w:rFonts w:cs="Times New Roman"/>
        </w:rPr>
        <w:t xml:space="preserve">Nasdaq. (2022). </w:t>
      </w:r>
      <w:r w:rsidRPr="00145A9B">
        <w:rPr>
          <w:rFonts w:cs="Times New Roman"/>
          <w:i/>
        </w:rPr>
        <w:tab/>
        <w:t xml:space="preserve">IBM advance charting. </w:t>
      </w:r>
      <w:r w:rsidRPr="00145A9B">
        <w:rPr>
          <w:rFonts w:cs="Times New Roman"/>
        </w:rPr>
        <w:t xml:space="preserve">Online available at: </w:t>
      </w:r>
      <w:hyperlink r:id="rId19" w:history="1">
        <w:r w:rsidRPr="00145A9B">
          <w:rPr>
            <w:rStyle w:val="Hyperlink"/>
            <w:rFonts w:cs="Times New Roman"/>
          </w:rPr>
          <w:t>https://www.nasdaq.com/market-activity/stocks/ibm/advanced-charting</w:t>
        </w:r>
      </w:hyperlink>
      <w:r w:rsidRPr="00145A9B">
        <w:rPr>
          <w:rFonts w:cs="Times New Roman"/>
        </w:rPr>
        <w:t xml:space="preserve">. </w:t>
      </w:r>
      <w:r w:rsidR="00145A9B">
        <w:rPr>
          <w:rFonts w:cs="Times New Roman"/>
        </w:rPr>
        <w:t>A</w:t>
      </w:r>
      <w:r w:rsidRPr="00145A9B">
        <w:rPr>
          <w:rFonts w:cs="Times New Roman"/>
        </w:rPr>
        <w:t>ccessed on 10 April 2022.</w:t>
      </w:r>
    </w:p>
    <w:p w14:paraId="0167CDFE" w14:textId="449F0831" w:rsidR="00260FA9" w:rsidRPr="00145A9B" w:rsidRDefault="00260FA9" w:rsidP="00145A9B">
      <w:pPr>
        <w:pStyle w:val="ListParagraph"/>
        <w:numPr>
          <w:ilvl w:val="0"/>
          <w:numId w:val="2"/>
        </w:numPr>
        <w:spacing w:line="360" w:lineRule="auto"/>
        <w:rPr>
          <w:rFonts w:cs="Times New Roman"/>
        </w:rPr>
      </w:pPr>
      <w:r w:rsidRPr="00145A9B">
        <w:rPr>
          <w:rFonts w:cs="Times New Roman"/>
        </w:rPr>
        <w:t>Nielsen, J. S., Chilton, S. and Metcalf, H. (2019). Improving the risk–risk trade-off method for use in safety project appraisal responses. </w:t>
      </w:r>
      <w:r w:rsidRPr="00145A9B">
        <w:rPr>
          <w:rFonts w:cs="Times New Roman"/>
          <w:i/>
          <w:iCs/>
        </w:rPr>
        <w:t>Environmental Economics and Policy Studies</w:t>
      </w:r>
      <w:r w:rsidRPr="00145A9B">
        <w:rPr>
          <w:rFonts w:cs="Times New Roman"/>
        </w:rPr>
        <w:t>, </w:t>
      </w:r>
      <w:r w:rsidRPr="00145A9B">
        <w:rPr>
          <w:rFonts w:cs="Times New Roman"/>
          <w:i/>
          <w:iCs/>
        </w:rPr>
        <w:t>21</w:t>
      </w:r>
      <w:r w:rsidRPr="00145A9B">
        <w:rPr>
          <w:rFonts w:cs="Times New Roman"/>
        </w:rPr>
        <w:t>(1), 61-86.</w:t>
      </w:r>
    </w:p>
    <w:p w14:paraId="06563316" w14:textId="0E2C261F" w:rsidR="00260FA9" w:rsidRPr="00145A9B" w:rsidRDefault="00260FA9" w:rsidP="00145A9B">
      <w:pPr>
        <w:pStyle w:val="ListParagraph"/>
        <w:numPr>
          <w:ilvl w:val="0"/>
          <w:numId w:val="2"/>
        </w:numPr>
        <w:spacing w:line="360" w:lineRule="auto"/>
        <w:rPr>
          <w:rFonts w:cs="Times New Roman"/>
        </w:rPr>
      </w:pPr>
      <w:r w:rsidRPr="00145A9B">
        <w:rPr>
          <w:rFonts w:cs="Times New Roman"/>
        </w:rPr>
        <w:t xml:space="preserve">Singh, J. E., </w:t>
      </w:r>
      <w:proofErr w:type="spellStart"/>
      <w:r w:rsidRPr="00145A9B">
        <w:rPr>
          <w:rFonts w:cs="Times New Roman"/>
        </w:rPr>
        <w:t>Babshetti</w:t>
      </w:r>
      <w:proofErr w:type="spellEnd"/>
      <w:r w:rsidRPr="00145A9B">
        <w:rPr>
          <w:rFonts w:cs="Times New Roman"/>
        </w:rPr>
        <w:t xml:space="preserve">, V. and Shivaprasad, H. N. (2021). Efficient Market Hypothesis to </w:t>
      </w:r>
      <w:proofErr w:type="spellStart"/>
      <w:r w:rsidRPr="00145A9B">
        <w:rPr>
          <w:rFonts w:cs="Times New Roman"/>
        </w:rPr>
        <w:t>Behavioral</w:t>
      </w:r>
      <w:proofErr w:type="spellEnd"/>
      <w:r w:rsidRPr="00145A9B">
        <w:rPr>
          <w:rFonts w:cs="Times New Roman"/>
        </w:rPr>
        <w:t xml:space="preserve"> Finance: A Review of Rationality to Irrationality. </w:t>
      </w:r>
      <w:r w:rsidRPr="00145A9B">
        <w:rPr>
          <w:rFonts w:cs="Times New Roman"/>
          <w:i/>
          <w:iCs/>
        </w:rPr>
        <w:t>Materials Today: Proceedings</w:t>
      </w:r>
      <w:r w:rsidRPr="00145A9B">
        <w:rPr>
          <w:rFonts w:cs="Times New Roman"/>
        </w:rPr>
        <w:t>.</w:t>
      </w:r>
    </w:p>
    <w:p w14:paraId="3FD70F56" w14:textId="2808AF77" w:rsidR="0057752B" w:rsidRPr="00145A9B" w:rsidRDefault="00260FA9" w:rsidP="00C24D3A">
      <w:pPr>
        <w:pStyle w:val="ListParagraph"/>
        <w:numPr>
          <w:ilvl w:val="0"/>
          <w:numId w:val="2"/>
        </w:numPr>
        <w:spacing w:line="360" w:lineRule="auto"/>
        <w:rPr>
          <w:rFonts w:cs="Times New Roman"/>
        </w:rPr>
      </w:pPr>
      <w:r w:rsidRPr="00145A9B">
        <w:rPr>
          <w:rFonts w:cs="Times New Roman"/>
        </w:rPr>
        <w:t xml:space="preserve">Yahoo Finance. (2022). </w:t>
      </w:r>
      <w:r w:rsidRPr="00145A9B">
        <w:rPr>
          <w:rFonts w:cs="Times New Roman"/>
          <w:i/>
        </w:rPr>
        <w:t>International Business Machines Corporation (IBM)</w:t>
      </w:r>
      <w:r w:rsidRPr="00145A9B">
        <w:rPr>
          <w:rFonts w:cs="Times New Roman"/>
        </w:rPr>
        <w:t xml:space="preserve">. (Online) available at: </w:t>
      </w:r>
      <w:hyperlink r:id="rId20" w:history="1">
        <w:r w:rsidRPr="00145A9B">
          <w:rPr>
            <w:rStyle w:val="Hyperlink"/>
            <w:rFonts w:cs="Times New Roman"/>
          </w:rPr>
          <w:t>https://finance.yahoo.com/quote/IBM/key-statistics?p=IBM</w:t>
        </w:r>
      </w:hyperlink>
      <w:r w:rsidRPr="00145A9B">
        <w:rPr>
          <w:rFonts w:cs="Times New Roman"/>
        </w:rPr>
        <w:t xml:space="preserve">. </w:t>
      </w:r>
      <w:r w:rsidR="00145A9B">
        <w:rPr>
          <w:rFonts w:cs="Times New Roman"/>
        </w:rPr>
        <w:t>A</w:t>
      </w:r>
      <w:r w:rsidRPr="00145A9B">
        <w:rPr>
          <w:rFonts w:cs="Times New Roman"/>
        </w:rPr>
        <w:t xml:space="preserve">ccessed on 10 April 2022. </w:t>
      </w:r>
    </w:p>
    <w:sectPr w:rsidR="0057752B" w:rsidRPr="00145A9B" w:rsidSect="006C3608">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F66FD" w14:textId="77777777" w:rsidR="00251FE7" w:rsidRDefault="00251FE7" w:rsidP="00CF58AE">
      <w:pPr>
        <w:spacing w:after="0" w:line="240" w:lineRule="auto"/>
      </w:pPr>
      <w:r>
        <w:separator/>
      </w:r>
    </w:p>
  </w:endnote>
  <w:endnote w:type="continuationSeparator" w:id="0">
    <w:p w14:paraId="1BFF082D" w14:textId="77777777" w:rsidR="00251FE7" w:rsidRDefault="00251FE7" w:rsidP="00CF5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128"/>
      <w:docPartObj>
        <w:docPartGallery w:val="Page Numbers (Bottom of Page)"/>
        <w:docPartUnique/>
      </w:docPartObj>
    </w:sdtPr>
    <w:sdtEndPr/>
    <w:sdtContent>
      <w:p w14:paraId="787ED663" w14:textId="77777777" w:rsidR="000C10F3" w:rsidRDefault="00CF58AE">
        <w:pPr>
          <w:pStyle w:val="Footer"/>
        </w:pPr>
        <w:r>
          <w:fldChar w:fldCharType="begin"/>
        </w:r>
        <w:r w:rsidR="007D67F6">
          <w:instrText xml:space="preserve"> PAGE   \* MERGEFORMAT </w:instrText>
        </w:r>
        <w:r>
          <w:fldChar w:fldCharType="separate"/>
        </w:r>
        <w:r w:rsidR="000253B5">
          <w:rPr>
            <w:noProof/>
          </w:rPr>
          <w:t>3</w:t>
        </w:r>
        <w:r>
          <w:rPr>
            <w:noProof/>
          </w:rPr>
          <w:fldChar w:fldCharType="end"/>
        </w:r>
      </w:p>
    </w:sdtContent>
  </w:sdt>
  <w:p w14:paraId="34F39272" w14:textId="77777777" w:rsidR="000C10F3" w:rsidRDefault="000C1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B8522" w14:textId="77777777" w:rsidR="00251FE7" w:rsidRDefault="00251FE7" w:rsidP="00CF58AE">
      <w:pPr>
        <w:spacing w:after="0" w:line="240" w:lineRule="auto"/>
      </w:pPr>
      <w:r>
        <w:separator/>
      </w:r>
    </w:p>
  </w:footnote>
  <w:footnote w:type="continuationSeparator" w:id="0">
    <w:p w14:paraId="597F487D" w14:textId="77777777" w:rsidR="00251FE7" w:rsidRDefault="00251FE7" w:rsidP="00CF58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9B121F"/>
    <w:multiLevelType w:val="hybridMultilevel"/>
    <w:tmpl w:val="7F0C57CA"/>
    <w:lvl w:ilvl="0" w:tplc="CF1E44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FD0523"/>
    <w:multiLevelType w:val="hybridMultilevel"/>
    <w:tmpl w:val="800A7890"/>
    <w:lvl w:ilvl="0" w:tplc="DC821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AA5819"/>
    <w:multiLevelType w:val="hybridMultilevel"/>
    <w:tmpl w:val="D9288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5827896">
    <w:abstractNumId w:val="2"/>
  </w:num>
  <w:num w:numId="2" w16cid:durableId="17392869">
    <w:abstractNumId w:val="1"/>
  </w:num>
  <w:num w:numId="3" w16cid:durableId="53748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W2sDQ2MzczMzA1MTdS0lEKTi0uzszPAykwrAUAzW+OuywAAAA="/>
  </w:docVars>
  <w:rsids>
    <w:rsidRoot w:val="00E0325B"/>
    <w:rsid w:val="00015993"/>
    <w:rsid w:val="00020658"/>
    <w:rsid w:val="000253B5"/>
    <w:rsid w:val="00025DC4"/>
    <w:rsid w:val="00032DFD"/>
    <w:rsid w:val="0003446F"/>
    <w:rsid w:val="000353AD"/>
    <w:rsid w:val="00035F6F"/>
    <w:rsid w:val="00040A90"/>
    <w:rsid w:val="00072F34"/>
    <w:rsid w:val="00073105"/>
    <w:rsid w:val="00076D51"/>
    <w:rsid w:val="00086EA2"/>
    <w:rsid w:val="00097FE1"/>
    <w:rsid w:val="000A3AB4"/>
    <w:rsid w:val="000A6387"/>
    <w:rsid w:val="000C10F3"/>
    <w:rsid w:val="000E2137"/>
    <w:rsid w:val="000F0D8A"/>
    <w:rsid w:val="001028E2"/>
    <w:rsid w:val="00105DD6"/>
    <w:rsid w:val="0012102F"/>
    <w:rsid w:val="00121A20"/>
    <w:rsid w:val="00130365"/>
    <w:rsid w:val="0013040D"/>
    <w:rsid w:val="001366EA"/>
    <w:rsid w:val="00136854"/>
    <w:rsid w:val="00145A9B"/>
    <w:rsid w:val="00161B49"/>
    <w:rsid w:val="001647D9"/>
    <w:rsid w:val="00170A44"/>
    <w:rsid w:val="001757C9"/>
    <w:rsid w:val="001815A7"/>
    <w:rsid w:val="001948EC"/>
    <w:rsid w:val="001A6A48"/>
    <w:rsid w:val="001C5A94"/>
    <w:rsid w:val="001D7AA5"/>
    <w:rsid w:val="001E2B7E"/>
    <w:rsid w:val="001E5C56"/>
    <w:rsid w:val="001F6696"/>
    <w:rsid w:val="00215F13"/>
    <w:rsid w:val="00221544"/>
    <w:rsid w:val="0022487A"/>
    <w:rsid w:val="002338C7"/>
    <w:rsid w:val="00237651"/>
    <w:rsid w:val="0024082C"/>
    <w:rsid w:val="002445AF"/>
    <w:rsid w:val="00251FE7"/>
    <w:rsid w:val="00252F8F"/>
    <w:rsid w:val="00256A38"/>
    <w:rsid w:val="00260FA9"/>
    <w:rsid w:val="00264D1F"/>
    <w:rsid w:val="00293DB0"/>
    <w:rsid w:val="00296A18"/>
    <w:rsid w:val="002A0232"/>
    <w:rsid w:val="002A3A81"/>
    <w:rsid w:val="002C1BBF"/>
    <w:rsid w:val="002C2BC7"/>
    <w:rsid w:val="002C45F5"/>
    <w:rsid w:val="002D2828"/>
    <w:rsid w:val="002F630C"/>
    <w:rsid w:val="00313695"/>
    <w:rsid w:val="003136DE"/>
    <w:rsid w:val="003373A8"/>
    <w:rsid w:val="00355654"/>
    <w:rsid w:val="00360C2A"/>
    <w:rsid w:val="00362FE3"/>
    <w:rsid w:val="0039121E"/>
    <w:rsid w:val="003A40B1"/>
    <w:rsid w:val="003B1636"/>
    <w:rsid w:val="003B5E12"/>
    <w:rsid w:val="003E74E1"/>
    <w:rsid w:val="003F5BC6"/>
    <w:rsid w:val="004101E4"/>
    <w:rsid w:val="00411A6D"/>
    <w:rsid w:val="00413E0E"/>
    <w:rsid w:val="00415A9A"/>
    <w:rsid w:val="004342B8"/>
    <w:rsid w:val="004350CD"/>
    <w:rsid w:val="004413F8"/>
    <w:rsid w:val="0044627B"/>
    <w:rsid w:val="004625AB"/>
    <w:rsid w:val="004656AF"/>
    <w:rsid w:val="004955E0"/>
    <w:rsid w:val="004A06F8"/>
    <w:rsid w:val="004A0D83"/>
    <w:rsid w:val="004B7420"/>
    <w:rsid w:val="004C2182"/>
    <w:rsid w:val="004F01B1"/>
    <w:rsid w:val="005357AE"/>
    <w:rsid w:val="00540AEF"/>
    <w:rsid w:val="005424B6"/>
    <w:rsid w:val="00551886"/>
    <w:rsid w:val="00554C22"/>
    <w:rsid w:val="00560607"/>
    <w:rsid w:val="005636D3"/>
    <w:rsid w:val="0057752B"/>
    <w:rsid w:val="00584172"/>
    <w:rsid w:val="005879FA"/>
    <w:rsid w:val="005B2494"/>
    <w:rsid w:val="005B73D6"/>
    <w:rsid w:val="005C330D"/>
    <w:rsid w:val="005D4893"/>
    <w:rsid w:val="005F188A"/>
    <w:rsid w:val="006066BF"/>
    <w:rsid w:val="00647835"/>
    <w:rsid w:val="006537CF"/>
    <w:rsid w:val="00660CDA"/>
    <w:rsid w:val="00677A5A"/>
    <w:rsid w:val="0068109C"/>
    <w:rsid w:val="006A481A"/>
    <w:rsid w:val="006A594E"/>
    <w:rsid w:val="006A7DE5"/>
    <w:rsid w:val="006B742A"/>
    <w:rsid w:val="006C3608"/>
    <w:rsid w:val="006C3AEA"/>
    <w:rsid w:val="006C79A8"/>
    <w:rsid w:val="006C7CEF"/>
    <w:rsid w:val="00714223"/>
    <w:rsid w:val="00715AC4"/>
    <w:rsid w:val="0072071C"/>
    <w:rsid w:val="007234D0"/>
    <w:rsid w:val="0073717F"/>
    <w:rsid w:val="00744506"/>
    <w:rsid w:val="007537B5"/>
    <w:rsid w:val="007557F9"/>
    <w:rsid w:val="007566B8"/>
    <w:rsid w:val="00756BB0"/>
    <w:rsid w:val="007637B1"/>
    <w:rsid w:val="00770DDB"/>
    <w:rsid w:val="007847A6"/>
    <w:rsid w:val="00786085"/>
    <w:rsid w:val="0079449A"/>
    <w:rsid w:val="007A6252"/>
    <w:rsid w:val="007D67F6"/>
    <w:rsid w:val="007F297B"/>
    <w:rsid w:val="007F3B3A"/>
    <w:rsid w:val="0080306B"/>
    <w:rsid w:val="00821769"/>
    <w:rsid w:val="00824A3F"/>
    <w:rsid w:val="0084019E"/>
    <w:rsid w:val="00845DDA"/>
    <w:rsid w:val="00867D59"/>
    <w:rsid w:val="00871696"/>
    <w:rsid w:val="00872B63"/>
    <w:rsid w:val="008800E2"/>
    <w:rsid w:val="008A419C"/>
    <w:rsid w:val="008B0D32"/>
    <w:rsid w:val="008D0E63"/>
    <w:rsid w:val="008D2070"/>
    <w:rsid w:val="008F31E9"/>
    <w:rsid w:val="00925C86"/>
    <w:rsid w:val="00925EDA"/>
    <w:rsid w:val="009353BF"/>
    <w:rsid w:val="00960C3D"/>
    <w:rsid w:val="00982F12"/>
    <w:rsid w:val="009B6BB1"/>
    <w:rsid w:val="009C2D8C"/>
    <w:rsid w:val="009C4EC7"/>
    <w:rsid w:val="009E0601"/>
    <w:rsid w:val="009E3C7A"/>
    <w:rsid w:val="009F7286"/>
    <w:rsid w:val="00A13EFF"/>
    <w:rsid w:val="00A16F7F"/>
    <w:rsid w:val="00A202F3"/>
    <w:rsid w:val="00A346C8"/>
    <w:rsid w:val="00A40CFD"/>
    <w:rsid w:val="00A448D1"/>
    <w:rsid w:val="00A47382"/>
    <w:rsid w:val="00A51429"/>
    <w:rsid w:val="00A5596C"/>
    <w:rsid w:val="00A56821"/>
    <w:rsid w:val="00A6352E"/>
    <w:rsid w:val="00A66D49"/>
    <w:rsid w:val="00A92D77"/>
    <w:rsid w:val="00A9650C"/>
    <w:rsid w:val="00AA06F0"/>
    <w:rsid w:val="00AB2EF3"/>
    <w:rsid w:val="00AB7ED4"/>
    <w:rsid w:val="00AC1C04"/>
    <w:rsid w:val="00AC4C1A"/>
    <w:rsid w:val="00AC7C1E"/>
    <w:rsid w:val="00AD55FC"/>
    <w:rsid w:val="00AE431B"/>
    <w:rsid w:val="00AE7529"/>
    <w:rsid w:val="00AF7F76"/>
    <w:rsid w:val="00B1483D"/>
    <w:rsid w:val="00B229D0"/>
    <w:rsid w:val="00B41175"/>
    <w:rsid w:val="00B4205A"/>
    <w:rsid w:val="00B659E5"/>
    <w:rsid w:val="00B73A95"/>
    <w:rsid w:val="00B87028"/>
    <w:rsid w:val="00B959AA"/>
    <w:rsid w:val="00BA41C1"/>
    <w:rsid w:val="00BB7E50"/>
    <w:rsid w:val="00BD1C92"/>
    <w:rsid w:val="00BF533F"/>
    <w:rsid w:val="00BF54E8"/>
    <w:rsid w:val="00BF69B0"/>
    <w:rsid w:val="00BF7B35"/>
    <w:rsid w:val="00C0208B"/>
    <w:rsid w:val="00C02093"/>
    <w:rsid w:val="00C048C2"/>
    <w:rsid w:val="00C21A41"/>
    <w:rsid w:val="00C2270B"/>
    <w:rsid w:val="00C244C7"/>
    <w:rsid w:val="00C24D3A"/>
    <w:rsid w:val="00C24D8B"/>
    <w:rsid w:val="00C255F6"/>
    <w:rsid w:val="00C270E6"/>
    <w:rsid w:val="00C3581B"/>
    <w:rsid w:val="00C603BD"/>
    <w:rsid w:val="00C7293C"/>
    <w:rsid w:val="00C733DC"/>
    <w:rsid w:val="00C77D6A"/>
    <w:rsid w:val="00C83388"/>
    <w:rsid w:val="00C8366A"/>
    <w:rsid w:val="00C90F31"/>
    <w:rsid w:val="00C93DAB"/>
    <w:rsid w:val="00CB18FE"/>
    <w:rsid w:val="00CC069A"/>
    <w:rsid w:val="00CC30E4"/>
    <w:rsid w:val="00CD1F9B"/>
    <w:rsid w:val="00CE20C1"/>
    <w:rsid w:val="00CE59CB"/>
    <w:rsid w:val="00CF58AE"/>
    <w:rsid w:val="00D16A2C"/>
    <w:rsid w:val="00D27D97"/>
    <w:rsid w:val="00D30F77"/>
    <w:rsid w:val="00D41F9D"/>
    <w:rsid w:val="00D45800"/>
    <w:rsid w:val="00D805F0"/>
    <w:rsid w:val="00D84DED"/>
    <w:rsid w:val="00D9174F"/>
    <w:rsid w:val="00D97CDA"/>
    <w:rsid w:val="00DA3DFF"/>
    <w:rsid w:val="00DD31B3"/>
    <w:rsid w:val="00DD483B"/>
    <w:rsid w:val="00DE04C8"/>
    <w:rsid w:val="00DE475B"/>
    <w:rsid w:val="00DE7DC8"/>
    <w:rsid w:val="00E0325B"/>
    <w:rsid w:val="00E060B4"/>
    <w:rsid w:val="00E223FE"/>
    <w:rsid w:val="00E30992"/>
    <w:rsid w:val="00E44162"/>
    <w:rsid w:val="00E52D90"/>
    <w:rsid w:val="00E53CBF"/>
    <w:rsid w:val="00E60597"/>
    <w:rsid w:val="00E83558"/>
    <w:rsid w:val="00E865B9"/>
    <w:rsid w:val="00ED54BE"/>
    <w:rsid w:val="00EE2970"/>
    <w:rsid w:val="00F00ADE"/>
    <w:rsid w:val="00F22F70"/>
    <w:rsid w:val="00F2384F"/>
    <w:rsid w:val="00F70C94"/>
    <w:rsid w:val="00F920CC"/>
    <w:rsid w:val="00FE6036"/>
    <w:rsid w:val="00FE7A81"/>
    <w:rsid w:val="00FF60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BC282"/>
  <w15:docId w15:val="{0A228EF1-D687-41D8-9119-990B51EB7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137"/>
    <w:pPr>
      <w:spacing w:after="160" w:line="259"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101E4"/>
    <w:pPr>
      <w:keepNext/>
      <w:keepLines/>
      <w:spacing w:before="480"/>
      <w:outlineLvl w:val="0"/>
    </w:pPr>
    <w:rPr>
      <w:rFonts w:eastAsiaTheme="majorEastAsia" w:cstheme="majorBidi"/>
      <w:b/>
      <w:bCs/>
      <w:color w:val="365F91" w:themeColor="accent1" w:themeShade="BF"/>
      <w:szCs w:val="28"/>
      <w:lang w:val="en-US"/>
    </w:rPr>
  </w:style>
  <w:style w:type="paragraph" w:styleId="Heading2">
    <w:name w:val="heading 2"/>
    <w:basedOn w:val="Normal"/>
    <w:next w:val="Normal"/>
    <w:link w:val="Heading2Char"/>
    <w:uiPriority w:val="9"/>
    <w:unhideWhenUsed/>
    <w:qFormat/>
    <w:rsid w:val="000E2137"/>
    <w:pPr>
      <w:keepNext/>
      <w:keepLines/>
      <w:spacing w:before="200" w:after="0"/>
      <w:outlineLvl w:val="1"/>
    </w:pPr>
    <w:rPr>
      <w:rFonts w:eastAsiaTheme="majorEastAsia" w:cstheme="majorBidi"/>
      <w:b/>
      <w:bCs/>
      <w:color w:val="4F81BD" w:themeColor="accent1"/>
      <w:szCs w:val="26"/>
      <w:lang w:val="en-US"/>
    </w:rPr>
  </w:style>
  <w:style w:type="paragraph" w:styleId="Heading3">
    <w:name w:val="heading 3"/>
    <w:basedOn w:val="Normal"/>
    <w:next w:val="Normal"/>
    <w:link w:val="Heading3Char"/>
    <w:uiPriority w:val="9"/>
    <w:unhideWhenUsed/>
    <w:qFormat/>
    <w:rsid w:val="00313695"/>
    <w:pPr>
      <w:keepNext/>
      <w:keepLines/>
      <w:spacing w:before="200"/>
      <w:outlineLvl w:val="2"/>
    </w:pPr>
    <w:rPr>
      <w:rFonts w:eastAsiaTheme="majorEastAsia" w:cstheme="majorBidi"/>
      <w:b/>
      <w:bCs/>
      <w:color w:val="7CA1C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1E4"/>
    <w:rPr>
      <w:rFonts w:ascii="Times New Roman" w:eastAsiaTheme="majorEastAsia" w:hAnsi="Times New Roman" w:cstheme="majorBidi"/>
      <w:b/>
      <w:bCs/>
      <w:color w:val="365F91" w:themeColor="accent1" w:themeShade="BF"/>
      <w:sz w:val="24"/>
      <w:szCs w:val="28"/>
    </w:rPr>
  </w:style>
  <w:style w:type="character" w:customStyle="1" w:styleId="Heading2Char">
    <w:name w:val="Heading 2 Char"/>
    <w:basedOn w:val="DefaultParagraphFont"/>
    <w:link w:val="Heading2"/>
    <w:uiPriority w:val="9"/>
    <w:rsid w:val="000E2137"/>
    <w:rPr>
      <w:rFonts w:ascii="Times New Roman" w:eastAsiaTheme="majorEastAsia" w:hAnsi="Times New Roman" w:cstheme="majorBidi"/>
      <w:b/>
      <w:bCs/>
      <w:color w:val="4F81BD" w:themeColor="accent1"/>
      <w:sz w:val="24"/>
      <w:szCs w:val="26"/>
    </w:rPr>
  </w:style>
  <w:style w:type="paragraph" w:styleId="Title">
    <w:name w:val="Title"/>
    <w:basedOn w:val="Normal"/>
    <w:next w:val="Normal"/>
    <w:link w:val="TitleChar"/>
    <w:uiPriority w:val="10"/>
    <w:qFormat/>
    <w:rsid w:val="000E2137"/>
    <w:pPr>
      <w:pBdr>
        <w:bottom w:val="single" w:sz="8" w:space="4" w:color="4F81BD" w:themeColor="accent1"/>
      </w:pBdr>
      <w:spacing w:after="300" w:line="240" w:lineRule="auto"/>
      <w:contextualSpacing/>
      <w:jc w:val="center"/>
    </w:pPr>
    <w:rPr>
      <w:rFonts w:eastAsiaTheme="majorEastAsia" w:cstheme="majorBidi"/>
      <w:b/>
      <w:color w:val="17365D" w:themeColor="text2" w:themeShade="BF"/>
      <w:spacing w:val="5"/>
      <w:kern w:val="28"/>
      <w:sz w:val="52"/>
      <w:szCs w:val="52"/>
      <w:u w:val="single"/>
      <w:lang w:val="en-US"/>
    </w:rPr>
  </w:style>
  <w:style w:type="character" w:customStyle="1" w:styleId="TitleChar">
    <w:name w:val="Title Char"/>
    <w:basedOn w:val="DefaultParagraphFont"/>
    <w:link w:val="Title"/>
    <w:uiPriority w:val="10"/>
    <w:rsid w:val="000E2137"/>
    <w:rPr>
      <w:rFonts w:ascii="Times New Roman" w:eastAsiaTheme="majorEastAsia" w:hAnsi="Times New Roman" w:cstheme="majorBidi"/>
      <w:b/>
      <w:color w:val="17365D" w:themeColor="text2" w:themeShade="BF"/>
      <w:spacing w:val="5"/>
      <w:kern w:val="28"/>
      <w:sz w:val="52"/>
      <w:szCs w:val="52"/>
      <w:u w:val="single"/>
    </w:rPr>
  </w:style>
  <w:style w:type="paragraph" w:styleId="Subtitle">
    <w:name w:val="Subtitle"/>
    <w:basedOn w:val="Normal"/>
    <w:next w:val="Normal"/>
    <w:link w:val="SubtitleChar"/>
    <w:uiPriority w:val="11"/>
    <w:qFormat/>
    <w:rsid w:val="003E74E1"/>
    <w:pPr>
      <w:numPr>
        <w:ilvl w:val="1"/>
      </w:numPr>
      <w:jc w:val="center"/>
    </w:pPr>
    <w:rPr>
      <w:rFonts w:eastAsiaTheme="majorEastAsia" w:cstheme="majorBidi"/>
      <w:b/>
      <w:iCs/>
      <w:color w:val="4F81BD" w:themeColor="accent1"/>
      <w:spacing w:val="15"/>
      <w:sz w:val="40"/>
      <w:u w:val="single"/>
    </w:rPr>
  </w:style>
  <w:style w:type="character" w:customStyle="1" w:styleId="SubtitleChar">
    <w:name w:val="Subtitle Char"/>
    <w:basedOn w:val="DefaultParagraphFont"/>
    <w:link w:val="Subtitle"/>
    <w:uiPriority w:val="11"/>
    <w:rsid w:val="003E74E1"/>
    <w:rPr>
      <w:rFonts w:ascii="Times New Roman" w:eastAsiaTheme="majorEastAsia" w:hAnsi="Times New Roman" w:cstheme="majorBidi"/>
      <w:b/>
      <w:iCs/>
      <w:color w:val="4F81BD" w:themeColor="accent1"/>
      <w:spacing w:val="15"/>
      <w:sz w:val="40"/>
      <w:szCs w:val="24"/>
      <w:u w:val="single"/>
    </w:rPr>
  </w:style>
  <w:style w:type="character" w:customStyle="1" w:styleId="Heading3Char">
    <w:name w:val="Heading 3 Char"/>
    <w:basedOn w:val="DefaultParagraphFont"/>
    <w:link w:val="Heading3"/>
    <w:uiPriority w:val="9"/>
    <w:rsid w:val="00313695"/>
    <w:rPr>
      <w:rFonts w:ascii="Times New Roman" w:eastAsiaTheme="majorEastAsia" w:hAnsi="Times New Roman" w:cstheme="majorBidi"/>
      <w:b/>
      <w:bCs/>
      <w:color w:val="7CA1CE"/>
      <w:sz w:val="24"/>
      <w:szCs w:val="24"/>
      <w:lang w:val="en-GB" w:eastAsia="en-GB"/>
    </w:rPr>
  </w:style>
  <w:style w:type="paragraph" w:styleId="Header">
    <w:name w:val="header"/>
    <w:basedOn w:val="Normal"/>
    <w:link w:val="HeaderChar"/>
    <w:uiPriority w:val="99"/>
    <w:semiHidden/>
    <w:unhideWhenUsed/>
    <w:rsid w:val="00C8366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8366A"/>
    <w:rPr>
      <w:rFonts w:ascii="Times New Roman" w:hAnsi="Times New Roman"/>
      <w:sz w:val="24"/>
      <w:lang w:val="en-GB"/>
    </w:rPr>
  </w:style>
  <w:style w:type="paragraph" w:styleId="Footer">
    <w:name w:val="footer"/>
    <w:basedOn w:val="Normal"/>
    <w:link w:val="FooterChar"/>
    <w:uiPriority w:val="99"/>
    <w:unhideWhenUsed/>
    <w:rsid w:val="00C836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66A"/>
    <w:rPr>
      <w:rFonts w:ascii="Times New Roman" w:hAnsi="Times New Roman"/>
      <w:sz w:val="24"/>
      <w:lang w:val="en-GB"/>
    </w:rPr>
  </w:style>
  <w:style w:type="paragraph" w:styleId="TOCHeading">
    <w:name w:val="TOC Heading"/>
    <w:basedOn w:val="Heading1"/>
    <w:next w:val="Normal"/>
    <w:uiPriority w:val="39"/>
    <w:semiHidden/>
    <w:unhideWhenUsed/>
    <w:qFormat/>
    <w:rsid w:val="00C8366A"/>
    <w:pPr>
      <w:spacing w:after="0" w:line="276" w:lineRule="auto"/>
      <w:jc w:val="left"/>
      <w:outlineLvl w:val="9"/>
    </w:pPr>
    <w:rPr>
      <w:rFonts w:asciiTheme="majorHAnsi" w:hAnsiTheme="majorHAnsi"/>
      <w:sz w:val="28"/>
    </w:rPr>
  </w:style>
  <w:style w:type="paragraph" w:styleId="BalloonText">
    <w:name w:val="Balloon Text"/>
    <w:basedOn w:val="Normal"/>
    <w:link w:val="BalloonTextChar"/>
    <w:uiPriority w:val="99"/>
    <w:semiHidden/>
    <w:unhideWhenUsed/>
    <w:rsid w:val="00C836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66A"/>
    <w:rPr>
      <w:rFonts w:ascii="Tahoma" w:hAnsi="Tahoma" w:cs="Tahoma"/>
      <w:sz w:val="16"/>
      <w:szCs w:val="16"/>
      <w:lang w:val="en-GB"/>
    </w:rPr>
  </w:style>
  <w:style w:type="character" w:styleId="Hyperlink">
    <w:name w:val="Hyperlink"/>
    <w:basedOn w:val="DefaultParagraphFont"/>
    <w:uiPriority w:val="99"/>
    <w:unhideWhenUsed/>
    <w:rsid w:val="00960C3D"/>
    <w:rPr>
      <w:color w:val="0000FF" w:themeColor="hyperlink"/>
      <w:u w:val="single"/>
    </w:rPr>
  </w:style>
  <w:style w:type="paragraph" w:styleId="TOC1">
    <w:name w:val="toc 1"/>
    <w:basedOn w:val="Normal"/>
    <w:next w:val="Normal"/>
    <w:autoRedefine/>
    <w:uiPriority w:val="39"/>
    <w:unhideWhenUsed/>
    <w:rsid w:val="0073717F"/>
    <w:pPr>
      <w:spacing w:after="100"/>
    </w:pPr>
  </w:style>
  <w:style w:type="paragraph" w:styleId="ListParagraph">
    <w:name w:val="List Paragraph"/>
    <w:basedOn w:val="Normal"/>
    <w:uiPriority w:val="34"/>
    <w:qFormat/>
    <w:rsid w:val="00260F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hyperlink" Target="https://www.ibm.com/investor/att/pdf/IBM-Cash-Dividends.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ibm.com/investor/help/ibm-cash-dividend-payments"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finance.yahoo.com/quote/IBM/key-statistics?p=IB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www.nasdaq.com/market-activity/stocks/ibm/advanced-charting"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080498-3828-4694-89F3-B95A85F242C3}" type="doc">
      <dgm:prSet loTypeId="urn:microsoft.com/office/officeart/2005/8/layout/orgChart1#1" loCatId="hierarchy" qsTypeId="urn:microsoft.com/office/officeart/2005/8/quickstyle/simple1" qsCatId="simple" csTypeId="urn:microsoft.com/office/officeart/2005/8/colors/accent1_2" csCatId="accent1" phldr="1"/>
      <dgm:spPr/>
      <dgm:t>
        <a:bodyPr/>
        <a:lstStyle/>
        <a:p>
          <a:endParaRPr lang="en-US"/>
        </a:p>
      </dgm:t>
    </dgm:pt>
    <dgm:pt modelId="{C37FC150-B70F-4132-81F5-C11501AD8811}">
      <dgm:prSet phldrT="[Text]" custT="1"/>
      <dgm:spPr/>
      <dgm:t>
        <a:bodyPr/>
        <a:lstStyle/>
        <a:p>
          <a:pPr algn="ctr"/>
          <a:r>
            <a:rPr lang="en-US" sz="1600" b="1"/>
            <a:t>Forms of Dividends</a:t>
          </a:r>
        </a:p>
      </dgm:t>
    </dgm:pt>
    <dgm:pt modelId="{CC16AC40-FED2-43A0-B0DB-1976F9EF9CF9}" type="parTrans" cxnId="{A6CB8572-59D0-411A-B23F-D0DE0DF313D5}">
      <dgm:prSet/>
      <dgm:spPr/>
      <dgm:t>
        <a:bodyPr/>
        <a:lstStyle/>
        <a:p>
          <a:pPr algn="ctr"/>
          <a:endParaRPr lang="en-US"/>
        </a:p>
      </dgm:t>
    </dgm:pt>
    <dgm:pt modelId="{550CF231-792E-49CA-A4A6-5FA073C29A9A}" type="sibTrans" cxnId="{A6CB8572-59D0-411A-B23F-D0DE0DF313D5}">
      <dgm:prSet/>
      <dgm:spPr/>
      <dgm:t>
        <a:bodyPr/>
        <a:lstStyle/>
        <a:p>
          <a:pPr algn="ctr"/>
          <a:endParaRPr lang="en-US"/>
        </a:p>
      </dgm:t>
    </dgm:pt>
    <dgm:pt modelId="{D9377576-101B-4629-8DF2-671FF49CACE8}">
      <dgm:prSet phldrT="[Text]"/>
      <dgm:spPr/>
      <dgm:t>
        <a:bodyPr/>
        <a:lstStyle/>
        <a:p>
          <a:pPr algn="ctr"/>
          <a:r>
            <a:rPr lang="en-US"/>
            <a:t>Cash Dividends</a:t>
          </a:r>
        </a:p>
      </dgm:t>
    </dgm:pt>
    <dgm:pt modelId="{FAF8614A-4468-4E5E-A84F-0A0EB47C5344}" type="parTrans" cxnId="{39ECCAB6-70BE-4F5E-9C30-183631E79B19}">
      <dgm:prSet/>
      <dgm:spPr/>
      <dgm:t>
        <a:bodyPr/>
        <a:lstStyle/>
        <a:p>
          <a:pPr algn="ctr"/>
          <a:endParaRPr lang="en-US"/>
        </a:p>
      </dgm:t>
    </dgm:pt>
    <dgm:pt modelId="{B1F4E070-0F4E-4BF0-B38C-50173C483BED}" type="sibTrans" cxnId="{39ECCAB6-70BE-4F5E-9C30-183631E79B19}">
      <dgm:prSet/>
      <dgm:spPr/>
      <dgm:t>
        <a:bodyPr/>
        <a:lstStyle/>
        <a:p>
          <a:pPr algn="ctr"/>
          <a:endParaRPr lang="en-US"/>
        </a:p>
      </dgm:t>
    </dgm:pt>
    <dgm:pt modelId="{66596FA8-DB0F-4F13-8F74-CA0BA33AEAF0}">
      <dgm:prSet phldrT="[Text]"/>
      <dgm:spPr/>
      <dgm:t>
        <a:bodyPr/>
        <a:lstStyle/>
        <a:p>
          <a:pPr algn="ctr"/>
          <a:r>
            <a:rPr lang="en-US"/>
            <a:t>Non-Cash Dividends</a:t>
          </a:r>
        </a:p>
      </dgm:t>
    </dgm:pt>
    <dgm:pt modelId="{01A21606-702F-41D0-8133-1BADDDE83A37}" type="parTrans" cxnId="{5CABF291-FE4E-4896-AC7F-CD6FFF53769A}">
      <dgm:prSet/>
      <dgm:spPr/>
      <dgm:t>
        <a:bodyPr/>
        <a:lstStyle/>
        <a:p>
          <a:pPr algn="ctr"/>
          <a:endParaRPr lang="en-US"/>
        </a:p>
      </dgm:t>
    </dgm:pt>
    <dgm:pt modelId="{58B97645-E6EB-4132-A7AF-B26EDD094AAA}" type="sibTrans" cxnId="{5CABF291-FE4E-4896-AC7F-CD6FFF53769A}">
      <dgm:prSet/>
      <dgm:spPr/>
      <dgm:t>
        <a:bodyPr/>
        <a:lstStyle/>
        <a:p>
          <a:pPr algn="ctr"/>
          <a:endParaRPr lang="en-US"/>
        </a:p>
      </dgm:t>
    </dgm:pt>
    <dgm:pt modelId="{17B19137-17A5-4B1B-80DA-881F8590780E}">
      <dgm:prSet phldrT="[Text]"/>
      <dgm:spPr/>
      <dgm:t>
        <a:bodyPr/>
        <a:lstStyle/>
        <a:p>
          <a:pPr algn="ctr"/>
          <a:r>
            <a:rPr lang="en-US"/>
            <a:t>Shares Split</a:t>
          </a:r>
        </a:p>
      </dgm:t>
    </dgm:pt>
    <dgm:pt modelId="{F1525D29-122F-4728-9E7B-2DD2AC048518}" type="parTrans" cxnId="{A6E3D765-C8E8-42B5-9896-21C059A54E42}">
      <dgm:prSet/>
      <dgm:spPr/>
      <dgm:t>
        <a:bodyPr/>
        <a:lstStyle/>
        <a:p>
          <a:pPr algn="ctr"/>
          <a:endParaRPr lang="en-US"/>
        </a:p>
      </dgm:t>
    </dgm:pt>
    <dgm:pt modelId="{ECDE56ED-7678-418F-962F-8A84ED7470B6}" type="sibTrans" cxnId="{A6E3D765-C8E8-42B5-9896-21C059A54E42}">
      <dgm:prSet/>
      <dgm:spPr/>
      <dgm:t>
        <a:bodyPr/>
        <a:lstStyle/>
        <a:p>
          <a:pPr algn="ctr"/>
          <a:endParaRPr lang="en-US"/>
        </a:p>
      </dgm:t>
    </dgm:pt>
    <dgm:pt modelId="{6E0FCA53-155E-4025-9F1C-872E71D426B1}">
      <dgm:prSet phldrT="[Text]"/>
      <dgm:spPr/>
      <dgm:t>
        <a:bodyPr/>
        <a:lstStyle/>
        <a:p>
          <a:pPr algn="ctr"/>
          <a:r>
            <a:rPr lang="en-US"/>
            <a:t>Shares Buybacks</a:t>
          </a:r>
        </a:p>
      </dgm:t>
    </dgm:pt>
    <dgm:pt modelId="{3ADB3C4F-228B-47F9-959A-D3AC38F8A0C3}" type="parTrans" cxnId="{BBB8B49B-3E20-434F-B19A-043505C9BB0F}">
      <dgm:prSet/>
      <dgm:spPr/>
      <dgm:t>
        <a:bodyPr/>
        <a:lstStyle/>
        <a:p>
          <a:pPr algn="ctr"/>
          <a:endParaRPr lang="en-US"/>
        </a:p>
      </dgm:t>
    </dgm:pt>
    <dgm:pt modelId="{1E6DA12B-E1FE-46D2-9820-2A2B940ABFFB}" type="sibTrans" cxnId="{BBB8B49B-3E20-434F-B19A-043505C9BB0F}">
      <dgm:prSet/>
      <dgm:spPr/>
      <dgm:t>
        <a:bodyPr/>
        <a:lstStyle/>
        <a:p>
          <a:pPr algn="ctr"/>
          <a:endParaRPr lang="en-US"/>
        </a:p>
      </dgm:t>
    </dgm:pt>
    <dgm:pt modelId="{1B5D9B6A-BACA-402C-8786-CB81EA29FBEB}">
      <dgm:prSet phldrT="[Text]"/>
      <dgm:spPr/>
      <dgm:t>
        <a:bodyPr/>
        <a:lstStyle/>
        <a:p>
          <a:pPr algn="ctr"/>
          <a:r>
            <a:rPr lang="en-US"/>
            <a:t>Quality Distributions and Bond Dividends</a:t>
          </a:r>
        </a:p>
      </dgm:t>
    </dgm:pt>
    <dgm:pt modelId="{4A678D6D-8D51-4F8F-9E34-04FE628592B2}" type="parTrans" cxnId="{CD1AC79D-2797-4C8B-A4C0-4B261A150769}">
      <dgm:prSet/>
      <dgm:spPr/>
      <dgm:t>
        <a:bodyPr/>
        <a:lstStyle/>
        <a:p>
          <a:pPr algn="ctr"/>
          <a:endParaRPr lang="en-US"/>
        </a:p>
      </dgm:t>
    </dgm:pt>
    <dgm:pt modelId="{B837E895-40A1-4214-A996-9AB6F18EABCD}" type="sibTrans" cxnId="{CD1AC79D-2797-4C8B-A4C0-4B261A150769}">
      <dgm:prSet/>
      <dgm:spPr/>
      <dgm:t>
        <a:bodyPr/>
        <a:lstStyle/>
        <a:p>
          <a:pPr algn="ctr"/>
          <a:endParaRPr lang="en-US"/>
        </a:p>
      </dgm:t>
    </dgm:pt>
    <dgm:pt modelId="{95CCABA3-9742-41F5-87E1-D05FB6B9ADF2}">
      <dgm:prSet phldrT="[Text]"/>
      <dgm:spPr/>
      <dgm:t>
        <a:bodyPr/>
        <a:lstStyle/>
        <a:p>
          <a:pPr algn="ctr"/>
          <a:r>
            <a:rPr lang="en-US"/>
            <a:t>Scrip Dividends</a:t>
          </a:r>
        </a:p>
      </dgm:t>
    </dgm:pt>
    <dgm:pt modelId="{E08664CF-036A-4393-8C17-7BA88324F8E8}" type="parTrans" cxnId="{B2F8A513-4547-43C4-9CC8-A272A850A948}">
      <dgm:prSet/>
      <dgm:spPr/>
      <dgm:t>
        <a:bodyPr/>
        <a:lstStyle/>
        <a:p>
          <a:pPr algn="ctr"/>
          <a:endParaRPr lang="en-US"/>
        </a:p>
      </dgm:t>
    </dgm:pt>
    <dgm:pt modelId="{ACB3CD24-0FF8-4AC0-90CB-1D3672185311}" type="sibTrans" cxnId="{B2F8A513-4547-43C4-9CC8-A272A850A948}">
      <dgm:prSet/>
      <dgm:spPr/>
      <dgm:t>
        <a:bodyPr/>
        <a:lstStyle/>
        <a:p>
          <a:pPr algn="ctr"/>
          <a:endParaRPr lang="en-US"/>
        </a:p>
      </dgm:t>
    </dgm:pt>
    <dgm:pt modelId="{73B55736-C1E5-4F64-AD96-C5253CC60A93}" type="pres">
      <dgm:prSet presAssocID="{E1080498-3828-4694-89F3-B95A85F242C3}" presName="hierChild1" presStyleCnt="0">
        <dgm:presLayoutVars>
          <dgm:orgChart val="1"/>
          <dgm:chPref val="1"/>
          <dgm:dir/>
          <dgm:animOne val="branch"/>
          <dgm:animLvl val="lvl"/>
          <dgm:resizeHandles/>
        </dgm:presLayoutVars>
      </dgm:prSet>
      <dgm:spPr/>
    </dgm:pt>
    <dgm:pt modelId="{4412D282-F3DE-4171-B889-EB1C562CF19B}" type="pres">
      <dgm:prSet presAssocID="{C37FC150-B70F-4132-81F5-C11501AD8811}" presName="hierRoot1" presStyleCnt="0">
        <dgm:presLayoutVars>
          <dgm:hierBranch val="init"/>
        </dgm:presLayoutVars>
      </dgm:prSet>
      <dgm:spPr/>
    </dgm:pt>
    <dgm:pt modelId="{9167BAC1-2F49-4AD1-9482-032C1017D5FC}" type="pres">
      <dgm:prSet presAssocID="{C37FC150-B70F-4132-81F5-C11501AD8811}" presName="rootComposite1" presStyleCnt="0"/>
      <dgm:spPr/>
    </dgm:pt>
    <dgm:pt modelId="{9EBA1DE1-54D4-4C07-A136-62A0EB6AF8B3}" type="pres">
      <dgm:prSet presAssocID="{C37FC150-B70F-4132-81F5-C11501AD8811}" presName="rootText1" presStyleLbl="node0" presStyleIdx="0" presStyleCnt="1" custScaleX="337913" custScaleY="194317">
        <dgm:presLayoutVars>
          <dgm:chPref val="3"/>
        </dgm:presLayoutVars>
      </dgm:prSet>
      <dgm:spPr/>
    </dgm:pt>
    <dgm:pt modelId="{0BDD9ED7-BA86-44BE-B74D-F51FE9A38EF8}" type="pres">
      <dgm:prSet presAssocID="{C37FC150-B70F-4132-81F5-C11501AD8811}" presName="rootConnector1" presStyleLbl="node1" presStyleIdx="0" presStyleCnt="0"/>
      <dgm:spPr/>
    </dgm:pt>
    <dgm:pt modelId="{BB33897D-82AA-401A-BA4C-5A8F739AFA67}" type="pres">
      <dgm:prSet presAssocID="{C37FC150-B70F-4132-81F5-C11501AD8811}" presName="hierChild2" presStyleCnt="0"/>
      <dgm:spPr/>
    </dgm:pt>
    <dgm:pt modelId="{3E2529BF-A860-4F3E-B897-32A5E67547AF}" type="pres">
      <dgm:prSet presAssocID="{FAF8614A-4468-4E5E-A84F-0A0EB47C5344}" presName="Name37" presStyleLbl="parChTrans1D2" presStyleIdx="0" presStyleCnt="6"/>
      <dgm:spPr/>
    </dgm:pt>
    <dgm:pt modelId="{46DCC3FF-66F6-400C-A62C-DB2F42E41CCF}" type="pres">
      <dgm:prSet presAssocID="{D9377576-101B-4629-8DF2-671FF49CACE8}" presName="hierRoot2" presStyleCnt="0">
        <dgm:presLayoutVars>
          <dgm:hierBranch val="init"/>
        </dgm:presLayoutVars>
      </dgm:prSet>
      <dgm:spPr/>
    </dgm:pt>
    <dgm:pt modelId="{D4F372BD-2551-4C68-A3F5-EEB51B2B071B}" type="pres">
      <dgm:prSet presAssocID="{D9377576-101B-4629-8DF2-671FF49CACE8}" presName="rootComposite" presStyleCnt="0"/>
      <dgm:spPr/>
    </dgm:pt>
    <dgm:pt modelId="{84209DD2-6294-4A09-85D2-4333F6EB451C}" type="pres">
      <dgm:prSet presAssocID="{D9377576-101B-4629-8DF2-671FF49CACE8}" presName="rootText" presStyleLbl="node2" presStyleIdx="0" presStyleCnt="6" custScaleY="182933">
        <dgm:presLayoutVars>
          <dgm:chPref val="3"/>
        </dgm:presLayoutVars>
      </dgm:prSet>
      <dgm:spPr/>
    </dgm:pt>
    <dgm:pt modelId="{C03E0BAF-0EA2-4E5C-A727-4BAE54C4D8FA}" type="pres">
      <dgm:prSet presAssocID="{D9377576-101B-4629-8DF2-671FF49CACE8}" presName="rootConnector" presStyleLbl="node2" presStyleIdx="0" presStyleCnt="6"/>
      <dgm:spPr/>
    </dgm:pt>
    <dgm:pt modelId="{60B95DD8-6AE5-4DB8-A200-8FB87784B404}" type="pres">
      <dgm:prSet presAssocID="{D9377576-101B-4629-8DF2-671FF49CACE8}" presName="hierChild4" presStyleCnt="0"/>
      <dgm:spPr/>
    </dgm:pt>
    <dgm:pt modelId="{F8BE3C03-B00D-43A5-AE46-112C1B3BACAA}" type="pres">
      <dgm:prSet presAssocID="{D9377576-101B-4629-8DF2-671FF49CACE8}" presName="hierChild5" presStyleCnt="0"/>
      <dgm:spPr/>
    </dgm:pt>
    <dgm:pt modelId="{F358655D-D424-4DA6-B485-85C18935504B}" type="pres">
      <dgm:prSet presAssocID="{E08664CF-036A-4393-8C17-7BA88324F8E8}" presName="Name37" presStyleLbl="parChTrans1D2" presStyleIdx="1" presStyleCnt="6"/>
      <dgm:spPr/>
    </dgm:pt>
    <dgm:pt modelId="{40AD6005-8208-4509-AE36-D5A91E9ABF4C}" type="pres">
      <dgm:prSet presAssocID="{95CCABA3-9742-41F5-87E1-D05FB6B9ADF2}" presName="hierRoot2" presStyleCnt="0">
        <dgm:presLayoutVars>
          <dgm:hierBranch val="init"/>
        </dgm:presLayoutVars>
      </dgm:prSet>
      <dgm:spPr/>
    </dgm:pt>
    <dgm:pt modelId="{477B1D89-7F6B-4D1A-94F7-DEA5F527426C}" type="pres">
      <dgm:prSet presAssocID="{95CCABA3-9742-41F5-87E1-D05FB6B9ADF2}" presName="rootComposite" presStyleCnt="0"/>
      <dgm:spPr/>
    </dgm:pt>
    <dgm:pt modelId="{49327D4B-5653-4FEA-8B76-4B8F46C8AB8C}" type="pres">
      <dgm:prSet presAssocID="{95CCABA3-9742-41F5-87E1-D05FB6B9ADF2}" presName="rootText" presStyleLbl="node2" presStyleIdx="1" presStyleCnt="6" custScaleY="182933">
        <dgm:presLayoutVars>
          <dgm:chPref val="3"/>
        </dgm:presLayoutVars>
      </dgm:prSet>
      <dgm:spPr/>
    </dgm:pt>
    <dgm:pt modelId="{3B5F856F-EA71-4F79-881D-90C9DC375465}" type="pres">
      <dgm:prSet presAssocID="{95CCABA3-9742-41F5-87E1-D05FB6B9ADF2}" presName="rootConnector" presStyleLbl="node2" presStyleIdx="1" presStyleCnt="6"/>
      <dgm:spPr/>
    </dgm:pt>
    <dgm:pt modelId="{59A42B32-6F6D-4249-B732-38D90BBB8A2B}" type="pres">
      <dgm:prSet presAssocID="{95CCABA3-9742-41F5-87E1-D05FB6B9ADF2}" presName="hierChild4" presStyleCnt="0"/>
      <dgm:spPr/>
    </dgm:pt>
    <dgm:pt modelId="{40EE5F54-D25C-4A18-89FF-6BE13ABC2FBE}" type="pres">
      <dgm:prSet presAssocID="{95CCABA3-9742-41F5-87E1-D05FB6B9ADF2}" presName="hierChild5" presStyleCnt="0"/>
      <dgm:spPr/>
    </dgm:pt>
    <dgm:pt modelId="{CDD5C6A3-98DA-4169-98D6-E2B2D5F481AA}" type="pres">
      <dgm:prSet presAssocID="{01A21606-702F-41D0-8133-1BADDDE83A37}" presName="Name37" presStyleLbl="parChTrans1D2" presStyleIdx="2" presStyleCnt="6"/>
      <dgm:spPr/>
    </dgm:pt>
    <dgm:pt modelId="{EEDCFAC5-6B48-44F2-9717-89EE144B642A}" type="pres">
      <dgm:prSet presAssocID="{66596FA8-DB0F-4F13-8F74-CA0BA33AEAF0}" presName="hierRoot2" presStyleCnt="0">
        <dgm:presLayoutVars>
          <dgm:hierBranch val="init"/>
        </dgm:presLayoutVars>
      </dgm:prSet>
      <dgm:spPr/>
    </dgm:pt>
    <dgm:pt modelId="{6D979242-EF6F-483D-A747-79F2AFC73AFE}" type="pres">
      <dgm:prSet presAssocID="{66596FA8-DB0F-4F13-8F74-CA0BA33AEAF0}" presName="rootComposite" presStyleCnt="0"/>
      <dgm:spPr/>
    </dgm:pt>
    <dgm:pt modelId="{B6F53279-51F7-4259-9EA3-6A2447720F29}" type="pres">
      <dgm:prSet presAssocID="{66596FA8-DB0F-4F13-8F74-CA0BA33AEAF0}" presName="rootText" presStyleLbl="node2" presStyleIdx="2" presStyleCnt="6" custScaleY="188405">
        <dgm:presLayoutVars>
          <dgm:chPref val="3"/>
        </dgm:presLayoutVars>
      </dgm:prSet>
      <dgm:spPr/>
    </dgm:pt>
    <dgm:pt modelId="{4AF2341C-3029-49AA-9550-D924222DA218}" type="pres">
      <dgm:prSet presAssocID="{66596FA8-DB0F-4F13-8F74-CA0BA33AEAF0}" presName="rootConnector" presStyleLbl="node2" presStyleIdx="2" presStyleCnt="6"/>
      <dgm:spPr/>
    </dgm:pt>
    <dgm:pt modelId="{B0445351-E78C-46B8-A8A7-F57613C1CD1D}" type="pres">
      <dgm:prSet presAssocID="{66596FA8-DB0F-4F13-8F74-CA0BA33AEAF0}" presName="hierChild4" presStyleCnt="0"/>
      <dgm:spPr/>
    </dgm:pt>
    <dgm:pt modelId="{9765D18B-D009-454B-9764-62AA1CD068A8}" type="pres">
      <dgm:prSet presAssocID="{66596FA8-DB0F-4F13-8F74-CA0BA33AEAF0}" presName="hierChild5" presStyleCnt="0"/>
      <dgm:spPr/>
    </dgm:pt>
    <dgm:pt modelId="{D3550530-4042-40BA-8869-267DA1B97704}" type="pres">
      <dgm:prSet presAssocID="{F1525D29-122F-4728-9E7B-2DD2AC048518}" presName="Name37" presStyleLbl="parChTrans1D2" presStyleIdx="3" presStyleCnt="6"/>
      <dgm:spPr/>
    </dgm:pt>
    <dgm:pt modelId="{025E35D9-855E-46EB-A31B-7CBA5961BC60}" type="pres">
      <dgm:prSet presAssocID="{17B19137-17A5-4B1B-80DA-881F8590780E}" presName="hierRoot2" presStyleCnt="0">
        <dgm:presLayoutVars>
          <dgm:hierBranch val="init"/>
        </dgm:presLayoutVars>
      </dgm:prSet>
      <dgm:spPr/>
    </dgm:pt>
    <dgm:pt modelId="{A56BB280-7703-49F0-8E57-56D9B938D0F0}" type="pres">
      <dgm:prSet presAssocID="{17B19137-17A5-4B1B-80DA-881F8590780E}" presName="rootComposite" presStyleCnt="0"/>
      <dgm:spPr/>
    </dgm:pt>
    <dgm:pt modelId="{E20B4F1C-AC24-4E3D-9384-6E2D000A0753}" type="pres">
      <dgm:prSet presAssocID="{17B19137-17A5-4B1B-80DA-881F8590780E}" presName="rootText" presStyleLbl="node2" presStyleIdx="3" presStyleCnt="6" custScaleY="188405">
        <dgm:presLayoutVars>
          <dgm:chPref val="3"/>
        </dgm:presLayoutVars>
      </dgm:prSet>
      <dgm:spPr/>
    </dgm:pt>
    <dgm:pt modelId="{31C79642-4692-41E7-8F23-362DE38AA8A7}" type="pres">
      <dgm:prSet presAssocID="{17B19137-17A5-4B1B-80DA-881F8590780E}" presName="rootConnector" presStyleLbl="node2" presStyleIdx="3" presStyleCnt="6"/>
      <dgm:spPr/>
    </dgm:pt>
    <dgm:pt modelId="{5DFBDE8C-D784-4657-B2BA-1089D8D632C6}" type="pres">
      <dgm:prSet presAssocID="{17B19137-17A5-4B1B-80DA-881F8590780E}" presName="hierChild4" presStyleCnt="0"/>
      <dgm:spPr/>
    </dgm:pt>
    <dgm:pt modelId="{415317EB-91C6-4670-8F7D-616DA3AFCDF8}" type="pres">
      <dgm:prSet presAssocID="{17B19137-17A5-4B1B-80DA-881F8590780E}" presName="hierChild5" presStyleCnt="0"/>
      <dgm:spPr/>
    </dgm:pt>
    <dgm:pt modelId="{D9869D8E-BBA4-4908-A761-8B5E1A84560C}" type="pres">
      <dgm:prSet presAssocID="{3ADB3C4F-228B-47F9-959A-D3AC38F8A0C3}" presName="Name37" presStyleLbl="parChTrans1D2" presStyleIdx="4" presStyleCnt="6"/>
      <dgm:spPr/>
    </dgm:pt>
    <dgm:pt modelId="{184EEC6D-DDE1-4232-BAA5-9EC846C5F121}" type="pres">
      <dgm:prSet presAssocID="{6E0FCA53-155E-4025-9F1C-872E71D426B1}" presName="hierRoot2" presStyleCnt="0">
        <dgm:presLayoutVars>
          <dgm:hierBranch val="init"/>
        </dgm:presLayoutVars>
      </dgm:prSet>
      <dgm:spPr/>
    </dgm:pt>
    <dgm:pt modelId="{805ED345-4E16-4961-A408-1A6E57FCB511}" type="pres">
      <dgm:prSet presAssocID="{6E0FCA53-155E-4025-9F1C-872E71D426B1}" presName="rootComposite" presStyleCnt="0"/>
      <dgm:spPr/>
    </dgm:pt>
    <dgm:pt modelId="{5D00F877-91D6-440B-86E1-BB024D916AAE}" type="pres">
      <dgm:prSet presAssocID="{6E0FCA53-155E-4025-9F1C-872E71D426B1}" presName="rootText" presStyleLbl="node2" presStyleIdx="4" presStyleCnt="6" custScaleY="188405">
        <dgm:presLayoutVars>
          <dgm:chPref val="3"/>
        </dgm:presLayoutVars>
      </dgm:prSet>
      <dgm:spPr/>
    </dgm:pt>
    <dgm:pt modelId="{352A867C-9D54-4D6C-AD6D-A25D91084112}" type="pres">
      <dgm:prSet presAssocID="{6E0FCA53-155E-4025-9F1C-872E71D426B1}" presName="rootConnector" presStyleLbl="node2" presStyleIdx="4" presStyleCnt="6"/>
      <dgm:spPr/>
    </dgm:pt>
    <dgm:pt modelId="{32F2CCB4-76B0-44E6-AE20-4C3A558933F7}" type="pres">
      <dgm:prSet presAssocID="{6E0FCA53-155E-4025-9F1C-872E71D426B1}" presName="hierChild4" presStyleCnt="0"/>
      <dgm:spPr/>
    </dgm:pt>
    <dgm:pt modelId="{D75A135C-D874-4202-A2EB-B2DB12BFCBBA}" type="pres">
      <dgm:prSet presAssocID="{6E0FCA53-155E-4025-9F1C-872E71D426B1}" presName="hierChild5" presStyleCnt="0"/>
      <dgm:spPr/>
    </dgm:pt>
    <dgm:pt modelId="{96266E0A-537F-4F8C-B7DE-386C24260834}" type="pres">
      <dgm:prSet presAssocID="{4A678D6D-8D51-4F8F-9E34-04FE628592B2}" presName="Name37" presStyleLbl="parChTrans1D2" presStyleIdx="5" presStyleCnt="6"/>
      <dgm:spPr/>
    </dgm:pt>
    <dgm:pt modelId="{1262082E-11C9-4445-8C02-90F99B69950F}" type="pres">
      <dgm:prSet presAssocID="{1B5D9B6A-BACA-402C-8786-CB81EA29FBEB}" presName="hierRoot2" presStyleCnt="0">
        <dgm:presLayoutVars>
          <dgm:hierBranch val="init"/>
        </dgm:presLayoutVars>
      </dgm:prSet>
      <dgm:spPr/>
    </dgm:pt>
    <dgm:pt modelId="{BA81DC17-17BC-484E-B89A-746DC4F46ECC}" type="pres">
      <dgm:prSet presAssocID="{1B5D9B6A-BACA-402C-8786-CB81EA29FBEB}" presName="rootComposite" presStyleCnt="0"/>
      <dgm:spPr/>
    </dgm:pt>
    <dgm:pt modelId="{5F3D1905-2280-45D2-8A5E-E26CD902F153}" type="pres">
      <dgm:prSet presAssocID="{1B5D9B6A-BACA-402C-8786-CB81EA29FBEB}" presName="rootText" presStyleLbl="node2" presStyleIdx="5" presStyleCnt="6" custScaleY="188405">
        <dgm:presLayoutVars>
          <dgm:chPref val="3"/>
        </dgm:presLayoutVars>
      </dgm:prSet>
      <dgm:spPr/>
    </dgm:pt>
    <dgm:pt modelId="{0300788D-9DD1-4753-B14C-FF1143365100}" type="pres">
      <dgm:prSet presAssocID="{1B5D9B6A-BACA-402C-8786-CB81EA29FBEB}" presName="rootConnector" presStyleLbl="node2" presStyleIdx="5" presStyleCnt="6"/>
      <dgm:spPr/>
    </dgm:pt>
    <dgm:pt modelId="{511B48FF-84C8-4A91-AB0C-C67D83054AA0}" type="pres">
      <dgm:prSet presAssocID="{1B5D9B6A-BACA-402C-8786-CB81EA29FBEB}" presName="hierChild4" presStyleCnt="0"/>
      <dgm:spPr/>
    </dgm:pt>
    <dgm:pt modelId="{DE95836F-C28D-48F3-9C63-92D439941DAD}" type="pres">
      <dgm:prSet presAssocID="{1B5D9B6A-BACA-402C-8786-CB81EA29FBEB}" presName="hierChild5" presStyleCnt="0"/>
      <dgm:spPr/>
    </dgm:pt>
    <dgm:pt modelId="{BEECC83F-EE43-444E-BC4D-38DDDE6675FF}" type="pres">
      <dgm:prSet presAssocID="{C37FC150-B70F-4132-81F5-C11501AD8811}" presName="hierChild3" presStyleCnt="0"/>
      <dgm:spPr/>
    </dgm:pt>
  </dgm:ptLst>
  <dgm:cxnLst>
    <dgm:cxn modelId="{58BD6C09-7D8E-41E8-A16B-0448804EC3DA}" type="presOf" srcId="{C37FC150-B70F-4132-81F5-C11501AD8811}" destId="{0BDD9ED7-BA86-44BE-B74D-F51FE9A38EF8}" srcOrd="1" destOrd="0" presId="urn:microsoft.com/office/officeart/2005/8/layout/orgChart1#1"/>
    <dgm:cxn modelId="{9F567713-7A0D-4C41-BCCF-E5C62921173D}" type="presOf" srcId="{17B19137-17A5-4B1B-80DA-881F8590780E}" destId="{E20B4F1C-AC24-4E3D-9384-6E2D000A0753}" srcOrd="0" destOrd="0" presId="urn:microsoft.com/office/officeart/2005/8/layout/orgChart1#1"/>
    <dgm:cxn modelId="{B2F8A513-4547-43C4-9CC8-A272A850A948}" srcId="{C37FC150-B70F-4132-81F5-C11501AD8811}" destId="{95CCABA3-9742-41F5-87E1-D05FB6B9ADF2}" srcOrd="1" destOrd="0" parTransId="{E08664CF-036A-4393-8C17-7BA88324F8E8}" sibTransId="{ACB3CD24-0FF8-4AC0-90CB-1D3672185311}"/>
    <dgm:cxn modelId="{DB679216-CDA2-433A-8C2F-7DD85AAEA850}" type="presOf" srcId="{95CCABA3-9742-41F5-87E1-D05FB6B9ADF2}" destId="{3B5F856F-EA71-4F79-881D-90C9DC375465}" srcOrd="1" destOrd="0" presId="urn:microsoft.com/office/officeart/2005/8/layout/orgChart1#1"/>
    <dgm:cxn modelId="{66439017-9D24-4DC5-9FC2-54D88A5DC3D2}" type="presOf" srcId="{4A678D6D-8D51-4F8F-9E34-04FE628592B2}" destId="{96266E0A-537F-4F8C-B7DE-386C24260834}" srcOrd="0" destOrd="0" presId="urn:microsoft.com/office/officeart/2005/8/layout/orgChart1#1"/>
    <dgm:cxn modelId="{B9D0831F-1B2C-41C0-A167-B320C8254A0A}" type="presOf" srcId="{FAF8614A-4468-4E5E-A84F-0A0EB47C5344}" destId="{3E2529BF-A860-4F3E-B897-32A5E67547AF}" srcOrd="0" destOrd="0" presId="urn:microsoft.com/office/officeart/2005/8/layout/orgChart1#1"/>
    <dgm:cxn modelId="{3355CF29-0824-463E-957F-E683E1380A56}" type="presOf" srcId="{6E0FCA53-155E-4025-9F1C-872E71D426B1}" destId="{5D00F877-91D6-440B-86E1-BB024D916AAE}" srcOrd="0" destOrd="0" presId="urn:microsoft.com/office/officeart/2005/8/layout/orgChart1#1"/>
    <dgm:cxn modelId="{C4288141-71F5-4D12-8DB6-EA728F57864C}" type="presOf" srcId="{17B19137-17A5-4B1B-80DA-881F8590780E}" destId="{31C79642-4692-41E7-8F23-362DE38AA8A7}" srcOrd="1" destOrd="0" presId="urn:microsoft.com/office/officeart/2005/8/layout/orgChart1#1"/>
    <dgm:cxn modelId="{A6E3D765-C8E8-42B5-9896-21C059A54E42}" srcId="{C37FC150-B70F-4132-81F5-C11501AD8811}" destId="{17B19137-17A5-4B1B-80DA-881F8590780E}" srcOrd="3" destOrd="0" parTransId="{F1525D29-122F-4728-9E7B-2DD2AC048518}" sibTransId="{ECDE56ED-7678-418F-962F-8A84ED7470B6}"/>
    <dgm:cxn modelId="{C4E0D546-64A7-4E63-9975-5CC1FEF55FCD}" type="presOf" srcId="{3ADB3C4F-228B-47F9-959A-D3AC38F8A0C3}" destId="{D9869D8E-BBA4-4908-A761-8B5E1A84560C}" srcOrd="0" destOrd="0" presId="urn:microsoft.com/office/officeart/2005/8/layout/orgChart1#1"/>
    <dgm:cxn modelId="{FA2E1B4A-83E3-4300-A29E-9198505C0D9B}" type="presOf" srcId="{95CCABA3-9742-41F5-87E1-D05FB6B9ADF2}" destId="{49327D4B-5653-4FEA-8B76-4B8F46C8AB8C}" srcOrd="0" destOrd="0" presId="urn:microsoft.com/office/officeart/2005/8/layout/orgChart1#1"/>
    <dgm:cxn modelId="{84BCBA4B-73C0-4E76-A264-ED9A356F21BD}" type="presOf" srcId="{F1525D29-122F-4728-9E7B-2DD2AC048518}" destId="{D3550530-4042-40BA-8869-267DA1B97704}" srcOrd="0" destOrd="0" presId="urn:microsoft.com/office/officeart/2005/8/layout/orgChart1#1"/>
    <dgm:cxn modelId="{BDD1564D-C536-45C0-AA4D-9986B61BC5BE}" type="presOf" srcId="{1B5D9B6A-BACA-402C-8786-CB81EA29FBEB}" destId="{0300788D-9DD1-4753-B14C-FF1143365100}" srcOrd="1" destOrd="0" presId="urn:microsoft.com/office/officeart/2005/8/layout/orgChart1#1"/>
    <dgm:cxn modelId="{343D0250-EDDC-4641-A10B-91B365C70714}" type="presOf" srcId="{E1080498-3828-4694-89F3-B95A85F242C3}" destId="{73B55736-C1E5-4F64-AD96-C5253CC60A93}" srcOrd="0" destOrd="0" presId="urn:microsoft.com/office/officeart/2005/8/layout/orgChart1#1"/>
    <dgm:cxn modelId="{A6CB8572-59D0-411A-B23F-D0DE0DF313D5}" srcId="{E1080498-3828-4694-89F3-B95A85F242C3}" destId="{C37FC150-B70F-4132-81F5-C11501AD8811}" srcOrd="0" destOrd="0" parTransId="{CC16AC40-FED2-43A0-B0DB-1976F9EF9CF9}" sibTransId="{550CF231-792E-49CA-A4A6-5FA073C29A9A}"/>
    <dgm:cxn modelId="{596EFE7F-B761-4203-9209-1AD16A7A8C6A}" type="presOf" srcId="{01A21606-702F-41D0-8133-1BADDDE83A37}" destId="{CDD5C6A3-98DA-4169-98D6-E2B2D5F481AA}" srcOrd="0" destOrd="0" presId="urn:microsoft.com/office/officeart/2005/8/layout/orgChart1#1"/>
    <dgm:cxn modelId="{5CABF291-FE4E-4896-AC7F-CD6FFF53769A}" srcId="{C37FC150-B70F-4132-81F5-C11501AD8811}" destId="{66596FA8-DB0F-4F13-8F74-CA0BA33AEAF0}" srcOrd="2" destOrd="0" parTransId="{01A21606-702F-41D0-8133-1BADDDE83A37}" sibTransId="{58B97645-E6EB-4132-A7AF-B26EDD094AAA}"/>
    <dgm:cxn modelId="{8F0D0493-F4DF-419A-B75E-A7FC7249C462}" type="presOf" srcId="{6E0FCA53-155E-4025-9F1C-872E71D426B1}" destId="{352A867C-9D54-4D6C-AD6D-A25D91084112}" srcOrd="1" destOrd="0" presId="urn:microsoft.com/office/officeart/2005/8/layout/orgChart1#1"/>
    <dgm:cxn modelId="{747AC399-3FCF-4FAD-901D-F3946F7A93F6}" type="presOf" srcId="{D9377576-101B-4629-8DF2-671FF49CACE8}" destId="{C03E0BAF-0EA2-4E5C-A727-4BAE54C4D8FA}" srcOrd="1" destOrd="0" presId="urn:microsoft.com/office/officeart/2005/8/layout/orgChart1#1"/>
    <dgm:cxn modelId="{BBB8B49B-3E20-434F-B19A-043505C9BB0F}" srcId="{C37FC150-B70F-4132-81F5-C11501AD8811}" destId="{6E0FCA53-155E-4025-9F1C-872E71D426B1}" srcOrd="4" destOrd="0" parTransId="{3ADB3C4F-228B-47F9-959A-D3AC38F8A0C3}" sibTransId="{1E6DA12B-E1FE-46D2-9820-2A2B940ABFFB}"/>
    <dgm:cxn modelId="{CD1AC79D-2797-4C8B-A4C0-4B261A150769}" srcId="{C37FC150-B70F-4132-81F5-C11501AD8811}" destId="{1B5D9B6A-BACA-402C-8786-CB81EA29FBEB}" srcOrd="5" destOrd="0" parTransId="{4A678D6D-8D51-4F8F-9E34-04FE628592B2}" sibTransId="{B837E895-40A1-4214-A996-9AB6F18EABCD}"/>
    <dgm:cxn modelId="{85D0E3AD-D9C7-4FDC-8F04-696B7BCFBBC1}" type="presOf" srcId="{E08664CF-036A-4393-8C17-7BA88324F8E8}" destId="{F358655D-D424-4DA6-B485-85C18935504B}" srcOrd="0" destOrd="0" presId="urn:microsoft.com/office/officeart/2005/8/layout/orgChart1#1"/>
    <dgm:cxn modelId="{39ECCAB6-70BE-4F5E-9C30-183631E79B19}" srcId="{C37FC150-B70F-4132-81F5-C11501AD8811}" destId="{D9377576-101B-4629-8DF2-671FF49CACE8}" srcOrd="0" destOrd="0" parTransId="{FAF8614A-4468-4E5E-A84F-0A0EB47C5344}" sibTransId="{B1F4E070-0F4E-4BF0-B38C-50173C483BED}"/>
    <dgm:cxn modelId="{8EB21FBF-6EB9-4425-B4CB-4D5FA1402D31}" type="presOf" srcId="{D9377576-101B-4629-8DF2-671FF49CACE8}" destId="{84209DD2-6294-4A09-85D2-4333F6EB451C}" srcOrd="0" destOrd="0" presId="urn:microsoft.com/office/officeart/2005/8/layout/orgChart1#1"/>
    <dgm:cxn modelId="{71A4E6BF-09C5-4C35-A52E-9E9A7E6302D7}" type="presOf" srcId="{66596FA8-DB0F-4F13-8F74-CA0BA33AEAF0}" destId="{B6F53279-51F7-4259-9EA3-6A2447720F29}" srcOrd="0" destOrd="0" presId="urn:microsoft.com/office/officeart/2005/8/layout/orgChart1#1"/>
    <dgm:cxn modelId="{10E3EFD8-ABBA-407B-B5D1-0AD92F12BD31}" type="presOf" srcId="{1B5D9B6A-BACA-402C-8786-CB81EA29FBEB}" destId="{5F3D1905-2280-45D2-8A5E-E26CD902F153}" srcOrd="0" destOrd="0" presId="urn:microsoft.com/office/officeart/2005/8/layout/orgChart1#1"/>
    <dgm:cxn modelId="{2069BBE8-2340-4E00-86DA-591C16755B02}" type="presOf" srcId="{C37FC150-B70F-4132-81F5-C11501AD8811}" destId="{9EBA1DE1-54D4-4C07-A136-62A0EB6AF8B3}" srcOrd="0" destOrd="0" presId="urn:microsoft.com/office/officeart/2005/8/layout/orgChart1#1"/>
    <dgm:cxn modelId="{F86EE5F2-B0C0-41AF-94F0-9D9F0D694B53}" type="presOf" srcId="{66596FA8-DB0F-4F13-8F74-CA0BA33AEAF0}" destId="{4AF2341C-3029-49AA-9550-D924222DA218}" srcOrd="1" destOrd="0" presId="urn:microsoft.com/office/officeart/2005/8/layout/orgChart1#1"/>
    <dgm:cxn modelId="{5479B8F1-F821-4501-A804-DF83B85F081A}" type="presParOf" srcId="{73B55736-C1E5-4F64-AD96-C5253CC60A93}" destId="{4412D282-F3DE-4171-B889-EB1C562CF19B}" srcOrd="0" destOrd="0" presId="urn:microsoft.com/office/officeart/2005/8/layout/orgChart1#1"/>
    <dgm:cxn modelId="{47C49199-9232-4DF9-B734-6A0DFA4756F2}" type="presParOf" srcId="{4412D282-F3DE-4171-B889-EB1C562CF19B}" destId="{9167BAC1-2F49-4AD1-9482-032C1017D5FC}" srcOrd="0" destOrd="0" presId="urn:microsoft.com/office/officeart/2005/8/layout/orgChart1#1"/>
    <dgm:cxn modelId="{1E3FA086-EB81-43BB-A63D-5D82982A4179}" type="presParOf" srcId="{9167BAC1-2F49-4AD1-9482-032C1017D5FC}" destId="{9EBA1DE1-54D4-4C07-A136-62A0EB6AF8B3}" srcOrd="0" destOrd="0" presId="urn:microsoft.com/office/officeart/2005/8/layout/orgChart1#1"/>
    <dgm:cxn modelId="{FF9054ED-23DC-4D77-AB61-418C3F5F0F94}" type="presParOf" srcId="{9167BAC1-2F49-4AD1-9482-032C1017D5FC}" destId="{0BDD9ED7-BA86-44BE-B74D-F51FE9A38EF8}" srcOrd="1" destOrd="0" presId="urn:microsoft.com/office/officeart/2005/8/layout/orgChart1#1"/>
    <dgm:cxn modelId="{7E0CB5D1-730B-47D8-8612-FB341F98D0FE}" type="presParOf" srcId="{4412D282-F3DE-4171-B889-EB1C562CF19B}" destId="{BB33897D-82AA-401A-BA4C-5A8F739AFA67}" srcOrd="1" destOrd="0" presId="urn:microsoft.com/office/officeart/2005/8/layout/orgChart1#1"/>
    <dgm:cxn modelId="{D4E8190D-DAF4-440E-B279-16262A231FBF}" type="presParOf" srcId="{BB33897D-82AA-401A-BA4C-5A8F739AFA67}" destId="{3E2529BF-A860-4F3E-B897-32A5E67547AF}" srcOrd="0" destOrd="0" presId="urn:microsoft.com/office/officeart/2005/8/layout/orgChart1#1"/>
    <dgm:cxn modelId="{F5FD1203-6890-4755-9154-DBDC3C17BBEB}" type="presParOf" srcId="{BB33897D-82AA-401A-BA4C-5A8F739AFA67}" destId="{46DCC3FF-66F6-400C-A62C-DB2F42E41CCF}" srcOrd="1" destOrd="0" presId="urn:microsoft.com/office/officeart/2005/8/layout/orgChart1#1"/>
    <dgm:cxn modelId="{DAD70C38-1C19-4EF4-86F3-10CC8D856290}" type="presParOf" srcId="{46DCC3FF-66F6-400C-A62C-DB2F42E41CCF}" destId="{D4F372BD-2551-4C68-A3F5-EEB51B2B071B}" srcOrd="0" destOrd="0" presId="urn:microsoft.com/office/officeart/2005/8/layout/orgChart1#1"/>
    <dgm:cxn modelId="{846F4DA5-A216-4113-84E2-0AA93E19C65A}" type="presParOf" srcId="{D4F372BD-2551-4C68-A3F5-EEB51B2B071B}" destId="{84209DD2-6294-4A09-85D2-4333F6EB451C}" srcOrd="0" destOrd="0" presId="urn:microsoft.com/office/officeart/2005/8/layout/orgChart1#1"/>
    <dgm:cxn modelId="{D7427BEF-D84A-4443-AE78-542DF1267C24}" type="presParOf" srcId="{D4F372BD-2551-4C68-A3F5-EEB51B2B071B}" destId="{C03E0BAF-0EA2-4E5C-A727-4BAE54C4D8FA}" srcOrd="1" destOrd="0" presId="urn:microsoft.com/office/officeart/2005/8/layout/orgChart1#1"/>
    <dgm:cxn modelId="{07005B58-77C1-43B0-8664-9EF217ED2110}" type="presParOf" srcId="{46DCC3FF-66F6-400C-A62C-DB2F42E41CCF}" destId="{60B95DD8-6AE5-4DB8-A200-8FB87784B404}" srcOrd="1" destOrd="0" presId="urn:microsoft.com/office/officeart/2005/8/layout/orgChart1#1"/>
    <dgm:cxn modelId="{23CD571D-BDD7-4186-BD22-0F4F44E9B9F6}" type="presParOf" srcId="{46DCC3FF-66F6-400C-A62C-DB2F42E41CCF}" destId="{F8BE3C03-B00D-43A5-AE46-112C1B3BACAA}" srcOrd="2" destOrd="0" presId="urn:microsoft.com/office/officeart/2005/8/layout/orgChart1#1"/>
    <dgm:cxn modelId="{B6F04F5A-0EEC-4362-BEC5-5F0F68467957}" type="presParOf" srcId="{BB33897D-82AA-401A-BA4C-5A8F739AFA67}" destId="{F358655D-D424-4DA6-B485-85C18935504B}" srcOrd="2" destOrd="0" presId="urn:microsoft.com/office/officeart/2005/8/layout/orgChart1#1"/>
    <dgm:cxn modelId="{FBADB723-49A5-4F06-BEF3-8B381DD41C84}" type="presParOf" srcId="{BB33897D-82AA-401A-BA4C-5A8F739AFA67}" destId="{40AD6005-8208-4509-AE36-D5A91E9ABF4C}" srcOrd="3" destOrd="0" presId="urn:microsoft.com/office/officeart/2005/8/layout/orgChart1#1"/>
    <dgm:cxn modelId="{5B62D556-5AAA-4E48-8616-00BEFB0180B5}" type="presParOf" srcId="{40AD6005-8208-4509-AE36-D5A91E9ABF4C}" destId="{477B1D89-7F6B-4D1A-94F7-DEA5F527426C}" srcOrd="0" destOrd="0" presId="urn:microsoft.com/office/officeart/2005/8/layout/orgChart1#1"/>
    <dgm:cxn modelId="{1D946458-DC77-4121-A99B-738701D99C14}" type="presParOf" srcId="{477B1D89-7F6B-4D1A-94F7-DEA5F527426C}" destId="{49327D4B-5653-4FEA-8B76-4B8F46C8AB8C}" srcOrd="0" destOrd="0" presId="urn:microsoft.com/office/officeart/2005/8/layout/orgChart1#1"/>
    <dgm:cxn modelId="{E2B082CA-9EA1-4745-8F5B-6D14F7C41331}" type="presParOf" srcId="{477B1D89-7F6B-4D1A-94F7-DEA5F527426C}" destId="{3B5F856F-EA71-4F79-881D-90C9DC375465}" srcOrd="1" destOrd="0" presId="urn:microsoft.com/office/officeart/2005/8/layout/orgChart1#1"/>
    <dgm:cxn modelId="{25BB5082-43CF-4669-8F79-BDDECD4C81D8}" type="presParOf" srcId="{40AD6005-8208-4509-AE36-D5A91E9ABF4C}" destId="{59A42B32-6F6D-4249-B732-38D90BBB8A2B}" srcOrd="1" destOrd="0" presId="urn:microsoft.com/office/officeart/2005/8/layout/orgChart1#1"/>
    <dgm:cxn modelId="{562E2B23-F1DC-4BD8-A8FC-D741E7F8029D}" type="presParOf" srcId="{40AD6005-8208-4509-AE36-D5A91E9ABF4C}" destId="{40EE5F54-D25C-4A18-89FF-6BE13ABC2FBE}" srcOrd="2" destOrd="0" presId="urn:microsoft.com/office/officeart/2005/8/layout/orgChart1#1"/>
    <dgm:cxn modelId="{5F2AF297-8254-4E05-94D2-BB1CCF2AA271}" type="presParOf" srcId="{BB33897D-82AA-401A-BA4C-5A8F739AFA67}" destId="{CDD5C6A3-98DA-4169-98D6-E2B2D5F481AA}" srcOrd="4" destOrd="0" presId="urn:microsoft.com/office/officeart/2005/8/layout/orgChart1#1"/>
    <dgm:cxn modelId="{5D3852F9-1EB3-4AB2-B836-5E5E68D750CE}" type="presParOf" srcId="{BB33897D-82AA-401A-BA4C-5A8F739AFA67}" destId="{EEDCFAC5-6B48-44F2-9717-89EE144B642A}" srcOrd="5" destOrd="0" presId="urn:microsoft.com/office/officeart/2005/8/layout/orgChart1#1"/>
    <dgm:cxn modelId="{DBF64B14-5C31-490B-9572-CAB66BD399EA}" type="presParOf" srcId="{EEDCFAC5-6B48-44F2-9717-89EE144B642A}" destId="{6D979242-EF6F-483D-A747-79F2AFC73AFE}" srcOrd="0" destOrd="0" presId="urn:microsoft.com/office/officeart/2005/8/layout/orgChart1#1"/>
    <dgm:cxn modelId="{5BF953BA-F267-477C-801C-7396FEB179BA}" type="presParOf" srcId="{6D979242-EF6F-483D-A747-79F2AFC73AFE}" destId="{B6F53279-51F7-4259-9EA3-6A2447720F29}" srcOrd="0" destOrd="0" presId="urn:microsoft.com/office/officeart/2005/8/layout/orgChart1#1"/>
    <dgm:cxn modelId="{E6975452-AD54-450D-89C3-5998BC5241D3}" type="presParOf" srcId="{6D979242-EF6F-483D-A747-79F2AFC73AFE}" destId="{4AF2341C-3029-49AA-9550-D924222DA218}" srcOrd="1" destOrd="0" presId="urn:microsoft.com/office/officeart/2005/8/layout/orgChart1#1"/>
    <dgm:cxn modelId="{61061E09-189E-4E99-B807-2135E4F31DA5}" type="presParOf" srcId="{EEDCFAC5-6B48-44F2-9717-89EE144B642A}" destId="{B0445351-E78C-46B8-A8A7-F57613C1CD1D}" srcOrd="1" destOrd="0" presId="urn:microsoft.com/office/officeart/2005/8/layout/orgChart1#1"/>
    <dgm:cxn modelId="{96809F5C-039D-4D11-84AF-6FC513FD5E60}" type="presParOf" srcId="{EEDCFAC5-6B48-44F2-9717-89EE144B642A}" destId="{9765D18B-D009-454B-9764-62AA1CD068A8}" srcOrd="2" destOrd="0" presId="urn:microsoft.com/office/officeart/2005/8/layout/orgChart1#1"/>
    <dgm:cxn modelId="{1CAFFC8E-B0C2-44E9-B686-C8DF5D2C93B3}" type="presParOf" srcId="{BB33897D-82AA-401A-BA4C-5A8F739AFA67}" destId="{D3550530-4042-40BA-8869-267DA1B97704}" srcOrd="6" destOrd="0" presId="urn:microsoft.com/office/officeart/2005/8/layout/orgChart1#1"/>
    <dgm:cxn modelId="{1654AF77-A833-403D-97CC-C8CCE37D8FFD}" type="presParOf" srcId="{BB33897D-82AA-401A-BA4C-5A8F739AFA67}" destId="{025E35D9-855E-46EB-A31B-7CBA5961BC60}" srcOrd="7" destOrd="0" presId="urn:microsoft.com/office/officeart/2005/8/layout/orgChart1#1"/>
    <dgm:cxn modelId="{4D5E357C-12A4-47E9-8238-B5E6BC248304}" type="presParOf" srcId="{025E35D9-855E-46EB-A31B-7CBA5961BC60}" destId="{A56BB280-7703-49F0-8E57-56D9B938D0F0}" srcOrd="0" destOrd="0" presId="urn:microsoft.com/office/officeart/2005/8/layout/orgChart1#1"/>
    <dgm:cxn modelId="{8C924EF5-E2BA-4724-A9B6-37191B851344}" type="presParOf" srcId="{A56BB280-7703-49F0-8E57-56D9B938D0F0}" destId="{E20B4F1C-AC24-4E3D-9384-6E2D000A0753}" srcOrd="0" destOrd="0" presId="urn:microsoft.com/office/officeart/2005/8/layout/orgChart1#1"/>
    <dgm:cxn modelId="{24D9F3A1-1F30-4D53-B124-24C716BB40DA}" type="presParOf" srcId="{A56BB280-7703-49F0-8E57-56D9B938D0F0}" destId="{31C79642-4692-41E7-8F23-362DE38AA8A7}" srcOrd="1" destOrd="0" presId="urn:microsoft.com/office/officeart/2005/8/layout/orgChart1#1"/>
    <dgm:cxn modelId="{AD41E467-24C8-4A01-844D-0686AA15817D}" type="presParOf" srcId="{025E35D9-855E-46EB-A31B-7CBA5961BC60}" destId="{5DFBDE8C-D784-4657-B2BA-1089D8D632C6}" srcOrd="1" destOrd="0" presId="urn:microsoft.com/office/officeart/2005/8/layout/orgChart1#1"/>
    <dgm:cxn modelId="{BB9AD0A0-BFDD-4C49-978D-BF32A6BD4660}" type="presParOf" srcId="{025E35D9-855E-46EB-A31B-7CBA5961BC60}" destId="{415317EB-91C6-4670-8F7D-616DA3AFCDF8}" srcOrd="2" destOrd="0" presId="urn:microsoft.com/office/officeart/2005/8/layout/orgChart1#1"/>
    <dgm:cxn modelId="{B5615C58-EE99-46C9-8F08-6D836C8461A6}" type="presParOf" srcId="{BB33897D-82AA-401A-BA4C-5A8F739AFA67}" destId="{D9869D8E-BBA4-4908-A761-8B5E1A84560C}" srcOrd="8" destOrd="0" presId="urn:microsoft.com/office/officeart/2005/8/layout/orgChart1#1"/>
    <dgm:cxn modelId="{E84DA6AC-155B-4C75-A728-8A607A71D91D}" type="presParOf" srcId="{BB33897D-82AA-401A-BA4C-5A8F739AFA67}" destId="{184EEC6D-DDE1-4232-BAA5-9EC846C5F121}" srcOrd="9" destOrd="0" presId="urn:microsoft.com/office/officeart/2005/8/layout/orgChart1#1"/>
    <dgm:cxn modelId="{3FCDD2F2-09F1-4179-AEBF-1223BB86D6E7}" type="presParOf" srcId="{184EEC6D-DDE1-4232-BAA5-9EC846C5F121}" destId="{805ED345-4E16-4961-A408-1A6E57FCB511}" srcOrd="0" destOrd="0" presId="urn:microsoft.com/office/officeart/2005/8/layout/orgChart1#1"/>
    <dgm:cxn modelId="{861E7E86-2AFF-4D39-A897-F8B6CD39F3D9}" type="presParOf" srcId="{805ED345-4E16-4961-A408-1A6E57FCB511}" destId="{5D00F877-91D6-440B-86E1-BB024D916AAE}" srcOrd="0" destOrd="0" presId="urn:microsoft.com/office/officeart/2005/8/layout/orgChart1#1"/>
    <dgm:cxn modelId="{2969A056-5A9D-4291-B615-D21164ACD4B5}" type="presParOf" srcId="{805ED345-4E16-4961-A408-1A6E57FCB511}" destId="{352A867C-9D54-4D6C-AD6D-A25D91084112}" srcOrd="1" destOrd="0" presId="urn:microsoft.com/office/officeart/2005/8/layout/orgChart1#1"/>
    <dgm:cxn modelId="{D817BEE1-96F7-42F1-B995-535F243EC8C5}" type="presParOf" srcId="{184EEC6D-DDE1-4232-BAA5-9EC846C5F121}" destId="{32F2CCB4-76B0-44E6-AE20-4C3A558933F7}" srcOrd="1" destOrd="0" presId="urn:microsoft.com/office/officeart/2005/8/layout/orgChart1#1"/>
    <dgm:cxn modelId="{3598D8FD-70B6-454F-ABF6-A5BF0038F62A}" type="presParOf" srcId="{184EEC6D-DDE1-4232-BAA5-9EC846C5F121}" destId="{D75A135C-D874-4202-A2EB-B2DB12BFCBBA}" srcOrd="2" destOrd="0" presId="urn:microsoft.com/office/officeart/2005/8/layout/orgChart1#1"/>
    <dgm:cxn modelId="{5D9E9DAE-61F6-40EB-AFA8-6AAD5EF706B3}" type="presParOf" srcId="{BB33897D-82AA-401A-BA4C-5A8F739AFA67}" destId="{96266E0A-537F-4F8C-B7DE-386C24260834}" srcOrd="10" destOrd="0" presId="urn:microsoft.com/office/officeart/2005/8/layout/orgChart1#1"/>
    <dgm:cxn modelId="{5FB3BB2B-40C5-48C8-B2A1-C6A037D2F4F9}" type="presParOf" srcId="{BB33897D-82AA-401A-BA4C-5A8F739AFA67}" destId="{1262082E-11C9-4445-8C02-90F99B69950F}" srcOrd="11" destOrd="0" presId="urn:microsoft.com/office/officeart/2005/8/layout/orgChart1#1"/>
    <dgm:cxn modelId="{10FC2D00-F2B4-44B5-9949-C68756A1CBB8}" type="presParOf" srcId="{1262082E-11C9-4445-8C02-90F99B69950F}" destId="{BA81DC17-17BC-484E-B89A-746DC4F46ECC}" srcOrd="0" destOrd="0" presId="urn:microsoft.com/office/officeart/2005/8/layout/orgChart1#1"/>
    <dgm:cxn modelId="{8B6BB7D2-FCC0-45F4-B082-85F5527F5DE0}" type="presParOf" srcId="{BA81DC17-17BC-484E-B89A-746DC4F46ECC}" destId="{5F3D1905-2280-45D2-8A5E-E26CD902F153}" srcOrd="0" destOrd="0" presId="urn:microsoft.com/office/officeart/2005/8/layout/orgChart1#1"/>
    <dgm:cxn modelId="{79CD19BA-0DAE-433F-BE4C-A9F5B444AB8D}" type="presParOf" srcId="{BA81DC17-17BC-484E-B89A-746DC4F46ECC}" destId="{0300788D-9DD1-4753-B14C-FF1143365100}" srcOrd="1" destOrd="0" presId="urn:microsoft.com/office/officeart/2005/8/layout/orgChart1#1"/>
    <dgm:cxn modelId="{DA67B058-1E58-4D57-A29D-484B39FB439E}" type="presParOf" srcId="{1262082E-11C9-4445-8C02-90F99B69950F}" destId="{511B48FF-84C8-4A91-AB0C-C67D83054AA0}" srcOrd="1" destOrd="0" presId="urn:microsoft.com/office/officeart/2005/8/layout/orgChart1#1"/>
    <dgm:cxn modelId="{39CCC8A9-2239-44B7-BC11-47CBAD642474}" type="presParOf" srcId="{1262082E-11C9-4445-8C02-90F99B69950F}" destId="{DE95836F-C28D-48F3-9C63-92D439941DAD}" srcOrd="2" destOrd="0" presId="urn:microsoft.com/office/officeart/2005/8/layout/orgChart1#1"/>
    <dgm:cxn modelId="{CE432961-832B-490C-B9C9-6FE64C425617}" type="presParOf" srcId="{4412D282-F3DE-4171-B889-EB1C562CF19B}" destId="{BEECC83F-EE43-444E-BC4D-38DDDE6675FF}" srcOrd="2" destOrd="0" presId="urn:microsoft.com/office/officeart/2005/8/layout/orgChart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266E0A-537F-4F8C-B7DE-386C24260834}">
      <dsp:nvSpPr>
        <dsp:cNvPr id="0" name=""/>
        <dsp:cNvSpPr/>
      </dsp:nvSpPr>
      <dsp:spPr>
        <a:xfrm>
          <a:off x="2739774" y="1056972"/>
          <a:ext cx="2349664" cy="163117"/>
        </a:xfrm>
        <a:custGeom>
          <a:avLst/>
          <a:gdLst/>
          <a:ahLst/>
          <a:cxnLst/>
          <a:rect l="0" t="0" r="0" b="0"/>
          <a:pathLst>
            <a:path>
              <a:moveTo>
                <a:pt x="0" y="0"/>
              </a:moveTo>
              <a:lnTo>
                <a:pt x="0" y="81558"/>
              </a:lnTo>
              <a:lnTo>
                <a:pt x="2349664" y="81558"/>
              </a:lnTo>
              <a:lnTo>
                <a:pt x="2349664" y="16311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869D8E-BBA4-4908-A761-8B5E1A84560C}">
      <dsp:nvSpPr>
        <dsp:cNvPr id="0" name=""/>
        <dsp:cNvSpPr/>
      </dsp:nvSpPr>
      <dsp:spPr>
        <a:xfrm>
          <a:off x="2739774" y="1056972"/>
          <a:ext cx="1409798" cy="163117"/>
        </a:xfrm>
        <a:custGeom>
          <a:avLst/>
          <a:gdLst/>
          <a:ahLst/>
          <a:cxnLst/>
          <a:rect l="0" t="0" r="0" b="0"/>
          <a:pathLst>
            <a:path>
              <a:moveTo>
                <a:pt x="0" y="0"/>
              </a:moveTo>
              <a:lnTo>
                <a:pt x="0" y="81558"/>
              </a:lnTo>
              <a:lnTo>
                <a:pt x="1409798" y="81558"/>
              </a:lnTo>
              <a:lnTo>
                <a:pt x="1409798" y="16311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3550530-4042-40BA-8869-267DA1B97704}">
      <dsp:nvSpPr>
        <dsp:cNvPr id="0" name=""/>
        <dsp:cNvSpPr/>
      </dsp:nvSpPr>
      <dsp:spPr>
        <a:xfrm>
          <a:off x="2739774" y="1056972"/>
          <a:ext cx="469932" cy="163117"/>
        </a:xfrm>
        <a:custGeom>
          <a:avLst/>
          <a:gdLst/>
          <a:ahLst/>
          <a:cxnLst/>
          <a:rect l="0" t="0" r="0" b="0"/>
          <a:pathLst>
            <a:path>
              <a:moveTo>
                <a:pt x="0" y="0"/>
              </a:moveTo>
              <a:lnTo>
                <a:pt x="0" y="81558"/>
              </a:lnTo>
              <a:lnTo>
                <a:pt x="469932" y="81558"/>
              </a:lnTo>
              <a:lnTo>
                <a:pt x="469932" y="16311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DD5C6A3-98DA-4169-98D6-E2B2D5F481AA}">
      <dsp:nvSpPr>
        <dsp:cNvPr id="0" name=""/>
        <dsp:cNvSpPr/>
      </dsp:nvSpPr>
      <dsp:spPr>
        <a:xfrm>
          <a:off x="2269841" y="1056972"/>
          <a:ext cx="469932" cy="163117"/>
        </a:xfrm>
        <a:custGeom>
          <a:avLst/>
          <a:gdLst/>
          <a:ahLst/>
          <a:cxnLst/>
          <a:rect l="0" t="0" r="0" b="0"/>
          <a:pathLst>
            <a:path>
              <a:moveTo>
                <a:pt x="469932" y="0"/>
              </a:moveTo>
              <a:lnTo>
                <a:pt x="469932" y="81558"/>
              </a:lnTo>
              <a:lnTo>
                <a:pt x="0" y="81558"/>
              </a:lnTo>
              <a:lnTo>
                <a:pt x="0" y="16311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358655D-D424-4DA6-B485-85C18935504B}">
      <dsp:nvSpPr>
        <dsp:cNvPr id="0" name=""/>
        <dsp:cNvSpPr/>
      </dsp:nvSpPr>
      <dsp:spPr>
        <a:xfrm>
          <a:off x="1329975" y="1056972"/>
          <a:ext cx="1409798" cy="163117"/>
        </a:xfrm>
        <a:custGeom>
          <a:avLst/>
          <a:gdLst/>
          <a:ahLst/>
          <a:cxnLst/>
          <a:rect l="0" t="0" r="0" b="0"/>
          <a:pathLst>
            <a:path>
              <a:moveTo>
                <a:pt x="1409798" y="0"/>
              </a:moveTo>
              <a:lnTo>
                <a:pt x="1409798" y="81558"/>
              </a:lnTo>
              <a:lnTo>
                <a:pt x="0" y="81558"/>
              </a:lnTo>
              <a:lnTo>
                <a:pt x="0" y="16311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E2529BF-A860-4F3E-B897-32A5E67547AF}">
      <dsp:nvSpPr>
        <dsp:cNvPr id="0" name=""/>
        <dsp:cNvSpPr/>
      </dsp:nvSpPr>
      <dsp:spPr>
        <a:xfrm>
          <a:off x="390109" y="1056972"/>
          <a:ext cx="2349664" cy="163117"/>
        </a:xfrm>
        <a:custGeom>
          <a:avLst/>
          <a:gdLst/>
          <a:ahLst/>
          <a:cxnLst/>
          <a:rect l="0" t="0" r="0" b="0"/>
          <a:pathLst>
            <a:path>
              <a:moveTo>
                <a:pt x="2349664" y="0"/>
              </a:moveTo>
              <a:lnTo>
                <a:pt x="2349664" y="81558"/>
              </a:lnTo>
              <a:lnTo>
                <a:pt x="0" y="81558"/>
              </a:lnTo>
              <a:lnTo>
                <a:pt x="0" y="16311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EBA1DE1-54D4-4C07-A136-62A0EB6AF8B3}">
      <dsp:nvSpPr>
        <dsp:cNvPr id="0" name=""/>
        <dsp:cNvSpPr/>
      </dsp:nvSpPr>
      <dsp:spPr>
        <a:xfrm>
          <a:off x="1427406" y="302295"/>
          <a:ext cx="2624734" cy="75467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b="1" kern="1200"/>
            <a:t>Forms of Dividends</a:t>
          </a:r>
        </a:p>
      </dsp:txBody>
      <dsp:txXfrm>
        <a:off x="1427406" y="302295"/>
        <a:ext cx="2624734" cy="754677"/>
      </dsp:txXfrm>
    </dsp:sp>
    <dsp:sp modelId="{84209DD2-6294-4A09-85D2-4333F6EB451C}">
      <dsp:nvSpPr>
        <dsp:cNvPr id="0" name=""/>
        <dsp:cNvSpPr/>
      </dsp:nvSpPr>
      <dsp:spPr>
        <a:xfrm>
          <a:off x="1734" y="1220089"/>
          <a:ext cx="776748" cy="71046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Cash Dividends</a:t>
          </a:r>
        </a:p>
      </dsp:txBody>
      <dsp:txXfrm>
        <a:off x="1734" y="1220089"/>
        <a:ext cx="776748" cy="710464"/>
      </dsp:txXfrm>
    </dsp:sp>
    <dsp:sp modelId="{49327D4B-5653-4FEA-8B76-4B8F46C8AB8C}">
      <dsp:nvSpPr>
        <dsp:cNvPr id="0" name=""/>
        <dsp:cNvSpPr/>
      </dsp:nvSpPr>
      <dsp:spPr>
        <a:xfrm>
          <a:off x="941600" y="1220089"/>
          <a:ext cx="776748" cy="71046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Scrip Dividends</a:t>
          </a:r>
        </a:p>
      </dsp:txBody>
      <dsp:txXfrm>
        <a:off x="941600" y="1220089"/>
        <a:ext cx="776748" cy="710464"/>
      </dsp:txXfrm>
    </dsp:sp>
    <dsp:sp modelId="{B6F53279-51F7-4259-9EA3-6A2447720F29}">
      <dsp:nvSpPr>
        <dsp:cNvPr id="0" name=""/>
        <dsp:cNvSpPr/>
      </dsp:nvSpPr>
      <dsp:spPr>
        <a:xfrm>
          <a:off x="1881466" y="1220089"/>
          <a:ext cx="776748" cy="73171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Non-Cash Dividends</a:t>
          </a:r>
        </a:p>
      </dsp:txBody>
      <dsp:txXfrm>
        <a:off x="1881466" y="1220089"/>
        <a:ext cx="776748" cy="731716"/>
      </dsp:txXfrm>
    </dsp:sp>
    <dsp:sp modelId="{E20B4F1C-AC24-4E3D-9384-6E2D000A0753}">
      <dsp:nvSpPr>
        <dsp:cNvPr id="0" name=""/>
        <dsp:cNvSpPr/>
      </dsp:nvSpPr>
      <dsp:spPr>
        <a:xfrm>
          <a:off x="2821332" y="1220089"/>
          <a:ext cx="776748" cy="73171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Shares Split</a:t>
          </a:r>
        </a:p>
      </dsp:txBody>
      <dsp:txXfrm>
        <a:off x="2821332" y="1220089"/>
        <a:ext cx="776748" cy="731716"/>
      </dsp:txXfrm>
    </dsp:sp>
    <dsp:sp modelId="{5D00F877-91D6-440B-86E1-BB024D916AAE}">
      <dsp:nvSpPr>
        <dsp:cNvPr id="0" name=""/>
        <dsp:cNvSpPr/>
      </dsp:nvSpPr>
      <dsp:spPr>
        <a:xfrm>
          <a:off x="3761198" y="1220089"/>
          <a:ext cx="776748" cy="73171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Shares Buybacks</a:t>
          </a:r>
        </a:p>
      </dsp:txBody>
      <dsp:txXfrm>
        <a:off x="3761198" y="1220089"/>
        <a:ext cx="776748" cy="731716"/>
      </dsp:txXfrm>
    </dsp:sp>
    <dsp:sp modelId="{5F3D1905-2280-45D2-8A5E-E26CD902F153}">
      <dsp:nvSpPr>
        <dsp:cNvPr id="0" name=""/>
        <dsp:cNvSpPr/>
      </dsp:nvSpPr>
      <dsp:spPr>
        <a:xfrm>
          <a:off x="4701064" y="1220089"/>
          <a:ext cx="776748" cy="73171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Quality Distributions and Bond Dividends</a:t>
          </a:r>
        </a:p>
      </dsp:txBody>
      <dsp:txXfrm>
        <a:off x="4701064" y="1220089"/>
        <a:ext cx="776748" cy="73171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ED4083C-98BA-4BC8-A393-754D1571D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12</Pages>
  <Words>1976</Words>
  <Characters>11266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Marcela Dan (1917714)</cp:lastModifiedBy>
  <cp:revision>5</cp:revision>
  <dcterms:created xsi:type="dcterms:W3CDTF">2022-04-24T08:45:00Z</dcterms:created>
  <dcterms:modified xsi:type="dcterms:W3CDTF">2022-04-25T20:42:00Z</dcterms:modified>
</cp:coreProperties>
</file>