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8E82FB" w14:textId="77777777" w:rsidR="0010291C" w:rsidRPr="00594FAC" w:rsidRDefault="0010291C" w:rsidP="0010291C">
      <w:pPr>
        <w:spacing w:after="240" w:line="360" w:lineRule="auto"/>
        <w:rPr>
          <w:rFonts w:ascii="Arial" w:hAnsi="Arial" w:cs="Arial"/>
        </w:rPr>
      </w:pPr>
      <w:r w:rsidRPr="00594FAC">
        <w:rPr>
          <w:rFonts w:ascii="Arial" w:hAnsi="Arial" w:cs="Arial"/>
          <w:noProof/>
        </w:rPr>
        <w:drawing>
          <wp:anchor distT="0" distB="0" distL="114300" distR="114300" simplePos="0" relativeHeight="251659264" behindDoc="0" locked="0" layoutInCell="1" allowOverlap="1" wp14:anchorId="01EAE8EB" wp14:editId="2BF6340C">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2543C22F" w14:textId="77777777" w:rsidR="0010291C" w:rsidRPr="00594FAC" w:rsidRDefault="0010291C" w:rsidP="0010291C">
      <w:pPr>
        <w:spacing w:after="240" w:line="360" w:lineRule="auto"/>
        <w:rPr>
          <w:rFonts w:ascii="Arial" w:hAnsi="Arial" w:cs="Arial"/>
        </w:rPr>
      </w:pPr>
    </w:p>
    <w:p w14:paraId="337D473D" w14:textId="77777777" w:rsidR="0010291C" w:rsidRPr="00594FAC" w:rsidRDefault="0010291C" w:rsidP="0010291C">
      <w:pPr>
        <w:spacing w:after="240" w:line="360" w:lineRule="auto"/>
        <w:rPr>
          <w:rFonts w:ascii="Arial" w:hAnsi="Arial" w:cs="Arial"/>
        </w:rPr>
      </w:pPr>
    </w:p>
    <w:p w14:paraId="6822B18B" w14:textId="77777777" w:rsidR="0010291C" w:rsidRPr="00594FAC" w:rsidRDefault="0010291C" w:rsidP="0010291C">
      <w:pPr>
        <w:spacing w:after="240" w:line="360" w:lineRule="auto"/>
        <w:rPr>
          <w:rFonts w:ascii="Arial" w:hAnsi="Arial" w:cs="Arial"/>
        </w:rPr>
      </w:pPr>
    </w:p>
    <w:p w14:paraId="16021F27" w14:textId="77777777" w:rsidR="0010291C" w:rsidRPr="00594FAC" w:rsidRDefault="0010291C" w:rsidP="0010291C">
      <w:pPr>
        <w:tabs>
          <w:tab w:val="left" w:pos="6540"/>
        </w:tabs>
        <w:spacing w:after="240" w:line="360" w:lineRule="auto"/>
        <w:rPr>
          <w:rFonts w:ascii="Arial" w:hAnsi="Arial" w:cs="Arial"/>
          <w:sz w:val="28"/>
          <w:szCs w:val="28"/>
        </w:rPr>
      </w:pPr>
    </w:p>
    <w:p w14:paraId="6A71E618" w14:textId="053FF79E" w:rsidR="0010291C" w:rsidRPr="003069F9" w:rsidRDefault="0010291C" w:rsidP="0010291C">
      <w:pPr>
        <w:tabs>
          <w:tab w:val="left" w:pos="6540"/>
        </w:tabs>
        <w:spacing w:after="240" w:line="360" w:lineRule="auto"/>
        <w:rPr>
          <w:rFonts w:ascii="Arial" w:hAnsi="Arial" w:cs="Arial"/>
          <w:b/>
          <w:bCs/>
          <w:sz w:val="28"/>
          <w:szCs w:val="28"/>
          <w:lang w:val="nl-NL"/>
        </w:rPr>
      </w:pPr>
      <w:r w:rsidRPr="0010291C">
        <w:rPr>
          <w:rFonts w:ascii="Arial" w:hAnsi="Arial" w:cs="Arial"/>
          <w:b/>
          <w:bCs/>
          <w:sz w:val="28"/>
          <w:szCs w:val="28"/>
          <w:lang w:val="nl-NL"/>
        </w:rPr>
        <w:t>Student name</w:t>
      </w:r>
      <w:r w:rsidRPr="0010291C">
        <w:rPr>
          <w:rFonts w:ascii="Arial" w:hAnsi="Arial" w:cs="Arial"/>
          <w:sz w:val="28"/>
          <w:szCs w:val="28"/>
          <w:lang w:val="nl-NL"/>
        </w:rPr>
        <w:t>:</w:t>
      </w:r>
      <w:r w:rsidRPr="0010291C">
        <w:rPr>
          <w:rFonts w:ascii="Arial" w:hAnsi="Arial" w:cs="Arial"/>
          <w:sz w:val="28"/>
          <w:szCs w:val="28"/>
          <w:lang w:val="nl-NL"/>
        </w:rPr>
        <w:t xml:space="preserve"> </w:t>
      </w:r>
      <w:r w:rsidRPr="003069F9">
        <w:rPr>
          <w:rFonts w:ascii="Arial" w:hAnsi="Arial" w:cs="Arial"/>
          <w:b/>
          <w:bCs/>
          <w:sz w:val="28"/>
          <w:szCs w:val="28"/>
          <w:lang w:val="nl-NL"/>
        </w:rPr>
        <w:t>Rina López</w:t>
      </w:r>
    </w:p>
    <w:p w14:paraId="2E951923" w14:textId="5B5FDA98" w:rsidR="0010291C" w:rsidRPr="003069F9" w:rsidRDefault="0010291C" w:rsidP="0010291C">
      <w:pPr>
        <w:tabs>
          <w:tab w:val="left" w:pos="6540"/>
        </w:tabs>
        <w:spacing w:after="240" w:line="360" w:lineRule="auto"/>
        <w:rPr>
          <w:rFonts w:ascii="Arial" w:hAnsi="Arial" w:cs="Arial"/>
          <w:b/>
          <w:bCs/>
          <w:sz w:val="28"/>
          <w:szCs w:val="28"/>
          <w:lang w:val="nl-NL"/>
        </w:rPr>
      </w:pPr>
      <w:r w:rsidRPr="0010291C">
        <w:rPr>
          <w:rFonts w:ascii="Arial" w:hAnsi="Arial" w:cs="Arial"/>
          <w:b/>
          <w:bCs/>
          <w:sz w:val="28"/>
          <w:szCs w:val="28"/>
          <w:lang w:val="nl-NL"/>
        </w:rPr>
        <w:t>Student ID</w:t>
      </w:r>
      <w:r w:rsidRPr="0010291C">
        <w:rPr>
          <w:rFonts w:ascii="Arial" w:hAnsi="Arial" w:cs="Arial"/>
          <w:sz w:val="28"/>
          <w:szCs w:val="28"/>
          <w:lang w:val="nl-NL"/>
        </w:rPr>
        <w:t>:</w:t>
      </w:r>
      <w:r w:rsidRPr="0010291C">
        <w:rPr>
          <w:rFonts w:ascii="Arial" w:hAnsi="Arial" w:cs="Arial"/>
          <w:sz w:val="28"/>
          <w:szCs w:val="28"/>
          <w:lang w:val="nl-NL"/>
        </w:rPr>
        <w:t xml:space="preserve"> </w:t>
      </w:r>
      <w:r w:rsidRPr="003069F9">
        <w:rPr>
          <w:rFonts w:ascii="Arial" w:hAnsi="Arial" w:cs="Arial"/>
          <w:b/>
          <w:bCs/>
          <w:sz w:val="28"/>
          <w:szCs w:val="28"/>
          <w:lang w:val="nl-NL"/>
        </w:rPr>
        <w:t>2337019</w:t>
      </w:r>
    </w:p>
    <w:p w14:paraId="28F21534" w14:textId="77777777" w:rsidR="0010291C" w:rsidRPr="0010291C" w:rsidRDefault="0010291C" w:rsidP="0010291C">
      <w:pPr>
        <w:tabs>
          <w:tab w:val="left" w:pos="6540"/>
        </w:tabs>
        <w:spacing w:after="240" w:line="360" w:lineRule="auto"/>
        <w:rPr>
          <w:rFonts w:ascii="Arial" w:hAnsi="Arial" w:cs="Arial"/>
          <w:sz w:val="28"/>
          <w:szCs w:val="28"/>
          <w:lang w:val="nl-NL"/>
        </w:rPr>
      </w:pPr>
    </w:p>
    <w:p w14:paraId="0AC461C6" w14:textId="77777777" w:rsidR="0010291C" w:rsidRPr="003069F9" w:rsidRDefault="0010291C" w:rsidP="0010291C">
      <w:pPr>
        <w:pStyle w:val="Heading3"/>
        <w:spacing w:before="0"/>
        <w:rPr>
          <w:rFonts w:ascii="Arial" w:eastAsia="Times New Roman" w:hAnsi="Arial" w:cs="Arial"/>
          <w:b/>
          <w:color w:val="1D2125"/>
          <w:kern w:val="0"/>
          <w:lang w:eastAsia="en-GB"/>
          <w14:ligatures w14:val="none"/>
        </w:rPr>
      </w:pPr>
      <w:bookmarkStart w:id="0" w:name="_Toc228483697"/>
      <w:bookmarkStart w:id="1" w:name="_Toc228484185"/>
      <w:r w:rsidRPr="003069F9">
        <w:rPr>
          <w:rFonts w:ascii="Arial" w:hAnsi="Arial" w:cs="Arial"/>
          <w:b/>
          <w:color w:val="000000" w:themeColor="text1"/>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w:t>
      </w:r>
      <w:r w:rsidRPr="003069F9">
        <w:rPr>
          <w:rFonts w:ascii="Arial" w:hAnsi="Arial" w:cs="Arial"/>
          <w:b/>
          <w:color w:val="000000" w:themeColor="text1"/>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069F9">
        <w:rPr>
          <w:rFonts w:ascii="Arial" w:eastAsia="Times New Roman" w:hAnsi="Arial" w:cs="Arial"/>
          <w:b/>
          <w:color w:val="1D2125"/>
          <w:kern w:val="0"/>
          <w:lang w:eastAsia="en-GB"/>
          <w14:ligatures w14:val="none"/>
        </w:rPr>
        <w:t>Changemakers: Building your Personal Brand for Sustainable Employment</w:t>
      </w:r>
      <w:bookmarkEnd w:id="0"/>
      <w:bookmarkEnd w:id="1"/>
    </w:p>
    <w:p w14:paraId="6A243C49" w14:textId="2AE794FD" w:rsidR="0010291C" w:rsidRPr="0010291C" w:rsidRDefault="0010291C" w:rsidP="0010291C">
      <w:pPr>
        <w:tabs>
          <w:tab w:val="left" w:pos="6540"/>
        </w:tabs>
        <w:spacing w:after="240" w:line="360" w:lineRule="auto"/>
        <w:rPr>
          <w:rFonts w:ascii="Arial" w:hAnsi="Arial" w:cs="Arial"/>
          <w:sz w:val="28"/>
          <w:szCs w:val="28"/>
          <w:lang w:val="nl-NL"/>
        </w:rPr>
      </w:pPr>
    </w:p>
    <w:p w14:paraId="60124737" w14:textId="77777777" w:rsidR="0010291C" w:rsidRPr="003069F9" w:rsidRDefault="0010291C" w:rsidP="0010291C">
      <w:pPr>
        <w:pStyle w:val="Heading3"/>
        <w:spacing w:before="0"/>
        <w:rPr>
          <w:rFonts w:ascii="Arial" w:hAnsi="Arial" w:cs="Arial"/>
          <w:b/>
          <w:color w:val="1D2125"/>
        </w:rPr>
      </w:pPr>
      <w:bookmarkStart w:id="2" w:name="_Toc228483698"/>
      <w:bookmarkStart w:id="3" w:name="_Toc228484186"/>
      <w:r w:rsidRPr="003069F9">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sidRPr="003069F9">
        <w:rPr>
          <w:rFonts w:ascii="Arial" w:hAnsi="Arial" w:cs="Arial"/>
          <w:b/>
        </w:rPr>
        <w:t>:</w:t>
      </w:r>
      <w:r w:rsidRPr="003069F9">
        <w:rPr>
          <w:rFonts w:ascii="Arial" w:hAnsi="Arial" w:cs="Arial"/>
          <w:b/>
        </w:rPr>
        <w:t xml:space="preserve"> </w:t>
      </w:r>
      <w:r w:rsidRPr="003069F9">
        <w:rPr>
          <w:rFonts w:ascii="Arial" w:hAnsi="Arial" w:cs="Arial"/>
          <w:b/>
          <w:color w:val="1D2125"/>
        </w:rPr>
        <w:t>BMHP5015</w:t>
      </w:r>
      <w:bookmarkEnd w:id="2"/>
      <w:bookmarkEnd w:id="3"/>
    </w:p>
    <w:p w14:paraId="0B29B8E7" w14:textId="3842EA03" w:rsidR="0010291C" w:rsidRPr="0010291C" w:rsidRDefault="0010291C" w:rsidP="0010291C">
      <w:pPr>
        <w:tabs>
          <w:tab w:val="left" w:pos="6540"/>
        </w:tabs>
        <w:spacing w:after="240" w:line="360" w:lineRule="auto"/>
        <w:rPr>
          <w:rFonts w:ascii="Arial" w:hAnsi="Arial" w:cs="Arial"/>
          <w:sz w:val="28"/>
          <w:szCs w:val="28"/>
        </w:rPr>
      </w:pPr>
    </w:p>
    <w:p w14:paraId="5AA73D79" w14:textId="2344193F" w:rsidR="0010291C" w:rsidRPr="003069F9" w:rsidRDefault="0010291C" w:rsidP="0010291C">
      <w:pPr>
        <w:tabs>
          <w:tab w:val="left" w:pos="6540"/>
        </w:tabs>
        <w:spacing w:after="240" w:line="360" w:lineRule="auto"/>
        <w:rPr>
          <w:rFonts w:ascii="Arial" w:hAnsi="Arial" w:cs="Arial"/>
          <w:b/>
          <w:bCs/>
          <w:sz w:val="28"/>
          <w:szCs w:val="28"/>
        </w:rPr>
      </w:pPr>
      <w:r w:rsidRPr="003069F9">
        <w:rPr>
          <w:rFonts w:ascii="Arial" w:hAnsi="Arial" w:cs="Arial"/>
          <w:b/>
          <w:bCs/>
          <w:sz w:val="28"/>
          <w:szCs w:val="28"/>
        </w:rPr>
        <w:t>Lecturer name:</w:t>
      </w:r>
      <w:r w:rsidRPr="003069F9">
        <w:rPr>
          <w:rFonts w:ascii="Arial" w:hAnsi="Arial" w:cs="Arial"/>
          <w:b/>
          <w:bCs/>
          <w:sz w:val="28"/>
          <w:szCs w:val="28"/>
        </w:rPr>
        <w:t xml:space="preserve"> Caroline Salami</w:t>
      </w:r>
    </w:p>
    <w:p w14:paraId="5CEE36B4" w14:textId="77777777" w:rsidR="0010291C" w:rsidRPr="00594FAC" w:rsidRDefault="0010291C" w:rsidP="0010291C">
      <w:pPr>
        <w:tabs>
          <w:tab w:val="left" w:pos="6540"/>
        </w:tabs>
        <w:spacing w:after="240" w:line="360" w:lineRule="auto"/>
        <w:rPr>
          <w:rFonts w:ascii="Arial" w:hAnsi="Arial" w:cs="Arial"/>
          <w:sz w:val="28"/>
          <w:szCs w:val="28"/>
        </w:rPr>
      </w:pPr>
    </w:p>
    <w:p w14:paraId="0D1F0EFC" w14:textId="39B578DF" w:rsidR="0010291C" w:rsidRDefault="0010291C" w:rsidP="0010291C">
      <w:pPr>
        <w:spacing w:line="360" w:lineRule="auto"/>
        <w:jc w:val="both"/>
        <w:rPr>
          <w:rFonts w:ascii="Arial" w:hAnsi="Arial" w:cs="Arial"/>
          <w:b/>
          <w:bCs/>
          <w:sz w:val="22"/>
          <w:szCs w:val="22"/>
        </w:rPr>
      </w:pPr>
      <w:r w:rsidRPr="00594FAC">
        <w:rPr>
          <w:rFonts w:ascii="Arial" w:hAnsi="Arial" w:cs="Arial"/>
        </w:rPr>
        <w:br w:type="page"/>
      </w:r>
    </w:p>
    <w:p w14:paraId="615D0BE9" w14:textId="77777777" w:rsidR="0010291C" w:rsidRDefault="0010291C" w:rsidP="0010291C">
      <w:pPr>
        <w:pStyle w:val="Heading1"/>
        <w:rPr>
          <w:rFonts w:eastAsiaTheme="minorHAnsi"/>
        </w:rPr>
      </w:pPr>
    </w:p>
    <w:p w14:paraId="27878BD6" w14:textId="77777777" w:rsidR="0010291C" w:rsidRDefault="0010291C" w:rsidP="0010291C"/>
    <w:p w14:paraId="7544E917" w14:textId="77777777" w:rsidR="0010291C" w:rsidRDefault="0010291C" w:rsidP="0010291C"/>
    <w:p w14:paraId="2B83968F" w14:textId="77777777" w:rsidR="0010291C" w:rsidRDefault="0010291C" w:rsidP="0010291C"/>
    <w:sdt>
      <w:sdtPr>
        <w:id w:val="-29082908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5A4E189" w14:textId="3ACA20B5" w:rsidR="00117146" w:rsidRDefault="00117146">
          <w:pPr>
            <w:pStyle w:val="TOCHeading"/>
          </w:pPr>
          <w:r>
            <w:t>Table of Contents</w:t>
          </w:r>
        </w:p>
        <w:p w14:paraId="20252348" w14:textId="75153BE9" w:rsidR="00117146" w:rsidRDefault="00117146" w:rsidP="00117146">
          <w:pPr>
            <w:pStyle w:val="TOC3"/>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p>
        <w:p w14:paraId="4BC74677" w14:textId="5DC3B39E" w:rsidR="00117146" w:rsidRDefault="00117146">
          <w:pPr>
            <w:pStyle w:val="TOC1"/>
            <w:tabs>
              <w:tab w:val="right" w:leader="dot" w:pos="9016"/>
            </w:tabs>
            <w:rPr>
              <w:rFonts w:eastAsiaTheme="minorEastAsia"/>
              <w:b w:val="0"/>
              <w:bCs w:val="0"/>
              <w:i w:val="0"/>
              <w:iCs w:val="0"/>
              <w:noProof/>
              <w:lang w:eastAsia="en-GB"/>
            </w:rPr>
          </w:pPr>
          <w:hyperlink w:anchor="_Toc228484187" w:history="1">
            <w:r w:rsidRPr="00E401DA">
              <w:rPr>
                <w:rStyle w:val="Hyperlink"/>
                <w:noProof/>
              </w:rPr>
              <w:t>Introduction</w:t>
            </w:r>
            <w:r>
              <w:rPr>
                <w:noProof/>
                <w:webHidden/>
              </w:rPr>
              <w:tab/>
            </w:r>
            <w:r>
              <w:rPr>
                <w:noProof/>
                <w:webHidden/>
              </w:rPr>
              <w:fldChar w:fldCharType="begin"/>
            </w:r>
            <w:r>
              <w:rPr>
                <w:noProof/>
                <w:webHidden/>
              </w:rPr>
              <w:instrText xml:space="preserve"> PAGEREF _Toc228484187 \h </w:instrText>
            </w:r>
            <w:r>
              <w:rPr>
                <w:noProof/>
                <w:webHidden/>
              </w:rPr>
            </w:r>
            <w:r>
              <w:rPr>
                <w:noProof/>
                <w:webHidden/>
              </w:rPr>
              <w:fldChar w:fldCharType="separate"/>
            </w:r>
            <w:r>
              <w:rPr>
                <w:noProof/>
                <w:webHidden/>
              </w:rPr>
              <w:t>3</w:t>
            </w:r>
            <w:r>
              <w:rPr>
                <w:noProof/>
                <w:webHidden/>
              </w:rPr>
              <w:fldChar w:fldCharType="end"/>
            </w:r>
          </w:hyperlink>
        </w:p>
        <w:p w14:paraId="36E71DBF" w14:textId="0E2A3E2F" w:rsidR="00117146" w:rsidRDefault="00117146">
          <w:pPr>
            <w:pStyle w:val="TOC1"/>
            <w:tabs>
              <w:tab w:val="right" w:leader="dot" w:pos="9016"/>
            </w:tabs>
            <w:rPr>
              <w:rFonts w:eastAsiaTheme="minorEastAsia"/>
              <w:b w:val="0"/>
              <w:bCs w:val="0"/>
              <w:i w:val="0"/>
              <w:iCs w:val="0"/>
              <w:noProof/>
              <w:lang w:eastAsia="en-GB"/>
            </w:rPr>
          </w:pPr>
          <w:hyperlink w:anchor="_Toc228484188" w:history="1">
            <w:r w:rsidRPr="00E401DA">
              <w:rPr>
                <w:rStyle w:val="Hyperlink"/>
                <w:noProof/>
              </w:rPr>
              <w:t>Analyse the Personal Employability Skills Required</w:t>
            </w:r>
            <w:r>
              <w:rPr>
                <w:noProof/>
                <w:webHidden/>
              </w:rPr>
              <w:tab/>
            </w:r>
            <w:r>
              <w:rPr>
                <w:noProof/>
                <w:webHidden/>
              </w:rPr>
              <w:fldChar w:fldCharType="begin"/>
            </w:r>
            <w:r>
              <w:rPr>
                <w:noProof/>
                <w:webHidden/>
              </w:rPr>
              <w:instrText xml:space="preserve"> PAGEREF _Toc228484188 \h </w:instrText>
            </w:r>
            <w:r>
              <w:rPr>
                <w:noProof/>
                <w:webHidden/>
              </w:rPr>
            </w:r>
            <w:r>
              <w:rPr>
                <w:noProof/>
                <w:webHidden/>
              </w:rPr>
              <w:fldChar w:fldCharType="separate"/>
            </w:r>
            <w:r>
              <w:rPr>
                <w:noProof/>
                <w:webHidden/>
              </w:rPr>
              <w:t>4</w:t>
            </w:r>
            <w:r>
              <w:rPr>
                <w:noProof/>
                <w:webHidden/>
              </w:rPr>
              <w:fldChar w:fldCharType="end"/>
            </w:r>
          </w:hyperlink>
        </w:p>
        <w:p w14:paraId="5B6CEC0C" w14:textId="70D7425E" w:rsidR="00117146" w:rsidRDefault="00117146">
          <w:pPr>
            <w:pStyle w:val="TOC1"/>
            <w:tabs>
              <w:tab w:val="right" w:leader="dot" w:pos="9016"/>
            </w:tabs>
            <w:rPr>
              <w:rFonts w:eastAsiaTheme="minorEastAsia"/>
              <w:b w:val="0"/>
              <w:bCs w:val="0"/>
              <w:i w:val="0"/>
              <w:iCs w:val="0"/>
              <w:noProof/>
              <w:lang w:eastAsia="en-GB"/>
            </w:rPr>
          </w:pPr>
          <w:hyperlink w:anchor="_Toc228484189" w:history="1">
            <w:r w:rsidRPr="00E401DA">
              <w:rPr>
                <w:rStyle w:val="Hyperlink"/>
                <w:noProof/>
              </w:rPr>
              <w:t>Evaluate Your Own Skills</w:t>
            </w:r>
            <w:r>
              <w:rPr>
                <w:noProof/>
                <w:webHidden/>
              </w:rPr>
              <w:tab/>
            </w:r>
            <w:r>
              <w:rPr>
                <w:noProof/>
                <w:webHidden/>
              </w:rPr>
              <w:fldChar w:fldCharType="begin"/>
            </w:r>
            <w:r>
              <w:rPr>
                <w:noProof/>
                <w:webHidden/>
              </w:rPr>
              <w:instrText xml:space="preserve"> PAGEREF _Toc228484189 \h </w:instrText>
            </w:r>
            <w:r>
              <w:rPr>
                <w:noProof/>
                <w:webHidden/>
              </w:rPr>
            </w:r>
            <w:r>
              <w:rPr>
                <w:noProof/>
                <w:webHidden/>
              </w:rPr>
              <w:fldChar w:fldCharType="separate"/>
            </w:r>
            <w:r>
              <w:rPr>
                <w:noProof/>
                <w:webHidden/>
              </w:rPr>
              <w:t>5</w:t>
            </w:r>
            <w:r>
              <w:rPr>
                <w:noProof/>
                <w:webHidden/>
              </w:rPr>
              <w:fldChar w:fldCharType="end"/>
            </w:r>
          </w:hyperlink>
        </w:p>
        <w:p w14:paraId="7CA86305" w14:textId="3782B174" w:rsidR="00117146" w:rsidRDefault="00117146">
          <w:pPr>
            <w:pStyle w:val="TOC1"/>
            <w:tabs>
              <w:tab w:val="right" w:leader="dot" w:pos="9016"/>
            </w:tabs>
            <w:rPr>
              <w:rFonts w:eastAsiaTheme="minorEastAsia"/>
              <w:b w:val="0"/>
              <w:bCs w:val="0"/>
              <w:i w:val="0"/>
              <w:iCs w:val="0"/>
              <w:noProof/>
              <w:lang w:eastAsia="en-GB"/>
            </w:rPr>
          </w:pPr>
          <w:hyperlink w:anchor="_Toc228484190" w:history="1">
            <w:r w:rsidRPr="00E401DA">
              <w:rPr>
                <w:rStyle w:val="Hyperlink"/>
                <w:noProof/>
              </w:rPr>
              <w:t>Building a Personal Brand and Professional Identity</w:t>
            </w:r>
            <w:r>
              <w:rPr>
                <w:noProof/>
                <w:webHidden/>
              </w:rPr>
              <w:tab/>
            </w:r>
            <w:r>
              <w:rPr>
                <w:noProof/>
                <w:webHidden/>
              </w:rPr>
              <w:fldChar w:fldCharType="begin"/>
            </w:r>
            <w:r>
              <w:rPr>
                <w:noProof/>
                <w:webHidden/>
              </w:rPr>
              <w:instrText xml:space="preserve"> PAGEREF _Toc228484190 \h </w:instrText>
            </w:r>
            <w:r>
              <w:rPr>
                <w:noProof/>
                <w:webHidden/>
              </w:rPr>
            </w:r>
            <w:r>
              <w:rPr>
                <w:noProof/>
                <w:webHidden/>
              </w:rPr>
              <w:fldChar w:fldCharType="separate"/>
            </w:r>
            <w:r>
              <w:rPr>
                <w:noProof/>
                <w:webHidden/>
              </w:rPr>
              <w:t>7</w:t>
            </w:r>
            <w:r>
              <w:rPr>
                <w:noProof/>
                <w:webHidden/>
              </w:rPr>
              <w:fldChar w:fldCharType="end"/>
            </w:r>
          </w:hyperlink>
        </w:p>
        <w:p w14:paraId="62EBAEC6" w14:textId="0FE41D45" w:rsidR="00117146" w:rsidRDefault="00117146">
          <w:pPr>
            <w:pStyle w:val="TOC1"/>
            <w:tabs>
              <w:tab w:val="right" w:leader="dot" w:pos="9016"/>
            </w:tabs>
            <w:rPr>
              <w:rFonts w:eastAsiaTheme="minorEastAsia"/>
              <w:b w:val="0"/>
              <w:bCs w:val="0"/>
              <w:i w:val="0"/>
              <w:iCs w:val="0"/>
              <w:noProof/>
              <w:lang w:eastAsia="en-GB"/>
            </w:rPr>
          </w:pPr>
          <w:hyperlink w:anchor="_Toc228484191" w:history="1">
            <w:r w:rsidRPr="00E401DA">
              <w:rPr>
                <w:rStyle w:val="Hyperlink"/>
                <w:noProof/>
              </w:rPr>
              <w:t>Action Plan and Timeline</w:t>
            </w:r>
            <w:r>
              <w:rPr>
                <w:noProof/>
                <w:webHidden/>
              </w:rPr>
              <w:tab/>
            </w:r>
            <w:r>
              <w:rPr>
                <w:noProof/>
                <w:webHidden/>
              </w:rPr>
              <w:fldChar w:fldCharType="begin"/>
            </w:r>
            <w:r>
              <w:rPr>
                <w:noProof/>
                <w:webHidden/>
              </w:rPr>
              <w:instrText xml:space="preserve"> PAGEREF _Toc228484191 \h </w:instrText>
            </w:r>
            <w:r>
              <w:rPr>
                <w:noProof/>
                <w:webHidden/>
              </w:rPr>
            </w:r>
            <w:r>
              <w:rPr>
                <w:noProof/>
                <w:webHidden/>
              </w:rPr>
              <w:fldChar w:fldCharType="separate"/>
            </w:r>
            <w:r>
              <w:rPr>
                <w:noProof/>
                <w:webHidden/>
              </w:rPr>
              <w:t>8</w:t>
            </w:r>
            <w:r>
              <w:rPr>
                <w:noProof/>
                <w:webHidden/>
              </w:rPr>
              <w:fldChar w:fldCharType="end"/>
            </w:r>
          </w:hyperlink>
        </w:p>
        <w:p w14:paraId="069CDACB" w14:textId="63E1F447" w:rsidR="00117146" w:rsidRDefault="00117146">
          <w:pPr>
            <w:pStyle w:val="TOC1"/>
            <w:tabs>
              <w:tab w:val="right" w:leader="dot" w:pos="9016"/>
            </w:tabs>
            <w:rPr>
              <w:rFonts w:eastAsiaTheme="minorEastAsia"/>
              <w:b w:val="0"/>
              <w:bCs w:val="0"/>
              <w:i w:val="0"/>
              <w:iCs w:val="0"/>
              <w:noProof/>
              <w:lang w:eastAsia="en-GB"/>
            </w:rPr>
          </w:pPr>
          <w:hyperlink w:anchor="_Toc228484192" w:history="1">
            <w:r w:rsidRPr="00E401DA">
              <w:rPr>
                <w:rStyle w:val="Hyperlink"/>
                <w:noProof/>
              </w:rPr>
              <w:t>Conclusion</w:t>
            </w:r>
            <w:r>
              <w:rPr>
                <w:noProof/>
                <w:webHidden/>
              </w:rPr>
              <w:tab/>
            </w:r>
            <w:r>
              <w:rPr>
                <w:noProof/>
                <w:webHidden/>
              </w:rPr>
              <w:fldChar w:fldCharType="begin"/>
            </w:r>
            <w:r>
              <w:rPr>
                <w:noProof/>
                <w:webHidden/>
              </w:rPr>
              <w:instrText xml:space="preserve"> PAGEREF _Toc228484192 \h </w:instrText>
            </w:r>
            <w:r>
              <w:rPr>
                <w:noProof/>
                <w:webHidden/>
              </w:rPr>
            </w:r>
            <w:r>
              <w:rPr>
                <w:noProof/>
                <w:webHidden/>
              </w:rPr>
              <w:fldChar w:fldCharType="separate"/>
            </w:r>
            <w:r>
              <w:rPr>
                <w:noProof/>
                <w:webHidden/>
              </w:rPr>
              <w:t>10</w:t>
            </w:r>
            <w:r>
              <w:rPr>
                <w:noProof/>
                <w:webHidden/>
              </w:rPr>
              <w:fldChar w:fldCharType="end"/>
            </w:r>
          </w:hyperlink>
        </w:p>
        <w:p w14:paraId="4A8250B2" w14:textId="3DEF7A2A" w:rsidR="00117146" w:rsidRDefault="00117146">
          <w:pPr>
            <w:pStyle w:val="TOC1"/>
            <w:tabs>
              <w:tab w:val="right" w:leader="dot" w:pos="9016"/>
            </w:tabs>
            <w:rPr>
              <w:rFonts w:eastAsiaTheme="minorEastAsia"/>
              <w:b w:val="0"/>
              <w:bCs w:val="0"/>
              <w:i w:val="0"/>
              <w:iCs w:val="0"/>
              <w:noProof/>
              <w:lang w:eastAsia="en-GB"/>
            </w:rPr>
          </w:pPr>
          <w:hyperlink w:anchor="_Toc228484193" w:history="1">
            <w:r w:rsidRPr="00E401DA">
              <w:rPr>
                <w:rStyle w:val="Hyperlink"/>
                <w:noProof/>
              </w:rPr>
              <w:t>References</w:t>
            </w:r>
            <w:r>
              <w:rPr>
                <w:noProof/>
                <w:webHidden/>
              </w:rPr>
              <w:tab/>
            </w:r>
            <w:r>
              <w:rPr>
                <w:noProof/>
                <w:webHidden/>
              </w:rPr>
              <w:fldChar w:fldCharType="begin"/>
            </w:r>
            <w:r>
              <w:rPr>
                <w:noProof/>
                <w:webHidden/>
              </w:rPr>
              <w:instrText xml:space="preserve"> PAGEREF _Toc228484193 \h </w:instrText>
            </w:r>
            <w:r>
              <w:rPr>
                <w:noProof/>
                <w:webHidden/>
              </w:rPr>
            </w:r>
            <w:r>
              <w:rPr>
                <w:noProof/>
                <w:webHidden/>
              </w:rPr>
              <w:fldChar w:fldCharType="separate"/>
            </w:r>
            <w:r>
              <w:rPr>
                <w:noProof/>
                <w:webHidden/>
              </w:rPr>
              <w:t>10</w:t>
            </w:r>
            <w:r>
              <w:rPr>
                <w:noProof/>
                <w:webHidden/>
              </w:rPr>
              <w:fldChar w:fldCharType="end"/>
            </w:r>
          </w:hyperlink>
        </w:p>
        <w:p w14:paraId="016D38D6" w14:textId="272E6AF6" w:rsidR="00117146" w:rsidRDefault="00117146">
          <w:r>
            <w:rPr>
              <w:b/>
              <w:bCs/>
              <w:noProof/>
            </w:rPr>
            <w:fldChar w:fldCharType="end"/>
          </w:r>
        </w:p>
      </w:sdtContent>
    </w:sdt>
    <w:p w14:paraId="45B0B9A5" w14:textId="77777777" w:rsidR="0010291C" w:rsidRDefault="0010291C" w:rsidP="0010291C"/>
    <w:p w14:paraId="40A94CF8" w14:textId="77777777" w:rsidR="0010291C" w:rsidRDefault="0010291C" w:rsidP="0010291C"/>
    <w:p w14:paraId="5F82DDBC" w14:textId="77777777" w:rsidR="0010291C" w:rsidRDefault="0010291C" w:rsidP="0010291C"/>
    <w:p w14:paraId="10E4DF70" w14:textId="77777777" w:rsidR="0010291C" w:rsidRDefault="0010291C" w:rsidP="0010291C"/>
    <w:p w14:paraId="733F37A6" w14:textId="77777777" w:rsidR="0010291C" w:rsidRDefault="0010291C" w:rsidP="0010291C"/>
    <w:p w14:paraId="49069479" w14:textId="77777777" w:rsidR="0010291C" w:rsidRDefault="0010291C" w:rsidP="0010291C"/>
    <w:p w14:paraId="2BC3AACB" w14:textId="77777777" w:rsidR="0010291C" w:rsidRDefault="0010291C" w:rsidP="0010291C"/>
    <w:p w14:paraId="0950A44D" w14:textId="77777777" w:rsidR="0010291C" w:rsidRDefault="0010291C" w:rsidP="0010291C"/>
    <w:p w14:paraId="441F3AC4" w14:textId="77777777" w:rsidR="0010291C" w:rsidRDefault="0010291C" w:rsidP="0010291C"/>
    <w:p w14:paraId="0C4ECC66" w14:textId="77777777" w:rsidR="0010291C" w:rsidRDefault="0010291C" w:rsidP="0010291C"/>
    <w:p w14:paraId="2661A8C1" w14:textId="77777777" w:rsidR="0010291C" w:rsidRDefault="0010291C" w:rsidP="0010291C"/>
    <w:p w14:paraId="3AE199E8" w14:textId="77777777" w:rsidR="0010291C" w:rsidRDefault="0010291C" w:rsidP="0010291C"/>
    <w:p w14:paraId="7CCB3F39" w14:textId="77777777" w:rsidR="0010291C" w:rsidRDefault="0010291C" w:rsidP="0010291C"/>
    <w:p w14:paraId="2EF25141" w14:textId="77777777" w:rsidR="0010291C" w:rsidRDefault="0010291C" w:rsidP="0010291C"/>
    <w:p w14:paraId="7C41D987" w14:textId="77777777" w:rsidR="0010291C" w:rsidRDefault="0010291C" w:rsidP="0010291C"/>
    <w:p w14:paraId="77210615" w14:textId="77777777" w:rsidR="0010291C" w:rsidRDefault="0010291C" w:rsidP="0010291C"/>
    <w:p w14:paraId="3B177637" w14:textId="77777777" w:rsidR="0010291C" w:rsidRDefault="0010291C" w:rsidP="0010291C"/>
    <w:p w14:paraId="51E0CC75" w14:textId="77777777" w:rsidR="0010291C" w:rsidRDefault="0010291C" w:rsidP="0010291C"/>
    <w:p w14:paraId="6AB4F42F" w14:textId="77777777" w:rsidR="0010291C" w:rsidRDefault="0010291C" w:rsidP="0010291C"/>
    <w:p w14:paraId="53D20FA6" w14:textId="77777777" w:rsidR="0010291C" w:rsidRDefault="0010291C" w:rsidP="0010291C"/>
    <w:p w14:paraId="2A7A328D" w14:textId="77777777" w:rsidR="0010291C" w:rsidRDefault="0010291C" w:rsidP="0010291C"/>
    <w:p w14:paraId="5D572D15" w14:textId="77777777" w:rsidR="0010291C" w:rsidRDefault="0010291C" w:rsidP="0010291C"/>
    <w:p w14:paraId="0AAFCB89" w14:textId="77777777" w:rsidR="0010291C" w:rsidRDefault="0010291C" w:rsidP="0010291C"/>
    <w:p w14:paraId="73EE8AB3" w14:textId="77777777" w:rsidR="00117146" w:rsidRDefault="00117146" w:rsidP="0010291C"/>
    <w:p w14:paraId="0496EE2B" w14:textId="77777777" w:rsidR="0010291C" w:rsidRDefault="0010291C" w:rsidP="0010291C"/>
    <w:p w14:paraId="64354EAE" w14:textId="77777777" w:rsidR="0010291C" w:rsidRDefault="0010291C" w:rsidP="0010291C"/>
    <w:p w14:paraId="7E7725DA" w14:textId="77777777" w:rsidR="0010291C" w:rsidRDefault="0010291C" w:rsidP="0010291C"/>
    <w:p w14:paraId="6531D518" w14:textId="1BFBE859" w:rsidR="00E736DE" w:rsidRPr="00117146" w:rsidRDefault="00E736DE" w:rsidP="00117146">
      <w:pPr>
        <w:rPr>
          <w:rFonts w:ascii="Arial" w:hAnsi="Arial" w:cs="Arial"/>
          <w:b/>
          <w:bCs/>
          <w:sz w:val="22"/>
          <w:szCs w:val="22"/>
        </w:rPr>
      </w:pPr>
      <w:bookmarkStart w:id="4" w:name="_Toc228484187"/>
      <w:r w:rsidRPr="00117146">
        <w:rPr>
          <w:rFonts w:ascii="Arial" w:hAnsi="Arial" w:cs="Arial"/>
          <w:b/>
          <w:bCs/>
          <w:sz w:val="22"/>
          <w:szCs w:val="22"/>
        </w:rPr>
        <w:lastRenderedPageBreak/>
        <w:t>Introductio</w:t>
      </w:r>
      <w:r w:rsidRPr="00117146">
        <w:rPr>
          <w:rFonts w:ascii="Arial" w:hAnsi="Arial" w:cs="Arial"/>
          <w:b/>
          <w:bCs/>
          <w:sz w:val="22"/>
          <w:szCs w:val="22"/>
        </w:rPr>
        <w:t>n</w:t>
      </w:r>
      <w:bookmarkEnd w:id="4"/>
    </w:p>
    <w:p w14:paraId="0C2DEB12" w14:textId="7B4D36B3" w:rsidR="00E736DE" w:rsidRDefault="00E736DE" w:rsidP="00A1779B">
      <w:pPr>
        <w:spacing w:line="360" w:lineRule="auto"/>
        <w:jc w:val="both"/>
        <w:rPr>
          <w:rFonts w:ascii="Arial" w:hAnsi="Arial" w:cs="Arial"/>
          <w:sz w:val="22"/>
          <w:szCs w:val="22"/>
        </w:rPr>
      </w:pPr>
      <w:r w:rsidRPr="00A1779B">
        <w:rPr>
          <w:rFonts w:ascii="Arial" w:hAnsi="Arial" w:cs="Arial"/>
          <w:sz w:val="22"/>
          <w:szCs w:val="22"/>
        </w:rPr>
        <w:t xml:space="preserve">This assignment analyses the function of a social work assistant in the health and social care industry, specifically focusing on a position for an assistant social worker in Aylesbury that Oxford Health NHS Foundation Trust posted on NHS Jobs. The position reflects the responsibilities, values, and career path associated with Social Work Assistant practice. The role </w:t>
      </w:r>
      <w:r w:rsidRPr="00A1779B">
        <w:rPr>
          <w:rFonts w:ascii="Arial" w:hAnsi="Arial" w:cs="Arial"/>
          <w:sz w:val="22"/>
          <w:szCs w:val="22"/>
        </w:rPr>
        <w:t>includes</w:t>
      </w:r>
      <w:r w:rsidRPr="00A1779B">
        <w:rPr>
          <w:rFonts w:ascii="Arial" w:hAnsi="Arial" w:cs="Arial"/>
          <w:sz w:val="22"/>
          <w:szCs w:val="22"/>
        </w:rPr>
        <w:t xml:space="preserve"> assessment, evaluation of care packages, interdisciplinary collaboration, assistance under the Care Act, and advancement toward qualified social work, even though the title is slightly different. The job role is part of the NHS and collaborates closely with adult social care services provided by local authorities, demonstrating the growing integration.</w:t>
      </w:r>
    </w:p>
    <w:p w14:paraId="3E7B53DC" w14:textId="77777777" w:rsidR="003422AF" w:rsidRPr="00A1779B" w:rsidRDefault="003422AF" w:rsidP="00A1779B">
      <w:pPr>
        <w:spacing w:line="360" w:lineRule="auto"/>
        <w:jc w:val="both"/>
        <w:rPr>
          <w:rFonts w:ascii="Arial" w:hAnsi="Arial" w:cs="Arial"/>
          <w:sz w:val="22"/>
          <w:szCs w:val="22"/>
        </w:rPr>
      </w:pPr>
    </w:p>
    <w:p w14:paraId="589FB727" w14:textId="77777777" w:rsidR="00E736DE" w:rsidRDefault="00E736DE" w:rsidP="00A1779B">
      <w:pPr>
        <w:spacing w:line="360" w:lineRule="auto"/>
        <w:jc w:val="both"/>
        <w:rPr>
          <w:rFonts w:ascii="Arial" w:hAnsi="Arial" w:cs="Arial"/>
          <w:sz w:val="22"/>
          <w:szCs w:val="22"/>
        </w:rPr>
      </w:pPr>
      <w:r w:rsidRPr="00A1779B">
        <w:rPr>
          <w:rFonts w:ascii="Arial" w:hAnsi="Arial" w:cs="Arial"/>
          <w:sz w:val="22"/>
          <w:szCs w:val="22"/>
        </w:rPr>
        <w:t>The principles of empathy, social justice, dignity, and practical assistance for vulnerable persons align with this career path. What is more, it is demanding because it provides direct interaction with service users and fosters the development of critical professional skills such as communication, record-keeping, assessment, and interagency cooperation. Additionally, it offers a practical first step toward future advancement into a certified social work degree or apprenticeship program.</w:t>
      </w:r>
    </w:p>
    <w:p w14:paraId="7F9042AD" w14:textId="77777777" w:rsidR="003422AF" w:rsidRPr="00A1779B" w:rsidRDefault="003422AF" w:rsidP="00A1779B">
      <w:pPr>
        <w:spacing w:line="360" w:lineRule="auto"/>
        <w:jc w:val="both"/>
        <w:rPr>
          <w:rFonts w:ascii="Arial" w:hAnsi="Arial" w:cs="Arial"/>
          <w:sz w:val="22"/>
          <w:szCs w:val="22"/>
        </w:rPr>
      </w:pPr>
    </w:p>
    <w:p w14:paraId="0242340E" w14:textId="7B06A57E" w:rsidR="00E736DE" w:rsidRPr="00A1779B" w:rsidRDefault="00E736DE" w:rsidP="00A1779B">
      <w:pPr>
        <w:spacing w:line="360" w:lineRule="auto"/>
        <w:jc w:val="both"/>
        <w:rPr>
          <w:rFonts w:ascii="Arial" w:hAnsi="Arial" w:cs="Arial"/>
          <w:sz w:val="22"/>
          <w:szCs w:val="22"/>
        </w:rPr>
      </w:pPr>
      <w:r w:rsidRPr="00A1779B">
        <w:rPr>
          <w:rFonts w:ascii="Arial" w:hAnsi="Arial" w:cs="Arial"/>
          <w:sz w:val="22"/>
          <w:szCs w:val="22"/>
        </w:rPr>
        <w:t xml:space="preserve">The study initially examines the employability skills, credentials, and behaviours needed for the position. After that, it assesses present strengths and development needs </w:t>
      </w:r>
      <w:r w:rsidRPr="00A1779B">
        <w:rPr>
          <w:rFonts w:ascii="Arial" w:hAnsi="Arial" w:cs="Arial"/>
          <w:sz w:val="22"/>
          <w:szCs w:val="22"/>
        </w:rPr>
        <w:t>considering</w:t>
      </w:r>
      <w:r w:rsidRPr="00A1779B">
        <w:rPr>
          <w:rFonts w:ascii="Arial" w:hAnsi="Arial" w:cs="Arial"/>
          <w:sz w:val="22"/>
          <w:szCs w:val="22"/>
        </w:rPr>
        <w:t xml:space="preserve"> those specifications. It then looks at ways to develop a professional and personal brand for the social care workforce. To facilitate advancement into a position as a social work assistant and, eventually, a longer-term social work career, it concludes with a practical action plan and timeframe.</w:t>
      </w:r>
    </w:p>
    <w:p w14:paraId="2AFAA987" w14:textId="3806C768" w:rsidR="00E736DE" w:rsidRPr="00A1779B" w:rsidRDefault="00A1779B" w:rsidP="00A1779B">
      <w:pPr>
        <w:spacing w:line="360" w:lineRule="auto"/>
        <w:jc w:val="both"/>
        <w:rPr>
          <w:rFonts w:ascii="Arial" w:hAnsi="Arial" w:cs="Arial"/>
          <w:sz w:val="22"/>
          <w:szCs w:val="22"/>
        </w:rPr>
      </w:pPr>
      <w:r w:rsidRPr="00A1779B">
        <w:rPr>
          <w:rFonts w:ascii="Arial" w:hAnsi="Arial" w:cs="Arial"/>
          <w:sz w:val="22"/>
          <w:szCs w:val="22"/>
        </w:rPr>
        <w:lastRenderedPageBreak/>
        <w:drawing>
          <wp:inline distT="0" distB="0" distL="0" distR="0" wp14:anchorId="771CAF27" wp14:editId="46CF3DCC">
            <wp:extent cx="5731510" cy="3638550"/>
            <wp:effectExtent l="0" t="0" r="0" b="6350"/>
            <wp:docPr id="17076244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624432" name="Picture 1" descr="A screenshot of a computer&#10;&#10;AI-generated content may be incorrect."/>
                    <pic:cNvPicPr/>
                  </pic:nvPicPr>
                  <pic:blipFill>
                    <a:blip r:embed="rId9"/>
                    <a:stretch>
                      <a:fillRect/>
                    </a:stretch>
                  </pic:blipFill>
                  <pic:spPr>
                    <a:xfrm>
                      <a:off x="0" y="0"/>
                      <a:ext cx="5731510" cy="3638550"/>
                    </a:xfrm>
                    <a:prstGeom prst="rect">
                      <a:avLst/>
                    </a:prstGeom>
                  </pic:spPr>
                </pic:pic>
              </a:graphicData>
            </a:graphic>
          </wp:inline>
        </w:drawing>
      </w:r>
    </w:p>
    <w:p w14:paraId="36FFD6C7" w14:textId="2246C11F" w:rsidR="00E736DE" w:rsidRPr="00117146" w:rsidRDefault="00E736DE" w:rsidP="00117146">
      <w:pPr>
        <w:rPr>
          <w:rFonts w:ascii="Arial" w:hAnsi="Arial" w:cs="Arial"/>
          <w:b/>
          <w:bCs/>
          <w:sz w:val="22"/>
          <w:szCs w:val="22"/>
        </w:rPr>
      </w:pPr>
      <w:bookmarkStart w:id="5" w:name="_Toc228484188"/>
      <w:r w:rsidRPr="00117146">
        <w:rPr>
          <w:rFonts w:ascii="Arial" w:hAnsi="Arial" w:cs="Arial"/>
          <w:b/>
          <w:bCs/>
          <w:sz w:val="22"/>
          <w:szCs w:val="22"/>
        </w:rPr>
        <w:t>Analyse the Personal Employability Skills Required</w:t>
      </w:r>
      <w:bookmarkEnd w:id="5"/>
      <w:r w:rsidRPr="00117146">
        <w:rPr>
          <w:rFonts w:ascii="Arial" w:hAnsi="Arial" w:cs="Arial"/>
          <w:b/>
          <w:bCs/>
          <w:sz w:val="22"/>
          <w:szCs w:val="22"/>
        </w:rPr>
        <w:t xml:space="preserve"> </w:t>
      </w:r>
    </w:p>
    <w:p w14:paraId="7A5502C2" w14:textId="77777777" w:rsidR="00E736DE" w:rsidRPr="00A1779B" w:rsidRDefault="00E736DE" w:rsidP="00A1779B">
      <w:pPr>
        <w:spacing w:line="360" w:lineRule="auto"/>
        <w:jc w:val="both"/>
        <w:rPr>
          <w:rFonts w:ascii="Arial" w:hAnsi="Arial" w:cs="Arial"/>
          <w:b/>
          <w:bCs/>
          <w:color w:val="000000"/>
          <w:sz w:val="22"/>
          <w:szCs w:val="22"/>
        </w:rPr>
      </w:pPr>
    </w:p>
    <w:p w14:paraId="759467AF" w14:textId="468314AA"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 xml:space="preserve">Practical </w:t>
      </w:r>
      <w:r w:rsidR="007714F4" w:rsidRPr="00A1779B">
        <w:rPr>
          <w:rFonts w:ascii="Arial" w:hAnsi="Arial" w:cs="Arial"/>
          <w:color w:val="000000"/>
          <w:sz w:val="22"/>
          <w:szCs w:val="22"/>
        </w:rPr>
        <w:t>ability</w:t>
      </w:r>
      <w:r w:rsidRPr="00A1779B">
        <w:rPr>
          <w:rFonts w:ascii="Arial" w:hAnsi="Arial" w:cs="Arial"/>
          <w:color w:val="000000"/>
          <w:sz w:val="22"/>
          <w:szCs w:val="22"/>
        </w:rPr>
        <w:t xml:space="preserve">, professional </w:t>
      </w:r>
      <w:r w:rsidR="007714F4" w:rsidRPr="00A1779B">
        <w:rPr>
          <w:rFonts w:ascii="Arial" w:hAnsi="Arial" w:cs="Arial"/>
          <w:color w:val="000000"/>
          <w:sz w:val="22"/>
          <w:szCs w:val="22"/>
        </w:rPr>
        <w:t>ethics</w:t>
      </w:r>
      <w:r w:rsidRPr="00A1779B">
        <w:rPr>
          <w:rFonts w:ascii="Arial" w:hAnsi="Arial" w:cs="Arial"/>
          <w:color w:val="000000"/>
          <w:sz w:val="22"/>
          <w:szCs w:val="22"/>
        </w:rPr>
        <w:t>, and employability skills are all necessary for the Social Work Assistant position. Working in this role is expected to assist vulnerable adults through tasks like assessment, care package review, strengths-based support planning, collaborative work with health professionals, and recording information on electronic systems, according to the NHS Jobs vacancy used in this report (NHS Jobs, 2025). It demonstrates that the position is not just administrative but also involves judgement, communication, and person-centred support.</w:t>
      </w:r>
    </w:p>
    <w:p w14:paraId="595AA094" w14:textId="64C52CF1" w:rsidR="00E736DE"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 xml:space="preserve">The person specification emphasises the importance of understanding the needs of vulnerable adults, planning for evaluation and support, and being aware of available services (NHS Jobs, 2025). Besides, it requires the ability to work with </w:t>
      </w:r>
      <w:r w:rsidR="00A1779B" w:rsidRPr="00A1779B">
        <w:rPr>
          <w:rFonts w:ascii="Arial" w:hAnsi="Arial" w:cs="Arial"/>
          <w:color w:val="000000"/>
          <w:sz w:val="22"/>
          <w:szCs w:val="22"/>
        </w:rPr>
        <w:t>difficult</w:t>
      </w:r>
      <w:r w:rsidRPr="00A1779B">
        <w:rPr>
          <w:rFonts w:ascii="Arial" w:hAnsi="Arial" w:cs="Arial"/>
          <w:color w:val="000000"/>
          <w:sz w:val="22"/>
          <w:szCs w:val="22"/>
        </w:rPr>
        <w:t xml:space="preserve"> individuals and carers, exercise initiative within professional boundaries, and function well in complex care environments (NHS Jobs, 2025). Working with vulnerable adults, utilising Microsoft Office, and collaborating with experts, including social workers, nurses, and occupational therapists, are all necessary experiences (NHS Jobs, 2025). These specifications imply that employers look for teamwork, emotional maturity, digital confidence, and a sincere desire to help others.</w:t>
      </w:r>
    </w:p>
    <w:p w14:paraId="4D07A402" w14:textId="77777777" w:rsidR="003422AF" w:rsidRPr="00A1779B" w:rsidRDefault="003422AF" w:rsidP="00A1779B">
      <w:pPr>
        <w:spacing w:line="360" w:lineRule="auto"/>
        <w:jc w:val="both"/>
        <w:rPr>
          <w:rFonts w:ascii="Arial" w:hAnsi="Arial" w:cs="Arial"/>
          <w:color w:val="000000"/>
          <w:sz w:val="22"/>
          <w:szCs w:val="22"/>
        </w:rPr>
      </w:pPr>
    </w:p>
    <w:p w14:paraId="04CF3F49" w14:textId="2B3A6FB7" w:rsidR="00E736DE" w:rsidRPr="00A1779B" w:rsidRDefault="00E736DE" w:rsidP="00A1779B">
      <w:pPr>
        <w:spacing w:line="360" w:lineRule="auto"/>
        <w:jc w:val="both"/>
        <w:rPr>
          <w:rFonts w:ascii="Arial" w:hAnsi="Arial" w:cs="Arial"/>
          <w:b/>
          <w:bCs/>
          <w:color w:val="000000"/>
          <w:sz w:val="22"/>
          <w:szCs w:val="22"/>
        </w:rPr>
      </w:pPr>
      <w:r w:rsidRPr="00A1779B">
        <w:rPr>
          <w:rFonts w:ascii="Arial" w:hAnsi="Arial" w:cs="Arial"/>
          <w:color w:val="000000"/>
          <w:sz w:val="22"/>
          <w:szCs w:val="22"/>
        </w:rPr>
        <w:t xml:space="preserve">For this position, communication is one of the most crucial employability skills. Social Work Assistants need to be able to interact effectively with professionals from various backgrounds, carers, and service consumers. It entails paying attention, providing information clearly, </w:t>
      </w:r>
      <w:r w:rsidRPr="00A1779B">
        <w:rPr>
          <w:rFonts w:ascii="Arial" w:hAnsi="Arial" w:cs="Arial"/>
          <w:color w:val="000000"/>
          <w:sz w:val="22"/>
          <w:szCs w:val="22"/>
        </w:rPr>
        <w:lastRenderedPageBreak/>
        <w:t xml:space="preserve">identifying discomfort, and maintaining </w:t>
      </w:r>
      <w:r w:rsidRPr="00A1779B">
        <w:rPr>
          <w:rFonts w:ascii="Arial" w:hAnsi="Arial" w:cs="Arial"/>
          <w:color w:val="000000"/>
          <w:sz w:val="22"/>
          <w:szCs w:val="22"/>
        </w:rPr>
        <w:t>precise patients’</w:t>
      </w:r>
      <w:r w:rsidRPr="00A1779B">
        <w:rPr>
          <w:rFonts w:ascii="Arial" w:hAnsi="Arial" w:cs="Arial"/>
          <w:color w:val="000000"/>
          <w:sz w:val="22"/>
          <w:szCs w:val="22"/>
        </w:rPr>
        <w:t xml:space="preserve"> records. Strong listening skills, effective oral and written communication, professionalism, and emotional awareness are all necessary for social work practice, according to BASW (2021). For instance, a social work assistant might have to soothe a nervous family member, explain a Care Act evaluation to an older adult, and</w:t>
      </w:r>
      <w:r w:rsidRPr="00A1779B">
        <w:rPr>
          <w:rFonts w:ascii="Arial" w:hAnsi="Arial" w:cs="Arial"/>
          <w:b/>
          <w:bCs/>
          <w:color w:val="000000"/>
          <w:sz w:val="22"/>
          <w:szCs w:val="22"/>
        </w:rPr>
        <w:t xml:space="preserve"> </w:t>
      </w:r>
      <w:r w:rsidRPr="00A1779B">
        <w:rPr>
          <w:rFonts w:ascii="Arial" w:hAnsi="Arial" w:cs="Arial"/>
          <w:color w:val="000000"/>
          <w:sz w:val="22"/>
          <w:szCs w:val="22"/>
        </w:rPr>
        <w:t>carefully document the conversation for the supervising practitioner (NHS Jobs, 2025).</w:t>
      </w:r>
    </w:p>
    <w:p w14:paraId="2C9F6839" w14:textId="77777777" w:rsidR="00E736DE" w:rsidRPr="00A1779B" w:rsidRDefault="00E736DE" w:rsidP="00A1779B">
      <w:pPr>
        <w:spacing w:line="360" w:lineRule="auto"/>
        <w:jc w:val="both"/>
        <w:rPr>
          <w:rFonts w:ascii="Arial" w:hAnsi="Arial" w:cs="Arial"/>
          <w:b/>
          <w:bCs/>
          <w:color w:val="000000"/>
          <w:sz w:val="22"/>
          <w:szCs w:val="22"/>
        </w:rPr>
      </w:pPr>
    </w:p>
    <w:p w14:paraId="1DBB8E1E" w14:textId="47C23732"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 xml:space="preserve">Teamwork is a second important </w:t>
      </w:r>
      <w:r w:rsidR="00726CD7" w:rsidRPr="00A1779B">
        <w:rPr>
          <w:rFonts w:ascii="Arial" w:hAnsi="Arial" w:cs="Arial"/>
          <w:color w:val="000000"/>
          <w:sz w:val="22"/>
          <w:szCs w:val="22"/>
        </w:rPr>
        <w:t>skill</w:t>
      </w:r>
      <w:r w:rsidRPr="00A1779B">
        <w:rPr>
          <w:rFonts w:ascii="Arial" w:hAnsi="Arial" w:cs="Arial"/>
          <w:color w:val="000000"/>
          <w:sz w:val="22"/>
          <w:szCs w:val="22"/>
        </w:rPr>
        <w:t>. In keeping with the broader significance of integrated working throughout adult social care, the position explicitly states that the occupant will collaborate with social workers and health colleagues (NHS Jobs, 2025). While NHS values promote collaboration with service users, Skills for Care emphasises cooperation and communication as crucial to person-centred, coordinated care (Skills for Care, n.d.; NHS England, n.d.). To ensure safe support arrangements for an older adult returning home, a social work assistant may collaborate with nurses, occupational therapists, and discharge teams.</w:t>
      </w:r>
    </w:p>
    <w:p w14:paraId="3F47CA06" w14:textId="77777777"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Because the position may involve stressful or high-pressure circumstances, resilience is particularly crucial. According to BASW, practising social work calls for perseverance, fortitude, and resolve (BASW, n.d.). A social work assistant may deal with family disputes, client emotional suffering, or safeguarding issues. The employee must know when to request supervision while maintaining composure, deference, and concentration. It demonstrates that resilience includes both emotional fortitude and the capacity to perform professionally under duress.</w:t>
      </w:r>
    </w:p>
    <w:p w14:paraId="401E19B4" w14:textId="480A0DD6" w:rsidR="00E736DE"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 xml:space="preserve">Digital literacy is another crucial competency.  Experience such </w:t>
      </w:r>
      <w:r w:rsidRPr="00A1779B">
        <w:rPr>
          <w:rFonts w:ascii="Arial" w:hAnsi="Arial" w:cs="Arial"/>
          <w:color w:val="000000"/>
          <w:sz w:val="22"/>
          <w:szCs w:val="22"/>
        </w:rPr>
        <w:t>as Microsoft</w:t>
      </w:r>
      <w:r w:rsidRPr="00A1779B">
        <w:rPr>
          <w:rFonts w:ascii="Arial" w:hAnsi="Arial" w:cs="Arial"/>
          <w:color w:val="000000"/>
          <w:sz w:val="22"/>
          <w:szCs w:val="22"/>
        </w:rPr>
        <w:t xml:space="preserve"> Office and entering data into computer systems is required, according to the NHS advertisement (NHS Jobs, 2025). Digital skills are now an essential component of contemporary care practice, as demonstrated by BASW's digital capabilities resource and the Skills for Care guidance (BASW, 2021; Skills for Care, n.d.). Writing case notes, updating records, securely communicating via email, and safeguarding private data are all tasks a social work assistant can perform. Digital competence is increasingly a fundamental employability criterion, as inadequate digital skills can affect accuracy and service coordination.</w:t>
      </w:r>
    </w:p>
    <w:p w14:paraId="5C8A4AE4" w14:textId="77777777" w:rsidR="003422AF" w:rsidRPr="00A1779B" w:rsidRDefault="003422AF" w:rsidP="00A1779B">
      <w:pPr>
        <w:spacing w:line="360" w:lineRule="auto"/>
        <w:jc w:val="both"/>
        <w:rPr>
          <w:rFonts w:ascii="Arial" w:hAnsi="Arial" w:cs="Arial"/>
          <w:color w:val="000000"/>
          <w:sz w:val="22"/>
          <w:szCs w:val="22"/>
        </w:rPr>
      </w:pPr>
    </w:p>
    <w:p w14:paraId="01B94A67" w14:textId="5DCCD9D8"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 xml:space="preserve">The Care Workforce Pathway and Social Work England's professional standards should be used to comprehend the role's actions. According to Social Work England (n.d.) and the Department of Health and Social Care (2025), these emphasise safe practices, professionalism, respect, communication, confidentiality, and dedication to development. It can be illustrated using the STAR model in a scenario in which an older adult is nervous about being released from the hospital. Information is gathered, the person is reassured, concerns </w:t>
      </w:r>
      <w:r w:rsidRPr="00A1779B">
        <w:rPr>
          <w:rFonts w:ascii="Arial" w:hAnsi="Arial" w:cs="Arial"/>
          <w:color w:val="000000"/>
          <w:sz w:val="22"/>
          <w:szCs w:val="22"/>
        </w:rPr>
        <w:lastRenderedPageBreak/>
        <w:t>are noted, and the social work assistant updates the supervising social worker. Consequently, the team can design safer treatment, and the service user feels supported (NHS Jobs, 2025). All things considered, the position calls for strong professional principles, communication, teamwork, resilience, and digital literacy.</w:t>
      </w:r>
    </w:p>
    <w:p w14:paraId="30EDE86F" w14:textId="77777777" w:rsidR="00E736DE" w:rsidRPr="00A1779B" w:rsidRDefault="00E736DE" w:rsidP="00A1779B">
      <w:pPr>
        <w:spacing w:line="360" w:lineRule="auto"/>
        <w:jc w:val="both"/>
        <w:rPr>
          <w:rFonts w:ascii="Arial" w:hAnsi="Arial" w:cs="Arial"/>
          <w:color w:val="000000"/>
          <w:sz w:val="22"/>
          <w:szCs w:val="22"/>
        </w:rPr>
      </w:pPr>
    </w:p>
    <w:p w14:paraId="7975B142" w14:textId="77777777" w:rsidR="00E736DE" w:rsidRPr="00A1779B" w:rsidRDefault="00E736DE" w:rsidP="00A1779B">
      <w:pPr>
        <w:spacing w:line="360" w:lineRule="auto"/>
        <w:jc w:val="both"/>
        <w:rPr>
          <w:rFonts w:ascii="Arial" w:hAnsi="Arial" w:cs="Arial"/>
          <w:color w:val="000000"/>
          <w:sz w:val="22"/>
          <w:szCs w:val="22"/>
        </w:rPr>
      </w:pPr>
    </w:p>
    <w:p w14:paraId="276B8DCE" w14:textId="642BE89B" w:rsidR="00E736DE" w:rsidRPr="00117146" w:rsidRDefault="00E736DE" w:rsidP="00117146">
      <w:pPr>
        <w:rPr>
          <w:rFonts w:ascii="Arial" w:hAnsi="Arial" w:cs="Arial"/>
          <w:b/>
          <w:bCs/>
          <w:sz w:val="22"/>
          <w:szCs w:val="22"/>
        </w:rPr>
      </w:pPr>
      <w:bookmarkStart w:id="6" w:name="_Toc228484189"/>
      <w:r w:rsidRPr="00117146">
        <w:rPr>
          <w:rFonts w:ascii="Arial" w:hAnsi="Arial" w:cs="Arial"/>
          <w:b/>
          <w:bCs/>
          <w:sz w:val="22"/>
          <w:szCs w:val="22"/>
        </w:rPr>
        <w:t>Evaluate Your Own Skills</w:t>
      </w:r>
      <w:bookmarkEnd w:id="6"/>
    </w:p>
    <w:p w14:paraId="1DD8867A" w14:textId="77777777" w:rsidR="00E736DE" w:rsidRPr="00A1779B" w:rsidRDefault="00E736DE" w:rsidP="00A1779B">
      <w:pPr>
        <w:spacing w:line="360" w:lineRule="auto"/>
        <w:jc w:val="both"/>
        <w:rPr>
          <w:rFonts w:ascii="Arial" w:hAnsi="Arial" w:cs="Arial"/>
          <w:color w:val="000000"/>
          <w:sz w:val="22"/>
          <w:szCs w:val="22"/>
        </w:rPr>
      </w:pPr>
    </w:p>
    <w:p w14:paraId="16ABC1C7" w14:textId="77777777"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In terms of the Social Work Assistant position, a realistic self-evaluation reveals both strengths and areas for improvement. A strong motivation to work in a helping profession and to provide vulnerable individuals with respect, dignity, and empathy is a main strength. This is significant because values-based practice is becoming increasingly important in adult health and social care, which means that employers are looking for both practical skills (Department of Health and Social Care, 2025; Skills for Care, n.d.). Studying health and social care or a related field academically can also demonstrate dedication, accountability, and the ability to engage with expert information. Furthermore, because they represent the person-centred and strengths-based approach required in this area, personal attributes such as patience, active listening, and a willingness to learn are highly relevant (Department of Health and Social Care, 2025).</w:t>
      </w:r>
    </w:p>
    <w:p w14:paraId="56359F65" w14:textId="77777777" w:rsidR="00E736DE"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Communication in supportive environments is perhaps another strength. Being respected and listened to is highly valued by service users and carers. Transferable abilities include listening to others, communicating information clearly, and handling problems compassionately, all of which can be demonstrated in prior studies, volunteer, family care, or customer-facing positions. These experiences can demonstrate time management, professionalism, cultural sensitivity, and problem-solving under pressure, even in the absence of direct paid social care experience (Social Work England, n.d.). These are crucial because social work assistants need to communicate effectively with professionals, carers, and service users while upholding proper boundaries and trust.</w:t>
      </w:r>
    </w:p>
    <w:p w14:paraId="6F61C4C3" w14:textId="77777777" w:rsidR="003422AF" w:rsidRPr="00A1779B" w:rsidRDefault="003422AF" w:rsidP="00A1779B">
      <w:pPr>
        <w:spacing w:line="360" w:lineRule="auto"/>
        <w:jc w:val="both"/>
        <w:rPr>
          <w:rFonts w:ascii="Arial" w:hAnsi="Arial" w:cs="Arial"/>
          <w:color w:val="000000"/>
          <w:sz w:val="22"/>
          <w:szCs w:val="22"/>
        </w:rPr>
      </w:pPr>
    </w:p>
    <w:p w14:paraId="6230D70E" w14:textId="77777777" w:rsidR="00E736DE"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 xml:space="preserve">But there are also critical development needs. Direct experience working with vulnerable persons in statutory or NHS-affiliated settings is one possible gap. Experience working with vulnerable adults and alongside specialists, including social workers, nurses, and occupational therapists, is required for the NHS position described in this report (NHS Jobs, 2025). There could be less trust in professional boundaries, multi-agency collaboration, protection, and assessment procedures if one is not directly exposed to these settings. Knowledge of adult social care practices, such as the Care Act of 2014, support planning, and local authority processes, may represent another knowledge gap. This indicates that additional </w:t>
      </w:r>
      <w:r w:rsidRPr="00A1779B">
        <w:rPr>
          <w:rFonts w:ascii="Arial" w:hAnsi="Arial" w:cs="Arial"/>
          <w:color w:val="000000"/>
          <w:sz w:val="22"/>
          <w:szCs w:val="22"/>
        </w:rPr>
        <w:lastRenderedPageBreak/>
        <w:t>preparation is required to develop professional confidence, but it does not imply that the function is unfeasible (NHS Jobs, 2025).</w:t>
      </w:r>
    </w:p>
    <w:p w14:paraId="18A8CF52" w14:textId="77777777" w:rsidR="003422AF" w:rsidRPr="00A1779B" w:rsidRDefault="003422AF" w:rsidP="00A1779B">
      <w:pPr>
        <w:spacing w:line="360" w:lineRule="auto"/>
        <w:jc w:val="both"/>
        <w:rPr>
          <w:rFonts w:ascii="Arial" w:hAnsi="Arial" w:cs="Arial"/>
          <w:color w:val="000000"/>
          <w:sz w:val="22"/>
          <w:szCs w:val="22"/>
        </w:rPr>
      </w:pPr>
    </w:p>
    <w:p w14:paraId="06B72D79" w14:textId="77777777" w:rsidR="00E736DE"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Another area that needs work is digital confidence. Digital literacy in social care encompasses more than just using Word and email, even if one already has some basic IT skills. It entails using professional systems correctly, handling private information securely, and accurately inputting case notes. According to BASW, digital competency is a crucial component of contemporary social work practice, making it particularly pertinent to assistant positions that facilitate evaluation and care coordination (BASW, 2021).</w:t>
      </w:r>
    </w:p>
    <w:p w14:paraId="19A8B4C3" w14:textId="77777777" w:rsidR="003422AF" w:rsidRPr="00A1779B" w:rsidRDefault="003422AF" w:rsidP="00A1779B">
      <w:pPr>
        <w:spacing w:line="360" w:lineRule="auto"/>
        <w:jc w:val="both"/>
        <w:rPr>
          <w:rFonts w:ascii="Arial" w:hAnsi="Arial" w:cs="Arial"/>
          <w:color w:val="000000"/>
          <w:sz w:val="22"/>
          <w:szCs w:val="22"/>
        </w:rPr>
      </w:pPr>
    </w:p>
    <w:p w14:paraId="388B6C5D" w14:textId="3C583853"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When evaluating present readiness, Gibbs' Reflective Cycle is helpful. In addition to highlighting the need for additional formal professional experience, reflecting on previous experiences of helping someone in need may demonstrate that empathy and a willingness to assist are already well developed. It is important because social work support positions require compassion alongside responsibility, legal requirements, and safe practices (Social Work England, n.d.). Although the existing profile indicates a solid basis, it is not yet a perfect fit for the position. Motivation, interpersonal values, and transferable communication skills are the key advantages. The main gaps are direct experience in social care, familiarity with the law, and trust in digital systems. To create a practical action plan for future career development, these shortcomings should be viewed as development goals rather than obstacles (Department of Health and Social Care, 2025; Social Work England, n.d.).</w:t>
      </w:r>
    </w:p>
    <w:p w14:paraId="32F10B5D" w14:textId="77777777" w:rsidR="003422AF" w:rsidRDefault="003422AF" w:rsidP="00117146">
      <w:pPr>
        <w:rPr>
          <w:rFonts w:ascii="Arial" w:hAnsi="Arial" w:cs="Arial"/>
          <w:b/>
          <w:bCs/>
          <w:sz w:val="22"/>
          <w:szCs w:val="22"/>
        </w:rPr>
      </w:pPr>
      <w:bookmarkStart w:id="7" w:name="_Toc228484190"/>
    </w:p>
    <w:p w14:paraId="4087D579" w14:textId="782B5F39" w:rsidR="00E736DE" w:rsidRDefault="00E736DE" w:rsidP="00117146">
      <w:pPr>
        <w:rPr>
          <w:rFonts w:ascii="Arial" w:hAnsi="Arial" w:cs="Arial"/>
          <w:b/>
          <w:bCs/>
          <w:sz w:val="22"/>
          <w:szCs w:val="22"/>
        </w:rPr>
      </w:pPr>
      <w:r w:rsidRPr="00117146">
        <w:rPr>
          <w:rFonts w:ascii="Arial" w:hAnsi="Arial" w:cs="Arial"/>
          <w:b/>
          <w:bCs/>
          <w:sz w:val="22"/>
          <w:szCs w:val="22"/>
        </w:rPr>
        <w:t>Building a Personal Brand and Professional Identity</w:t>
      </w:r>
      <w:bookmarkEnd w:id="7"/>
    </w:p>
    <w:p w14:paraId="14DD4D68" w14:textId="77777777" w:rsidR="003422AF" w:rsidRPr="00117146" w:rsidRDefault="003422AF" w:rsidP="00117146">
      <w:pPr>
        <w:rPr>
          <w:rFonts w:ascii="Arial" w:hAnsi="Arial" w:cs="Arial"/>
          <w:b/>
          <w:bCs/>
          <w:sz w:val="22"/>
          <w:szCs w:val="22"/>
        </w:rPr>
      </w:pPr>
    </w:p>
    <w:p w14:paraId="632E6D73" w14:textId="77777777"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A prospective social work assistant requires a personal brand built on empathy, professionalism, dependability, and a dedication to inclusivity to stand out in the health and social care employment market. In this industry, a great personal brand is about projecting a consistent and unambiguous professional identity that employers can rely on, not about overt self-promotion. The most crucial message for this position is that the candidate is driven by social justice, person-centred care, and the desire to assist adults in living securely and independently in their communities. Both strengths-based practice and the professional standards about social work support positions align well with these ideals.</w:t>
      </w:r>
    </w:p>
    <w:p w14:paraId="0729C1BA" w14:textId="77777777"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 xml:space="preserve">A CV and LinkedIn page that highlight transferable experience, pertinent beliefs, and a future career path are useful tools for building this identity. A headline like "Aspiring Social Work Assistant | Interested in Adult Social Care, Safeguarding, and Strengths-Based Practice" should be included in the LinkedIn profile. Empathy, communication, a desire to learn, and a dedication to dealing with vulnerable persons should all be mentioned in the summary section. </w:t>
      </w:r>
      <w:r w:rsidRPr="00A1779B">
        <w:rPr>
          <w:rFonts w:ascii="Arial" w:hAnsi="Arial" w:cs="Arial"/>
          <w:color w:val="000000"/>
          <w:sz w:val="22"/>
          <w:szCs w:val="22"/>
        </w:rPr>
        <w:lastRenderedPageBreak/>
        <w:t>It should also include any pertinent coursework, volunteer activities, caregiving duties, computer skills, teamwork experience, and understanding of safeguarding issues.</w:t>
      </w:r>
    </w:p>
    <w:p w14:paraId="49D5D2CA" w14:textId="6E0FE4C9" w:rsidR="00A1779B" w:rsidRPr="00A1779B" w:rsidRDefault="00546B91" w:rsidP="00A1779B">
      <w:pPr>
        <w:spacing w:line="360" w:lineRule="auto"/>
        <w:jc w:val="both"/>
        <w:rPr>
          <w:rFonts w:ascii="Arial" w:hAnsi="Arial" w:cs="Arial"/>
          <w:color w:val="000000"/>
          <w:sz w:val="22"/>
          <w:szCs w:val="22"/>
        </w:rPr>
      </w:pPr>
      <w:r w:rsidRPr="00546B91">
        <w:rPr>
          <w:rFonts w:ascii="Arial" w:hAnsi="Arial" w:cs="Arial"/>
          <w:color w:val="000000"/>
          <w:sz w:val="22"/>
          <w:szCs w:val="22"/>
        </w:rPr>
        <w:drawing>
          <wp:inline distT="0" distB="0" distL="0" distR="0" wp14:anchorId="72C8D566" wp14:editId="6472759D">
            <wp:extent cx="5731510" cy="3625850"/>
            <wp:effectExtent l="0" t="0" r="0" b="6350"/>
            <wp:docPr id="1813066433" name="Picture 1" descr="A screenshot of a social media accou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066433" name="Picture 1" descr="A screenshot of a social media account&#10;&#10;AI-generated content may be incorrect."/>
                    <pic:cNvPicPr/>
                  </pic:nvPicPr>
                  <pic:blipFill>
                    <a:blip r:embed="rId10"/>
                    <a:stretch>
                      <a:fillRect/>
                    </a:stretch>
                  </pic:blipFill>
                  <pic:spPr>
                    <a:xfrm>
                      <a:off x="0" y="0"/>
                      <a:ext cx="5731510" cy="3625850"/>
                    </a:xfrm>
                    <a:prstGeom prst="rect">
                      <a:avLst/>
                    </a:prstGeom>
                  </pic:spPr>
                </pic:pic>
              </a:graphicData>
            </a:graphic>
          </wp:inline>
        </w:drawing>
      </w:r>
    </w:p>
    <w:p w14:paraId="64CD46F3" w14:textId="0F1E9D73" w:rsidR="00E736DE" w:rsidRPr="003422AF" w:rsidRDefault="00E736DE" w:rsidP="003422AF">
      <w:pPr>
        <w:spacing w:line="360" w:lineRule="auto"/>
        <w:jc w:val="both"/>
        <w:rPr>
          <w:rFonts w:ascii="Arial" w:hAnsi="Arial" w:cs="Arial"/>
          <w:color w:val="000000"/>
          <w:sz w:val="22"/>
          <w:szCs w:val="22"/>
        </w:rPr>
      </w:pPr>
      <w:r w:rsidRPr="00A1779B">
        <w:rPr>
          <w:rFonts w:ascii="Arial" w:hAnsi="Arial" w:cs="Arial"/>
          <w:color w:val="000000"/>
          <w:sz w:val="22"/>
          <w:szCs w:val="22"/>
        </w:rPr>
        <w:t xml:space="preserve">Because </w:t>
      </w:r>
      <w:proofErr w:type="spellStart"/>
      <w:r w:rsidRPr="00A1779B">
        <w:rPr>
          <w:rFonts w:ascii="Arial" w:hAnsi="Arial" w:cs="Arial"/>
          <w:color w:val="000000"/>
          <w:sz w:val="22"/>
          <w:szCs w:val="22"/>
        </w:rPr>
        <w:t>CareerEDGE</w:t>
      </w:r>
      <w:proofErr w:type="spellEnd"/>
      <w:r w:rsidRPr="00A1779B">
        <w:rPr>
          <w:rFonts w:ascii="Arial" w:hAnsi="Arial" w:cs="Arial"/>
          <w:color w:val="000000"/>
          <w:sz w:val="22"/>
          <w:szCs w:val="22"/>
        </w:rPr>
        <w:t xml:space="preserve"> theory relates employability to degree topic knowledge, experience, career development learning, general abilities, and emotional intelligence, it is helpful in this situation. In this instance, emotional intelligence and communication are particularly crucial, as the Social Work Assistant position requires tact, composure, and respect in challenging circumstances. Networks are important in social care recruiting, which makes social capital theory pertinent. Attending webinars, participating in local government or NHS recruitment pages, joining LinkedIn groups, and following organisations like BASW, Skills for Care, and Social Work England can all help to increase professional exposure and awareness of opportunities. Therefore, in this profession, building a personal brand involves more than just words; it also involves demonstrating involvement, growth, and ambition driven by ideals.</w:t>
      </w:r>
    </w:p>
    <w:p w14:paraId="3CAEA39B" w14:textId="12C757F7" w:rsidR="00E736DE" w:rsidRDefault="00E736DE" w:rsidP="00117146">
      <w:pPr>
        <w:rPr>
          <w:rFonts w:ascii="Arial" w:hAnsi="Arial" w:cs="Arial"/>
          <w:b/>
          <w:bCs/>
          <w:sz w:val="22"/>
          <w:szCs w:val="22"/>
        </w:rPr>
      </w:pPr>
      <w:bookmarkStart w:id="8" w:name="_Toc228484191"/>
      <w:r w:rsidRPr="00117146">
        <w:rPr>
          <w:rFonts w:ascii="Arial" w:hAnsi="Arial" w:cs="Arial"/>
          <w:b/>
          <w:bCs/>
          <w:sz w:val="22"/>
          <w:szCs w:val="22"/>
        </w:rPr>
        <w:t>Action Plan and Timeline</w:t>
      </w:r>
      <w:bookmarkEnd w:id="8"/>
    </w:p>
    <w:p w14:paraId="521824BE" w14:textId="77777777" w:rsidR="003422AF" w:rsidRPr="00117146" w:rsidRDefault="003422AF" w:rsidP="00117146">
      <w:pPr>
        <w:rPr>
          <w:rFonts w:ascii="Arial" w:hAnsi="Arial" w:cs="Arial"/>
          <w:b/>
          <w:bCs/>
          <w:sz w:val="22"/>
          <w:szCs w:val="22"/>
        </w:rPr>
      </w:pPr>
    </w:p>
    <w:p w14:paraId="340E05A3" w14:textId="77777777" w:rsidR="00E736DE"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 xml:space="preserve">An organised action plan is required to transition from present preparedness to employability as a social work assistant. By completing introductory training in safeguarding, Care Act awareness, confidentiality, and record-keeping within the following three months, the first short-term goal is to improve practical knowledge of adult social care. It would close the gap between broad motivation and the more detailed requirements outlined in the NHS job advertisement. Within six months, obtaining firsthand experience with vulnerable adult services through paid support work, volunteering, or shadowing is a second short-term </w:t>
      </w:r>
      <w:r w:rsidRPr="00A1779B">
        <w:rPr>
          <w:rFonts w:ascii="Arial" w:hAnsi="Arial" w:cs="Arial"/>
          <w:color w:val="000000"/>
          <w:sz w:val="22"/>
          <w:szCs w:val="22"/>
        </w:rPr>
        <w:lastRenderedPageBreak/>
        <w:t>objective. Employers often request relevant experience rather than just interest, which makes this crucial.</w:t>
      </w:r>
    </w:p>
    <w:p w14:paraId="423D976B" w14:textId="77777777" w:rsidR="003422AF" w:rsidRPr="00A1779B" w:rsidRDefault="003422AF" w:rsidP="00A1779B">
      <w:pPr>
        <w:spacing w:line="360" w:lineRule="auto"/>
        <w:jc w:val="both"/>
        <w:rPr>
          <w:rFonts w:ascii="Arial" w:hAnsi="Arial" w:cs="Arial"/>
          <w:color w:val="000000"/>
          <w:sz w:val="22"/>
          <w:szCs w:val="22"/>
        </w:rPr>
      </w:pPr>
    </w:p>
    <w:p w14:paraId="18FB0F97" w14:textId="685232D2" w:rsidR="00E736DE"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 xml:space="preserve">Digital and professional confidence should be the </w:t>
      </w:r>
      <w:r w:rsidRPr="00A1779B">
        <w:rPr>
          <w:rFonts w:ascii="Arial" w:hAnsi="Arial" w:cs="Arial"/>
          <w:color w:val="000000"/>
          <w:sz w:val="22"/>
          <w:szCs w:val="22"/>
        </w:rPr>
        <w:t>focus</w:t>
      </w:r>
      <w:r w:rsidRPr="00A1779B">
        <w:rPr>
          <w:rFonts w:ascii="Arial" w:hAnsi="Arial" w:cs="Arial"/>
          <w:color w:val="000000"/>
          <w:sz w:val="22"/>
          <w:szCs w:val="22"/>
        </w:rPr>
        <w:t xml:space="preserve"> of the next phase. In addition to learning more about assessment and support planning, the candidate should become more proficient in Microsoft Office, professional email writing, and secure digital record-keeping within six to nine months. This is a very useful topic for development, as both BASW and Skills for Care highlight the growing significance of digital competence. In addition, the candidate should update their resume, create a LinkedIn profile specifically for social care positions, and start applying for entry-level positions such as care assistant, support worker, reablement worker, or social care assistant, if applicable. Experience from these positions may be directly applicable to the social work assistant position.</w:t>
      </w:r>
    </w:p>
    <w:p w14:paraId="61E65958" w14:textId="77777777" w:rsidR="003422AF" w:rsidRPr="00A1779B" w:rsidRDefault="003422AF" w:rsidP="00A1779B">
      <w:pPr>
        <w:spacing w:line="360" w:lineRule="auto"/>
        <w:jc w:val="both"/>
        <w:rPr>
          <w:rFonts w:ascii="Arial" w:hAnsi="Arial" w:cs="Arial"/>
          <w:color w:val="000000"/>
          <w:sz w:val="22"/>
          <w:szCs w:val="22"/>
        </w:rPr>
      </w:pPr>
    </w:p>
    <w:p w14:paraId="1974CED2" w14:textId="7291D15E"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Within 12 to 18 months, the primary long-term objective is to land a position as a social work assistant, which will serve as the basis for advancement into certified social work. Because it specifically highlights opportunities to advance into apprenticeship programs, the Oxford Health advertisement is especially appealing. The candidate should seek regular supervision, keep a reflective journal, ask tutors or supervisors for input, and continue learning about laws, safeguards, and strengths-based techniques to assist with this. Here, Bandura's self-efficacy theory is pertinent: mastery experiences, social support, and observable advancement all contribute to the development of confidence. As a result, the strategy should be both ambitious and practical, with each accomplishment fostering confidence in the subsequent one.</w:t>
      </w:r>
    </w:p>
    <w:p w14:paraId="5F82E413" w14:textId="77777777" w:rsidR="00E736DE" w:rsidRPr="00A1779B" w:rsidRDefault="00E736DE" w:rsidP="00A1779B">
      <w:pPr>
        <w:spacing w:line="360" w:lineRule="auto"/>
        <w:jc w:val="both"/>
        <w:rPr>
          <w:rFonts w:ascii="Arial" w:hAnsi="Arial" w:cs="Arial"/>
          <w:color w:val="000000"/>
          <w:sz w:val="22"/>
          <w:szCs w:val="22"/>
        </w:rPr>
      </w:pPr>
    </w:p>
    <w:p w14:paraId="008FF6A1" w14:textId="77777777" w:rsidR="00E736DE" w:rsidRPr="00A1779B" w:rsidRDefault="00E736DE" w:rsidP="00A1779B">
      <w:pPr>
        <w:spacing w:line="360" w:lineRule="auto"/>
        <w:jc w:val="both"/>
        <w:rPr>
          <w:rFonts w:ascii="Arial" w:hAnsi="Arial" w:cs="Arial"/>
          <w:color w:val="000000"/>
          <w:sz w:val="22"/>
          <w:szCs w:val="22"/>
        </w:rPr>
      </w:pPr>
    </w:p>
    <w:tbl>
      <w:tblPr>
        <w:tblW w:w="9884" w:type="dxa"/>
        <w:tblCellSpacing w:w="15" w:type="dxa"/>
        <w:tblCellMar>
          <w:top w:w="15" w:type="dxa"/>
          <w:left w:w="15" w:type="dxa"/>
          <w:bottom w:w="15" w:type="dxa"/>
          <w:right w:w="15" w:type="dxa"/>
        </w:tblCellMar>
        <w:tblLook w:val="04A0" w:firstRow="1" w:lastRow="0" w:firstColumn="1" w:lastColumn="0" w:noHBand="0" w:noVBand="1"/>
      </w:tblPr>
      <w:tblGrid>
        <w:gridCol w:w="1208"/>
        <w:gridCol w:w="1339"/>
        <w:gridCol w:w="3001"/>
        <w:gridCol w:w="1961"/>
        <w:gridCol w:w="2375"/>
      </w:tblGrid>
      <w:tr w:rsidR="00E736DE" w:rsidRPr="00A1779B" w14:paraId="5509C43D" w14:textId="77777777" w:rsidTr="00A1779B">
        <w:trPr>
          <w:trHeight w:val="764"/>
          <w:tblHeader/>
          <w:tblCellSpacing w:w="15" w:type="dxa"/>
        </w:trPr>
        <w:tc>
          <w:tcPr>
            <w:tcW w:w="0" w:type="auto"/>
            <w:tcBorders>
              <w:top w:val="single" w:sz="4" w:space="0" w:color="auto"/>
              <w:left w:val="single" w:sz="4" w:space="0" w:color="auto"/>
              <w:right w:val="single" w:sz="4" w:space="0" w:color="auto"/>
            </w:tcBorders>
            <w:vAlign w:val="center"/>
            <w:hideMark/>
          </w:tcPr>
          <w:p w14:paraId="68202565" w14:textId="77777777" w:rsidR="00E736DE" w:rsidRPr="00E736DE" w:rsidRDefault="00E736DE" w:rsidP="00A1779B">
            <w:pPr>
              <w:spacing w:line="360" w:lineRule="auto"/>
              <w:jc w:val="both"/>
              <w:rPr>
                <w:rFonts w:ascii="Arial" w:eastAsia="Times New Roman" w:hAnsi="Arial" w:cs="Arial"/>
                <w:b/>
                <w:bCs/>
                <w:color w:val="000000"/>
                <w:kern w:val="0"/>
                <w:sz w:val="22"/>
                <w:szCs w:val="22"/>
                <w:lang w:eastAsia="en-GB"/>
                <w14:ligatures w14:val="none"/>
              </w:rPr>
            </w:pPr>
            <w:r w:rsidRPr="00E736DE">
              <w:rPr>
                <w:rFonts w:ascii="Arial" w:eastAsia="Times New Roman" w:hAnsi="Arial" w:cs="Arial"/>
                <w:b/>
                <w:bCs/>
                <w:color w:val="000000"/>
                <w:kern w:val="0"/>
                <w:sz w:val="22"/>
                <w:szCs w:val="22"/>
                <w:lang w:eastAsia="en-GB"/>
                <w14:ligatures w14:val="none"/>
              </w:rPr>
              <w:t>Timeframe</w:t>
            </w:r>
          </w:p>
        </w:tc>
        <w:tc>
          <w:tcPr>
            <w:tcW w:w="0" w:type="auto"/>
            <w:tcBorders>
              <w:top w:val="single" w:sz="4" w:space="0" w:color="auto"/>
            </w:tcBorders>
            <w:vAlign w:val="center"/>
            <w:hideMark/>
          </w:tcPr>
          <w:p w14:paraId="3447721A" w14:textId="77777777" w:rsidR="00E736DE" w:rsidRPr="00E736DE" w:rsidRDefault="00E736DE" w:rsidP="00A1779B">
            <w:pPr>
              <w:spacing w:line="360" w:lineRule="auto"/>
              <w:jc w:val="both"/>
              <w:rPr>
                <w:rFonts w:ascii="Arial" w:eastAsia="Times New Roman" w:hAnsi="Arial" w:cs="Arial"/>
                <w:b/>
                <w:bCs/>
                <w:color w:val="000000"/>
                <w:kern w:val="0"/>
                <w:sz w:val="22"/>
                <w:szCs w:val="22"/>
                <w:lang w:eastAsia="en-GB"/>
                <w14:ligatures w14:val="none"/>
              </w:rPr>
            </w:pPr>
            <w:r w:rsidRPr="00E736DE">
              <w:rPr>
                <w:rFonts w:ascii="Arial" w:eastAsia="Times New Roman" w:hAnsi="Arial" w:cs="Arial"/>
                <w:b/>
                <w:bCs/>
                <w:color w:val="000000"/>
                <w:kern w:val="0"/>
                <w:sz w:val="22"/>
                <w:szCs w:val="22"/>
                <w:lang w:eastAsia="en-GB"/>
                <w14:ligatures w14:val="none"/>
              </w:rPr>
              <w:t>Goal</w:t>
            </w:r>
          </w:p>
        </w:tc>
        <w:tc>
          <w:tcPr>
            <w:tcW w:w="0" w:type="auto"/>
            <w:tcBorders>
              <w:top w:val="single" w:sz="4" w:space="0" w:color="auto"/>
              <w:left w:val="single" w:sz="4" w:space="0" w:color="auto"/>
            </w:tcBorders>
            <w:vAlign w:val="center"/>
            <w:hideMark/>
          </w:tcPr>
          <w:p w14:paraId="33F12431" w14:textId="77777777" w:rsidR="00E736DE" w:rsidRPr="00E736DE" w:rsidRDefault="00E736DE" w:rsidP="00A1779B">
            <w:pPr>
              <w:spacing w:line="360" w:lineRule="auto"/>
              <w:jc w:val="both"/>
              <w:rPr>
                <w:rFonts w:ascii="Arial" w:eastAsia="Times New Roman" w:hAnsi="Arial" w:cs="Arial"/>
                <w:b/>
                <w:bCs/>
                <w:color w:val="000000"/>
                <w:kern w:val="0"/>
                <w:sz w:val="22"/>
                <w:szCs w:val="22"/>
                <w:lang w:eastAsia="en-GB"/>
                <w14:ligatures w14:val="none"/>
              </w:rPr>
            </w:pPr>
            <w:r w:rsidRPr="00E736DE">
              <w:rPr>
                <w:rFonts w:ascii="Arial" w:eastAsia="Times New Roman" w:hAnsi="Arial" w:cs="Arial"/>
                <w:b/>
                <w:bCs/>
                <w:color w:val="000000"/>
                <w:kern w:val="0"/>
                <w:sz w:val="22"/>
                <w:szCs w:val="22"/>
                <w:lang w:eastAsia="en-GB"/>
                <w14:ligatures w14:val="none"/>
              </w:rPr>
              <w:t>Actions</w:t>
            </w:r>
          </w:p>
        </w:tc>
        <w:tc>
          <w:tcPr>
            <w:tcW w:w="0" w:type="auto"/>
            <w:tcBorders>
              <w:top w:val="single" w:sz="4" w:space="0" w:color="auto"/>
              <w:left w:val="single" w:sz="4" w:space="0" w:color="auto"/>
            </w:tcBorders>
            <w:vAlign w:val="center"/>
            <w:hideMark/>
          </w:tcPr>
          <w:p w14:paraId="45062FFC" w14:textId="77777777" w:rsidR="00E736DE" w:rsidRPr="00E736DE" w:rsidRDefault="00E736DE" w:rsidP="00A1779B">
            <w:pPr>
              <w:spacing w:line="360" w:lineRule="auto"/>
              <w:jc w:val="both"/>
              <w:rPr>
                <w:rFonts w:ascii="Arial" w:eastAsia="Times New Roman" w:hAnsi="Arial" w:cs="Arial"/>
                <w:b/>
                <w:bCs/>
                <w:color w:val="000000"/>
                <w:kern w:val="0"/>
                <w:sz w:val="22"/>
                <w:szCs w:val="22"/>
                <w:lang w:eastAsia="en-GB"/>
                <w14:ligatures w14:val="none"/>
              </w:rPr>
            </w:pPr>
            <w:r w:rsidRPr="00E736DE">
              <w:rPr>
                <w:rFonts w:ascii="Arial" w:eastAsia="Times New Roman" w:hAnsi="Arial" w:cs="Arial"/>
                <w:b/>
                <w:bCs/>
                <w:color w:val="000000"/>
                <w:kern w:val="0"/>
                <w:sz w:val="22"/>
                <w:szCs w:val="22"/>
                <w:lang w:eastAsia="en-GB"/>
                <w14:ligatures w14:val="none"/>
              </w:rPr>
              <w:t>Resources Needed</w:t>
            </w:r>
          </w:p>
        </w:tc>
        <w:tc>
          <w:tcPr>
            <w:tcW w:w="2330" w:type="dxa"/>
            <w:tcBorders>
              <w:top w:val="single" w:sz="4" w:space="0" w:color="auto"/>
              <w:left w:val="single" w:sz="4" w:space="0" w:color="auto"/>
              <w:right w:val="single" w:sz="4" w:space="0" w:color="auto"/>
            </w:tcBorders>
            <w:vAlign w:val="center"/>
            <w:hideMark/>
          </w:tcPr>
          <w:p w14:paraId="196BBBA1" w14:textId="77777777" w:rsidR="00E736DE" w:rsidRPr="00E736DE" w:rsidRDefault="00E736DE" w:rsidP="00A1779B">
            <w:pPr>
              <w:spacing w:line="360" w:lineRule="auto"/>
              <w:jc w:val="both"/>
              <w:rPr>
                <w:rFonts w:ascii="Arial" w:eastAsia="Times New Roman" w:hAnsi="Arial" w:cs="Arial"/>
                <w:b/>
                <w:bCs/>
                <w:color w:val="000000"/>
                <w:kern w:val="0"/>
                <w:sz w:val="22"/>
                <w:szCs w:val="22"/>
                <w:lang w:eastAsia="en-GB"/>
                <w14:ligatures w14:val="none"/>
              </w:rPr>
            </w:pPr>
            <w:r w:rsidRPr="00E736DE">
              <w:rPr>
                <w:rFonts w:ascii="Arial" w:eastAsia="Times New Roman" w:hAnsi="Arial" w:cs="Arial"/>
                <w:b/>
                <w:bCs/>
                <w:color w:val="000000"/>
                <w:kern w:val="0"/>
                <w:sz w:val="22"/>
                <w:szCs w:val="22"/>
                <w:lang w:eastAsia="en-GB"/>
                <w14:ligatures w14:val="none"/>
              </w:rPr>
              <w:t>Intended Outcome</w:t>
            </w:r>
          </w:p>
        </w:tc>
      </w:tr>
      <w:tr w:rsidR="00E736DE" w:rsidRPr="00E736DE" w14:paraId="2129EEE3" w14:textId="77777777" w:rsidTr="00A1779B">
        <w:trPr>
          <w:trHeight w:val="551"/>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72BA2D33"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0–3 months</w:t>
            </w:r>
          </w:p>
        </w:tc>
        <w:tc>
          <w:tcPr>
            <w:tcW w:w="0" w:type="auto"/>
            <w:tcBorders>
              <w:top w:val="single" w:sz="4" w:space="0" w:color="auto"/>
              <w:bottom w:val="single" w:sz="4" w:space="0" w:color="auto"/>
            </w:tcBorders>
            <w:vAlign w:val="center"/>
            <w:hideMark/>
          </w:tcPr>
          <w:p w14:paraId="6B6503F2"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Build foundational knowledge</w:t>
            </w:r>
          </w:p>
        </w:tc>
        <w:tc>
          <w:tcPr>
            <w:tcW w:w="0" w:type="auto"/>
            <w:tcBorders>
              <w:top w:val="single" w:sz="4" w:space="0" w:color="auto"/>
              <w:left w:val="single" w:sz="4" w:space="0" w:color="auto"/>
              <w:bottom w:val="single" w:sz="4" w:space="0" w:color="auto"/>
            </w:tcBorders>
            <w:vAlign w:val="center"/>
            <w:hideMark/>
          </w:tcPr>
          <w:p w14:paraId="1D5555E0"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Complete online safeguarding and adult social care courses; read about the Care Act and strengths-based practice</w:t>
            </w:r>
          </w:p>
        </w:tc>
        <w:tc>
          <w:tcPr>
            <w:tcW w:w="0" w:type="auto"/>
            <w:tcBorders>
              <w:top w:val="single" w:sz="4" w:space="0" w:color="auto"/>
              <w:left w:val="single" w:sz="4" w:space="0" w:color="auto"/>
              <w:bottom w:val="single" w:sz="4" w:space="0" w:color="auto"/>
            </w:tcBorders>
            <w:vAlign w:val="center"/>
            <w:hideMark/>
          </w:tcPr>
          <w:p w14:paraId="6DCC28B2"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Free CPD, GOV.UK guidance, Skills for Care resources</w:t>
            </w:r>
          </w:p>
        </w:tc>
        <w:tc>
          <w:tcPr>
            <w:tcW w:w="2330" w:type="dxa"/>
            <w:tcBorders>
              <w:top w:val="single" w:sz="4" w:space="0" w:color="auto"/>
              <w:left w:val="single" w:sz="4" w:space="0" w:color="auto"/>
              <w:bottom w:val="single" w:sz="4" w:space="0" w:color="auto"/>
              <w:right w:val="single" w:sz="4" w:space="0" w:color="auto"/>
            </w:tcBorders>
            <w:vAlign w:val="center"/>
            <w:hideMark/>
          </w:tcPr>
          <w:p w14:paraId="4C4228F4"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Better understanding of the role and legislation</w:t>
            </w:r>
          </w:p>
        </w:tc>
      </w:tr>
      <w:tr w:rsidR="00E736DE" w:rsidRPr="00E736DE" w14:paraId="67F29ED7" w14:textId="77777777" w:rsidTr="00A1779B">
        <w:trPr>
          <w:trHeight w:val="551"/>
          <w:tblCellSpacing w:w="15" w:type="dxa"/>
        </w:trPr>
        <w:tc>
          <w:tcPr>
            <w:tcW w:w="0" w:type="auto"/>
            <w:tcBorders>
              <w:left w:val="single" w:sz="4" w:space="0" w:color="auto"/>
              <w:right w:val="single" w:sz="4" w:space="0" w:color="auto"/>
            </w:tcBorders>
            <w:vAlign w:val="center"/>
            <w:hideMark/>
          </w:tcPr>
          <w:p w14:paraId="60BE3090"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3–6 months</w:t>
            </w:r>
          </w:p>
        </w:tc>
        <w:tc>
          <w:tcPr>
            <w:tcW w:w="0" w:type="auto"/>
            <w:vAlign w:val="center"/>
            <w:hideMark/>
          </w:tcPr>
          <w:p w14:paraId="7B59E3B1"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Gain relevant experience</w:t>
            </w:r>
          </w:p>
        </w:tc>
        <w:tc>
          <w:tcPr>
            <w:tcW w:w="0" w:type="auto"/>
            <w:tcBorders>
              <w:left w:val="single" w:sz="4" w:space="0" w:color="auto"/>
            </w:tcBorders>
            <w:vAlign w:val="center"/>
            <w:hideMark/>
          </w:tcPr>
          <w:p w14:paraId="42810645"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Apply for volunteering, shadowing or entry-level care/support roles</w:t>
            </w:r>
          </w:p>
        </w:tc>
        <w:tc>
          <w:tcPr>
            <w:tcW w:w="0" w:type="auto"/>
            <w:tcBorders>
              <w:left w:val="single" w:sz="4" w:space="0" w:color="auto"/>
            </w:tcBorders>
            <w:vAlign w:val="center"/>
            <w:hideMark/>
          </w:tcPr>
          <w:p w14:paraId="6ADA6067"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Local services, NHS/local authority websites, CV support</w:t>
            </w:r>
          </w:p>
        </w:tc>
        <w:tc>
          <w:tcPr>
            <w:tcW w:w="2330" w:type="dxa"/>
            <w:tcBorders>
              <w:left w:val="single" w:sz="4" w:space="0" w:color="auto"/>
              <w:right w:val="single" w:sz="4" w:space="0" w:color="auto"/>
            </w:tcBorders>
            <w:vAlign w:val="center"/>
            <w:hideMark/>
          </w:tcPr>
          <w:p w14:paraId="56B1395E"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Evidence of practical experience with vulnerable adults</w:t>
            </w:r>
          </w:p>
        </w:tc>
      </w:tr>
      <w:tr w:rsidR="00E736DE" w:rsidRPr="00E736DE" w14:paraId="5F5E2849" w14:textId="77777777" w:rsidTr="00A1779B">
        <w:trPr>
          <w:trHeight w:val="562"/>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1C49A2F"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6–9 months</w:t>
            </w:r>
          </w:p>
        </w:tc>
        <w:tc>
          <w:tcPr>
            <w:tcW w:w="0" w:type="auto"/>
            <w:tcBorders>
              <w:top w:val="single" w:sz="4" w:space="0" w:color="auto"/>
              <w:bottom w:val="single" w:sz="4" w:space="0" w:color="auto"/>
            </w:tcBorders>
            <w:vAlign w:val="center"/>
            <w:hideMark/>
          </w:tcPr>
          <w:p w14:paraId="4E5BF57C"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Improve professional and digital skills</w:t>
            </w:r>
          </w:p>
        </w:tc>
        <w:tc>
          <w:tcPr>
            <w:tcW w:w="0" w:type="auto"/>
            <w:tcBorders>
              <w:top w:val="single" w:sz="4" w:space="0" w:color="auto"/>
              <w:left w:val="single" w:sz="4" w:space="0" w:color="auto"/>
              <w:bottom w:val="single" w:sz="4" w:space="0" w:color="auto"/>
            </w:tcBorders>
            <w:vAlign w:val="center"/>
            <w:hideMark/>
          </w:tcPr>
          <w:p w14:paraId="38E56BEA"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Practise Microsoft Office, case-note writing, professional email and LinkedIn networking</w:t>
            </w:r>
          </w:p>
        </w:tc>
        <w:tc>
          <w:tcPr>
            <w:tcW w:w="0" w:type="auto"/>
            <w:tcBorders>
              <w:top w:val="single" w:sz="4" w:space="0" w:color="auto"/>
              <w:left w:val="single" w:sz="4" w:space="0" w:color="auto"/>
              <w:bottom w:val="single" w:sz="4" w:space="0" w:color="auto"/>
            </w:tcBorders>
            <w:vAlign w:val="center"/>
            <w:hideMark/>
          </w:tcPr>
          <w:p w14:paraId="5469CFFD"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College support, online tutorials, careers service</w:t>
            </w:r>
          </w:p>
        </w:tc>
        <w:tc>
          <w:tcPr>
            <w:tcW w:w="2330" w:type="dxa"/>
            <w:tcBorders>
              <w:top w:val="single" w:sz="4" w:space="0" w:color="auto"/>
              <w:left w:val="single" w:sz="4" w:space="0" w:color="auto"/>
              <w:bottom w:val="single" w:sz="4" w:space="0" w:color="auto"/>
              <w:right w:val="single" w:sz="4" w:space="0" w:color="auto"/>
            </w:tcBorders>
            <w:vAlign w:val="center"/>
            <w:hideMark/>
          </w:tcPr>
          <w:p w14:paraId="7A5D10E5"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Stronger job readiness and digital confidence</w:t>
            </w:r>
          </w:p>
        </w:tc>
      </w:tr>
      <w:tr w:rsidR="00E736DE" w:rsidRPr="00E736DE" w14:paraId="507AAC3A" w14:textId="77777777" w:rsidTr="00A1779B">
        <w:trPr>
          <w:trHeight w:val="551"/>
          <w:tblCellSpacing w:w="15" w:type="dxa"/>
        </w:trPr>
        <w:tc>
          <w:tcPr>
            <w:tcW w:w="0" w:type="auto"/>
            <w:tcBorders>
              <w:left w:val="single" w:sz="4" w:space="0" w:color="auto"/>
              <w:right w:val="single" w:sz="4" w:space="0" w:color="auto"/>
            </w:tcBorders>
            <w:vAlign w:val="center"/>
            <w:hideMark/>
          </w:tcPr>
          <w:p w14:paraId="3A3C658A"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9–12 months</w:t>
            </w:r>
          </w:p>
        </w:tc>
        <w:tc>
          <w:tcPr>
            <w:tcW w:w="0" w:type="auto"/>
            <w:vAlign w:val="center"/>
            <w:hideMark/>
          </w:tcPr>
          <w:p w14:paraId="3A1043FD"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Strengthen employability profile</w:t>
            </w:r>
          </w:p>
        </w:tc>
        <w:tc>
          <w:tcPr>
            <w:tcW w:w="0" w:type="auto"/>
            <w:tcBorders>
              <w:left w:val="single" w:sz="4" w:space="0" w:color="auto"/>
            </w:tcBorders>
            <w:vAlign w:val="center"/>
            <w:hideMark/>
          </w:tcPr>
          <w:p w14:paraId="1D0D071F"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Tailor CV and cover letters; apply for Social Work Assistant and similar roles</w:t>
            </w:r>
          </w:p>
        </w:tc>
        <w:tc>
          <w:tcPr>
            <w:tcW w:w="0" w:type="auto"/>
            <w:tcBorders>
              <w:left w:val="single" w:sz="4" w:space="0" w:color="auto"/>
            </w:tcBorders>
            <w:vAlign w:val="center"/>
            <w:hideMark/>
          </w:tcPr>
          <w:p w14:paraId="17D6EB4F"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Careers adviser, NHS Jobs, LinkedIn</w:t>
            </w:r>
          </w:p>
        </w:tc>
        <w:tc>
          <w:tcPr>
            <w:tcW w:w="2330" w:type="dxa"/>
            <w:tcBorders>
              <w:left w:val="single" w:sz="4" w:space="0" w:color="auto"/>
              <w:right w:val="single" w:sz="4" w:space="0" w:color="auto"/>
            </w:tcBorders>
            <w:vAlign w:val="center"/>
            <w:hideMark/>
          </w:tcPr>
          <w:p w14:paraId="2B0DEE46"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Increased interview opportunities</w:t>
            </w:r>
          </w:p>
        </w:tc>
      </w:tr>
      <w:tr w:rsidR="00E736DE" w:rsidRPr="00E736DE" w14:paraId="68B31FDE" w14:textId="77777777" w:rsidTr="00A1779B">
        <w:trPr>
          <w:trHeight w:val="1046"/>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D2DFAC6"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12–18 months</w:t>
            </w:r>
          </w:p>
        </w:tc>
        <w:tc>
          <w:tcPr>
            <w:tcW w:w="0" w:type="auto"/>
            <w:tcBorders>
              <w:top w:val="single" w:sz="4" w:space="0" w:color="auto"/>
              <w:bottom w:val="single" w:sz="4" w:space="0" w:color="auto"/>
            </w:tcBorders>
            <w:vAlign w:val="center"/>
            <w:hideMark/>
          </w:tcPr>
          <w:p w14:paraId="37FA3F45"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Enter the role and plan progression</w:t>
            </w:r>
          </w:p>
        </w:tc>
        <w:tc>
          <w:tcPr>
            <w:tcW w:w="0" w:type="auto"/>
            <w:tcBorders>
              <w:top w:val="single" w:sz="4" w:space="0" w:color="auto"/>
              <w:left w:val="single" w:sz="4" w:space="0" w:color="auto"/>
              <w:bottom w:val="single" w:sz="4" w:space="0" w:color="auto"/>
            </w:tcBorders>
            <w:vAlign w:val="center"/>
            <w:hideMark/>
          </w:tcPr>
          <w:p w14:paraId="1659FC88"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Secure post, seek supervision, build reflective practice, explore apprenticeship/degree routes</w:t>
            </w:r>
          </w:p>
        </w:tc>
        <w:tc>
          <w:tcPr>
            <w:tcW w:w="0" w:type="auto"/>
            <w:tcBorders>
              <w:top w:val="single" w:sz="4" w:space="0" w:color="auto"/>
              <w:left w:val="single" w:sz="4" w:space="0" w:color="auto"/>
              <w:bottom w:val="single" w:sz="4" w:space="0" w:color="auto"/>
            </w:tcBorders>
            <w:vAlign w:val="center"/>
            <w:hideMark/>
          </w:tcPr>
          <w:p w14:paraId="1539A54E"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Employer support, mentors, Social Work England/BASW information</w:t>
            </w:r>
          </w:p>
        </w:tc>
        <w:tc>
          <w:tcPr>
            <w:tcW w:w="2330" w:type="dxa"/>
            <w:tcBorders>
              <w:top w:val="single" w:sz="4" w:space="0" w:color="auto"/>
              <w:left w:val="single" w:sz="4" w:space="0" w:color="auto"/>
              <w:bottom w:val="single" w:sz="4" w:space="0" w:color="auto"/>
              <w:right w:val="single" w:sz="4" w:space="0" w:color="auto"/>
            </w:tcBorders>
            <w:vAlign w:val="center"/>
            <w:hideMark/>
          </w:tcPr>
          <w:p w14:paraId="5F876824"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Career entry and long-term progression</w:t>
            </w:r>
          </w:p>
        </w:tc>
      </w:tr>
    </w:tbl>
    <w:p w14:paraId="04BA3CF7" w14:textId="780722F6"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lastRenderedPageBreak/>
        <w:t>This plan is realistic because it focuses first on knowledge and experience gaps before aiming directly at the target role. It is also ambitious because it keeps the longer-term goal of progression into social work clearly in view. </w:t>
      </w:r>
    </w:p>
    <w:p w14:paraId="7C3FA124" w14:textId="77777777" w:rsidR="00E736DE" w:rsidRPr="00A1779B" w:rsidRDefault="00E736DE" w:rsidP="00A1779B">
      <w:pPr>
        <w:spacing w:line="360" w:lineRule="auto"/>
        <w:jc w:val="both"/>
        <w:rPr>
          <w:rFonts w:ascii="Arial" w:hAnsi="Arial" w:cs="Arial"/>
          <w:color w:val="000000"/>
          <w:sz w:val="22"/>
          <w:szCs w:val="22"/>
        </w:rPr>
      </w:pPr>
    </w:p>
    <w:p w14:paraId="52041C6C" w14:textId="77777777" w:rsidR="00E736DE" w:rsidRPr="00A1779B" w:rsidRDefault="00E736DE" w:rsidP="00117146">
      <w:pPr>
        <w:pStyle w:val="Heading1"/>
      </w:pPr>
    </w:p>
    <w:p w14:paraId="1886ECAB" w14:textId="0B321BAB" w:rsidR="00E736DE" w:rsidRPr="00117146" w:rsidRDefault="00E736DE" w:rsidP="00117146">
      <w:pPr>
        <w:rPr>
          <w:rFonts w:ascii="Arial" w:hAnsi="Arial" w:cs="Arial"/>
          <w:b/>
          <w:bCs/>
          <w:sz w:val="22"/>
          <w:szCs w:val="22"/>
        </w:rPr>
      </w:pPr>
      <w:bookmarkStart w:id="9" w:name="_Toc228484192"/>
      <w:r w:rsidRPr="00117146">
        <w:rPr>
          <w:rFonts w:ascii="Arial" w:hAnsi="Arial" w:cs="Arial"/>
          <w:b/>
          <w:bCs/>
          <w:sz w:val="22"/>
          <w:szCs w:val="22"/>
        </w:rPr>
        <w:t>Conclusion</w:t>
      </w:r>
      <w:bookmarkEnd w:id="9"/>
    </w:p>
    <w:p w14:paraId="1FC53A45" w14:textId="77777777" w:rsidR="00E736DE" w:rsidRPr="00A1779B" w:rsidRDefault="00E736DE" w:rsidP="00A1779B">
      <w:pPr>
        <w:spacing w:line="360" w:lineRule="auto"/>
        <w:jc w:val="both"/>
        <w:rPr>
          <w:rFonts w:ascii="Arial" w:hAnsi="Arial" w:cs="Arial"/>
          <w:color w:val="000000"/>
          <w:sz w:val="22"/>
          <w:szCs w:val="22"/>
        </w:rPr>
      </w:pPr>
    </w:p>
    <w:p w14:paraId="2C064B0E" w14:textId="77777777"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This report has shown that the Social Work Assistant role is a suitable and motivating career goal within health and social care. Analysis of a relevant NHS vacancy demonstrated that the role requires communication, teamwork, resilience, digital literacy, professional boundaries and an understanding of vulnerable adults’ needs. It also confirmed that the role offers a realistic progression route into qualified social work, making it an attractive entry point for long-term development. </w:t>
      </w:r>
    </w:p>
    <w:p w14:paraId="318F0A56" w14:textId="087A3035"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The evaluation of current skills suggests that the author already has relevant values and some transferable strengths, especially in empathy, motivation and reflective learning. However, there are clear areas for growth, particularly in professional experience, adult social care knowledge, legislation and digital systems. The action plan directly addresses these gaps through training, experience, self-promotion and staged career progression. This process has clarified both the demands of the profession and the practical steps needed to enter it successfully. Overall, the journey toward becoming a Social Work Assistant has become more focused, realistic and achievable, while also strengthening long-term commitment to a future career in social work.</w:t>
      </w:r>
    </w:p>
    <w:p w14:paraId="2D213579" w14:textId="77777777" w:rsidR="00E736DE" w:rsidRDefault="00E736DE" w:rsidP="00A1779B">
      <w:pPr>
        <w:spacing w:line="360" w:lineRule="auto"/>
        <w:jc w:val="both"/>
        <w:rPr>
          <w:rFonts w:ascii="Arial" w:hAnsi="Arial" w:cs="Arial"/>
          <w:color w:val="000000"/>
          <w:sz w:val="22"/>
          <w:szCs w:val="22"/>
        </w:rPr>
      </w:pPr>
    </w:p>
    <w:p w14:paraId="25C45A28" w14:textId="77777777" w:rsidR="003422AF" w:rsidRDefault="003422AF" w:rsidP="00A1779B">
      <w:pPr>
        <w:spacing w:line="360" w:lineRule="auto"/>
        <w:jc w:val="both"/>
        <w:rPr>
          <w:rFonts w:ascii="Arial" w:hAnsi="Arial" w:cs="Arial"/>
          <w:color w:val="000000"/>
          <w:sz w:val="22"/>
          <w:szCs w:val="22"/>
        </w:rPr>
      </w:pPr>
    </w:p>
    <w:p w14:paraId="7F1661E6" w14:textId="77777777" w:rsidR="003422AF" w:rsidRDefault="003422AF" w:rsidP="00A1779B">
      <w:pPr>
        <w:spacing w:line="360" w:lineRule="auto"/>
        <w:jc w:val="both"/>
        <w:rPr>
          <w:rFonts w:ascii="Arial" w:hAnsi="Arial" w:cs="Arial"/>
          <w:color w:val="000000"/>
          <w:sz w:val="22"/>
          <w:szCs w:val="22"/>
        </w:rPr>
      </w:pPr>
    </w:p>
    <w:p w14:paraId="359A4D03" w14:textId="77777777" w:rsidR="003422AF" w:rsidRDefault="003422AF" w:rsidP="00A1779B">
      <w:pPr>
        <w:spacing w:line="360" w:lineRule="auto"/>
        <w:jc w:val="both"/>
        <w:rPr>
          <w:rFonts w:ascii="Arial" w:hAnsi="Arial" w:cs="Arial"/>
          <w:color w:val="000000"/>
          <w:sz w:val="22"/>
          <w:szCs w:val="22"/>
        </w:rPr>
      </w:pPr>
    </w:p>
    <w:p w14:paraId="1A5E60B8" w14:textId="77777777" w:rsidR="003422AF" w:rsidRDefault="003422AF" w:rsidP="00A1779B">
      <w:pPr>
        <w:spacing w:line="360" w:lineRule="auto"/>
        <w:jc w:val="both"/>
        <w:rPr>
          <w:rFonts w:ascii="Arial" w:hAnsi="Arial" w:cs="Arial"/>
          <w:color w:val="000000"/>
          <w:sz w:val="22"/>
          <w:szCs w:val="22"/>
        </w:rPr>
      </w:pPr>
    </w:p>
    <w:p w14:paraId="7ED9195D" w14:textId="77777777" w:rsidR="003422AF" w:rsidRDefault="003422AF" w:rsidP="00A1779B">
      <w:pPr>
        <w:spacing w:line="360" w:lineRule="auto"/>
        <w:jc w:val="both"/>
        <w:rPr>
          <w:rFonts w:ascii="Arial" w:hAnsi="Arial" w:cs="Arial"/>
          <w:color w:val="000000"/>
          <w:sz w:val="22"/>
          <w:szCs w:val="22"/>
        </w:rPr>
      </w:pPr>
    </w:p>
    <w:p w14:paraId="1D6AEC3E" w14:textId="77777777" w:rsidR="003422AF" w:rsidRDefault="003422AF" w:rsidP="00A1779B">
      <w:pPr>
        <w:spacing w:line="360" w:lineRule="auto"/>
        <w:jc w:val="both"/>
        <w:rPr>
          <w:rFonts w:ascii="Arial" w:hAnsi="Arial" w:cs="Arial"/>
          <w:color w:val="000000"/>
          <w:sz w:val="22"/>
          <w:szCs w:val="22"/>
        </w:rPr>
      </w:pPr>
    </w:p>
    <w:p w14:paraId="75B42565" w14:textId="77777777" w:rsidR="002C274A" w:rsidRDefault="002C274A" w:rsidP="00A1779B">
      <w:pPr>
        <w:spacing w:line="360" w:lineRule="auto"/>
        <w:jc w:val="both"/>
        <w:rPr>
          <w:rFonts w:ascii="Arial" w:hAnsi="Arial" w:cs="Arial"/>
          <w:color w:val="000000"/>
          <w:sz w:val="22"/>
          <w:szCs w:val="22"/>
        </w:rPr>
      </w:pPr>
    </w:p>
    <w:p w14:paraId="261B7D06" w14:textId="77777777" w:rsidR="002C274A" w:rsidRDefault="002C274A" w:rsidP="00A1779B">
      <w:pPr>
        <w:spacing w:line="360" w:lineRule="auto"/>
        <w:jc w:val="both"/>
        <w:rPr>
          <w:rFonts w:ascii="Arial" w:hAnsi="Arial" w:cs="Arial"/>
          <w:color w:val="000000"/>
          <w:sz w:val="22"/>
          <w:szCs w:val="22"/>
        </w:rPr>
      </w:pPr>
    </w:p>
    <w:p w14:paraId="70203C61" w14:textId="77777777" w:rsidR="002C274A" w:rsidRDefault="002C274A" w:rsidP="00A1779B">
      <w:pPr>
        <w:spacing w:line="360" w:lineRule="auto"/>
        <w:jc w:val="both"/>
        <w:rPr>
          <w:rFonts w:ascii="Arial" w:hAnsi="Arial" w:cs="Arial"/>
          <w:color w:val="000000"/>
          <w:sz w:val="22"/>
          <w:szCs w:val="22"/>
        </w:rPr>
      </w:pPr>
    </w:p>
    <w:p w14:paraId="20F9254A" w14:textId="77777777" w:rsidR="002C274A" w:rsidRDefault="002C274A" w:rsidP="00A1779B">
      <w:pPr>
        <w:spacing w:line="360" w:lineRule="auto"/>
        <w:jc w:val="both"/>
        <w:rPr>
          <w:rFonts w:ascii="Arial" w:hAnsi="Arial" w:cs="Arial"/>
          <w:color w:val="000000"/>
          <w:sz w:val="22"/>
          <w:szCs w:val="22"/>
        </w:rPr>
      </w:pPr>
    </w:p>
    <w:p w14:paraId="6CB5070B" w14:textId="77777777" w:rsidR="002C274A" w:rsidRDefault="002C274A" w:rsidP="00A1779B">
      <w:pPr>
        <w:spacing w:line="360" w:lineRule="auto"/>
        <w:jc w:val="both"/>
        <w:rPr>
          <w:rFonts w:ascii="Arial" w:hAnsi="Arial" w:cs="Arial"/>
          <w:color w:val="000000"/>
          <w:sz w:val="22"/>
          <w:szCs w:val="22"/>
        </w:rPr>
      </w:pPr>
    </w:p>
    <w:p w14:paraId="54A32B59" w14:textId="77777777" w:rsidR="002C274A" w:rsidRDefault="002C274A" w:rsidP="00A1779B">
      <w:pPr>
        <w:spacing w:line="360" w:lineRule="auto"/>
        <w:jc w:val="both"/>
        <w:rPr>
          <w:rFonts w:ascii="Arial" w:hAnsi="Arial" w:cs="Arial"/>
          <w:color w:val="000000"/>
          <w:sz w:val="22"/>
          <w:szCs w:val="22"/>
        </w:rPr>
      </w:pPr>
    </w:p>
    <w:p w14:paraId="02D81593" w14:textId="77777777" w:rsidR="003422AF" w:rsidRPr="00A1779B" w:rsidRDefault="003422AF" w:rsidP="00A1779B">
      <w:pPr>
        <w:spacing w:line="360" w:lineRule="auto"/>
        <w:jc w:val="both"/>
        <w:rPr>
          <w:rFonts w:ascii="Arial" w:hAnsi="Arial" w:cs="Arial"/>
          <w:color w:val="000000"/>
          <w:sz w:val="22"/>
          <w:szCs w:val="22"/>
        </w:rPr>
      </w:pPr>
    </w:p>
    <w:p w14:paraId="059634D7" w14:textId="48F7ACA7" w:rsidR="00E736DE" w:rsidRPr="00117146" w:rsidRDefault="00E736DE" w:rsidP="00117146">
      <w:pPr>
        <w:rPr>
          <w:rFonts w:ascii="Arial" w:hAnsi="Arial" w:cs="Arial"/>
          <w:b/>
          <w:bCs/>
          <w:sz w:val="22"/>
          <w:szCs w:val="22"/>
        </w:rPr>
      </w:pPr>
      <w:bookmarkStart w:id="10" w:name="_Toc228484193"/>
      <w:r w:rsidRPr="00117146">
        <w:rPr>
          <w:rFonts w:ascii="Arial" w:hAnsi="Arial" w:cs="Arial"/>
          <w:b/>
          <w:bCs/>
          <w:sz w:val="22"/>
          <w:szCs w:val="22"/>
        </w:rPr>
        <w:lastRenderedPageBreak/>
        <w:t>References</w:t>
      </w:r>
      <w:bookmarkEnd w:id="10"/>
    </w:p>
    <w:p w14:paraId="0F0ABF1C" w14:textId="77777777" w:rsidR="00E736DE" w:rsidRDefault="00E736DE" w:rsidP="00E736DE">
      <w:pPr>
        <w:rPr>
          <w:rFonts w:ascii="Arial" w:hAnsi="Arial" w:cs="Arial"/>
          <w:color w:val="000000"/>
          <w:sz w:val="22"/>
          <w:szCs w:val="22"/>
        </w:rPr>
      </w:pPr>
    </w:p>
    <w:p w14:paraId="72D4EB72" w14:textId="552E2CB1" w:rsidR="000D201E" w:rsidRPr="00A1779B" w:rsidRDefault="000D201E" w:rsidP="000D201E">
      <w:pPr>
        <w:rPr>
          <w:rFonts w:ascii="Arial" w:hAnsi="Arial" w:cs="Arial"/>
          <w:i/>
          <w:iCs/>
          <w:color w:val="000000"/>
          <w:sz w:val="22"/>
          <w:szCs w:val="22"/>
        </w:rPr>
      </w:pPr>
      <w:r w:rsidRPr="00A1779B">
        <w:rPr>
          <w:rFonts w:ascii="Arial" w:hAnsi="Arial" w:cs="Arial"/>
          <w:i/>
          <w:iCs/>
          <w:color w:val="000000"/>
          <w:sz w:val="22"/>
          <w:szCs w:val="22"/>
        </w:rPr>
        <w:t xml:space="preserve">BASW (2021) Digital capabilities for social workers. British Association of Social Workers. Available at: </w:t>
      </w:r>
      <w:hyperlink r:id="rId11" w:history="1">
        <w:r w:rsidRPr="00A1779B">
          <w:rPr>
            <w:rStyle w:val="Hyperlink"/>
            <w:rFonts w:ascii="Arial" w:hAnsi="Arial" w:cs="Arial"/>
            <w:i/>
            <w:iCs/>
            <w:sz w:val="22"/>
            <w:szCs w:val="22"/>
          </w:rPr>
          <w:t>https://basw.co.uk/policy-and-practice/resources/digital-capabilities-social-workers</w:t>
        </w:r>
      </w:hyperlink>
      <w:r w:rsidRPr="00A1779B">
        <w:rPr>
          <w:rFonts w:ascii="Arial" w:hAnsi="Arial" w:cs="Arial"/>
          <w:i/>
          <w:iCs/>
          <w:color w:val="000000"/>
          <w:sz w:val="22"/>
          <w:szCs w:val="22"/>
        </w:rPr>
        <w:t xml:space="preserve"> </w:t>
      </w:r>
      <w:r w:rsidRPr="00A1779B">
        <w:rPr>
          <w:rFonts w:ascii="Arial" w:hAnsi="Arial" w:cs="Arial"/>
          <w:i/>
          <w:iCs/>
          <w:color w:val="000000"/>
          <w:sz w:val="22"/>
          <w:szCs w:val="22"/>
        </w:rPr>
        <w:t>(Accessed</w:t>
      </w:r>
      <w:r w:rsidR="002C274A">
        <w:rPr>
          <w:rFonts w:ascii="Arial" w:hAnsi="Arial" w:cs="Arial"/>
          <w:i/>
          <w:iCs/>
          <w:color w:val="000000"/>
          <w:sz w:val="22"/>
          <w:szCs w:val="22"/>
        </w:rPr>
        <w:t xml:space="preserve"> on 25</w:t>
      </w:r>
      <w:r w:rsidRPr="00A1779B">
        <w:rPr>
          <w:rFonts w:ascii="Arial" w:hAnsi="Arial" w:cs="Arial"/>
          <w:i/>
          <w:iCs/>
          <w:color w:val="000000"/>
          <w:sz w:val="22"/>
          <w:szCs w:val="22"/>
        </w:rPr>
        <w:t xml:space="preserve"> April 2026).</w:t>
      </w:r>
    </w:p>
    <w:p w14:paraId="03756D47" w14:textId="77777777" w:rsidR="000D201E" w:rsidRPr="00A1779B" w:rsidRDefault="000D201E" w:rsidP="000D201E">
      <w:pPr>
        <w:rPr>
          <w:rFonts w:ascii="Arial" w:hAnsi="Arial" w:cs="Arial"/>
          <w:i/>
          <w:iCs/>
          <w:color w:val="000000"/>
          <w:sz w:val="22"/>
          <w:szCs w:val="22"/>
        </w:rPr>
      </w:pPr>
    </w:p>
    <w:p w14:paraId="6D5976B6" w14:textId="046D7E2F" w:rsidR="000D201E" w:rsidRPr="00A1779B" w:rsidRDefault="000D201E" w:rsidP="000D201E">
      <w:pPr>
        <w:rPr>
          <w:rFonts w:ascii="Arial" w:hAnsi="Arial" w:cs="Arial"/>
          <w:i/>
          <w:iCs/>
          <w:color w:val="000000"/>
          <w:sz w:val="22"/>
          <w:szCs w:val="22"/>
        </w:rPr>
      </w:pPr>
      <w:r w:rsidRPr="00A1779B">
        <w:rPr>
          <w:rFonts w:ascii="Arial" w:hAnsi="Arial" w:cs="Arial"/>
          <w:i/>
          <w:iCs/>
          <w:color w:val="000000"/>
          <w:sz w:val="22"/>
          <w:szCs w:val="22"/>
        </w:rPr>
        <w:t xml:space="preserve">BASW (n.d.) Social worker standards. British Association of Social Workers. Available at: </w:t>
      </w:r>
      <w:hyperlink r:id="rId12" w:history="1">
        <w:r w:rsidRPr="00A1779B">
          <w:rPr>
            <w:rStyle w:val="Hyperlink"/>
            <w:rFonts w:ascii="Arial" w:hAnsi="Arial" w:cs="Arial"/>
            <w:i/>
            <w:iCs/>
            <w:sz w:val="22"/>
            <w:szCs w:val="22"/>
          </w:rPr>
          <w:t>https://basw.co.uk/policy-and-practice/resources/social-worker-standards</w:t>
        </w:r>
      </w:hyperlink>
      <w:r w:rsidRPr="00A1779B">
        <w:rPr>
          <w:rFonts w:ascii="Arial" w:hAnsi="Arial" w:cs="Arial"/>
          <w:i/>
          <w:iCs/>
          <w:color w:val="000000"/>
          <w:sz w:val="22"/>
          <w:szCs w:val="22"/>
        </w:rPr>
        <w:t xml:space="preserve"> </w:t>
      </w:r>
      <w:r w:rsidRPr="00A1779B">
        <w:rPr>
          <w:rFonts w:ascii="Arial" w:hAnsi="Arial" w:cs="Arial"/>
          <w:i/>
          <w:iCs/>
          <w:color w:val="000000"/>
          <w:sz w:val="22"/>
          <w:szCs w:val="22"/>
        </w:rPr>
        <w:t>(Accessed</w:t>
      </w:r>
      <w:r w:rsidR="002C274A">
        <w:rPr>
          <w:rFonts w:ascii="Arial" w:hAnsi="Arial" w:cs="Arial"/>
          <w:i/>
          <w:iCs/>
          <w:color w:val="000000"/>
          <w:sz w:val="22"/>
          <w:szCs w:val="22"/>
        </w:rPr>
        <w:t xml:space="preserve"> on 26</w:t>
      </w:r>
      <w:r w:rsidRPr="00A1779B">
        <w:rPr>
          <w:rFonts w:ascii="Arial" w:hAnsi="Arial" w:cs="Arial"/>
          <w:i/>
          <w:iCs/>
          <w:color w:val="000000"/>
          <w:sz w:val="22"/>
          <w:szCs w:val="22"/>
        </w:rPr>
        <w:t xml:space="preserve"> April 2026).</w:t>
      </w:r>
    </w:p>
    <w:p w14:paraId="26CB05DC" w14:textId="77777777" w:rsidR="000D201E" w:rsidRPr="00A1779B" w:rsidRDefault="000D201E" w:rsidP="000D201E">
      <w:pPr>
        <w:rPr>
          <w:rFonts w:ascii="Arial" w:hAnsi="Arial" w:cs="Arial"/>
          <w:i/>
          <w:iCs/>
          <w:color w:val="000000"/>
          <w:sz w:val="22"/>
          <w:szCs w:val="22"/>
        </w:rPr>
      </w:pPr>
    </w:p>
    <w:p w14:paraId="1C2C1F87" w14:textId="7000EC8F" w:rsidR="000D201E" w:rsidRPr="00A1779B" w:rsidRDefault="000D201E" w:rsidP="000D201E">
      <w:pPr>
        <w:rPr>
          <w:rFonts w:ascii="Arial" w:hAnsi="Arial" w:cs="Arial"/>
          <w:i/>
          <w:iCs/>
          <w:color w:val="000000"/>
          <w:sz w:val="22"/>
          <w:szCs w:val="22"/>
        </w:rPr>
      </w:pPr>
      <w:r w:rsidRPr="00A1779B">
        <w:rPr>
          <w:rFonts w:ascii="Arial" w:hAnsi="Arial" w:cs="Arial"/>
          <w:i/>
          <w:iCs/>
          <w:color w:val="000000"/>
          <w:sz w:val="22"/>
          <w:szCs w:val="22"/>
        </w:rPr>
        <w:t xml:space="preserve">Department of Health and Social Care (2025) Care workforce pathway for adult social care: overview. GOV.UK. Available at: </w:t>
      </w:r>
      <w:hyperlink r:id="rId13" w:history="1">
        <w:r w:rsidRPr="00A1779B">
          <w:rPr>
            <w:rStyle w:val="Hyperlink"/>
            <w:rFonts w:ascii="Arial" w:hAnsi="Arial" w:cs="Arial"/>
            <w:i/>
            <w:iCs/>
            <w:sz w:val="22"/>
            <w:szCs w:val="22"/>
          </w:rPr>
          <w:t>https://www.gov.uk/government/publications/care-workforce-pathway-for-adult-social-care/care-workforce-pathway-for-adult-social-care-overview</w:t>
        </w:r>
      </w:hyperlink>
      <w:r w:rsidRPr="00A1779B">
        <w:rPr>
          <w:rFonts w:ascii="Arial" w:hAnsi="Arial" w:cs="Arial"/>
          <w:i/>
          <w:iCs/>
          <w:color w:val="000000"/>
          <w:sz w:val="22"/>
          <w:szCs w:val="22"/>
        </w:rPr>
        <w:t xml:space="preserve"> (Accessed</w:t>
      </w:r>
      <w:r w:rsidR="002C274A">
        <w:rPr>
          <w:rFonts w:ascii="Arial" w:hAnsi="Arial" w:cs="Arial"/>
          <w:i/>
          <w:iCs/>
          <w:color w:val="000000"/>
          <w:sz w:val="22"/>
          <w:szCs w:val="22"/>
        </w:rPr>
        <w:t xml:space="preserve"> 0n 27 </w:t>
      </w:r>
      <w:r w:rsidRPr="00A1779B">
        <w:rPr>
          <w:rFonts w:ascii="Arial" w:hAnsi="Arial" w:cs="Arial"/>
          <w:i/>
          <w:iCs/>
          <w:color w:val="000000"/>
          <w:sz w:val="22"/>
          <w:szCs w:val="22"/>
        </w:rPr>
        <w:t>April 2026).</w:t>
      </w:r>
    </w:p>
    <w:p w14:paraId="56ED928D" w14:textId="77777777" w:rsidR="000D201E" w:rsidRPr="00A1779B" w:rsidRDefault="000D201E" w:rsidP="000D201E">
      <w:pPr>
        <w:rPr>
          <w:rFonts w:ascii="Arial" w:hAnsi="Arial" w:cs="Arial"/>
          <w:i/>
          <w:iCs/>
          <w:color w:val="000000"/>
          <w:sz w:val="22"/>
          <w:szCs w:val="22"/>
        </w:rPr>
      </w:pPr>
    </w:p>
    <w:p w14:paraId="28C284CD" w14:textId="5CDEED98" w:rsidR="000D201E" w:rsidRPr="00A1779B" w:rsidRDefault="000D201E" w:rsidP="000D201E">
      <w:pPr>
        <w:rPr>
          <w:rFonts w:ascii="Arial" w:hAnsi="Arial" w:cs="Arial"/>
          <w:i/>
          <w:iCs/>
          <w:color w:val="000000"/>
          <w:sz w:val="22"/>
          <w:szCs w:val="22"/>
        </w:rPr>
      </w:pPr>
      <w:r w:rsidRPr="00A1779B">
        <w:rPr>
          <w:rFonts w:ascii="Arial" w:hAnsi="Arial" w:cs="Arial"/>
          <w:i/>
          <w:iCs/>
          <w:color w:val="000000"/>
          <w:sz w:val="22"/>
          <w:szCs w:val="22"/>
        </w:rPr>
        <w:t xml:space="preserve">NHS England (n.d.) Our values. Available at: </w:t>
      </w:r>
      <w:hyperlink r:id="rId14" w:history="1">
        <w:r w:rsidRPr="00A1779B">
          <w:rPr>
            <w:rStyle w:val="Hyperlink"/>
            <w:rFonts w:ascii="Arial" w:hAnsi="Arial" w:cs="Arial"/>
            <w:i/>
            <w:iCs/>
            <w:sz w:val="22"/>
            <w:szCs w:val="22"/>
          </w:rPr>
          <w:t>https://www.england.nhs.uk/about/our-values/</w:t>
        </w:r>
      </w:hyperlink>
      <w:r w:rsidRPr="00A1779B">
        <w:rPr>
          <w:rFonts w:ascii="Arial" w:hAnsi="Arial" w:cs="Arial"/>
          <w:i/>
          <w:iCs/>
          <w:color w:val="000000"/>
          <w:sz w:val="22"/>
          <w:szCs w:val="22"/>
        </w:rPr>
        <w:t xml:space="preserve"> </w:t>
      </w:r>
    </w:p>
    <w:p w14:paraId="63C237D0" w14:textId="7F137E61" w:rsidR="000D201E" w:rsidRPr="00A1779B" w:rsidRDefault="000D201E" w:rsidP="000D201E">
      <w:pPr>
        <w:rPr>
          <w:rFonts w:ascii="Arial" w:hAnsi="Arial" w:cs="Arial"/>
          <w:i/>
          <w:iCs/>
          <w:color w:val="000000"/>
          <w:sz w:val="22"/>
          <w:szCs w:val="22"/>
        </w:rPr>
      </w:pPr>
      <w:r w:rsidRPr="00A1779B">
        <w:rPr>
          <w:rFonts w:ascii="Arial" w:hAnsi="Arial" w:cs="Arial"/>
          <w:i/>
          <w:iCs/>
          <w:color w:val="000000"/>
          <w:sz w:val="22"/>
          <w:szCs w:val="22"/>
        </w:rPr>
        <w:t>(Accessed</w:t>
      </w:r>
      <w:r w:rsidR="002C274A">
        <w:rPr>
          <w:rFonts w:ascii="Arial" w:hAnsi="Arial" w:cs="Arial"/>
          <w:i/>
          <w:iCs/>
          <w:color w:val="000000"/>
          <w:sz w:val="22"/>
          <w:szCs w:val="22"/>
        </w:rPr>
        <w:t xml:space="preserve"> on 27</w:t>
      </w:r>
      <w:r w:rsidRPr="00A1779B">
        <w:rPr>
          <w:rFonts w:ascii="Arial" w:hAnsi="Arial" w:cs="Arial"/>
          <w:i/>
          <w:iCs/>
          <w:color w:val="000000"/>
          <w:sz w:val="22"/>
          <w:szCs w:val="22"/>
        </w:rPr>
        <w:t xml:space="preserve"> April 2026).</w:t>
      </w:r>
    </w:p>
    <w:p w14:paraId="164E393A" w14:textId="77777777" w:rsidR="000D201E" w:rsidRPr="00A1779B" w:rsidRDefault="000D201E" w:rsidP="000D201E">
      <w:pPr>
        <w:rPr>
          <w:rFonts w:ascii="Arial" w:hAnsi="Arial" w:cs="Arial"/>
          <w:i/>
          <w:iCs/>
          <w:color w:val="000000"/>
          <w:sz w:val="22"/>
          <w:szCs w:val="22"/>
        </w:rPr>
      </w:pPr>
    </w:p>
    <w:p w14:paraId="7A0D4231" w14:textId="15A77B19" w:rsidR="000D201E" w:rsidRPr="00A1779B" w:rsidRDefault="000D201E" w:rsidP="000D201E">
      <w:pPr>
        <w:rPr>
          <w:rFonts w:ascii="Arial" w:hAnsi="Arial" w:cs="Arial"/>
          <w:i/>
          <w:iCs/>
          <w:color w:val="000000"/>
          <w:sz w:val="22"/>
          <w:szCs w:val="22"/>
        </w:rPr>
      </w:pPr>
      <w:r w:rsidRPr="00A1779B">
        <w:rPr>
          <w:rFonts w:ascii="Arial" w:hAnsi="Arial" w:cs="Arial"/>
          <w:i/>
          <w:iCs/>
          <w:color w:val="000000"/>
          <w:sz w:val="22"/>
          <w:szCs w:val="22"/>
        </w:rPr>
        <w:t xml:space="preserve">NHS Jobs (2025) Assistant Social Worker – Aylesbury, Oxford Health NHS Foundation Trust. Available at: </w:t>
      </w:r>
      <w:hyperlink r:id="rId15" w:history="1">
        <w:r w:rsidRPr="00A1779B">
          <w:rPr>
            <w:rStyle w:val="Hyperlink"/>
            <w:rFonts w:ascii="Arial" w:hAnsi="Arial" w:cs="Arial"/>
            <w:i/>
            <w:iCs/>
            <w:sz w:val="22"/>
            <w:szCs w:val="22"/>
          </w:rPr>
          <w:t>https://www.jobs.nhs.uk/candidate/jo</w:t>
        </w:r>
        <w:r w:rsidRPr="00A1779B">
          <w:rPr>
            <w:rStyle w:val="Hyperlink"/>
            <w:rFonts w:ascii="Arial" w:hAnsi="Arial" w:cs="Arial"/>
            <w:i/>
            <w:iCs/>
            <w:sz w:val="22"/>
            <w:szCs w:val="22"/>
          </w:rPr>
          <w:t>b</w:t>
        </w:r>
        <w:r w:rsidRPr="00A1779B">
          <w:rPr>
            <w:rStyle w:val="Hyperlink"/>
            <w:rFonts w:ascii="Arial" w:hAnsi="Arial" w:cs="Arial"/>
            <w:i/>
            <w:iCs/>
            <w:sz w:val="22"/>
            <w:szCs w:val="22"/>
          </w:rPr>
          <w:t>advert/C9267-25-0428</w:t>
        </w:r>
      </w:hyperlink>
      <w:r w:rsidRPr="00A1779B">
        <w:rPr>
          <w:rFonts w:ascii="Arial" w:hAnsi="Arial" w:cs="Arial"/>
          <w:i/>
          <w:iCs/>
          <w:color w:val="000000"/>
          <w:sz w:val="22"/>
          <w:szCs w:val="22"/>
        </w:rPr>
        <w:t xml:space="preserve"> </w:t>
      </w:r>
    </w:p>
    <w:p w14:paraId="2CE40220" w14:textId="15EA1C4E" w:rsidR="000D201E" w:rsidRPr="00A1779B" w:rsidRDefault="000D201E" w:rsidP="000D201E">
      <w:pPr>
        <w:rPr>
          <w:rFonts w:ascii="Arial" w:hAnsi="Arial" w:cs="Arial"/>
          <w:i/>
          <w:iCs/>
          <w:color w:val="000000"/>
          <w:sz w:val="22"/>
          <w:szCs w:val="22"/>
        </w:rPr>
      </w:pPr>
      <w:r w:rsidRPr="00A1779B">
        <w:rPr>
          <w:rFonts w:ascii="Arial" w:hAnsi="Arial" w:cs="Arial"/>
          <w:i/>
          <w:iCs/>
          <w:color w:val="000000"/>
          <w:sz w:val="22"/>
          <w:szCs w:val="22"/>
        </w:rPr>
        <w:t>(Accessed</w:t>
      </w:r>
      <w:r w:rsidR="002C274A">
        <w:rPr>
          <w:rFonts w:ascii="Arial" w:hAnsi="Arial" w:cs="Arial"/>
          <w:i/>
          <w:iCs/>
          <w:color w:val="000000"/>
          <w:sz w:val="22"/>
          <w:szCs w:val="22"/>
        </w:rPr>
        <w:t xml:space="preserve"> on 28</w:t>
      </w:r>
      <w:r w:rsidRPr="00A1779B">
        <w:rPr>
          <w:rFonts w:ascii="Arial" w:hAnsi="Arial" w:cs="Arial"/>
          <w:i/>
          <w:iCs/>
          <w:color w:val="000000"/>
          <w:sz w:val="22"/>
          <w:szCs w:val="22"/>
        </w:rPr>
        <w:t xml:space="preserve"> Apr</w:t>
      </w:r>
      <w:r w:rsidR="002C274A">
        <w:rPr>
          <w:rFonts w:ascii="Arial" w:hAnsi="Arial" w:cs="Arial"/>
          <w:i/>
          <w:iCs/>
          <w:color w:val="000000"/>
          <w:sz w:val="22"/>
          <w:szCs w:val="22"/>
        </w:rPr>
        <w:t>il</w:t>
      </w:r>
      <w:r w:rsidRPr="00A1779B">
        <w:rPr>
          <w:rFonts w:ascii="Arial" w:hAnsi="Arial" w:cs="Arial"/>
          <w:i/>
          <w:iCs/>
          <w:color w:val="000000"/>
          <w:sz w:val="22"/>
          <w:szCs w:val="22"/>
        </w:rPr>
        <w:t xml:space="preserve"> 2026).</w:t>
      </w:r>
    </w:p>
    <w:p w14:paraId="6B0ACCD6" w14:textId="77777777" w:rsidR="000D201E" w:rsidRPr="00A1779B" w:rsidRDefault="000D201E" w:rsidP="000D201E">
      <w:pPr>
        <w:rPr>
          <w:rFonts w:ascii="Arial" w:hAnsi="Arial" w:cs="Arial"/>
          <w:i/>
          <w:iCs/>
          <w:color w:val="000000"/>
          <w:sz w:val="22"/>
          <w:szCs w:val="22"/>
        </w:rPr>
      </w:pPr>
    </w:p>
    <w:p w14:paraId="42325E1E" w14:textId="514C9308" w:rsidR="000D201E" w:rsidRPr="00A1779B" w:rsidRDefault="000D201E" w:rsidP="000D201E">
      <w:pPr>
        <w:rPr>
          <w:rFonts w:ascii="Arial" w:hAnsi="Arial" w:cs="Arial"/>
          <w:i/>
          <w:iCs/>
          <w:color w:val="000000"/>
          <w:sz w:val="22"/>
          <w:szCs w:val="22"/>
        </w:rPr>
      </w:pPr>
      <w:r w:rsidRPr="00A1779B">
        <w:rPr>
          <w:rFonts w:ascii="Arial" w:hAnsi="Arial" w:cs="Arial"/>
          <w:i/>
          <w:iCs/>
          <w:color w:val="000000"/>
          <w:sz w:val="22"/>
          <w:szCs w:val="22"/>
        </w:rPr>
        <w:t xml:space="preserve">Skills for Care (n.d.) The Care Workforce Pathway. Available at: </w:t>
      </w:r>
      <w:hyperlink r:id="rId16" w:history="1">
        <w:r w:rsidRPr="00A1779B">
          <w:rPr>
            <w:rStyle w:val="Hyperlink"/>
            <w:rFonts w:ascii="Arial" w:hAnsi="Arial" w:cs="Arial"/>
            <w:i/>
            <w:iCs/>
            <w:sz w:val="22"/>
            <w:szCs w:val="22"/>
          </w:rPr>
          <w:t>https://www.skillsforcare.org.uk/Developing-your-workforce/Care-workforce-pathway/The-Care-Workforce-Pathway.aspx</w:t>
        </w:r>
      </w:hyperlink>
      <w:r w:rsidRPr="00A1779B">
        <w:rPr>
          <w:rFonts w:ascii="Arial" w:hAnsi="Arial" w:cs="Arial"/>
          <w:i/>
          <w:iCs/>
          <w:color w:val="000000"/>
          <w:sz w:val="22"/>
          <w:szCs w:val="22"/>
        </w:rPr>
        <w:t xml:space="preserve"> (Accessed</w:t>
      </w:r>
      <w:r w:rsidR="002C274A">
        <w:rPr>
          <w:rFonts w:ascii="Arial" w:hAnsi="Arial" w:cs="Arial"/>
          <w:i/>
          <w:iCs/>
          <w:color w:val="000000"/>
          <w:sz w:val="22"/>
          <w:szCs w:val="22"/>
        </w:rPr>
        <w:t xml:space="preserve"> on 28 </w:t>
      </w:r>
      <w:r w:rsidRPr="00A1779B">
        <w:rPr>
          <w:rFonts w:ascii="Arial" w:hAnsi="Arial" w:cs="Arial"/>
          <w:i/>
          <w:iCs/>
          <w:color w:val="000000"/>
          <w:sz w:val="22"/>
          <w:szCs w:val="22"/>
        </w:rPr>
        <w:t>April 2026).</w:t>
      </w:r>
    </w:p>
    <w:p w14:paraId="62073BDA" w14:textId="77777777" w:rsidR="000D201E" w:rsidRPr="00A1779B" w:rsidRDefault="000D201E" w:rsidP="000D201E">
      <w:pPr>
        <w:rPr>
          <w:rFonts w:ascii="Arial" w:hAnsi="Arial" w:cs="Arial"/>
          <w:i/>
          <w:iCs/>
          <w:color w:val="000000"/>
          <w:sz w:val="22"/>
          <w:szCs w:val="22"/>
        </w:rPr>
      </w:pPr>
    </w:p>
    <w:p w14:paraId="188BA0B7" w14:textId="332356A2" w:rsidR="00A1779B" w:rsidRDefault="000D201E" w:rsidP="000D201E">
      <w:pPr>
        <w:rPr>
          <w:rFonts w:ascii="Arial" w:hAnsi="Arial" w:cs="Arial"/>
          <w:i/>
          <w:iCs/>
          <w:color w:val="000000"/>
          <w:sz w:val="22"/>
          <w:szCs w:val="22"/>
        </w:rPr>
      </w:pPr>
      <w:r w:rsidRPr="00A1779B">
        <w:rPr>
          <w:rFonts w:ascii="Arial" w:hAnsi="Arial" w:cs="Arial"/>
          <w:i/>
          <w:iCs/>
          <w:color w:val="000000"/>
          <w:sz w:val="22"/>
          <w:szCs w:val="22"/>
        </w:rPr>
        <w:t xml:space="preserve">Social Work England (n.d.) Professional standards. Available at: </w:t>
      </w:r>
      <w:hyperlink r:id="rId17" w:history="1">
        <w:r w:rsidRPr="00A1779B">
          <w:rPr>
            <w:rStyle w:val="Hyperlink"/>
            <w:rFonts w:ascii="Arial" w:hAnsi="Arial" w:cs="Arial"/>
            <w:i/>
            <w:iCs/>
            <w:sz w:val="22"/>
            <w:szCs w:val="22"/>
          </w:rPr>
          <w:t>https://www.socialworkengland.org.uk/standards/professional-standards/</w:t>
        </w:r>
      </w:hyperlink>
      <w:r w:rsidRPr="00A1779B">
        <w:rPr>
          <w:rFonts w:ascii="Arial" w:hAnsi="Arial" w:cs="Arial"/>
          <w:i/>
          <w:iCs/>
          <w:color w:val="000000"/>
          <w:sz w:val="22"/>
          <w:szCs w:val="22"/>
        </w:rPr>
        <w:t xml:space="preserve"> (Accessed: </w:t>
      </w:r>
      <w:r w:rsidR="002C274A">
        <w:rPr>
          <w:rFonts w:ascii="Arial" w:hAnsi="Arial" w:cs="Arial"/>
          <w:i/>
          <w:iCs/>
          <w:color w:val="000000"/>
          <w:sz w:val="22"/>
          <w:szCs w:val="22"/>
        </w:rPr>
        <w:t xml:space="preserve">28 </w:t>
      </w:r>
      <w:r w:rsidRPr="00A1779B">
        <w:rPr>
          <w:rFonts w:ascii="Arial" w:hAnsi="Arial" w:cs="Arial"/>
          <w:i/>
          <w:iCs/>
          <w:color w:val="000000"/>
          <w:sz w:val="22"/>
          <w:szCs w:val="22"/>
        </w:rPr>
        <w:t>April 2026)</w:t>
      </w:r>
      <w:r w:rsidR="00A1779B">
        <w:rPr>
          <w:rFonts w:ascii="Arial" w:hAnsi="Arial" w:cs="Arial"/>
          <w:i/>
          <w:iCs/>
          <w:color w:val="000000"/>
          <w:sz w:val="22"/>
          <w:szCs w:val="22"/>
        </w:rPr>
        <w:t>.</w:t>
      </w:r>
    </w:p>
    <w:p w14:paraId="298F5B20" w14:textId="77777777" w:rsidR="00A1779B" w:rsidRDefault="00A1779B" w:rsidP="000D201E">
      <w:pPr>
        <w:rPr>
          <w:rFonts w:ascii="Arial" w:hAnsi="Arial" w:cs="Arial"/>
          <w:i/>
          <w:iCs/>
          <w:color w:val="000000"/>
          <w:sz w:val="22"/>
          <w:szCs w:val="22"/>
        </w:rPr>
      </w:pPr>
    </w:p>
    <w:p w14:paraId="328E9068" w14:textId="6761FD56" w:rsidR="00E736DE" w:rsidRPr="00A1779B" w:rsidRDefault="00E736DE" w:rsidP="000D201E">
      <w:pPr>
        <w:rPr>
          <w:rFonts w:ascii="Arial" w:hAnsi="Arial" w:cs="Arial"/>
          <w:i/>
          <w:iCs/>
          <w:color w:val="000000"/>
          <w:sz w:val="22"/>
          <w:szCs w:val="22"/>
        </w:rPr>
      </w:pPr>
    </w:p>
    <w:sectPr w:rsidR="00E736DE" w:rsidRPr="00A1779B">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F85C80" w14:textId="77777777" w:rsidR="00A04A09" w:rsidRDefault="00A04A09" w:rsidP="0010291C">
      <w:r>
        <w:separator/>
      </w:r>
    </w:p>
  </w:endnote>
  <w:endnote w:type="continuationSeparator" w:id="0">
    <w:p w14:paraId="627D2EED" w14:textId="77777777" w:rsidR="00A04A09" w:rsidRDefault="00A04A09" w:rsidP="001029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0554463"/>
      <w:docPartObj>
        <w:docPartGallery w:val="Page Numbers (Bottom of Page)"/>
        <w:docPartUnique/>
      </w:docPartObj>
    </w:sdtPr>
    <w:sdtContent>
      <w:p w14:paraId="5CF22476" w14:textId="17C88170" w:rsidR="0010291C" w:rsidRDefault="0010291C" w:rsidP="001029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B6215FB" w14:textId="77777777" w:rsidR="0010291C" w:rsidRDefault="0010291C" w:rsidP="0010291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60939636"/>
      <w:docPartObj>
        <w:docPartGallery w:val="Page Numbers (Bottom of Page)"/>
        <w:docPartUnique/>
      </w:docPartObj>
    </w:sdtPr>
    <w:sdtContent>
      <w:p w14:paraId="57D2996E" w14:textId="57106F18" w:rsidR="0010291C" w:rsidRDefault="0010291C" w:rsidP="001029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8EF17A" w14:textId="77777777" w:rsidR="0010291C" w:rsidRDefault="0010291C" w:rsidP="0010291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4BEB62" w14:textId="77777777" w:rsidR="00A04A09" w:rsidRDefault="00A04A09" w:rsidP="0010291C">
      <w:r>
        <w:separator/>
      </w:r>
    </w:p>
  </w:footnote>
  <w:footnote w:type="continuationSeparator" w:id="0">
    <w:p w14:paraId="64CD6C53" w14:textId="77777777" w:rsidR="00A04A09" w:rsidRDefault="00A04A09" w:rsidP="0010291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6DE"/>
    <w:rsid w:val="000D201E"/>
    <w:rsid w:val="0010291C"/>
    <w:rsid w:val="00107F74"/>
    <w:rsid w:val="00117146"/>
    <w:rsid w:val="002C274A"/>
    <w:rsid w:val="003069F9"/>
    <w:rsid w:val="003422AF"/>
    <w:rsid w:val="003A4F4A"/>
    <w:rsid w:val="0053115F"/>
    <w:rsid w:val="00546B91"/>
    <w:rsid w:val="00726CD7"/>
    <w:rsid w:val="007714F4"/>
    <w:rsid w:val="00820597"/>
    <w:rsid w:val="00A04A09"/>
    <w:rsid w:val="00A1779B"/>
    <w:rsid w:val="00AC37ED"/>
    <w:rsid w:val="00CA48C3"/>
    <w:rsid w:val="00E736DE"/>
    <w:rsid w:val="00FC4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091E0"/>
  <w15:chartTrackingRefBased/>
  <w15:docId w15:val="{213396D3-09DF-C646-B5A0-452666110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36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36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736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36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36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36D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6D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6D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6D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6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36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736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36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36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36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6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6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6DE"/>
    <w:rPr>
      <w:rFonts w:eastAsiaTheme="majorEastAsia" w:cstheme="majorBidi"/>
      <w:color w:val="272727" w:themeColor="text1" w:themeTint="D8"/>
    </w:rPr>
  </w:style>
  <w:style w:type="paragraph" w:styleId="Title">
    <w:name w:val="Title"/>
    <w:basedOn w:val="Normal"/>
    <w:next w:val="Normal"/>
    <w:link w:val="TitleChar"/>
    <w:uiPriority w:val="10"/>
    <w:qFormat/>
    <w:rsid w:val="00E736D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6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6D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6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6D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736DE"/>
    <w:rPr>
      <w:i/>
      <w:iCs/>
      <w:color w:val="404040" w:themeColor="text1" w:themeTint="BF"/>
    </w:rPr>
  </w:style>
  <w:style w:type="paragraph" w:styleId="ListParagraph">
    <w:name w:val="List Paragraph"/>
    <w:basedOn w:val="Normal"/>
    <w:uiPriority w:val="34"/>
    <w:qFormat/>
    <w:rsid w:val="00E736DE"/>
    <w:pPr>
      <w:ind w:left="720"/>
      <w:contextualSpacing/>
    </w:pPr>
  </w:style>
  <w:style w:type="character" w:styleId="IntenseEmphasis">
    <w:name w:val="Intense Emphasis"/>
    <w:basedOn w:val="DefaultParagraphFont"/>
    <w:uiPriority w:val="21"/>
    <w:qFormat/>
    <w:rsid w:val="00E736DE"/>
    <w:rPr>
      <w:i/>
      <w:iCs/>
      <w:color w:val="0F4761" w:themeColor="accent1" w:themeShade="BF"/>
    </w:rPr>
  </w:style>
  <w:style w:type="paragraph" w:styleId="IntenseQuote">
    <w:name w:val="Intense Quote"/>
    <w:basedOn w:val="Normal"/>
    <w:next w:val="Normal"/>
    <w:link w:val="IntenseQuoteChar"/>
    <w:uiPriority w:val="30"/>
    <w:qFormat/>
    <w:rsid w:val="00E736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36DE"/>
    <w:rPr>
      <w:i/>
      <w:iCs/>
      <w:color w:val="0F4761" w:themeColor="accent1" w:themeShade="BF"/>
    </w:rPr>
  </w:style>
  <w:style w:type="character" w:styleId="IntenseReference">
    <w:name w:val="Intense Reference"/>
    <w:basedOn w:val="DefaultParagraphFont"/>
    <w:uiPriority w:val="32"/>
    <w:qFormat/>
    <w:rsid w:val="00E736DE"/>
    <w:rPr>
      <w:b/>
      <w:bCs/>
      <w:smallCaps/>
      <w:color w:val="0F4761" w:themeColor="accent1" w:themeShade="BF"/>
      <w:spacing w:val="5"/>
    </w:rPr>
  </w:style>
  <w:style w:type="paragraph" w:styleId="NormalWeb">
    <w:name w:val="Normal (Web)"/>
    <w:basedOn w:val="Normal"/>
    <w:uiPriority w:val="99"/>
    <w:semiHidden/>
    <w:unhideWhenUsed/>
    <w:rsid w:val="00E736D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736DE"/>
  </w:style>
  <w:style w:type="character" w:styleId="Strong">
    <w:name w:val="Strong"/>
    <w:basedOn w:val="DefaultParagraphFont"/>
    <w:uiPriority w:val="22"/>
    <w:qFormat/>
    <w:rsid w:val="00E736DE"/>
    <w:rPr>
      <w:b/>
      <w:bCs/>
    </w:rPr>
  </w:style>
  <w:style w:type="character" w:styleId="Hyperlink">
    <w:name w:val="Hyperlink"/>
    <w:basedOn w:val="DefaultParagraphFont"/>
    <w:uiPriority w:val="99"/>
    <w:unhideWhenUsed/>
    <w:rsid w:val="000D201E"/>
    <w:rPr>
      <w:color w:val="467886" w:themeColor="hyperlink"/>
      <w:u w:val="single"/>
    </w:rPr>
  </w:style>
  <w:style w:type="character" w:styleId="UnresolvedMention">
    <w:name w:val="Unresolved Mention"/>
    <w:basedOn w:val="DefaultParagraphFont"/>
    <w:uiPriority w:val="99"/>
    <w:semiHidden/>
    <w:unhideWhenUsed/>
    <w:rsid w:val="000D201E"/>
    <w:rPr>
      <w:color w:val="605E5C"/>
      <w:shd w:val="clear" w:color="auto" w:fill="E1DFDD"/>
    </w:rPr>
  </w:style>
  <w:style w:type="character" w:styleId="FollowedHyperlink">
    <w:name w:val="FollowedHyperlink"/>
    <w:basedOn w:val="DefaultParagraphFont"/>
    <w:uiPriority w:val="99"/>
    <w:semiHidden/>
    <w:unhideWhenUsed/>
    <w:rsid w:val="00A1779B"/>
    <w:rPr>
      <w:color w:val="96607D" w:themeColor="followedHyperlink"/>
      <w:u w:val="single"/>
    </w:rPr>
  </w:style>
  <w:style w:type="paragraph" w:styleId="TOCHeading">
    <w:name w:val="TOC Heading"/>
    <w:basedOn w:val="Heading1"/>
    <w:next w:val="Normal"/>
    <w:uiPriority w:val="39"/>
    <w:unhideWhenUsed/>
    <w:qFormat/>
    <w:rsid w:val="0010291C"/>
    <w:pPr>
      <w:spacing w:before="480" w:after="0" w:line="276" w:lineRule="auto"/>
      <w:outlineLvl w:val="9"/>
    </w:pPr>
    <w:rPr>
      <w:b/>
      <w:bCs/>
      <w:kern w:val="0"/>
      <w:sz w:val="28"/>
      <w:szCs w:val="28"/>
      <w:lang w:val="en-US"/>
      <w14:ligatures w14:val="none"/>
    </w:rPr>
  </w:style>
  <w:style w:type="paragraph" w:styleId="TOC3">
    <w:name w:val="toc 3"/>
    <w:basedOn w:val="Normal"/>
    <w:next w:val="Normal"/>
    <w:autoRedefine/>
    <w:uiPriority w:val="39"/>
    <w:unhideWhenUsed/>
    <w:rsid w:val="0010291C"/>
    <w:pPr>
      <w:ind w:left="480"/>
    </w:pPr>
    <w:rPr>
      <w:sz w:val="20"/>
      <w:szCs w:val="20"/>
    </w:rPr>
  </w:style>
  <w:style w:type="paragraph" w:styleId="TOC1">
    <w:name w:val="toc 1"/>
    <w:basedOn w:val="Normal"/>
    <w:next w:val="Normal"/>
    <w:autoRedefine/>
    <w:uiPriority w:val="39"/>
    <w:unhideWhenUsed/>
    <w:rsid w:val="0010291C"/>
    <w:pPr>
      <w:spacing w:before="120"/>
    </w:pPr>
    <w:rPr>
      <w:b/>
      <w:bCs/>
      <w:i/>
      <w:iCs/>
    </w:rPr>
  </w:style>
  <w:style w:type="paragraph" w:styleId="TOC2">
    <w:name w:val="toc 2"/>
    <w:basedOn w:val="Normal"/>
    <w:next w:val="Normal"/>
    <w:autoRedefine/>
    <w:uiPriority w:val="39"/>
    <w:semiHidden/>
    <w:unhideWhenUsed/>
    <w:rsid w:val="0010291C"/>
    <w:pPr>
      <w:spacing w:before="120"/>
      <w:ind w:left="240"/>
    </w:pPr>
    <w:rPr>
      <w:b/>
      <w:bCs/>
      <w:sz w:val="22"/>
      <w:szCs w:val="22"/>
    </w:rPr>
  </w:style>
  <w:style w:type="paragraph" w:styleId="TOC4">
    <w:name w:val="toc 4"/>
    <w:basedOn w:val="Normal"/>
    <w:next w:val="Normal"/>
    <w:autoRedefine/>
    <w:uiPriority w:val="39"/>
    <w:semiHidden/>
    <w:unhideWhenUsed/>
    <w:rsid w:val="0010291C"/>
    <w:pPr>
      <w:ind w:left="720"/>
    </w:pPr>
    <w:rPr>
      <w:sz w:val="20"/>
      <w:szCs w:val="20"/>
    </w:rPr>
  </w:style>
  <w:style w:type="paragraph" w:styleId="TOC5">
    <w:name w:val="toc 5"/>
    <w:basedOn w:val="Normal"/>
    <w:next w:val="Normal"/>
    <w:autoRedefine/>
    <w:uiPriority w:val="39"/>
    <w:semiHidden/>
    <w:unhideWhenUsed/>
    <w:rsid w:val="0010291C"/>
    <w:pPr>
      <w:ind w:left="960"/>
    </w:pPr>
    <w:rPr>
      <w:sz w:val="20"/>
      <w:szCs w:val="20"/>
    </w:rPr>
  </w:style>
  <w:style w:type="paragraph" w:styleId="TOC6">
    <w:name w:val="toc 6"/>
    <w:basedOn w:val="Normal"/>
    <w:next w:val="Normal"/>
    <w:autoRedefine/>
    <w:uiPriority w:val="39"/>
    <w:semiHidden/>
    <w:unhideWhenUsed/>
    <w:rsid w:val="0010291C"/>
    <w:pPr>
      <w:ind w:left="1200"/>
    </w:pPr>
    <w:rPr>
      <w:sz w:val="20"/>
      <w:szCs w:val="20"/>
    </w:rPr>
  </w:style>
  <w:style w:type="paragraph" w:styleId="TOC7">
    <w:name w:val="toc 7"/>
    <w:basedOn w:val="Normal"/>
    <w:next w:val="Normal"/>
    <w:autoRedefine/>
    <w:uiPriority w:val="39"/>
    <w:semiHidden/>
    <w:unhideWhenUsed/>
    <w:rsid w:val="0010291C"/>
    <w:pPr>
      <w:ind w:left="1440"/>
    </w:pPr>
    <w:rPr>
      <w:sz w:val="20"/>
      <w:szCs w:val="20"/>
    </w:rPr>
  </w:style>
  <w:style w:type="paragraph" w:styleId="TOC8">
    <w:name w:val="toc 8"/>
    <w:basedOn w:val="Normal"/>
    <w:next w:val="Normal"/>
    <w:autoRedefine/>
    <w:uiPriority w:val="39"/>
    <w:semiHidden/>
    <w:unhideWhenUsed/>
    <w:rsid w:val="0010291C"/>
    <w:pPr>
      <w:ind w:left="1680"/>
    </w:pPr>
    <w:rPr>
      <w:sz w:val="20"/>
      <w:szCs w:val="20"/>
    </w:rPr>
  </w:style>
  <w:style w:type="paragraph" w:styleId="TOC9">
    <w:name w:val="toc 9"/>
    <w:basedOn w:val="Normal"/>
    <w:next w:val="Normal"/>
    <w:autoRedefine/>
    <w:uiPriority w:val="39"/>
    <w:semiHidden/>
    <w:unhideWhenUsed/>
    <w:rsid w:val="0010291C"/>
    <w:pPr>
      <w:ind w:left="1920"/>
    </w:pPr>
    <w:rPr>
      <w:sz w:val="20"/>
      <w:szCs w:val="20"/>
    </w:rPr>
  </w:style>
  <w:style w:type="paragraph" w:styleId="Footer">
    <w:name w:val="footer"/>
    <w:basedOn w:val="Normal"/>
    <w:link w:val="FooterChar"/>
    <w:uiPriority w:val="99"/>
    <w:unhideWhenUsed/>
    <w:rsid w:val="0010291C"/>
    <w:pPr>
      <w:tabs>
        <w:tab w:val="center" w:pos="4513"/>
        <w:tab w:val="right" w:pos="9026"/>
      </w:tabs>
    </w:pPr>
  </w:style>
  <w:style w:type="character" w:customStyle="1" w:styleId="FooterChar">
    <w:name w:val="Footer Char"/>
    <w:basedOn w:val="DefaultParagraphFont"/>
    <w:link w:val="Footer"/>
    <w:uiPriority w:val="99"/>
    <w:rsid w:val="0010291C"/>
  </w:style>
  <w:style w:type="character" w:styleId="PageNumber">
    <w:name w:val="page number"/>
    <w:basedOn w:val="DefaultParagraphFont"/>
    <w:uiPriority w:val="99"/>
    <w:semiHidden/>
    <w:unhideWhenUsed/>
    <w:rsid w:val="001029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gov.uk/government/publications/care-workforce-pathway-for-adult-social-care/care-workforce-pathway-for-adult-social-care-overview"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basw.co.uk/policy-and-practice/resources/social-worker-standards" TargetMode="External"/><Relationship Id="rId17" Type="http://schemas.openxmlformats.org/officeDocument/2006/relationships/hyperlink" Target="https://www.socialworkengland.org.uk/standards/professional-standards/" TargetMode="External"/><Relationship Id="rId2" Type="http://schemas.openxmlformats.org/officeDocument/2006/relationships/styles" Target="styles.xml"/><Relationship Id="rId16" Type="http://schemas.openxmlformats.org/officeDocument/2006/relationships/hyperlink" Target="https://www.skillsforcare.org.uk/Developing-your-workforce/Care-workforce-pathway/The-Care-Workforce-Pathway.aspx"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asw.co.uk/policy-and-practice/resources/digital-capabilities-social-workers" TargetMode="External"/><Relationship Id="rId5" Type="http://schemas.openxmlformats.org/officeDocument/2006/relationships/footnotes" Target="footnotes.xml"/><Relationship Id="rId15" Type="http://schemas.openxmlformats.org/officeDocument/2006/relationships/hyperlink" Target="https://www.jobs.nhs.uk/candidate/jobadvert/C9267-25-0428"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england.nhs.uk/about/our-val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050FB0-B0E0-C44F-A8E1-C91A70ED8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11</Pages>
  <Words>3154</Words>
  <Characters>17981</Characters>
  <Application>Microsoft Office Word</Application>
  <DocSecurity>0</DocSecurity>
  <Lines>149</Lines>
  <Paragraphs>42</Paragraphs>
  <ScaleCrop>false</ScaleCrop>
  <Company/>
  <LinksUpToDate>false</LinksUpToDate>
  <CharactersWithSpaces>21093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Rina Elizabeth López García (2337019)</dc:creator>
  <cp:keywords/>
  <dc:description/>
  <cp:lastModifiedBy>Rina Elizabeth López García (2337019)</cp:lastModifiedBy>
  <cp:revision>14</cp:revision>
  <dcterms:created xsi:type="dcterms:W3CDTF">2026-04-24T11:07:00Z</dcterms:created>
  <dcterms:modified xsi:type="dcterms:W3CDTF">2026-04-30T22:46:00Z</dcterms:modified>
</cp:coreProperties>
</file>