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2C87" w:rsidRDefault="004C2C87" w:rsidP="004C2C87">
      <w:pPr>
        <w:jc w:val="center"/>
        <w:rPr>
          <w:b/>
          <w:sz w:val="40"/>
          <w:szCs w:val="36"/>
        </w:rPr>
      </w:pPr>
      <w:r>
        <w:rPr>
          <w:noProof/>
        </w:rPr>
        <w:drawing>
          <wp:inline distT="0" distB="0" distL="0" distR="0">
            <wp:extent cx="3181350" cy="1767417"/>
            <wp:effectExtent l="19050" t="0" r="0" b="0"/>
            <wp:docPr id="3" name="Picture 1" descr="https://tukuz.com/wp-content/uploads/2021/06/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kuz.com/wp-content/uploads/2021/06/university-of-wales-trinity-saint-david-logo-vector.png"/>
                    <pic:cNvPicPr>
                      <a:picLocks noChangeAspect="1" noChangeArrowheads="1"/>
                    </pic:cNvPicPr>
                  </pic:nvPicPr>
                  <pic:blipFill>
                    <a:blip r:embed="rId8" cstate="print"/>
                    <a:srcRect/>
                    <a:stretch>
                      <a:fillRect/>
                    </a:stretch>
                  </pic:blipFill>
                  <pic:spPr bwMode="auto">
                    <a:xfrm>
                      <a:off x="0" y="0"/>
                      <a:ext cx="3183799" cy="1768778"/>
                    </a:xfrm>
                    <a:prstGeom prst="rect">
                      <a:avLst/>
                    </a:prstGeom>
                    <a:noFill/>
                    <a:ln w="9525">
                      <a:noFill/>
                      <a:miter lim="800000"/>
                      <a:headEnd/>
                      <a:tailEnd/>
                    </a:ln>
                  </pic:spPr>
                </pic:pic>
              </a:graphicData>
            </a:graphic>
          </wp:inline>
        </w:drawing>
      </w:r>
    </w:p>
    <w:p w:rsidR="004C2C87" w:rsidRDefault="004C2C87" w:rsidP="004C2C87">
      <w:pPr>
        <w:jc w:val="center"/>
        <w:rPr>
          <w:b/>
          <w:sz w:val="40"/>
          <w:szCs w:val="36"/>
        </w:rPr>
      </w:pPr>
      <w:r>
        <w:rPr>
          <w:b/>
          <w:sz w:val="40"/>
          <w:szCs w:val="36"/>
        </w:rPr>
        <w:t xml:space="preserve">Student </w:t>
      </w:r>
      <w:proofErr w:type="gramStart"/>
      <w:r>
        <w:rPr>
          <w:b/>
          <w:sz w:val="40"/>
          <w:szCs w:val="36"/>
        </w:rPr>
        <w:t>I</w:t>
      </w:r>
      <w:r w:rsidRPr="00E82801">
        <w:rPr>
          <w:b/>
          <w:sz w:val="40"/>
          <w:szCs w:val="36"/>
        </w:rPr>
        <w:t xml:space="preserve">d </w:t>
      </w:r>
      <w:r>
        <w:rPr>
          <w:b/>
          <w:sz w:val="40"/>
          <w:szCs w:val="36"/>
        </w:rPr>
        <w:t>:</w:t>
      </w:r>
      <w:proofErr w:type="gramEnd"/>
      <w:r w:rsidRPr="00E82801">
        <w:rPr>
          <w:b/>
          <w:sz w:val="40"/>
          <w:szCs w:val="36"/>
        </w:rPr>
        <w:t xml:space="preserve"> 2431571</w:t>
      </w:r>
    </w:p>
    <w:p w:rsidR="004C2C87" w:rsidRDefault="004C2C87" w:rsidP="004C2C87">
      <w:pPr>
        <w:jc w:val="center"/>
        <w:rPr>
          <w:b/>
          <w:sz w:val="40"/>
          <w:szCs w:val="36"/>
        </w:rPr>
      </w:pPr>
      <w:r>
        <w:rPr>
          <w:b/>
          <w:sz w:val="40"/>
          <w:szCs w:val="36"/>
        </w:rPr>
        <w:t xml:space="preserve">Student </w:t>
      </w:r>
      <w:proofErr w:type="gramStart"/>
      <w:r>
        <w:rPr>
          <w:b/>
          <w:sz w:val="40"/>
          <w:szCs w:val="36"/>
        </w:rPr>
        <w:t>N</w:t>
      </w:r>
      <w:r w:rsidRPr="00E82801">
        <w:rPr>
          <w:b/>
          <w:sz w:val="40"/>
          <w:szCs w:val="36"/>
        </w:rPr>
        <w:t>ame</w:t>
      </w:r>
      <w:r>
        <w:rPr>
          <w:b/>
          <w:sz w:val="40"/>
          <w:szCs w:val="36"/>
        </w:rPr>
        <w:t xml:space="preserve"> :</w:t>
      </w:r>
      <w:proofErr w:type="gramEnd"/>
      <w:r>
        <w:rPr>
          <w:b/>
          <w:sz w:val="40"/>
          <w:szCs w:val="36"/>
        </w:rPr>
        <w:t xml:space="preserve"> </w:t>
      </w:r>
      <w:r w:rsidRPr="00E82801">
        <w:rPr>
          <w:b/>
          <w:sz w:val="40"/>
          <w:szCs w:val="36"/>
        </w:rPr>
        <w:t>Parbat </w:t>
      </w:r>
      <w:proofErr w:type="spellStart"/>
      <w:r w:rsidRPr="00E82801">
        <w:rPr>
          <w:b/>
          <w:sz w:val="40"/>
          <w:szCs w:val="36"/>
        </w:rPr>
        <w:t>khunti</w:t>
      </w:r>
      <w:proofErr w:type="spellEnd"/>
    </w:p>
    <w:p w:rsidR="004C2C87" w:rsidRPr="005A0BD7" w:rsidRDefault="004C2C87" w:rsidP="004C2C87">
      <w:pPr>
        <w:jc w:val="center"/>
        <w:rPr>
          <w:b/>
          <w:sz w:val="40"/>
          <w:szCs w:val="36"/>
        </w:rPr>
      </w:pPr>
      <w:r w:rsidRPr="005A0BD7">
        <w:rPr>
          <w:b/>
          <w:sz w:val="40"/>
          <w:szCs w:val="36"/>
        </w:rPr>
        <w:t>Master of Business Administration</w:t>
      </w:r>
    </w:p>
    <w:p w:rsidR="004C2C87" w:rsidRPr="005A0BD7" w:rsidRDefault="004C2C87" w:rsidP="004C2C87">
      <w:pPr>
        <w:jc w:val="center"/>
        <w:rPr>
          <w:b/>
          <w:sz w:val="40"/>
          <w:szCs w:val="36"/>
        </w:rPr>
      </w:pPr>
      <w:r w:rsidRPr="005A0BD7">
        <w:rPr>
          <w:b/>
          <w:sz w:val="40"/>
          <w:szCs w:val="36"/>
        </w:rPr>
        <w:t>Module:</w:t>
      </w:r>
      <w:r>
        <w:rPr>
          <w:b/>
          <w:sz w:val="40"/>
          <w:szCs w:val="36"/>
        </w:rPr>
        <w:t xml:space="preserve"> International Business Concepts</w:t>
      </w:r>
      <w:r w:rsidRPr="005A0BD7">
        <w:rPr>
          <w:b/>
          <w:sz w:val="40"/>
          <w:szCs w:val="36"/>
        </w:rPr>
        <w:t xml:space="preserve"> </w:t>
      </w:r>
    </w:p>
    <w:p w:rsidR="004C2C87" w:rsidRPr="005A0BD7" w:rsidRDefault="004C2C87" w:rsidP="004C2C87">
      <w:pPr>
        <w:jc w:val="center"/>
        <w:rPr>
          <w:b/>
          <w:sz w:val="40"/>
          <w:szCs w:val="36"/>
        </w:rPr>
      </w:pPr>
      <w:r>
        <w:rPr>
          <w:b/>
          <w:sz w:val="40"/>
          <w:szCs w:val="36"/>
        </w:rPr>
        <w:t>Module Code: LCMB7034</w:t>
      </w:r>
    </w:p>
    <w:p w:rsidR="004C2C87" w:rsidRDefault="004C2C87" w:rsidP="004C2C87">
      <w:pPr>
        <w:jc w:val="center"/>
        <w:rPr>
          <w:b/>
          <w:sz w:val="40"/>
          <w:szCs w:val="36"/>
        </w:rPr>
      </w:pPr>
      <w:r>
        <w:rPr>
          <w:b/>
          <w:sz w:val="40"/>
          <w:szCs w:val="36"/>
        </w:rPr>
        <w:t xml:space="preserve">Assignment </w:t>
      </w:r>
      <w:proofErr w:type="gramStart"/>
      <w:r>
        <w:rPr>
          <w:b/>
          <w:sz w:val="40"/>
          <w:szCs w:val="36"/>
        </w:rPr>
        <w:t>Title :</w:t>
      </w:r>
      <w:proofErr w:type="gramEnd"/>
      <w:r>
        <w:rPr>
          <w:b/>
          <w:sz w:val="40"/>
          <w:szCs w:val="36"/>
        </w:rPr>
        <w:t xml:space="preserve"> Report</w:t>
      </w:r>
    </w:p>
    <w:p w:rsidR="004C2C87" w:rsidRDefault="004C2C87" w:rsidP="004C2C87">
      <w:pPr>
        <w:jc w:val="center"/>
        <w:rPr>
          <w:b/>
          <w:sz w:val="40"/>
          <w:szCs w:val="36"/>
        </w:rPr>
      </w:pPr>
      <w:r w:rsidRPr="00E82801">
        <w:rPr>
          <w:b/>
          <w:sz w:val="40"/>
          <w:szCs w:val="36"/>
        </w:rPr>
        <w:t>Lecture</w:t>
      </w:r>
      <w:r>
        <w:rPr>
          <w:b/>
          <w:sz w:val="40"/>
          <w:szCs w:val="36"/>
        </w:rPr>
        <w:t xml:space="preserve">r </w:t>
      </w:r>
      <w:proofErr w:type="gramStart"/>
      <w:r>
        <w:rPr>
          <w:b/>
          <w:sz w:val="40"/>
          <w:szCs w:val="36"/>
        </w:rPr>
        <w:t>N</w:t>
      </w:r>
      <w:r w:rsidRPr="00E82801">
        <w:rPr>
          <w:b/>
          <w:sz w:val="40"/>
          <w:szCs w:val="36"/>
        </w:rPr>
        <w:t>ame</w:t>
      </w:r>
      <w:r>
        <w:rPr>
          <w:b/>
          <w:sz w:val="40"/>
          <w:szCs w:val="36"/>
        </w:rPr>
        <w:t xml:space="preserve"> :</w:t>
      </w:r>
      <w:proofErr w:type="gramEnd"/>
      <w:r w:rsidRPr="00E82801">
        <w:rPr>
          <w:b/>
          <w:sz w:val="40"/>
          <w:szCs w:val="36"/>
        </w:rPr>
        <w:t xml:space="preserve"> </w:t>
      </w:r>
      <w:r w:rsidRPr="0018433F">
        <w:rPr>
          <w:rFonts w:cstheme="minorHAnsi"/>
          <w:b/>
          <w:sz w:val="40"/>
        </w:rPr>
        <w:t>Chung Lai Johnny Wan</w:t>
      </w:r>
    </w:p>
    <w:p w:rsidR="004C2C87" w:rsidRDefault="004C2C87" w:rsidP="004C2C87">
      <w:pPr>
        <w:jc w:val="center"/>
        <w:rPr>
          <w:b/>
          <w:sz w:val="40"/>
          <w:szCs w:val="36"/>
        </w:rPr>
      </w:pPr>
      <w:r>
        <w:rPr>
          <w:b/>
          <w:sz w:val="40"/>
          <w:szCs w:val="36"/>
        </w:rPr>
        <w:t xml:space="preserve">Word </w:t>
      </w:r>
      <w:proofErr w:type="gramStart"/>
      <w:r>
        <w:rPr>
          <w:b/>
          <w:sz w:val="40"/>
          <w:szCs w:val="36"/>
        </w:rPr>
        <w:t>Count :</w:t>
      </w:r>
      <w:proofErr w:type="gramEnd"/>
      <w:r>
        <w:rPr>
          <w:b/>
          <w:sz w:val="40"/>
          <w:szCs w:val="36"/>
        </w:rPr>
        <w:t xml:space="preserve"> 5268 Words</w:t>
      </w:r>
    </w:p>
    <w:p w:rsidR="004C2C87" w:rsidRPr="005A0BD7" w:rsidRDefault="004C2C87" w:rsidP="004C2C87">
      <w:pPr>
        <w:jc w:val="center"/>
        <w:rPr>
          <w:b/>
          <w:sz w:val="40"/>
          <w:szCs w:val="36"/>
        </w:rPr>
      </w:pPr>
      <w:r>
        <w:rPr>
          <w:b/>
          <w:sz w:val="40"/>
          <w:szCs w:val="36"/>
        </w:rPr>
        <w:t>Submission Date : 20-11-2025</w:t>
      </w:r>
    </w:p>
    <w:p w:rsidR="007D263E" w:rsidRDefault="007D263E">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p w:rsidR="004C2C87" w:rsidRDefault="004C2C87">
      <w:pPr>
        <w:rPr>
          <w:rFonts w:ascii="Arial" w:hAnsi="Arial" w:cs="Arial"/>
          <w:b/>
          <w:bCs/>
          <w:sz w:val="24"/>
          <w:szCs w:val="24"/>
        </w:rPr>
      </w:pPr>
    </w:p>
    <w:sdt>
      <w:sdtPr>
        <w:rPr>
          <w:rFonts w:asciiTheme="minorHAnsi" w:eastAsiaTheme="minorHAnsi" w:hAnsiTheme="minorHAnsi" w:cstheme="minorBidi"/>
          <w:color w:val="auto"/>
          <w:kern w:val="2"/>
          <w:sz w:val="22"/>
          <w:szCs w:val="22"/>
          <w:lang w:val="en-IN"/>
        </w:rPr>
        <w:id w:val="-1889860640"/>
        <w:docPartObj>
          <w:docPartGallery w:val="Table of Contents"/>
          <w:docPartUnique/>
        </w:docPartObj>
      </w:sdtPr>
      <w:sdtEndPr>
        <w:rPr>
          <w:b/>
          <w:bCs/>
          <w:noProof/>
        </w:rPr>
      </w:sdtEndPr>
      <w:sdtContent>
        <w:p w:rsidR="007D263E" w:rsidRDefault="007D263E">
          <w:pPr>
            <w:pStyle w:val="TOCHeading"/>
          </w:pPr>
          <w:r>
            <w:t>Contents</w:t>
          </w:r>
        </w:p>
        <w:p w:rsidR="00511988" w:rsidRDefault="00B153D5">
          <w:pPr>
            <w:pStyle w:val="TOC1"/>
            <w:tabs>
              <w:tab w:val="right" w:leader="dot" w:pos="9016"/>
            </w:tabs>
            <w:rPr>
              <w:rFonts w:eastAsiaTheme="minorEastAsia"/>
              <w:noProof/>
              <w:sz w:val="24"/>
              <w:szCs w:val="24"/>
              <w:lang w:eastAsia="en-IN"/>
            </w:rPr>
          </w:pPr>
          <w:r w:rsidRPr="00B153D5">
            <w:fldChar w:fldCharType="begin"/>
          </w:r>
          <w:r w:rsidR="007D263E">
            <w:instrText xml:space="preserve"> TOC \o "1-3" \h \z \u </w:instrText>
          </w:r>
          <w:r w:rsidRPr="00B153D5">
            <w:fldChar w:fldCharType="separate"/>
          </w:r>
          <w:hyperlink w:anchor="_Toc214484678" w:history="1">
            <w:r w:rsidR="00511988" w:rsidRPr="006A14C0">
              <w:rPr>
                <w:rStyle w:val="Hyperlink"/>
                <w:noProof/>
              </w:rPr>
              <w:t>1. Introduction</w:t>
            </w:r>
            <w:r w:rsidR="00511988">
              <w:rPr>
                <w:noProof/>
                <w:webHidden/>
              </w:rPr>
              <w:tab/>
            </w:r>
            <w:r>
              <w:rPr>
                <w:noProof/>
                <w:webHidden/>
              </w:rPr>
              <w:fldChar w:fldCharType="begin"/>
            </w:r>
            <w:r w:rsidR="00511988">
              <w:rPr>
                <w:noProof/>
                <w:webHidden/>
              </w:rPr>
              <w:instrText xml:space="preserve"> PAGEREF _Toc214484678 \h </w:instrText>
            </w:r>
            <w:r>
              <w:rPr>
                <w:noProof/>
                <w:webHidden/>
              </w:rPr>
            </w:r>
            <w:r>
              <w:rPr>
                <w:noProof/>
                <w:webHidden/>
              </w:rPr>
              <w:fldChar w:fldCharType="separate"/>
            </w:r>
            <w:r w:rsidR="00511988">
              <w:rPr>
                <w:noProof/>
                <w:webHidden/>
              </w:rPr>
              <w:t>3</w:t>
            </w:r>
            <w:r>
              <w:rPr>
                <w:noProof/>
                <w:webHidden/>
              </w:rPr>
              <w:fldChar w:fldCharType="end"/>
            </w:r>
          </w:hyperlink>
        </w:p>
        <w:p w:rsidR="00511988" w:rsidRDefault="00B153D5">
          <w:pPr>
            <w:pStyle w:val="TOC1"/>
            <w:tabs>
              <w:tab w:val="right" w:leader="dot" w:pos="9016"/>
            </w:tabs>
            <w:rPr>
              <w:rFonts w:eastAsiaTheme="minorEastAsia"/>
              <w:noProof/>
              <w:sz w:val="24"/>
              <w:szCs w:val="24"/>
              <w:lang w:eastAsia="en-IN"/>
            </w:rPr>
          </w:pPr>
          <w:hyperlink w:anchor="_Toc214484679" w:history="1">
            <w:r w:rsidR="00511988" w:rsidRPr="006A14C0">
              <w:rPr>
                <w:rStyle w:val="Hyperlink"/>
                <w:noProof/>
              </w:rPr>
              <w:t>2. Benefits and Challenges of International Operations</w:t>
            </w:r>
            <w:r w:rsidR="00511988">
              <w:rPr>
                <w:noProof/>
                <w:webHidden/>
              </w:rPr>
              <w:tab/>
            </w:r>
            <w:r>
              <w:rPr>
                <w:noProof/>
                <w:webHidden/>
              </w:rPr>
              <w:fldChar w:fldCharType="begin"/>
            </w:r>
            <w:r w:rsidR="00511988">
              <w:rPr>
                <w:noProof/>
                <w:webHidden/>
              </w:rPr>
              <w:instrText xml:space="preserve"> PAGEREF _Toc214484679 \h </w:instrText>
            </w:r>
            <w:r>
              <w:rPr>
                <w:noProof/>
                <w:webHidden/>
              </w:rPr>
            </w:r>
            <w:r>
              <w:rPr>
                <w:noProof/>
                <w:webHidden/>
              </w:rPr>
              <w:fldChar w:fldCharType="separate"/>
            </w:r>
            <w:r w:rsidR="00511988">
              <w:rPr>
                <w:noProof/>
                <w:webHidden/>
              </w:rPr>
              <w:t>3</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0" w:history="1">
            <w:r w:rsidR="00511988" w:rsidRPr="006A14C0">
              <w:rPr>
                <w:rStyle w:val="Hyperlink"/>
                <w:noProof/>
              </w:rPr>
              <w:t>2a. Why Sony Qualifies as an MNC/TNC</w:t>
            </w:r>
            <w:r w:rsidR="00511988">
              <w:rPr>
                <w:noProof/>
                <w:webHidden/>
              </w:rPr>
              <w:tab/>
            </w:r>
            <w:r>
              <w:rPr>
                <w:noProof/>
                <w:webHidden/>
              </w:rPr>
              <w:fldChar w:fldCharType="begin"/>
            </w:r>
            <w:r w:rsidR="00511988">
              <w:rPr>
                <w:noProof/>
                <w:webHidden/>
              </w:rPr>
              <w:instrText xml:space="preserve"> PAGEREF _Toc214484680 \h </w:instrText>
            </w:r>
            <w:r>
              <w:rPr>
                <w:noProof/>
                <w:webHidden/>
              </w:rPr>
            </w:r>
            <w:r>
              <w:rPr>
                <w:noProof/>
                <w:webHidden/>
              </w:rPr>
              <w:fldChar w:fldCharType="separate"/>
            </w:r>
            <w:r w:rsidR="00511988">
              <w:rPr>
                <w:noProof/>
                <w:webHidden/>
              </w:rPr>
              <w:t>3</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1" w:history="1">
            <w:r w:rsidR="00511988" w:rsidRPr="006A14C0">
              <w:rPr>
                <w:rStyle w:val="Hyperlink"/>
                <w:noProof/>
              </w:rPr>
              <w:t>2b. Nature of Sony’s Global Operations and Value Chain Focus</w:t>
            </w:r>
            <w:r w:rsidR="00511988">
              <w:rPr>
                <w:noProof/>
                <w:webHidden/>
              </w:rPr>
              <w:tab/>
            </w:r>
            <w:r>
              <w:rPr>
                <w:noProof/>
                <w:webHidden/>
              </w:rPr>
              <w:fldChar w:fldCharType="begin"/>
            </w:r>
            <w:r w:rsidR="00511988">
              <w:rPr>
                <w:noProof/>
                <w:webHidden/>
              </w:rPr>
              <w:instrText xml:space="preserve"> PAGEREF _Toc214484681 \h </w:instrText>
            </w:r>
            <w:r>
              <w:rPr>
                <w:noProof/>
                <w:webHidden/>
              </w:rPr>
            </w:r>
            <w:r>
              <w:rPr>
                <w:noProof/>
                <w:webHidden/>
              </w:rPr>
              <w:fldChar w:fldCharType="separate"/>
            </w:r>
            <w:r w:rsidR="00511988">
              <w:rPr>
                <w:noProof/>
                <w:webHidden/>
              </w:rPr>
              <w:t>4</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2" w:history="1">
            <w:r w:rsidR="00511988" w:rsidRPr="006A14C0">
              <w:rPr>
                <w:rStyle w:val="Hyperlink"/>
                <w:noProof/>
              </w:rPr>
              <w:t>2c. Entry Modes Used by Sony</w:t>
            </w:r>
            <w:r w:rsidR="00511988">
              <w:rPr>
                <w:noProof/>
                <w:webHidden/>
              </w:rPr>
              <w:tab/>
            </w:r>
            <w:r>
              <w:rPr>
                <w:noProof/>
                <w:webHidden/>
              </w:rPr>
              <w:fldChar w:fldCharType="begin"/>
            </w:r>
            <w:r w:rsidR="00511988">
              <w:rPr>
                <w:noProof/>
                <w:webHidden/>
              </w:rPr>
              <w:instrText xml:space="preserve"> PAGEREF _Toc214484682 \h </w:instrText>
            </w:r>
            <w:r>
              <w:rPr>
                <w:noProof/>
                <w:webHidden/>
              </w:rPr>
            </w:r>
            <w:r>
              <w:rPr>
                <w:noProof/>
                <w:webHidden/>
              </w:rPr>
              <w:fldChar w:fldCharType="separate"/>
            </w:r>
            <w:r w:rsidR="00511988">
              <w:rPr>
                <w:noProof/>
                <w:webHidden/>
              </w:rPr>
              <w:t>6</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3" w:history="1">
            <w:r w:rsidR="00511988" w:rsidRPr="006A14C0">
              <w:rPr>
                <w:rStyle w:val="Hyperlink"/>
                <w:noProof/>
              </w:rPr>
              <w:t>2d. Key Benefits Sony Gains from International Operations</w:t>
            </w:r>
            <w:r w:rsidR="00511988">
              <w:rPr>
                <w:noProof/>
                <w:webHidden/>
              </w:rPr>
              <w:tab/>
            </w:r>
            <w:r>
              <w:rPr>
                <w:noProof/>
                <w:webHidden/>
              </w:rPr>
              <w:fldChar w:fldCharType="begin"/>
            </w:r>
            <w:r w:rsidR="00511988">
              <w:rPr>
                <w:noProof/>
                <w:webHidden/>
              </w:rPr>
              <w:instrText xml:space="preserve"> PAGEREF _Toc214484683 \h </w:instrText>
            </w:r>
            <w:r>
              <w:rPr>
                <w:noProof/>
                <w:webHidden/>
              </w:rPr>
            </w:r>
            <w:r>
              <w:rPr>
                <w:noProof/>
                <w:webHidden/>
              </w:rPr>
              <w:fldChar w:fldCharType="separate"/>
            </w:r>
            <w:r w:rsidR="00511988">
              <w:rPr>
                <w:noProof/>
                <w:webHidden/>
              </w:rPr>
              <w:t>7</w:t>
            </w:r>
            <w:r>
              <w:rPr>
                <w:noProof/>
                <w:webHidden/>
              </w:rPr>
              <w:fldChar w:fldCharType="end"/>
            </w:r>
          </w:hyperlink>
        </w:p>
        <w:p w:rsidR="00511988" w:rsidRDefault="00B153D5">
          <w:pPr>
            <w:pStyle w:val="TOC1"/>
            <w:tabs>
              <w:tab w:val="right" w:leader="dot" w:pos="9016"/>
            </w:tabs>
            <w:rPr>
              <w:rFonts w:eastAsiaTheme="minorEastAsia"/>
              <w:noProof/>
              <w:sz w:val="24"/>
              <w:szCs w:val="24"/>
              <w:lang w:eastAsia="en-IN"/>
            </w:rPr>
          </w:pPr>
          <w:hyperlink w:anchor="_Toc214484684" w:history="1">
            <w:r w:rsidR="00511988" w:rsidRPr="006A14C0">
              <w:rPr>
                <w:rStyle w:val="Hyperlink"/>
                <w:noProof/>
              </w:rPr>
              <w:t>3. OLI Analysis: Ownership, Location, Internalisation</w:t>
            </w:r>
            <w:r w:rsidR="00511988">
              <w:rPr>
                <w:noProof/>
                <w:webHidden/>
              </w:rPr>
              <w:tab/>
            </w:r>
            <w:r>
              <w:rPr>
                <w:noProof/>
                <w:webHidden/>
              </w:rPr>
              <w:fldChar w:fldCharType="begin"/>
            </w:r>
            <w:r w:rsidR="00511988">
              <w:rPr>
                <w:noProof/>
                <w:webHidden/>
              </w:rPr>
              <w:instrText xml:space="preserve"> PAGEREF _Toc214484684 \h </w:instrText>
            </w:r>
            <w:r>
              <w:rPr>
                <w:noProof/>
                <w:webHidden/>
              </w:rPr>
            </w:r>
            <w:r>
              <w:rPr>
                <w:noProof/>
                <w:webHidden/>
              </w:rPr>
              <w:fldChar w:fldCharType="separate"/>
            </w:r>
            <w:r w:rsidR="00511988">
              <w:rPr>
                <w:noProof/>
                <w:webHidden/>
              </w:rPr>
              <w:t>8</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5" w:history="1">
            <w:r w:rsidR="00511988" w:rsidRPr="006A14C0">
              <w:rPr>
                <w:rStyle w:val="Hyperlink"/>
                <w:noProof/>
              </w:rPr>
              <w:t>3a. Ownership Advantages</w:t>
            </w:r>
            <w:r w:rsidR="00511988">
              <w:rPr>
                <w:noProof/>
                <w:webHidden/>
              </w:rPr>
              <w:tab/>
            </w:r>
            <w:r>
              <w:rPr>
                <w:noProof/>
                <w:webHidden/>
              </w:rPr>
              <w:fldChar w:fldCharType="begin"/>
            </w:r>
            <w:r w:rsidR="00511988">
              <w:rPr>
                <w:noProof/>
                <w:webHidden/>
              </w:rPr>
              <w:instrText xml:space="preserve"> PAGEREF _Toc214484685 \h </w:instrText>
            </w:r>
            <w:r>
              <w:rPr>
                <w:noProof/>
                <w:webHidden/>
              </w:rPr>
            </w:r>
            <w:r>
              <w:rPr>
                <w:noProof/>
                <w:webHidden/>
              </w:rPr>
              <w:fldChar w:fldCharType="separate"/>
            </w:r>
            <w:r w:rsidR="00511988">
              <w:rPr>
                <w:noProof/>
                <w:webHidden/>
              </w:rPr>
              <w:t>8</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6" w:history="1">
            <w:r w:rsidR="00511988" w:rsidRPr="006A14C0">
              <w:rPr>
                <w:rStyle w:val="Hyperlink"/>
                <w:noProof/>
              </w:rPr>
              <w:t>3b. Location Advantages of India</w:t>
            </w:r>
            <w:r w:rsidR="00511988">
              <w:rPr>
                <w:noProof/>
                <w:webHidden/>
              </w:rPr>
              <w:tab/>
            </w:r>
            <w:r>
              <w:rPr>
                <w:noProof/>
                <w:webHidden/>
              </w:rPr>
              <w:fldChar w:fldCharType="begin"/>
            </w:r>
            <w:r w:rsidR="00511988">
              <w:rPr>
                <w:noProof/>
                <w:webHidden/>
              </w:rPr>
              <w:instrText xml:space="preserve"> PAGEREF _Toc214484686 \h </w:instrText>
            </w:r>
            <w:r>
              <w:rPr>
                <w:noProof/>
                <w:webHidden/>
              </w:rPr>
            </w:r>
            <w:r>
              <w:rPr>
                <w:noProof/>
                <w:webHidden/>
              </w:rPr>
              <w:fldChar w:fldCharType="separate"/>
            </w:r>
            <w:r w:rsidR="00511988">
              <w:rPr>
                <w:noProof/>
                <w:webHidden/>
              </w:rPr>
              <w:t>10</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87" w:history="1">
            <w:r w:rsidR="00511988" w:rsidRPr="006A14C0">
              <w:rPr>
                <w:rStyle w:val="Hyperlink"/>
                <w:noProof/>
              </w:rPr>
              <w:t>3c. Internalisation Advantages</w:t>
            </w:r>
            <w:r w:rsidR="00511988">
              <w:rPr>
                <w:noProof/>
                <w:webHidden/>
              </w:rPr>
              <w:tab/>
            </w:r>
            <w:r>
              <w:rPr>
                <w:noProof/>
                <w:webHidden/>
              </w:rPr>
              <w:fldChar w:fldCharType="begin"/>
            </w:r>
            <w:r w:rsidR="00511988">
              <w:rPr>
                <w:noProof/>
                <w:webHidden/>
              </w:rPr>
              <w:instrText xml:space="preserve"> PAGEREF _Toc214484687 \h </w:instrText>
            </w:r>
            <w:r>
              <w:rPr>
                <w:noProof/>
                <w:webHidden/>
              </w:rPr>
            </w:r>
            <w:r>
              <w:rPr>
                <w:noProof/>
                <w:webHidden/>
              </w:rPr>
              <w:fldChar w:fldCharType="separate"/>
            </w:r>
            <w:r w:rsidR="00511988">
              <w:rPr>
                <w:noProof/>
                <w:webHidden/>
              </w:rPr>
              <w:t>11</w:t>
            </w:r>
            <w:r>
              <w:rPr>
                <w:noProof/>
                <w:webHidden/>
              </w:rPr>
              <w:fldChar w:fldCharType="end"/>
            </w:r>
          </w:hyperlink>
        </w:p>
        <w:p w:rsidR="00511988" w:rsidRDefault="00B153D5">
          <w:pPr>
            <w:pStyle w:val="TOC1"/>
            <w:tabs>
              <w:tab w:val="right" w:leader="dot" w:pos="9016"/>
            </w:tabs>
            <w:rPr>
              <w:rFonts w:eastAsiaTheme="minorEastAsia"/>
              <w:noProof/>
              <w:sz w:val="24"/>
              <w:szCs w:val="24"/>
              <w:lang w:eastAsia="en-IN"/>
            </w:rPr>
          </w:pPr>
          <w:hyperlink w:anchor="_Toc214484688" w:history="1">
            <w:r w:rsidR="00511988" w:rsidRPr="006A14C0">
              <w:rPr>
                <w:rStyle w:val="Hyperlink"/>
                <w:noProof/>
              </w:rPr>
              <w:t>4. Cultural Differences: Japan vs India</w:t>
            </w:r>
            <w:r w:rsidR="00511988">
              <w:rPr>
                <w:noProof/>
                <w:webHidden/>
              </w:rPr>
              <w:tab/>
            </w:r>
            <w:r>
              <w:rPr>
                <w:noProof/>
                <w:webHidden/>
              </w:rPr>
              <w:fldChar w:fldCharType="begin"/>
            </w:r>
            <w:r w:rsidR="00511988">
              <w:rPr>
                <w:noProof/>
                <w:webHidden/>
              </w:rPr>
              <w:instrText xml:space="preserve"> PAGEREF _Toc214484688 \h </w:instrText>
            </w:r>
            <w:r>
              <w:rPr>
                <w:noProof/>
                <w:webHidden/>
              </w:rPr>
            </w:r>
            <w:r>
              <w:rPr>
                <w:noProof/>
                <w:webHidden/>
              </w:rPr>
              <w:fldChar w:fldCharType="separate"/>
            </w:r>
            <w:r w:rsidR="00511988">
              <w:rPr>
                <w:noProof/>
                <w:webHidden/>
              </w:rPr>
              <w:t>13</w:t>
            </w:r>
            <w:r>
              <w:rPr>
                <w:noProof/>
                <w:webHidden/>
              </w:rPr>
              <w:fldChar w:fldCharType="end"/>
            </w:r>
          </w:hyperlink>
        </w:p>
        <w:p w:rsidR="00511988" w:rsidRDefault="00B153D5">
          <w:pPr>
            <w:pStyle w:val="TOC1"/>
            <w:tabs>
              <w:tab w:val="right" w:leader="dot" w:pos="9016"/>
            </w:tabs>
            <w:rPr>
              <w:rFonts w:eastAsiaTheme="minorEastAsia"/>
              <w:noProof/>
              <w:sz w:val="24"/>
              <w:szCs w:val="24"/>
              <w:lang w:eastAsia="en-IN"/>
            </w:rPr>
          </w:pPr>
          <w:hyperlink w:anchor="_Toc214484689" w:history="1">
            <w:r w:rsidR="00511988" w:rsidRPr="006A14C0">
              <w:rPr>
                <w:rStyle w:val="Hyperlink"/>
                <w:noProof/>
              </w:rPr>
              <w:t>5. Recommendations: SOP Adjustments for India</w:t>
            </w:r>
            <w:r w:rsidR="00511988">
              <w:rPr>
                <w:noProof/>
                <w:webHidden/>
              </w:rPr>
              <w:tab/>
            </w:r>
            <w:r>
              <w:rPr>
                <w:noProof/>
                <w:webHidden/>
              </w:rPr>
              <w:fldChar w:fldCharType="begin"/>
            </w:r>
            <w:r w:rsidR="00511988">
              <w:rPr>
                <w:noProof/>
                <w:webHidden/>
              </w:rPr>
              <w:instrText xml:space="preserve"> PAGEREF _Toc214484689 \h </w:instrText>
            </w:r>
            <w:r>
              <w:rPr>
                <w:noProof/>
                <w:webHidden/>
              </w:rPr>
            </w:r>
            <w:r>
              <w:rPr>
                <w:noProof/>
                <w:webHidden/>
              </w:rPr>
              <w:fldChar w:fldCharType="separate"/>
            </w:r>
            <w:r w:rsidR="00511988">
              <w:rPr>
                <w:noProof/>
                <w:webHidden/>
              </w:rPr>
              <w:t>18</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90" w:history="1">
            <w:r w:rsidR="00511988" w:rsidRPr="006A14C0">
              <w:rPr>
                <w:rStyle w:val="Hyperlink"/>
                <w:noProof/>
              </w:rPr>
              <w:t>Recommendation 1: Establish India-Focused R&amp;D</w:t>
            </w:r>
            <w:r w:rsidR="00511988">
              <w:rPr>
                <w:noProof/>
                <w:webHidden/>
              </w:rPr>
              <w:tab/>
            </w:r>
            <w:r>
              <w:rPr>
                <w:noProof/>
                <w:webHidden/>
              </w:rPr>
              <w:fldChar w:fldCharType="begin"/>
            </w:r>
            <w:r w:rsidR="00511988">
              <w:rPr>
                <w:noProof/>
                <w:webHidden/>
              </w:rPr>
              <w:instrText xml:space="preserve"> PAGEREF _Toc214484690 \h </w:instrText>
            </w:r>
            <w:r>
              <w:rPr>
                <w:noProof/>
                <w:webHidden/>
              </w:rPr>
            </w:r>
            <w:r>
              <w:rPr>
                <w:noProof/>
                <w:webHidden/>
              </w:rPr>
              <w:fldChar w:fldCharType="separate"/>
            </w:r>
            <w:r w:rsidR="00511988">
              <w:rPr>
                <w:noProof/>
                <w:webHidden/>
              </w:rPr>
              <w:t>18</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91" w:history="1">
            <w:r w:rsidR="00511988" w:rsidRPr="006A14C0">
              <w:rPr>
                <w:rStyle w:val="Hyperlink"/>
                <w:noProof/>
              </w:rPr>
              <w:t>Recommendation 2: Strengthen Local Manufacturing and Supply Chain Integration</w:t>
            </w:r>
            <w:r w:rsidR="00511988">
              <w:rPr>
                <w:noProof/>
                <w:webHidden/>
              </w:rPr>
              <w:tab/>
            </w:r>
            <w:r>
              <w:rPr>
                <w:noProof/>
                <w:webHidden/>
              </w:rPr>
              <w:fldChar w:fldCharType="begin"/>
            </w:r>
            <w:r w:rsidR="00511988">
              <w:rPr>
                <w:noProof/>
                <w:webHidden/>
              </w:rPr>
              <w:instrText xml:space="preserve"> PAGEREF _Toc214484691 \h </w:instrText>
            </w:r>
            <w:r>
              <w:rPr>
                <w:noProof/>
                <w:webHidden/>
              </w:rPr>
            </w:r>
            <w:r>
              <w:rPr>
                <w:noProof/>
                <w:webHidden/>
              </w:rPr>
              <w:fldChar w:fldCharType="separate"/>
            </w:r>
            <w:r w:rsidR="00511988">
              <w:rPr>
                <w:noProof/>
                <w:webHidden/>
              </w:rPr>
              <w:t>19</w:t>
            </w:r>
            <w:r>
              <w:rPr>
                <w:noProof/>
                <w:webHidden/>
              </w:rPr>
              <w:fldChar w:fldCharType="end"/>
            </w:r>
          </w:hyperlink>
        </w:p>
        <w:p w:rsidR="00511988" w:rsidRDefault="00B153D5">
          <w:pPr>
            <w:pStyle w:val="TOC2"/>
            <w:tabs>
              <w:tab w:val="right" w:leader="dot" w:pos="9016"/>
            </w:tabs>
            <w:rPr>
              <w:rFonts w:eastAsiaTheme="minorEastAsia"/>
              <w:noProof/>
              <w:sz w:val="24"/>
              <w:szCs w:val="24"/>
              <w:lang w:eastAsia="en-IN"/>
            </w:rPr>
          </w:pPr>
          <w:hyperlink w:anchor="_Toc214484692" w:history="1">
            <w:r w:rsidR="00511988" w:rsidRPr="006A14C0">
              <w:rPr>
                <w:rStyle w:val="Hyperlink"/>
                <w:noProof/>
              </w:rPr>
              <w:t>Recommendation 3: Localised HR and Cross-Cultural Management</w:t>
            </w:r>
            <w:r w:rsidR="00511988">
              <w:rPr>
                <w:noProof/>
                <w:webHidden/>
              </w:rPr>
              <w:tab/>
            </w:r>
            <w:r>
              <w:rPr>
                <w:noProof/>
                <w:webHidden/>
              </w:rPr>
              <w:fldChar w:fldCharType="begin"/>
            </w:r>
            <w:r w:rsidR="00511988">
              <w:rPr>
                <w:noProof/>
                <w:webHidden/>
              </w:rPr>
              <w:instrText xml:space="preserve"> PAGEREF _Toc214484692 \h </w:instrText>
            </w:r>
            <w:r>
              <w:rPr>
                <w:noProof/>
                <w:webHidden/>
              </w:rPr>
            </w:r>
            <w:r>
              <w:rPr>
                <w:noProof/>
                <w:webHidden/>
              </w:rPr>
              <w:fldChar w:fldCharType="separate"/>
            </w:r>
            <w:r w:rsidR="00511988">
              <w:rPr>
                <w:noProof/>
                <w:webHidden/>
              </w:rPr>
              <w:t>21</w:t>
            </w:r>
            <w:r>
              <w:rPr>
                <w:noProof/>
                <w:webHidden/>
              </w:rPr>
              <w:fldChar w:fldCharType="end"/>
            </w:r>
          </w:hyperlink>
        </w:p>
        <w:p w:rsidR="00511988" w:rsidRDefault="00B153D5">
          <w:pPr>
            <w:pStyle w:val="TOC1"/>
            <w:tabs>
              <w:tab w:val="right" w:leader="dot" w:pos="9016"/>
            </w:tabs>
            <w:rPr>
              <w:rFonts w:eastAsiaTheme="minorEastAsia"/>
              <w:noProof/>
              <w:sz w:val="24"/>
              <w:szCs w:val="24"/>
              <w:lang w:eastAsia="en-IN"/>
            </w:rPr>
          </w:pPr>
          <w:hyperlink w:anchor="_Toc214484693" w:history="1">
            <w:r w:rsidR="00511988" w:rsidRPr="006A14C0">
              <w:rPr>
                <w:rStyle w:val="Hyperlink"/>
                <w:noProof/>
              </w:rPr>
              <w:t>6. Conclusion</w:t>
            </w:r>
            <w:r w:rsidR="00511988">
              <w:rPr>
                <w:noProof/>
                <w:webHidden/>
              </w:rPr>
              <w:tab/>
            </w:r>
            <w:r>
              <w:rPr>
                <w:noProof/>
                <w:webHidden/>
              </w:rPr>
              <w:fldChar w:fldCharType="begin"/>
            </w:r>
            <w:r w:rsidR="00511988">
              <w:rPr>
                <w:noProof/>
                <w:webHidden/>
              </w:rPr>
              <w:instrText xml:space="preserve"> PAGEREF _Toc214484693 \h </w:instrText>
            </w:r>
            <w:r>
              <w:rPr>
                <w:noProof/>
                <w:webHidden/>
              </w:rPr>
            </w:r>
            <w:r>
              <w:rPr>
                <w:noProof/>
                <w:webHidden/>
              </w:rPr>
              <w:fldChar w:fldCharType="separate"/>
            </w:r>
            <w:r w:rsidR="00511988">
              <w:rPr>
                <w:noProof/>
                <w:webHidden/>
              </w:rPr>
              <w:t>23</w:t>
            </w:r>
            <w:r>
              <w:rPr>
                <w:noProof/>
                <w:webHidden/>
              </w:rPr>
              <w:fldChar w:fldCharType="end"/>
            </w:r>
          </w:hyperlink>
        </w:p>
        <w:p w:rsidR="00511988" w:rsidRDefault="00B153D5">
          <w:pPr>
            <w:pStyle w:val="TOC1"/>
            <w:tabs>
              <w:tab w:val="right" w:leader="dot" w:pos="9016"/>
            </w:tabs>
            <w:rPr>
              <w:rFonts w:eastAsiaTheme="minorEastAsia"/>
              <w:noProof/>
              <w:sz w:val="24"/>
              <w:szCs w:val="24"/>
              <w:lang w:eastAsia="en-IN"/>
            </w:rPr>
          </w:pPr>
          <w:hyperlink w:anchor="_Toc214484694" w:history="1">
            <w:r w:rsidR="00511988" w:rsidRPr="006A14C0">
              <w:rPr>
                <w:rStyle w:val="Hyperlink"/>
                <w:noProof/>
              </w:rPr>
              <w:t>7. References</w:t>
            </w:r>
            <w:r w:rsidR="00511988">
              <w:rPr>
                <w:noProof/>
                <w:webHidden/>
              </w:rPr>
              <w:tab/>
            </w:r>
            <w:r>
              <w:rPr>
                <w:noProof/>
                <w:webHidden/>
              </w:rPr>
              <w:fldChar w:fldCharType="begin"/>
            </w:r>
            <w:r w:rsidR="00511988">
              <w:rPr>
                <w:noProof/>
                <w:webHidden/>
              </w:rPr>
              <w:instrText xml:space="preserve"> PAGEREF _Toc214484694 \h </w:instrText>
            </w:r>
            <w:r>
              <w:rPr>
                <w:noProof/>
                <w:webHidden/>
              </w:rPr>
            </w:r>
            <w:r>
              <w:rPr>
                <w:noProof/>
                <w:webHidden/>
              </w:rPr>
              <w:fldChar w:fldCharType="separate"/>
            </w:r>
            <w:r w:rsidR="00511988">
              <w:rPr>
                <w:noProof/>
                <w:webHidden/>
              </w:rPr>
              <w:t>25</w:t>
            </w:r>
            <w:r>
              <w:rPr>
                <w:noProof/>
                <w:webHidden/>
              </w:rPr>
              <w:fldChar w:fldCharType="end"/>
            </w:r>
          </w:hyperlink>
        </w:p>
        <w:p w:rsidR="007D263E" w:rsidRDefault="00B153D5">
          <w:r>
            <w:rPr>
              <w:b/>
              <w:bCs/>
              <w:noProof/>
            </w:rPr>
            <w:fldChar w:fldCharType="end"/>
          </w:r>
        </w:p>
      </w:sdtContent>
    </w:sdt>
    <w:p w:rsidR="00EF1160" w:rsidRDefault="00EF1160">
      <w:pPr>
        <w:rPr>
          <w:rFonts w:ascii="Arial" w:hAnsi="Arial" w:cs="Arial"/>
          <w:b/>
          <w:bCs/>
          <w:sz w:val="24"/>
          <w:szCs w:val="24"/>
        </w:rPr>
      </w:pPr>
      <w:r>
        <w:rPr>
          <w:rFonts w:ascii="Arial" w:hAnsi="Arial" w:cs="Arial"/>
          <w:b/>
          <w:bCs/>
          <w:sz w:val="24"/>
          <w:szCs w:val="24"/>
        </w:rPr>
        <w:br w:type="page"/>
      </w:r>
    </w:p>
    <w:p w:rsidR="00EF1160" w:rsidRDefault="00EF1160">
      <w:pPr>
        <w:rPr>
          <w:rFonts w:ascii="Arial" w:hAnsi="Arial" w:cs="Arial"/>
          <w:b/>
          <w:bCs/>
          <w:sz w:val="24"/>
          <w:szCs w:val="24"/>
        </w:rPr>
      </w:pPr>
    </w:p>
    <w:p w:rsidR="00641415" w:rsidRPr="00641415" w:rsidRDefault="00641415" w:rsidP="007D263E">
      <w:pPr>
        <w:pStyle w:val="Heading1"/>
      </w:pPr>
      <w:bookmarkStart w:id="0" w:name="_Toc214484678"/>
      <w:r w:rsidRPr="00641415">
        <w:t>1. Introduction</w:t>
      </w:r>
      <w:bookmarkEnd w:id="0"/>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 xml:space="preserve">Sony Group Corporation, headquartered in Tokyo, Japan, is a leading multinational corporation (MNC) operating in electronics, gaming, semiconductors, entertainment, and financial services (Dunning &amp; </w:t>
      </w:r>
      <w:proofErr w:type="spellStart"/>
      <w:r w:rsidRPr="00641415">
        <w:rPr>
          <w:rFonts w:ascii="Arial" w:hAnsi="Arial" w:cs="Arial"/>
          <w:sz w:val="24"/>
          <w:szCs w:val="24"/>
        </w:rPr>
        <w:t>Lundan</w:t>
      </w:r>
      <w:proofErr w:type="spellEnd"/>
      <w:r w:rsidRPr="00641415">
        <w:rPr>
          <w:rFonts w:ascii="Arial" w:hAnsi="Arial" w:cs="Arial"/>
          <w:sz w:val="24"/>
          <w:szCs w:val="24"/>
        </w:rPr>
        <w:t xml:space="preserve">, 2008). With operations in over 190 countries, Sony has developed a transnational organisational model, balancing global integration with local responsiveness (Bartlett &amp; </w:t>
      </w:r>
      <w:proofErr w:type="spellStart"/>
      <w:r w:rsidRPr="00641415">
        <w:rPr>
          <w:rFonts w:ascii="Arial" w:hAnsi="Arial" w:cs="Arial"/>
          <w:sz w:val="24"/>
          <w:szCs w:val="24"/>
        </w:rPr>
        <w:t>Ghoshal</w:t>
      </w:r>
      <w:proofErr w:type="spellEnd"/>
      <w:r w:rsidRPr="00641415">
        <w:rPr>
          <w:rFonts w:ascii="Arial" w:hAnsi="Arial" w:cs="Arial"/>
          <w:sz w:val="24"/>
          <w:szCs w:val="24"/>
        </w:rPr>
        <w:t>, 1989). India, as one of the fastest-growing emerging economies, represents a critical market for Sony due to its rapidly expanding middle class, increasing disposable income, and growing digital adoption (World Bank, 2023).</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This consultancy report critically evaluates Sony’s international business operations with a focus on India. The report analyses the company’s value chain, entry modes, OLI (Ownership–Location–Internalisation) factors, and cultural differences between Japan and India (</w:t>
      </w:r>
      <w:proofErr w:type="spellStart"/>
      <w:r w:rsidRPr="00641415">
        <w:rPr>
          <w:rFonts w:ascii="Arial" w:hAnsi="Arial" w:cs="Arial"/>
          <w:sz w:val="24"/>
          <w:szCs w:val="24"/>
        </w:rPr>
        <w:t>Hofstede</w:t>
      </w:r>
      <w:proofErr w:type="spellEnd"/>
      <w:r w:rsidRPr="00641415">
        <w:rPr>
          <w:rFonts w:ascii="Arial" w:hAnsi="Arial" w:cs="Arial"/>
          <w:sz w:val="24"/>
          <w:szCs w:val="24"/>
        </w:rPr>
        <w:t xml:space="preserve"> Insights, 2023). Recommendations are provided to address current operational challenges and gaps in Sony’s Standard Operating Procedures (SOPs), enhancing the company’s competitiveness and long-term success in the Indian market (Hill, 2020; </w:t>
      </w:r>
      <w:proofErr w:type="spellStart"/>
      <w:r w:rsidRPr="00641415">
        <w:rPr>
          <w:rFonts w:ascii="Arial" w:hAnsi="Arial" w:cs="Arial"/>
          <w:sz w:val="24"/>
          <w:szCs w:val="24"/>
        </w:rPr>
        <w:t>Kotler</w:t>
      </w:r>
      <w:proofErr w:type="spellEnd"/>
      <w:r w:rsidRPr="00641415">
        <w:rPr>
          <w:rFonts w:ascii="Arial" w:hAnsi="Arial" w:cs="Arial"/>
          <w:sz w:val="24"/>
          <w:szCs w:val="24"/>
        </w:rPr>
        <w:t xml:space="preserve"> &amp; Keller, 2016).</w:t>
      </w:r>
    </w:p>
    <w:p w:rsidR="00641415" w:rsidRPr="00641415" w:rsidRDefault="00641415" w:rsidP="007D263E">
      <w:pPr>
        <w:pStyle w:val="Heading1"/>
      </w:pPr>
      <w:bookmarkStart w:id="1" w:name="_Toc214484679"/>
      <w:r w:rsidRPr="00641415">
        <w:t>2. Benefits and Challenges of International Operations</w:t>
      </w:r>
      <w:bookmarkEnd w:id="1"/>
    </w:p>
    <w:p w:rsidR="00641415" w:rsidRPr="00641415" w:rsidRDefault="00641415" w:rsidP="007D263E">
      <w:pPr>
        <w:pStyle w:val="Heading2"/>
      </w:pPr>
      <w:bookmarkStart w:id="2" w:name="_Toc214484680"/>
      <w:r w:rsidRPr="00641415">
        <w:t>2a. Why Sony Qualifies as an MNC/TNC</w:t>
      </w:r>
      <w:bookmarkEnd w:id="2"/>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 xml:space="preserve">Sony Corporation represents one of the most successful examples of a multinational corporation (MNC) and transnational corporation (TNC) due to its extensive global operations and strategic integration of international markets. It qualifies as an MNC because of its cross-border production facilities, substantial ownership of assets abroad, and deployment of a highly diversified global workforce (Dunning &amp; </w:t>
      </w:r>
      <w:proofErr w:type="spellStart"/>
      <w:r w:rsidRPr="00641415">
        <w:rPr>
          <w:rFonts w:ascii="Arial" w:hAnsi="Arial" w:cs="Arial"/>
          <w:sz w:val="24"/>
          <w:szCs w:val="24"/>
        </w:rPr>
        <w:t>Lundan</w:t>
      </w:r>
      <w:proofErr w:type="spellEnd"/>
      <w:r w:rsidRPr="00641415">
        <w:rPr>
          <w:rFonts w:ascii="Arial" w:hAnsi="Arial" w:cs="Arial"/>
          <w:sz w:val="24"/>
          <w:szCs w:val="24"/>
        </w:rPr>
        <w:t>, 2008). The firm’s activities are not limited to its home country, Japan; it operates R&amp;D centres, manufacturing facilities, and marketing networks across Asia, Europe, and the Americas. These operations allow Sony to leverage its proprietary technology, brand equity, and management expertise while taking advantage of cost efficiencies and market potential in host countries (Grant, 2019).</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lastRenderedPageBreak/>
        <w:t xml:space="preserve">As a transnational corporation (TNC), Sony goes beyond the traditional MNC model. While it maintains a global corporate identity and brand, it simultaneously adapts its products and operations to meet the unique needs of each market, achieving a balance between global integration and local responsiveness (Bartlett &amp; </w:t>
      </w:r>
      <w:proofErr w:type="spellStart"/>
      <w:r w:rsidRPr="00641415">
        <w:rPr>
          <w:rFonts w:ascii="Arial" w:hAnsi="Arial" w:cs="Arial"/>
          <w:sz w:val="24"/>
          <w:szCs w:val="24"/>
        </w:rPr>
        <w:t>Ghoshal</w:t>
      </w:r>
      <w:proofErr w:type="spellEnd"/>
      <w:r w:rsidRPr="00641415">
        <w:rPr>
          <w:rFonts w:ascii="Arial" w:hAnsi="Arial" w:cs="Arial"/>
          <w:sz w:val="24"/>
          <w:szCs w:val="24"/>
        </w:rPr>
        <w:t>, 1989). For example, while its headquarters in Tokyo retains control over global strategy, marketing, and innovation, subsidiaries in the US, UK, Germany, and India possess operational autonomy that enables responsiveness to local consumer preferences and regulatory environments (</w:t>
      </w:r>
      <w:proofErr w:type="spellStart"/>
      <w:r w:rsidRPr="00641415">
        <w:rPr>
          <w:rFonts w:ascii="Arial" w:hAnsi="Arial" w:cs="Arial"/>
          <w:sz w:val="24"/>
          <w:szCs w:val="24"/>
        </w:rPr>
        <w:t>Rugman</w:t>
      </w:r>
      <w:proofErr w:type="spellEnd"/>
      <w:r w:rsidRPr="00641415">
        <w:rPr>
          <w:rFonts w:ascii="Arial" w:hAnsi="Arial" w:cs="Arial"/>
          <w:sz w:val="24"/>
          <w:szCs w:val="24"/>
        </w:rPr>
        <w:t xml:space="preserve"> &amp; </w:t>
      </w:r>
      <w:proofErr w:type="spellStart"/>
      <w:r w:rsidRPr="00641415">
        <w:rPr>
          <w:rFonts w:ascii="Arial" w:hAnsi="Arial" w:cs="Arial"/>
          <w:sz w:val="24"/>
          <w:szCs w:val="24"/>
        </w:rPr>
        <w:t>Collinson</w:t>
      </w:r>
      <w:proofErr w:type="spellEnd"/>
      <w:r w:rsidRPr="00641415">
        <w:rPr>
          <w:rFonts w:ascii="Arial" w:hAnsi="Arial" w:cs="Arial"/>
          <w:sz w:val="24"/>
          <w:szCs w:val="24"/>
        </w:rPr>
        <w:t>, 2012). This dual structure allows Sony to exploit global economies of scale while remaining competitive and culturally relevant in individual markets (Hill, 2020).</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Sony’s global manufacturing presence reinforces its MNC/TNC status. It operates high-precision electronics factories in Japan, high-volume production in China and Malaysia, and localized assembly plants in India (Sony Group Corporation, 2024). By operating across these diverse geographies, Sony mitigates risks associated with currency fluctuations, trade barriers, and political instability. The company also leverages strategic alliances and joint ventures, such as collaborations in semiconductor manufacturing and automotive electronics (</w:t>
      </w:r>
      <w:proofErr w:type="spellStart"/>
      <w:proofErr w:type="gramStart"/>
      <w:r w:rsidRPr="00641415">
        <w:rPr>
          <w:rFonts w:ascii="Arial" w:hAnsi="Arial" w:cs="Arial"/>
          <w:sz w:val="24"/>
          <w:szCs w:val="24"/>
        </w:rPr>
        <w:t>Gao</w:t>
      </w:r>
      <w:proofErr w:type="spellEnd"/>
      <w:proofErr w:type="gramEnd"/>
      <w:r w:rsidRPr="00641415">
        <w:rPr>
          <w:rFonts w:ascii="Arial" w:hAnsi="Arial" w:cs="Arial"/>
          <w:sz w:val="24"/>
          <w:szCs w:val="24"/>
        </w:rPr>
        <w:t>, 2019), to complement its wholly owned subsidiaries. These alliances provide access to new technologies and local market knowledge, further cementing Sony’s position as a transnational entity. The combination of global coordination with local adaptation makes Sony a classic example of a TNC that integrates worldwide operations while tailoring offerings to local markets (Grant, 2019).</w:t>
      </w:r>
    </w:p>
    <w:p w:rsidR="00641415" w:rsidRPr="00641415" w:rsidRDefault="00641415" w:rsidP="007D263E">
      <w:pPr>
        <w:pStyle w:val="Heading2"/>
      </w:pPr>
      <w:bookmarkStart w:id="3" w:name="_Toc214484681"/>
      <w:r w:rsidRPr="00641415">
        <w:t>2b. Nature of Sony’s Global Operations and Value Chain Focus</w:t>
      </w:r>
      <w:bookmarkEnd w:id="3"/>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Sony’s global operations encompass the complete value chain of modern electronics and entertainment industries, including research and development (R&amp;D), procurement, manufacturing, logistics, marketing, sales, and after-sales service (Christopher, 2016). While each component of the value chain contributes to overall corporate success, this report focuses specifically on R&amp;D, production, and marketing &amp; distribution, as these areas directly determine the firm’s competitive advantage and ability to succeed in India (Porter, 1985).</w:t>
      </w:r>
    </w:p>
    <w:p w:rsidR="00641415" w:rsidRPr="00641415" w:rsidRDefault="00641415" w:rsidP="00EF1160">
      <w:pPr>
        <w:spacing w:line="360" w:lineRule="auto"/>
        <w:rPr>
          <w:rFonts w:ascii="Arial" w:hAnsi="Arial" w:cs="Arial"/>
          <w:b/>
          <w:bCs/>
          <w:sz w:val="24"/>
          <w:szCs w:val="24"/>
          <w:u w:val="single"/>
        </w:rPr>
      </w:pPr>
      <w:r w:rsidRPr="00641415">
        <w:rPr>
          <w:rFonts w:ascii="Arial" w:hAnsi="Arial" w:cs="Arial"/>
          <w:b/>
          <w:bCs/>
          <w:sz w:val="24"/>
          <w:szCs w:val="24"/>
          <w:u w:val="single"/>
        </w:rPr>
        <w:t>Primary Activities</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lastRenderedPageBreak/>
        <w:t>Inbound Logistics</w:t>
      </w:r>
      <w:r w:rsidRPr="00641415">
        <w:rPr>
          <w:rFonts w:ascii="Arial" w:hAnsi="Arial" w:cs="Arial"/>
          <w:sz w:val="24"/>
          <w:szCs w:val="24"/>
        </w:rPr>
        <w:t>: Sony procures components such as semiconductors, display panels, and electronic circuitry from suppliers worldwide, including Japan, Taiwan, China, and South Korea (</w:t>
      </w:r>
      <w:proofErr w:type="spellStart"/>
      <w:r w:rsidRPr="00641415">
        <w:rPr>
          <w:rFonts w:ascii="Arial" w:hAnsi="Arial" w:cs="Arial"/>
          <w:sz w:val="24"/>
          <w:szCs w:val="24"/>
        </w:rPr>
        <w:t>Kotabe</w:t>
      </w:r>
      <w:proofErr w:type="spellEnd"/>
      <w:r w:rsidRPr="00641415">
        <w:rPr>
          <w:rFonts w:ascii="Arial" w:hAnsi="Arial" w:cs="Arial"/>
          <w:sz w:val="24"/>
          <w:szCs w:val="24"/>
        </w:rPr>
        <w:t xml:space="preserve"> &amp; </w:t>
      </w:r>
      <w:proofErr w:type="spellStart"/>
      <w:r w:rsidRPr="00641415">
        <w:rPr>
          <w:rFonts w:ascii="Arial" w:hAnsi="Arial" w:cs="Arial"/>
          <w:sz w:val="24"/>
          <w:szCs w:val="24"/>
        </w:rPr>
        <w:t>Helsen</w:t>
      </w:r>
      <w:proofErr w:type="spellEnd"/>
      <w:r w:rsidRPr="00641415">
        <w:rPr>
          <w:rFonts w:ascii="Arial" w:hAnsi="Arial" w:cs="Arial"/>
          <w:sz w:val="24"/>
          <w:szCs w:val="24"/>
        </w:rPr>
        <w:t>, 2022). Efficient management of inbound logistics ensures timely delivery of quality components, enabling smooth production schedules and high product reliability in India.</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Operations/Manufacturing</w:t>
      </w:r>
      <w:r w:rsidRPr="00641415">
        <w:rPr>
          <w:rFonts w:ascii="Arial" w:hAnsi="Arial" w:cs="Arial"/>
          <w:sz w:val="24"/>
          <w:szCs w:val="24"/>
        </w:rPr>
        <w:t>: Sony’s manufacturing strategy is highly integrated and diversified. High-end products like professional cameras are manufactured in Japan for premium quality, while consumer electronics such as TVs and audio systems are mass-produced in China and Malaysia (Sony Group Corporation, 2024). In India, selective assembly and manufacturing reduce import duties and support local economic policies, aligning with initiatives like “Make in India” (Singh, 2020).</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Outbound Logistics</w:t>
      </w:r>
      <w:r w:rsidRPr="00641415">
        <w:rPr>
          <w:rFonts w:ascii="Arial" w:hAnsi="Arial" w:cs="Arial"/>
          <w:sz w:val="24"/>
          <w:szCs w:val="24"/>
        </w:rPr>
        <w:t>: Efficient distribution channels ensure products reach retail stores, distributors, and online marketplaces across India (Christopher, 2016). The combination of centralised logistics for premium items and decentralised distribution for mass-market products ensures cost efficiency while maintaining quality and availability.</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Marketing &amp; Sales</w:t>
      </w:r>
      <w:r w:rsidRPr="00641415">
        <w:rPr>
          <w:rFonts w:ascii="Arial" w:hAnsi="Arial" w:cs="Arial"/>
          <w:sz w:val="24"/>
          <w:szCs w:val="24"/>
        </w:rPr>
        <w:t xml:space="preserve">: Sony’s marketing strategy blends global branding with localised campaigns. </w:t>
      </w:r>
      <w:proofErr w:type="gramStart"/>
      <w:r w:rsidRPr="00641415">
        <w:rPr>
          <w:rFonts w:ascii="Arial" w:hAnsi="Arial" w:cs="Arial"/>
          <w:sz w:val="24"/>
          <w:szCs w:val="24"/>
        </w:rPr>
        <w:t xml:space="preserve">Internationally recognised for technology and innovation, Sony’s Indian marketing leverages cricket sponsorships, </w:t>
      </w:r>
      <w:proofErr w:type="spellStart"/>
      <w:r w:rsidRPr="00641415">
        <w:rPr>
          <w:rFonts w:ascii="Arial" w:hAnsi="Arial" w:cs="Arial"/>
          <w:sz w:val="24"/>
          <w:szCs w:val="24"/>
        </w:rPr>
        <w:t>Bollywood</w:t>
      </w:r>
      <w:proofErr w:type="spellEnd"/>
      <w:r w:rsidRPr="00641415">
        <w:rPr>
          <w:rFonts w:ascii="Arial" w:hAnsi="Arial" w:cs="Arial"/>
          <w:sz w:val="24"/>
          <w:szCs w:val="24"/>
        </w:rPr>
        <w:t xml:space="preserve"> endorsements, and regional campaigns that appeal to culturally diverse consumers (</w:t>
      </w:r>
      <w:proofErr w:type="spellStart"/>
      <w:r w:rsidRPr="00641415">
        <w:rPr>
          <w:rFonts w:ascii="Arial" w:hAnsi="Arial" w:cs="Arial"/>
          <w:sz w:val="24"/>
          <w:szCs w:val="24"/>
        </w:rPr>
        <w:t>Kotler</w:t>
      </w:r>
      <w:proofErr w:type="spellEnd"/>
      <w:r w:rsidRPr="00641415">
        <w:rPr>
          <w:rFonts w:ascii="Arial" w:hAnsi="Arial" w:cs="Arial"/>
          <w:sz w:val="24"/>
          <w:szCs w:val="24"/>
        </w:rPr>
        <w:t xml:space="preserve"> &amp; Keller, 2016).</w:t>
      </w:r>
      <w:proofErr w:type="gramEnd"/>
      <w:r w:rsidRPr="00641415">
        <w:rPr>
          <w:rFonts w:ascii="Arial" w:hAnsi="Arial" w:cs="Arial"/>
          <w:sz w:val="24"/>
          <w:szCs w:val="24"/>
        </w:rPr>
        <w:t xml:space="preserve"> Digital marketing strategies and e-commerce platforms such as Amazon India and </w:t>
      </w:r>
      <w:proofErr w:type="spellStart"/>
      <w:r w:rsidRPr="00641415">
        <w:rPr>
          <w:rFonts w:ascii="Arial" w:hAnsi="Arial" w:cs="Arial"/>
          <w:sz w:val="24"/>
          <w:szCs w:val="24"/>
        </w:rPr>
        <w:t>Flipkart</w:t>
      </w:r>
      <w:proofErr w:type="spellEnd"/>
      <w:r w:rsidRPr="00641415">
        <w:rPr>
          <w:rFonts w:ascii="Arial" w:hAnsi="Arial" w:cs="Arial"/>
          <w:sz w:val="24"/>
          <w:szCs w:val="24"/>
        </w:rPr>
        <w:t xml:space="preserve"> enhance market penetration (</w:t>
      </w:r>
      <w:proofErr w:type="spellStart"/>
      <w:r w:rsidRPr="00641415">
        <w:rPr>
          <w:rFonts w:ascii="Arial" w:hAnsi="Arial" w:cs="Arial"/>
          <w:sz w:val="24"/>
          <w:szCs w:val="24"/>
        </w:rPr>
        <w:t>Saxena</w:t>
      </w:r>
      <w:proofErr w:type="spellEnd"/>
      <w:r w:rsidRPr="00641415">
        <w:rPr>
          <w:rFonts w:ascii="Arial" w:hAnsi="Arial" w:cs="Arial"/>
          <w:sz w:val="24"/>
          <w:szCs w:val="24"/>
        </w:rPr>
        <w:t>, 2021).</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Service</w:t>
      </w:r>
      <w:r w:rsidRPr="00641415">
        <w:rPr>
          <w:rFonts w:ascii="Arial" w:hAnsi="Arial" w:cs="Arial"/>
          <w:sz w:val="24"/>
          <w:szCs w:val="24"/>
        </w:rPr>
        <w:t>: Post-sales services, including repairs, warranty claims, and customer support, are essential in maintaining brand loyalty and customer satisfaction. Sony India operates service centres and online support, addressing market-specific needs and feedback (</w:t>
      </w:r>
      <w:proofErr w:type="spellStart"/>
      <w:r w:rsidRPr="00641415">
        <w:rPr>
          <w:rFonts w:ascii="Arial" w:hAnsi="Arial" w:cs="Arial"/>
          <w:sz w:val="24"/>
          <w:szCs w:val="24"/>
        </w:rPr>
        <w:t>Varma</w:t>
      </w:r>
      <w:proofErr w:type="spellEnd"/>
      <w:r w:rsidRPr="00641415">
        <w:rPr>
          <w:rFonts w:ascii="Arial" w:hAnsi="Arial" w:cs="Arial"/>
          <w:sz w:val="24"/>
          <w:szCs w:val="24"/>
        </w:rPr>
        <w:t>, 2019).</w:t>
      </w:r>
    </w:p>
    <w:p w:rsidR="00641415" w:rsidRPr="00641415" w:rsidRDefault="00641415" w:rsidP="00EF1160">
      <w:pPr>
        <w:spacing w:line="360" w:lineRule="auto"/>
        <w:rPr>
          <w:rFonts w:ascii="Arial" w:hAnsi="Arial" w:cs="Arial"/>
          <w:b/>
          <w:bCs/>
          <w:sz w:val="24"/>
          <w:szCs w:val="24"/>
          <w:u w:val="single"/>
        </w:rPr>
      </w:pPr>
      <w:r w:rsidRPr="00641415">
        <w:rPr>
          <w:rFonts w:ascii="Arial" w:hAnsi="Arial" w:cs="Arial"/>
          <w:b/>
          <w:bCs/>
          <w:sz w:val="24"/>
          <w:szCs w:val="24"/>
          <w:u w:val="single"/>
        </w:rPr>
        <w:t>Support Activities</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R&amp;D &amp; Technology Development</w:t>
      </w:r>
      <w:r w:rsidRPr="00641415">
        <w:rPr>
          <w:rFonts w:ascii="Arial" w:hAnsi="Arial" w:cs="Arial"/>
          <w:sz w:val="24"/>
          <w:szCs w:val="24"/>
        </w:rPr>
        <w:t xml:space="preserve">: Sony invests heavily in global R&amp;D to maintain technological leadership. </w:t>
      </w:r>
      <w:proofErr w:type="gramStart"/>
      <w:r w:rsidRPr="00641415">
        <w:rPr>
          <w:rFonts w:ascii="Arial" w:hAnsi="Arial" w:cs="Arial"/>
          <w:sz w:val="24"/>
          <w:szCs w:val="24"/>
        </w:rPr>
        <w:t>Centres in Japan, the US, and Europe focus on advanced electronics, gaming, and AI innovations (Sony Group Corporation, 2024).</w:t>
      </w:r>
      <w:proofErr w:type="gramEnd"/>
      <w:r w:rsidRPr="00641415">
        <w:rPr>
          <w:rFonts w:ascii="Arial" w:hAnsi="Arial" w:cs="Arial"/>
          <w:sz w:val="24"/>
          <w:szCs w:val="24"/>
        </w:rPr>
        <w:t xml:space="preserve"> For the Indian market, R&amp;D informs product adaptations, including high-brightness TVs, </w:t>
      </w:r>
      <w:r w:rsidRPr="00641415">
        <w:rPr>
          <w:rFonts w:ascii="Arial" w:hAnsi="Arial" w:cs="Arial"/>
          <w:sz w:val="24"/>
          <w:szCs w:val="24"/>
        </w:rPr>
        <w:lastRenderedPageBreak/>
        <w:t>audio devices compatible with local networks, and affordable pricing options (</w:t>
      </w:r>
      <w:proofErr w:type="spellStart"/>
      <w:r w:rsidRPr="00641415">
        <w:rPr>
          <w:rFonts w:ascii="Arial" w:hAnsi="Arial" w:cs="Arial"/>
          <w:sz w:val="24"/>
          <w:szCs w:val="24"/>
        </w:rPr>
        <w:t>Saxena</w:t>
      </w:r>
      <w:proofErr w:type="spellEnd"/>
      <w:r w:rsidRPr="00641415">
        <w:rPr>
          <w:rFonts w:ascii="Arial" w:hAnsi="Arial" w:cs="Arial"/>
          <w:sz w:val="24"/>
          <w:szCs w:val="24"/>
        </w:rPr>
        <w:t>, 2021).</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HR Management</w:t>
      </w:r>
      <w:r w:rsidRPr="00641415">
        <w:rPr>
          <w:rFonts w:ascii="Arial" w:hAnsi="Arial" w:cs="Arial"/>
          <w:sz w:val="24"/>
          <w:szCs w:val="24"/>
        </w:rPr>
        <w:t>: The human resource function supports global talent acquisition, training, and retention. In India, HR manages cross-cultural teams, combining Japanese management practices with local workforce expectations (</w:t>
      </w:r>
      <w:proofErr w:type="spellStart"/>
      <w:r w:rsidRPr="00641415">
        <w:rPr>
          <w:rFonts w:ascii="Arial" w:hAnsi="Arial" w:cs="Arial"/>
          <w:sz w:val="24"/>
          <w:szCs w:val="24"/>
        </w:rPr>
        <w:t>Varma</w:t>
      </w:r>
      <w:proofErr w:type="spellEnd"/>
      <w:r w:rsidRPr="00641415">
        <w:rPr>
          <w:rFonts w:ascii="Arial" w:hAnsi="Arial" w:cs="Arial"/>
          <w:sz w:val="24"/>
          <w:szCs w:val="24"/>
        </w:rPr>
        <w:t>, 2019).</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Procurement/Global Sourcing</w:t>
      </w:r>
      <w:r w:rsidRPr="00641415">
        <w:rPr>
          <w:rFonts w:ascii="Arial" w:hAnsi="Arial" w:cs="Arial"/>
          <w:sz w:val="24"/>
          <w:szCs w:val="24"/>
        </w:rPr>
        <w:t>: Sony’s procurement strategy balances global sourcing for high-tech components with local sourcing for cost efficiency. Hybrid sourcing reduces supply chain risks and supports local partnerships (Christopher, 2016).</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Firm Infrastructure</w:t>
      </w:r>
      <w:r w:rsidRPr="00641415">
        <w:rPr>
          <w:rFonts w:ascii="Arial" w:hAnsi="Arial" w:cs="Arial"/>
          <w:sz w:val="24"/>
          <w:szCs w:val="24"/>
        </w:rPr>
        <w:t>: Corporate governance, financial control, and strategic planning underpin Sony’s operations. Centralised infrastructure ensures consistency in global standards while accommodating local operational needs (Hill, 2020).</w:t>
      </w:r>
    </w:p>
    <w:p w:rsidR="00641415" w:rsidRPr="00641415" w:rsidRDefault="00641415" w:rsidP="00EF1160">
      <w:pPr>
        <w:spacing w:line="360" w:lineRule="auto"/>
        <w:rPr>
          <w:rFonts w:ascii="Arial" w:hAnsi="Arial" w:cs="Arial"/>
          <w:b/>
          <w:bCs/>
          <w:sz w:val="24"/>
          <w:szCs w:val="24"/>
          <w:u w:val="single"/>
        </w:rPr>
      </w:pPr>
      <w:r w:rsidRPr="00641415">
        <w:rPr>
          <w:rFonts w:ascii="Arial" w:hAnsi="Arial" w:cs="Arial"/>
          <w:b/>
          <w:bCs/>
          <w:sz w:val="24"/>
          <w:szCs w:val="24"/>
          <w:u w:val="single"/>
        </w:rPr>
        <w:t>Focus Justification</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The focus on R&amp;D, production, and marketing &amp; distribution is deliberate. R&amp;D drives product innovation and localisation, which is critical in a culturally diverse and price-sensitive market like India (Sony Group Corporation, 2024). Production ensures cost efficiency, faster delivery, and compliance with domestic regulations, including local content requirements (Singh, 2020). Marketing and distribution determine how effectively Sony reaches different market segments, particularly in urban and semi-urban areas where consumer preferences and purchasing power vary significantly (</w:t>
      </w:r>
      <w:proofErr w:type="spellStart"/>
      <w:r w:rsidRPr="00641415">
        <w:rPr>
          <w:rFonts w:ascii="Arial" w:hAnsi="Arial" w:cs="Arial"/>
          <w:sz w:val="24"/>
          <w:szCs w:val="24"/>
        </w:rPr>
        <w:t>Kotler</w:t>
      </w:r>
      <w:proofErr w:type="spellEnd"/>
      <w:r w:rsidRPr="00641415">
        <w:rPr>
          <w:rFonts w:ascii="Arial" w:hAnsi="Arial" w:cs="Arial"/>
          <w:sz w:val="24"/>
          <w:szCs w:val="24"/>
        </w:rPr>
        <w:t xml:space="preserve"> &amp; Keller, 2016). By concentrating on these key activities, Sony maximises its impact in India while maintaining global operational excellence.</w:t>
      </w:r>
    </w:p>
    <w:p w:rsidR="00641415" w:rsidRPr="00641415" w:rsidRDefault="00641415" w:rsidP="007D263E">
      <w:pPr>
        <w:pStyle w:val="Heading2"/>
      </w:pPr>
      <w:bookmarkStart w:id="4" w:name="_Toc214484682"/>
      <w:r w:rsidRPr="00641415">
        <w:t>2c. Entry Modes Used by Sony</w:t>
      </w:r>
      <w:bookmarkEnd w:id="4"/>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Sony employs a combination of entry modes across international markets to optimise control, risk, and local responsiveness:</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Wholly Owned Subsidiaries (WOS)</w:t>
      </w:r>
      <w:r w:rsidRPr="00641415">
        <w:rPr>
          <w:rFonts w:ascii="Arial" w:hAnsi="Arial" w:cs="Arial"/>
          <w:sz w:val="24"/>
          <w:szCs w:val="24"/>
        </w:rPr>
        <w:t xml:space="preserve">: Utilised in developed markets such as the US, UK, Germany, and France to retain full control over brand image, technology, and operations (Dunning &amp; </w:t>
      </w:r>
      <w:proofErr w:type="spellStart"/>
      <w:r w:rsidRPr="00641415">
        <w:rPr>
          <w:rFonts w:ascii="Arial" w:hAnsi="Arial" w:cs="Arial"/>
          <w:sz w:val="24"/>
          <w:szCs w:val="24"/>
        </w:rPr>
        <w:t>Lundan</w:t>
      </w:r>
      <w:proofErr w:type="spellEnd"/>
      <w:r w:rsidRPr="00641415">
        <w:rPr>
          <w:rFonts w:ascii="Arial" w:hAnsi="Arial" w:cs="Arial"/>
          <w:sz w:val="24"/>
          <w:szCs w:val="24"/>
        </w:rPr>
        <w:t>, 2008). In India, Sony India Pvt. Ltd. functions as a wholly owned subsidiary, enabling strategic alignment with corporate objectives (Singh, 2020).</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lastRenderedPageBreak/>
        <w:t>Joint Ventures (JV)</w:t>
      </w:r>
      <w:r w:rsidRPr="00641415">
        <w:rPr>
          <w:rFonts w:ascii="Arial" w:hAnsi="Arial" w:cs="Arial"/>
          <w:sz w:val="24"/>
          <w:szCs w:val="24"/>
        </w:rPr>
        <w:t>: Applied in markets like China and in collaboration with Honda for automotive electronics, joint ventures mitigate regulatory risks and provide access to local expertise and distribution networks (</w:t>
      </w:r>
      <w:proofErr w:type="spellStart"/>
      <w:proofErr w:type="gramStart"/>
      <w:r w:rsidRPr="00641415">
        <w:rPr>
          <w:rFonts w:ascii="Arial" w:hAnsi="Arial" w:cs="Arial"/>
          <w:sz w:val="24"/>
          <w:szCs w:val="24"/>
        </w:rPr>
        <w:t>Gao</w:t>
      </w:r>
      <w:proofErr w:type="spellEnd"/>
      <w:proofErr w:type="gramEnd"/>
      <w:r w:rsidRPr="00641415">
        <w:rPr>
          <w:rFonts w:ascii="Arial" w:hAnsi="Arial" w:cs="Arial"/>
          <w:sz w:val="24"/>
          <w:szCs w:val="24"/>
        </w:rPr>
        <w:t>, 2019).</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Contract Manufacturing</w:t>
      </w:r>
      <w:r w:rsidRPr="00641415">
        <w:rPr>
          <w:rFonts w:ascii="Arial" w:hAnsi="Arial" w:cs="Arial"/>
          <w:sz w:val="24"/>
          <w:szCs w:val="24"/>
        </w:rPr>
        <w:t>: Utilised in India, Malaysia, China, and Vietnam, contract manufacturing reduces upfront capital investment while enabling local assembly and compliance with government regulations (Christopher, 2016).</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Strategic Alliances</w:t>
      </w:r>
      <w:r w:rsidRPr="00641415">
        <w:rPr>
          <w:rFonts w:ascii="Arial" w:hAnsi="Arial" w:cs="Arial"/>
          <w:sz w:val="24"/>
          <w:szCs w:val="24"/>
        </w:rPr>
        <w:t>: Partnerships in semiconductors, gaming, and entertainment facilitate technology transfer, co-branding, and collaborative innovation (</w:t>
      </w:r>
      <w:proofErr w:type="spellStart"/>
      <w:r w:rsidRPr="00641415">
        <w:rPr>
          <w:rFonts w:ascii="Arial" w:hAnsi="Arial" w:cs="Arial"/>
          <w:sz w:val="24"/>
          <w:szCs w:val="24"/>
        </w:rPr>
        <w:t>Rugman</w:t>
      </w:r>
      <w:proofErr w:type="spellEnd"/>
      <w:r w:rsidRPr="00641415">
        <w:rPr>
          <w:rFonts w:ascii="Arial" w:hAnsi="Arial" w:cs="Arial"/>
          <w:sz w:val="24"/>
          <w:szCs w:val="24"/>
        </w:rPr>
        <w:t xml:space="preserve"> &amp; </w:t>
      </w:r>
      <w:proofErr w:type="spellStart"/>
      <w:r w:rsidRPr="00641415">
        <w:rPr>
          <w:rFonts w:ascii="Arial" w:hAnsi="Arial" w:cs="Arial"/>
          <w:sz w:val="24"/>
          <w:szCs w:val="24"/>
        </w:rPr>
        <w:t>Collinson</w:t>
      </w:r>
      <w:proofErr w:type="spellEnd"/>
      <w:r w:rsidRPr="00641415">
        <w:rPr>
          <w:rFonts w:ascii="Arial" w:hAnsi="Arial" w:cs="Arial"/>
          <w:sz w:val="24"/>
          <w:szCs w:val="24"/>
        </w:rPr>
        <w:t>, 2012).</w:t>
      </w:r>
    </w:p>
    <w:p w:rsidR="00641415" w:rsidRPr="00641415" w:rsidRDefault="00641415" w:rsidP="007D263E">
      <w:pPr>
        <w:spacing w:line="360" w:lineRule="auto"/>
        <w:rPr>
          <w:rFonts w:ascii="Arial" w:hAnsi="Arial" w:cs="Arial"/>
          <w:sz w:val="24"/>
          <w:szCs w:val="24"/>
        </w:rPr>
      </w:pPr>
      <w:proofErr w:type="gramStart"/>
      <w:r w:rsidRPr="00641415">
        <w:rPr>
          <w:rFonts w:ascii="Arial" w:hAnsi="Arial" w:cs="Arial"/>
          <w:b/>
          <w:bCs/>
          <w:sz w:val="24"/>
          <w:szCs w:val="24"/>
        </w:rPr>
        <w:t>Licensing</w:t>
      </w:r>
      <w:r w:rsidRPr="00641415">
        <w:rPr>
          <w:rFonts w:ascii="Arial" w:hAnsi="Arial" w:cs="Arial"/>
          <w:sz w:val="24"/>
          <w:szCs w:val="24"/>
        </w:rPr>
        <w:t>: Sony licenses IP for PlayStation products and entertainment merchandise globally, generating additional revenue without significant operational investment (</w:t>
      </w:r>
      <w:proofErr w:type="spellStart"/>
      <w:r w:rsidRPr="00641415">
        <w:rPr>
          <w:rFonts w:ascii="Arial" w:hAnsi="Arial" w:cs="Arial"/>
          <w:sz w:val="24"/>
          <w:szCs w:val="24"/>
        </w:rPr>
        <w:t>Prahalad</w:t>
      </w:r>
      <w:proofErr w:type="spellEnd"/>
      <w:r w:rsidRPr="00641415">
        <w:rPr>
          <w:rFonts w:ascii="Arial" w:hAnsi="Arial" w:cs="Arial"/>
          <w:sz w:val="24"/>
          <w:szCs w:val="24"/>
        </w:rPr>
        <w:t xml:space="preserve"> &amp; </w:t>
      </w:r>
      <w:proofErr w:type="spellStart"/>
      <w:r w:rsidRPr="00641415">
        <w:rPr>
          <w:rFonts w:ascii="Arial" w:hAnsi="Arial" w:cs="Arial"/>
          <w:sz w:val="24"/>
          <w:szCs w:val="24"/>
        </w:rPr>
        <w:t>Doz</w:t>
      </w:r>
      <w:proofErr w:type="spellEnd"/>
      <w:r w:rsidRPr="00641415">
        <w:rPr>
          <w:rFonts w:ascii="Arial" w:hAnsi="Arial" w:cs="Arial"/>
          <w:sz w:val="24"/>
          <w:szCs w:val="24"/>
        </w:rPr>
        <w:t>, 1987).</w:t>
      </w:r>
      <w:proofErr w:type="gramEnd"/>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The dominant entry mode in</w:t>
      </w:r>
      <w:r w:rsidRPr="00641415">
        <w:rPr>
          <w:rFonts w:ascii="Arial" w:hAnsi="Arial" w:cs="Arial"/>
          <w:b/>
          <w:bCs/>
          <w:sz w:val="24"/>
          <w:szCs w:val="24"/>
        </w:rPr>
        <w:t xml:space="preserve"> India</w:t>
      </w:r>
      <w:r w:rsidRPr="00641415">
        <w:rPr>
          <w:rFonts w:ascii="Arial" w:hAnsi="Arial" w:cs="Arial"/>
          <w:sz w:val="24"/>
          <w:szCs w:val="24"/>
        </w:rPr>
        <w:t xml:space="preserve"> is a wholly owned subsidiary complemented by contract manufacturing, ensuring maximum control over quality, brand positioning, and regulatory compliance, while leveraging local manufacturing for cost efficiency and supply chain agility (Singh, 2020).</w:t>
      </w:r>
    </w:p>
    <w:p w:rsidR="00641415" w:rsidRPr="00641415" w:rsidRDefault="00641415" w:rsidP="007D263E">
      <w:pPr>
        <w:pStyle w:val="Heading2"/>
      </w:pPr>
      <w:bookmarkStart w:id="5" w:name="_Toc214484683"/>
      <w:r w:rsidRPr="00641415">
        <w:t>2d. Key Benefits Sony Gains from International Operations</w:t>
      </w:r>
      <w:bookmarkEnd w:id="5"/>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Sony’s international operations provide multiple strategic benefits:</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Market Diversification</w:t>
      </w:r>
      <w:r w:rsidRPr="00641415">
        <w:rPr>
          <w:rFonts w:ascii="Arial" w:hAnsi="Arial" w:cs="Arial"/>
          <w:sz w:val="24"/>
          <w:szCs w:val="24"/>
        </w:rPr>
        <w:t>: Global operations reduce dependence on the Japanese domestic market, stabilising revenues across economic cycles (Hill, 2020). India contributes a growing share of revenue in consumer electronics and gaming segments.</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Economies of Scale</w:t>
      </w:r>
      <w:r w:rsidRPr="00641415">
        <w:rPr>
          <w:rFonts w:ascii="Arial" w:hAnsi="Arial" w:cs="Arial"/>
          <w:sz w:val="24"/>
          <w:szCs w:val="24"/>
        </w:rPr>
        <w:t>: Large-scale global procurement, production, and distribution lower unit costs, enabling competitive pricing and improved margins (Christopher, 2016). Indian operations benefit from scale advantages in procurement and assembly.</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Access to Global Talent</w:t>
      </w:r>
      <w:r w:rsidRPr="00641415">
        <w:rPr>
          <w:rFonts w:ascii="Arial" w:hAnsi="Arial" w:cs="Arial"/>
          <w:sz w:val="24"/>
          <w:szCs w:val="24"/>
        </w:rPr>
        <w:t>: International presence allows Sony to attract highly skilled engineers, designers, and marketing professionals, enhancing innovation and operational efficiency (Grant, 2019).</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lastRenderedPageBreak/>
        <w:t>Revenue Expansion</w:t>
      </w:r>
      <w:r w:rsidRPr="00641415">
        <w:rPr>
          <w:rFonts w:ascii="Arial" w:hAnsi="Arial" w:cs="Arial"/>
          <w:sz w:val="24"/>
          <w:szCs w:val="24"/>
        </w:rPr>
        <w:t>: Emerging markets like India provide high growth potential. Consumer electronics demand is increasing due to rising disposable incomes, digital adoption, and a young demographic (</w:t>
      </w:r>
      <w:proofErr w:type="spellStart"/>
      <w:r w:rsidRPr="00641415">
        <w:rPr>
          <w:rFonts w:ascii="Arial" w:hAnsi="Arial" w:cs="Arial"/>
          <w:sz w:val="24"/>
          <w:szCs w:val="24"/>
        </w:rPr>
        <w:t>Saxena</w:t>
      </w:r>
      <w:proofErr w:type="spellEnd"/>
      <w:r w:rsidRPr="00641415">
        <w:rPr>
          <w:rFonts w:ascii="Arial" w:hAnsi="Arial" w:cs="Arial"/>
          <w:sz w:val="24"/>
          <w:szCs w:val="24"/>
        </w:rPr>
        <w:t>, 2021).</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Risk Reduction</w:t>
      </w:r>
      <w:r w:rsidRPr="00641415">
        <w:rPr>
          <w:rFonts w:ascii="Arial" w:hAnsi="Arial" w:cs="Arial"/>
          <w:sz w:val="24"/>
          <w:szCs w:val="24"/>
        </w:rPr>
        <w:t>: Geographical diversification spreads exposure to political instability, currency fluctuations, and regulatory changes (</w:t>
      </w:r>
      <w:proofErr w:type="spellStart"/>
      <w:r w:rsidRPr="00641415">
        <w:rPr>
          <w:rFonts w:ascii="Arial" w:hAnsi="Arial" w:cs="Arial"/>
          <w:sz w:val="24"/>
          <w:szCs w:val="24"/>
        </w:rPr>
        <w:t>Rugman</w:t>
      </w:r>
      <w:proofErr w:type="spellEnd"/>
      <w:r w:rsidRPr="00641415">
        <w:rPr>
          <w:rFonts w:ascii="Arial" w:hAnsi="Arial" w:cs="Arial"/>
          <w:sz w:val="24"/>
          <w:szCs w:val="24"/>
        </w:rPr>
        <w:t xml:space="preserve"> &amp; </w:t>
      </w:r>
      <w:proofErr w:type="spellStart"/>
      <w:r w:rsidRPr="00641415">
        <w:rPr>
          <w:rFonts w:ascii="Arial" w:hAnsi="Arial" w:cs="Arial"/>
          <w:sz w:val="24"/>
          <w:szCs w:val="24"/>
        </w:rPr>
        <w:t>Collinson</w:t>
      </w:r>
      <w:proofErr w:type="spellEnd"/>
      <w:r w:rsidRPr="00641415">
        <w:rPr>
          <w:rFonts w:ascii="Arial" w:hAnsi="Arial" w:cs="Arial"/>
          <w:sz w:val="24"/>
          <w:szCs w:val="24"/>
        </w:rPr>
        <w:t>, 2012). Operations in India provide a hedge against stagnation in mature markets.</w:t>
      </w:r>
    </w:p>
    <w:p w:rsidR="00641415" w:rsidRPr="00641415" w:rsidRDefault="00641415" w:rsidP="007D263E">
      <w:pPr>
        <w:spacing w:line="360" w:lineRule="auto"/>
        <w:rPr>
          <w:rFonts w:ascii="Arial" w:hAnsi="Arial" w:cs="Arial"/>
          <w:sz w:val="24"/>
          <w:szCs w:val="24"/>
        </w:rPr>
      </w:pPr>
      <w:r w:rsidRPr="00641415">
        <w:rPr>
          <w:rFonts w:ascii="Arial" w:hAnsi="Arial" w:cs="Arial"/>
          <w:b/>
          <w:bCs/>
          <w:sz w:val="24"/>
          <w:szCs w:val="24"/>
        </w:rPr>
        <w:t>Cultural Learning</w:t>
      </w:r>
      <w:r w:rsidRPr="00641415">
        <w:rPr>
          <w:rFonts w:ascii="Arial" w:hAnsi="Arial" w:cs="Arial"/>
          <w:sz w:val="24"/>
          <w:szCs w:val="24"/>
        </w:rPr>
        <w:t>: Operating in diverse cultural contexts helps Sony adapt products and marketing strategies, fostering innovation and local responsiveness (</w:t>
      </w:r>
      <w:proofErr w:type="spellStart"/>
      <w:r w:rsidRPr="00641415">
        <w:rPr>
          <w:rFonts w:ascii="Arial" w:hAnsi="Arial" w:cs="Arial"/>
          <w:sz w:val="24"/>
          <w:szCs w:val="24"/>
        </w:rPr>
        <w:t>Varma</w:t>
      </w:r>
      <w:proofErr w:type="spellEnd"/>
      <w:r w:rsidRPr="00641415">
        <w:rPr>
          <w:rFonts w:ascii="Arial" w:hAnsi="Arial" w:cs="Arial"/>
          <w:sz w:val="24"/>
          <w:szCs w:val="24"/>
        </w:rPr>
        <w:t>, 2019). In India, Sony tailors pricing, marketing campaigns, and product features to meet local consumer expectations.</w:t>
      </w:r>
    </w:p>
    <w:p w:rsidR="00641415" w:rsidRPr="00641415" w:rsidRDefault="00641415" w:rsidP="007D263E">
      <w:pPr>
        <w:pStyle w:val="Heading1"/>
      </w:pPr>
      <w:bookmarkStart w:id="6" w:name="_Toc214484684"/>
      <w:r w:rsidRPr="00641415">
        <w:t>3. OLI Analysis: Ownership, Location, Internalisation</w:t>
      </w:r>
      <w:bookmarkEnd w:id="6"/>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 xml:space="preserve">The OLI framework, also known as the Eclectic Paradigm, is a widely recognised theoretical model for analysing multinational enterprises (MNEs) and their international expansion strategies (Dunning, 1988). It emphasises three critical factors: </w:t>
      </w:r>
      <w:r w:rsidRPr="00641415">
        <w:rPr>
          <w:rFonts w:ascii="Arial" w:hAnsi="Arial" w:cs="Arial"/>
          <w:b/>
          <w:bCs/>
          <w:sz w:val="24"/>
          <w:szCs w:val="24"/>
        </w:rPr>
        <w:t>Ownership advantages (O), Location advantages (L), and Internalisation advantages (I)</w:t>
      </w:r>
      <w:r w:rsidRPr="00641415">
        <w:rPr>
          <w:rFonts w:ascii="Arial" w:hAnsi="Arial" w:cs="Arial"/>
          <w:sz w:val="24"/>
          <w:szCs w:val="24"/>
        </w:rPr>
        <w:t>. Applying this framework to Sony’s operations in India provides insights into why the company has chosen specific market entry strategies, particularly its reliance on wholly owned subsidiaries and contract manufacturing, and how it leverages its unique resources to gain competitive advantage.</w:t>
      </w:r>
    </w:p>
    <w:p w:rsidR="00641415" w:rsidRPr="00641415" w:rsidRDefault="00641415" w:rsidP="007D263E">
      <w:pPr>
        <w:pStyle w:val="Heading2"/>
      </w:pPr>
      <w:bookmarkStart w:id="7" w:name="_Toc214484685"/>
      <w:r w:rsidRPr="00641415">
        <w:t>3a. Ownership Advantages</w:t>
      </w:r>
      <w:bookmarkEnd w:id="7"/>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Ownership advantages refer to the firm-specific assets, capabilities, or resources that provide a competitive edge in foreign markets. Sony possesses significant ownership advantages that justify its transnational operations and investment in India.</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Technological Leadership</w:t>
      </w:r>
      <w:r w:rsidRPr="00641415">
        <w:rPr>
          <w:rFonts w:ascii="Arial" w:hAnsi="Arial" w:cs="Arial"/>
          <w:sz w:val="24"/>
          <w:szCs w:val="24"/>
        </w:rPr>
        <w:br/>
        <w:t xml:space="preserve">Sony’s proprietary technologies, including </w:t>
      </w:r>
      <w:proofErr w:type="spellStart"/>
      <w:r w:rsidRPr="00641415">
        <w:rPr>
          <w:rFonts w:ascii="Arial" w:hAnsi="Arial" w:cs="Arial"/>
          <w:sz w:val="24"/>
          <w:szCs w:val="24"/>
        </w:rPr>
        <w:t>Bravia</w:t>
      </w:r>
      <w:proofErr w:type="spellEnd"/>
      <w:r w:rsidRPr="00641415">
        <w:rPr>
          <w:rFonts w:ascii="Arial" w:hAnsi="Arial" w:cs="Arial"/>
          <w:sz w:val="24"/>
          <w:szCs w:val="24"/>
        </w:rPr>
        <w:t xml:space="preserve"> XR imaging engines, Alpha camera systems, and the PlayStation ecosystem, create a strong technological edge over competitors (Sony Group Corporation, 2024). These assets enable Sony to </w:t>
      </w:r>
      <w:r w:rsidRPr="00641415">
        <w:rPr>
          <w:rFonts w:ascii="Arial" w:hAnsi="Arial" w:cs="Arial"/>
          <w:sz w:val="24"/>
          <w:szCs w:val="24"/>
        </w:rPr>
        <w:lastRenderedPageBreak/>
        <w:t>differentiate its products globally and command premium pricing. In India, this advantage allows Sony to target both high-income urban consumers and tech-savvy young professionals who demand high-quality electronics and entertainment systems. Technological leadership also facilitates faster product innovation, allowing the company to introduce new features tailored for local consumer preferences, such as energy-efficient televisions and mobile devices compatible with Indian network standards (</w:t>
      </w:r>
      <w:proofErr w:type="spellStart"/>
      <w:r w:rsidRPr="00641415">
        <w:rPr>
          <w:rFonts w:ascii="Arial" w:hAnsi="Arial" w:cs="Arial"/>
          <w:sz w:val="24"/>
          <w:szCs w:val="24"/>
        </w:rPr>
        <w:t>Saxena</w:t>
      </w:r>
      <w:proofErr w:type="spellEnd"/>
      <w:r w:rsidRPr="00641415">
        <w:rPr>
          <w:rFonts w:ascii="Arial" w:hAnsi="Arial" w:cs="Arial"/>
          <w:sz w:val="24"/>
          <w:szCs w:val="24"/>
        </w:rPr>
        <w:t>, 2021).</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 xml:space="preserve"> Brand Equity</w:t>
      </w:r>
      <w:r w:rsidRPr="00641415">
        <w:rPr>
          <w:rFonts w:ascii="Arial" w:hAnsi="Arial" w:cs="Arial"/>
          <w:sz w:val="24"/>
          <w:szCs w:val="24"/>
        </w:rPr>
        <w:br/>
        <w:t>Sony is recognised worldwide as a high-quality, innovative, and trustworthy brand (Hill, 2020). This brand equity reduces marketing and customer acquisition costs when entering new markets. In India, brand recognition helps the company differentiate itself from local competitors and establish itself as a premium option in electronics and gaming. Sony’s reputation ensures consumer confidence, which is particularly important in emerging economies where brand perception significantly influences purchasing decisions (</w:t>
      </w:r>
      <w:proofErr w:type="spellStart"/>
      <w:r w:rsidRPr="00641415">
        <w:rPr>
          <w:rFonts w:ascii="Arial" w:hAnsi="Arial" w:cs="Arial"/>
          <w:sz w:val="24"/>
          <w:szCs w:val="24"/>
        </w:rPr>
        <w:t>Varma</w:t>
      </w:r>
      <w:proofErr w:type="spellEnd"/>
      <w:r w:rsidRPr="00641415">
        <w:rPr>
          <w:rFonts w:ascii="Arial" w:hAnsi="Arial" w:cs="Arial"/>
          <w:sz w:val="24"/>
          <w:szCs w:val="24"/>
        </w:rPr>
        <w:t>, 2019).</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 xml:space="preserve"> Financial Strength</w:t>
      </w:r>
      <w:r w:rsidRPr="00641415">
        <w:rPr>
          <w:rFonts w:ascii="Arial" w:hAnsi="Arial" w:cs="Arial"/>
          <w:sz w:val="24"/>
          <w:szCs w:val="24"/>
        </w:rPr>
        <w:br/>
        <w:t>Sony’s diversified revenue streams across electronics, gaming, entertainment, and financial services provide the financial stability needed to invest in foreign markets (Grant, 2019). This financial strength supports large-scale infrastructure investments, such as local assembly plants and service centres in India, and allows Sony to absorb risks associated with currency fluctuations, political changes, and economic uncertainty (</w:t>
      </w:r>
      <w:proofErr w:type="spellStart"/>
      <w:r w:rsidRPr="00641415">
        <w:rPr>
          <w:rFonts w:ascii="Arial" w:hAnsi="Arial" w:cs="Arial"/>
          <w:sz w:val="24"/>
          <w:szCs w:val="24"/>
        </w:rPr>
        <w:t>Rugman</w:t>
      </w:r>
      <w:proofErr w:type="spellEnd"/>
      <w:r w:rsidRPr="00641415">
        <w:rPr>
          <w:rFonts w:ascii="Arial" w:hAnsi="Arial" w:cs="Arial"/>
          <w:sz w:val="24"/>
          <w:szCs w:val="24"/>
        </w:rPr>
        <w:t xml:space="preserve"> &amp; </w:t>
      </w:r>
      <w:proofErr w:type="spellStart"/>
      <w:r w:rsidRPr="00641415">
        <w:rPr>
          <w:rFonts w:ascii="Arial" w:hAnsi="Arial" w:cs="Arial"/>
          <w:sz w:val="24"/>
          <w:szCs w:val="24"/>
        </w:rPr>
        <w:t>Collinson</w:t>
      </w:r>
      <w:proofErr w:type="spellEnd"/>
      <w:r w:rsidRPr="00641415">
        <w:rPr>
          <w:rFonts w:ascii="Arial" w:hAnsi="Arial" w:cs="Arial"/>
          <w:sz w:val="24"/>
          <w:szCs w:val="24"/>
        </w:rPr>
        <w:t>, 2012). In addition, it enables the company to invest in marketing campaigns, R&amp;D for localised products, and human capital development, all of which enhance competitiveness.</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Global R&amp;D Network</w:t>
      </w:r>
      <w:r w:rsidRPr="00641415">
        <w:rPr>
          <w:rFonts w:ascii="Arial" w:hAnsi="Arial" w:cs="Arial"/>
          <w:sz w:val="24"/>
          <w:szCs w:val="24"/>
        </w:rPr>
        <w:br/>
        <w:t>Sony operates R&amp;D centres in Japan, the United States, Europe, and Asia (</w:t>
      </w:r>
      <w:proofErr w:type="spellStart"/>
      <w:r w:rsidRPr="00641415">
        <w:rPr>
          <w:rFonts w:ascii="Arial" w:hAnsi="Arial" w:cs="Arial"/>
          <w:sz w:val="24"/>
          <w:szCs w:val="24"/>
        </w:rPr>
        <w:t>Kotabe</w:t>
      </w:r>
      <w:proofErr w:type="spellEnd"/>
      <w:r w:rsidRPr="00641415">
        <w:rPr>
          <w:rFonts w:ascii="Arial" w:hAnsi="Arial" w:cs="Arial"/>
          <w:sz w:val="24"/>
          <w:szCs w:val="24"/>
        </w:rPr>
        <w:t xml:space="preserve"> &amp; </w:t>
      </w:r>
      <w:proofErr w:type="spellStart"/>
      <w:r w:rsidRPr="00641415">
        <w:rPr>
          <w:rFonts w:ascii="Arial" w:hAnsi="Arial" w:cs="Arial"/>
          <w:sz w:val="24"/>
          <w:szCs w:val="24"/>
        </w:rPr>
        <w:t>Helsen</w:t>
      </w:r>
      <w:proofErr w:type="spellEnd"/>
      <w:r w:rsidRPr="00641415">
        <w:rPr>
          <w:rFonts w:ascii="Arial" w:hAnsi="Arial" w:cs="Arial"/>
          <w:sz w:val="24"/>
          <w:szCs w:val="24"/>
        </w:rPr>
        <w:t xml:space="preserve">, 2022). This global network allows for knowledge transfer, collaboration, and innovation that can be adapted to local markets. In India, access to the global R&amp;D network allows Sony to develop products suited to local preferences while maintaining high international quality standards. For instance, the company can adapt audio systems to Indian acoustics or optimise display technologies for local lighting conditions. These R&amp;D capabilities provide a strong ownership advantage </w:t>
      </w:r>
      <w:r w:rsidRPr="00641415">
        <w:rPr>
          <w:rFonts w:ascii="Arial" w:hAnsi="Arial" w:cs="Arial"/>
          <w:sz w:val="24"/>
          <w:szCs w:val="24"/>
        </w:rPr>
        <w:lastRenderedPageBreak/>
        <w:t xml:space="preserve">that supports Sony’s decision to maintain a wholly owned subsidiary in India (Dunning &amp; </w:t>
      </w:r>
      <w:proofErr w:type="spellStart"/>
      <w:r w:rsidRPr="00641415">
        <w:rPr>
          <w:rFonts w:ascii="Arial" w:hAnsi="Arial" w:cs="Arial"/>
          <w:sz w:val="24"/>
          <w:szCs w:val="24"/>
        </w:rPr>
        <w:t>Lundan</w:t>
      </w:r>
      <w:proofErr w:type="spellEnd"/>
      <w:r w:rsidRPr="00641415">
        <w:rPr>
          <w:rFonts w:ascii="Arial" w:hAnsi="Arial" w:cs="Arial"/>
          <w:sz w:val="24"/>
          <w:szCs w:val="24"/>
        </w:rPr>
        <w:t>, 2008).</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Justification of Entry Mode</w:t>
      </w:r>
      <w:r w:rsidRPr="00641415">
        <w:rPr>
          <w:rFonts w:ascii="Arial" w:hAnsi="Arial" w:cs="Arial"/>
          <w:sz w:val="24"/>
          <w:szCs w:val="24"/>
        </w:rPr>
        <w:br/>
        <w:t>The combination of technological leadership, brand equity, financial resources, and global R&amp;D capabilities justifies Sony’s choice of a wholly owned subsidiary in India. Full ownership allows the company to protect proprietary technologies, maintain quality control, and ensure consistency in branding and service delivery (Dunning, 1988). Partial ownership or joint ventures could compromise intellectual property protection, reduce control over strategic decisions, and dilute brand equity, all of which are critical in a competitive electronics and gaming market.</w:t>
      </w:r>
    </w:p>
    <w:p w:rsidR="00641415" w:rsidRPr="00641415" w:rsidRDefault="00641415" w:rsidP="007D263E">
      <w:pPr>
        <w:pStyle w:val="Heading2"/>
      </w:pPr>
      <w:bookmarkStart w:id="8" w:name="_Toc214484686"/>
      <w:r w:rsidRPr="00641415">
        <w:t>3b. Location Advantages of India</w:t>
      </w:r>
      <w:bookmarkEnd w:id="8"/>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 xml:space="preserve">Location advantages refer to the attributes of a host country that make it attractive for foreign investment, including market size, labour costs, resources, infrastructure, and regulatory environment (Dunning &amp; </w:t>
      </w:r>
      <w:proofErr w:type="spellStart"/>
      <w:r w:rsidRPr="00641415">
        <w:rPr>
          <w:rFonts w:ascii="Arial" w:hAnsi="Arial" w:cs="Arial"/>
          <w:sz w:val="24"/>
          <w:szCs w:val="24"/>
        </w:rPr>
        <w:t>Lundan</w:t>
      </w:r>
      <w:proofErr w:type="spellEnd"/>
      <w:r w:rsidRPr="00641415">
        <w:rPr>
          <w:rFonts w:ascii="Arial" w:hAnsi="Arial" w:cs="Arial"/>
          <w:sz w:val="24"/>
          <w:szCs w:val="24"/>
        </w:rPr>
        <w:t>, 2008). India offers several location advantages that have attracted Sony to establish and expand its operations.</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Large Market Potential</w:t>
      </w:r>
      <w:r w:rsidRPr="00641415">
        <w:rPr>
          <w:rFonts w:ascii="Arial" w:hAnsi="Arial" w:cs="Arial"/>
          <w:sz w:val="24"/>
          <w:szCs w:val="24"/>
        </w:rPr>
        <w:br/>
        <w:t>India has a population exceeding 1.4 billion, with a rapidly growing middle class and a youthful demographic (World Bank, 2023). Rising disposable incomes, urbanisation, and increased consumer awareness have resulted in growing demand for premium electronics, gaming consoles, and home entertainment systems (</w:t>
      </w:r>
      <w:proofErr w:type="spellStart"/>
      <w:r w:rsidRPr="00641415">
        <w:rPr>
          <w:rFonts w:ascii="Arial" w:hAnsi="Arial" w:cs="Arial"/>
          <w:sz w:val="24"/>
          <w:szCs w:val="24"/>
        </w:rPr>
        <w:t>Saxena</w:t>
      </w:r>
      <w:proofErr w:type="spellEnd"/>
      <w:r w:rsidRPr="00641415">
        <w:rPr>
          <w:rFonts w:ascii="Arial" w:hAnsi="Arial" w:cs="Arial"/>
          <w:sz w:val="24"/>
          <w:szCs w:val="24"/>
        </w:rPr>
        <w:t>, 2021). This large market provides scale advantages and revenue growth potential, making it a critical location for Sony’s international expansion.</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Cost-Effective Labour</w:t>
      </w:r>
      <w:r w:rsidRPr="00641415">
        <w:rPr>
          <w:rFonts w:ascii="Arial" w:hAnsi="Arial" w:cs="Arial"/>
          <w:sz w:val="24"/>
          <w:szCs w:val="24"/>
        </w:rPr>
        <w:br/>
        <w:t xml:space="preserve">India’s labour costs are significantly lower than in Japan or Europe, particularly for assembly, logistics, and support functions (Singh, 2020). This cost advantage enables Sony to manufacture and assemble products locally, reducing production expenses and import duties while improving price competitiveness. Employing skilled local engineers and technicians also supports R&amp;D and operational efficiency without incurring the higher labour costs of developed markets (Nakata &amp; </w:t>
      </w:r>
      <w:proofErr w:type="spellStart"/>
      <w:r w:rsidRPr="00641415">
        <w:rPr>
          <w:rFonts w:ascii="Arial" w:hAnsi="Arial" w:cs="Arial"/>
          <w:sz w:val="24"/>
          <w:szCs w:val="24"/>
        </w:rPr>
        <w:t>Sivakumar</w:t>
      </w:r>
      <w:proofErr w:type="spellEnd"/>
      <w:r w:rsidRPr="00641415">
        <w:rPr>
          <w:rFonts w:ascii="Arial" w:hAnsi="Arial" w:cs="Arial"/>
          <w:sz w:val="24"/>
          <w:szCs w:val="24"/>
        </w:rPr>
        <w:t>, 2001).</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lastRenderedPageBreak/>
        <w:t xml:space="preserve"> Government Incentives and Policies</w:t>
      </w:r>
      <w:r w:rsidRPr="00641415">
        <w:rPr>
          <w:rFonts w:ascii="Arial" w:hAnsi="Arial" w:cs="Arial"/>
          <w:sz w:val="24"/>
          <w:szCs w:val="24"/>
        </w:rPr>
        <w:br/>
        <w:t>India’s “Make in India” initiative promotes domestic manufacturing by offering tax benefits, subsidies, and simplified regulatory frameworks for foreign investors (Hill, 2020). By aligning operations with local policy, Sony benefits from lower tariffs, faster approvals, and enhanced access to government infrastructure. These incentives also reinforce Sony’s localisation strategy, enabling it to compete with domestic electronics manufacturers.</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Digital Adoption and E-Commerce Growth</w:t>
      </w:r>
      <w:r w:rsidRPr="00641415">
        <w:rPr>
          <w:rFonts w:ascii="Arial" w:hAnsi="Arial" w:cs="Arial"/>
          <w:sz w:val="24"/>
          <w:szCs w:val="24"/>
        </w:rPr>
        <w:br/>
        <w:t xml:space="preserve">The rapid adoption of </w:t>
      </w:r>
      <w:proofErr w:type="spellStart"/>
      <w:r w:rsidRPr="00641415">
        <w:rPr>
          <w:rFonts w:ascii="Arial" w:hAnsi="Arial" w:cs="Arial"/>
          <w:sz w:val="24"/>
          <w:szCs w:val="24"/>
        </w:rPr>
        <w:t>smartphones</w:t>
      </w:r>
      <w:proofErr w:type="spellEnd"/>
      <w:r w:rsidRPr="00641415">
        <w:rPr>
          <w:rFonts w:ascii="Arial" w:hAnsi="Arial" w:cs="Arial"/>
          <w:sz w:val="24"/>
          <w:szCs w:val="24"/>
        </w:rPr>
        <w:t>, internet connectivity, and e-commerce platforms in India facilitates online sales and marketing (</w:t>
      </w:r>
      <w:proofErr w:type="spellStart"/>
      <w:r w:rsidRPr="00641415">
        <w:rPr>
          <w:rFonts w:ascii="Arial" w:hAnsi="Arial" w:cs="Arial"/>
          <w:sz w:val="24"/>
          <w:szCs w:val="24"/>
        </w:rPr>
        <w:t>Varma</w:t>
      </w:r>
      <w:proofErr w:type="spellEnd"/>
      <w:r w:rsidRPr="00641415">
        <w:rPr>
          <w:rFonts w:ascii="Arial" w:hAnsi="Arial" w:cs="Arial"/>
          <w:sz w:val="24"/>
          <w:szCs w:val="24"/>
        </w:rPr>
        <w:t xml:space="preserve">, 2019). Sony can leverage digital channels such as Amazon India, </w:t>
      </w:r>
      <w:proofErr w:type="spellStart"/>
      <w:r w:rsidRPr="00641415">
        <w:rPr>
          <w:rFonts w:ascii="Arial" w:hAnsi="Arial" w:cs="Arial"/>
          <w:sz w:val="24"/>
          <w:szCs w:val="24"/>
        </w:rPr>
        <w:t>Flipkart</w:t>
      </w:r>
      <w:proofErr w:type="spellEnd"/>
      <w:r w:rsidRPr="00641415">
        <w:rPr>
          <w:rFonts w:ascii="Arial" w:hAnsi="Arial" w:cs="Arial"/>
          <w:sz w:val="24"/>
          <w:szCs w:val="24"/>
        </w:rPr>
        <w:t>, and its own e-commerce portal to reach urban and semi-urban consumers efficiently. Digital adoption also allows for targeted marketing campaigns based on consumer behaviour analytics.</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Skilled Workforce</w:t>
      </w:r>
      <w:r w:rsidRPr="00641415">
        <w:rPr>
          <w:rFonts w:ascii="Arial" w:hAnsi="Arial" w:cs="Arial"/>
          <w:sz w:val="24"/>
          <w:szCs w:val="24"/>
        </w:rPr>
        <w:br/>
        <w:t xml:space="preserve">India produces a large number of engineers, IT specialists, and management professionals each year (Nakata &amp; </w:t>
      </w:r>
      <w:proofErr w:type="spellStart"/>
      <w:r w:rsidRPr="00641415">
        <w:rPr>
          <w:rFonts w:ascii="Arial" w:hAnsi="Arial" w:cs="Arial"/>
          <w:sz w:val="24"/>
          <w:szCs w:val="24"/>
        </w:rPr>
        <w:t>Sivakumar</w:t>
      </w:r>
      <w:proofErr w:type="spellEnd"/>
      <w:r w:rsidRPr="00641415">
        <w:rPr>
          <w:rFonts w:ascii="Arial" w:hAnsi="Arial" w:cs="Arial"/>
          <w:sz w:val="24"/>
          <w:szCs w:val="24"/>
        </w:rPr>
        <w:t>, 2001). This skilled workforce supports local R&amp;D, IT services, and operational functions. By recruiting and training local talent, Sony can integrate global standards with local market knowledge, creating a sustainable competitive advantage in India (Grant, 2019).</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These location advantages collectively justify India as a strategic market for Sony, offering a combination of high revenue potential, operational cost savings, policy support, and access to talent.</w:t>
      </w:r>
    </w:p>
    <w:p w:rsidR="00641415" w:rsidRPr="00641415" w:rsidRDefault="00641415" w:rsidP="007D263E">
      <w:pPr>
        <w:pStyle w:val="Heading2"/>
      </w:pPr>
      <w:bookmarkStart w:id="9" w:name="_Toc214484687"/>
      <w:r w:rsidRPr="00641415">
        <w:t>3c. Internalisation Advantages</w:t>
      </w:r>
      <w:bookmarkEnd w:id="9"/>
      <w:r w:rsidRPr="00641415">
        <w:t xml:space="preserve"> </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Internalisation advantages explain why a firm may prefer to control operations internally rather than outsource or license them to external partners. For Sony, internalisation provides several benefits in the Indian context.</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Quality Control</w:t>
      </w:r>
      <w:r w:rsidRPr="00641415">
        <w:rPr>
          <w:rFonts w:ascii="Arial" w:hAnsi="Arial" w:cs="Arial"/>
          <w:sz w:val="24"/>
          <w:szCs w:val="24"/>
        </w:rPr>
        <w:br/>
      </w:r>
      <w:proofErr w:type="gramStart"/>
      <w:r w:rsidRPr="00641415">
        <w:rPr>
          <w:rFonts w:ascii="Arial" w:hAnsi="Arial" w:cs="Arial"/>
          <w:sz w:val="24"/>
          <w:szCs w:val="24"/>
        </w:rPr>
        <w:t>Maintaining</w:t>
      </w:r>
      <w:proofErr w:type="gramEnd"/>
      <w:r w:rsidRPr="00641415">
        <w:rPr>
          <w:rFonts w:ascii="Arial" w:hAnsi="Arial" w:cs="Arial"/>
          <w:sz w:val="24"/>
          <w:szCs w:val="24"/>
        </w:rPr>
        <w:t xml:space="preserve"> high-quality standards is critical for a premium brand like Sony (Christopher, 2016). Internalised operations in India, including manufacturing, assembly, and after-sales service, allow Sony to monitor production processes, enforce quality benchmarks, and ensure that products meet both global and local </w:t>
      </w:r>
      <w:r w:rsidRPr="00641415">
        <w:rPr>
          <w:rFonts w:ascii="Arial" w:hAnsi="Arial" w:cs="Arial"/>
          <w:sz w:val="24"/>
          <w:szCs w:val="24"/>
        </w:rPr>
        <w:lastRenderedPageBreak/>
        <w:t>standards. This is particularly important in electronics and gaming, where reliability and performance influence brand reputation.</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Intellectual Property Protection</w:t>
      </w:r>
      <w:r w:rsidRPr="00641415">
        <w:rPr>
          <w:rFonts w:ascii="Arial" w:hAnsi="Arial" w:cs="Arial"/>
          <w:sz w:val="24"/>
          <w:szCs w:val="24"/>
        </w:rPr>
        <w:br/>
        <w:t xml:space="preserve">Sony’s proprietary technologies, such as PlayStation software, imaging technology, and audio systems, are core to its competitive advantage (Dunning &amp; </w:t>
      </w:r>
      <w:proofErr w:type="spellStart"/>
      <w:r w:rsidRPr="00641415">
        <w:rPr>
          <w:rFonts w:ascii="Arial" w:hAnsi="Arial" w:cs="Arial"/>
          <w:sz w:val="24"/>
          <w:szCs w:val="24"/>
        </w:rPr>
        <w:t>Lundan</w:t>
      </w:r>
      <w:proofErr w:type="spellEnd"/>
      <w:r w:rsidRPr="00641415">
        <w:rPr>
          <w:rFonts w:ascii="Arial" w:hAnsi="Arial" w:cs="Arial"/>
          <w:sz w:val="24"/>
          <w:szCs w:val="24"/>
        </w:rPr>
        <w:t>, 2008). Internalising production and R&amp;D in India reduces the risk of IP leakage, reverse engineering, or imitation by local competitors. Licensing or outsourcing could expose sensitive technology to risk, undermining the company’s global strategy.</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Global Coordination</w:t>
      </w:r>
      <w:r w:rsidRPr="00641415">
        <w:rPr>
          <w:rFonts w:ascii="Arial" w:hAnsi="Arial" w:cs="Arial"/>
          <w:sz w:val="24"/>
          <w:szCs w:val="24"/>
        </w:rPr>
        <w:br/>
        <w:t>Internalisation facilitates alignment of Indian operations with global corporate strategy (Grant, 2019). Sony India can synchronise product launches, marketing campaigns, and technological upgrades with headquarters in Tokyo and other regional offices. This ensures that global branding and quality standards are maintained while catering to local market preferences.</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Chain Risk Management</w:t>
      </w:r>
      <w:r w:rsidRPr="00641415">
        <w:rPr>
          <w:rFonts w:ascii="Arial" w:hAnsi="Arial" w:cs="Arial"/>
          <w:sz w:val="24"/>
          <w:szCs w:val="24"/>
        </w:rPr>
        <w:br/>
      </w:r>
      <w:proofErr w:type="gramStart"/>
      <w:r w:rsidRPr="00641415">
        <w:rPr>
          <w:rFonts w:ascii="Arial" w:hAnsi="Arial" w:cs="Arial"/>
          <w:sz w:val="24"/>
          <w:szCs w:val="24"/>
        </w:rPr>
        <w:t>By</w:t>
      </w:r>
      <w:proofErr w:type="gramEnd"/>
      <w:r w:rsidRPr="00641415">
        <w:rPr>
          <w:rFonts w:ascii="Arial" w:hAnsi="Arial" w:cs="Arial"/>
          <w:sz w:val="24"/>
          <w:szCs w:val="24"/>
        </w:rPr>
        <w:t xml:space="preserve"> internalising key operations such as assembly, logistics, and inventory management, Sony reduces dependency on external suppliers (</w:t>
      </w:r>
      <w:proofErr w:type="spellStart"/>
      <w:r w:rsidRPr="00641415">
        <w:rPr>
          <w:rFonts w:ascii="Arial" w:hAnsi="Arial" w:cs="Arial"/>
          <w:sz w:val="24"/>
          <w:szCs w:val="24"/>
        </w:rPr>
        <w:t>Gao</w:t>
      </w:r>
      <w:proofErr w:type="spellEnd"/>
      <w:r w:rsidRPr="00641415">
        <w:rPr>
          <w:rFonts w:ascii="Arial" w:hAnsi="Arial" w:cs="Arial"/>
          <w:sz w:val="24"/>
          <w:szCs w:val="24"/>
        </w:rPr>
        <w:t>, 2019). In a country like India, where supply chain disruptions can occur due to infrastructure or regulatory constraints, internal control allows for flexible and timely adjustments. This helps prevent delays, reduces costs associated with errors, and mitigates risks linked to supplier unreliability.</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Market Responsiveness</w:t>
      </w:r>
      <w:r w:rsidRPr="00641415">
        <w:rPr>
          <w:rFonts w:ascii="Arial" w:hAnsi="Arial" w:cs="Arial"/>
          <w:sz w:val="24"/>
          <w:szCs w:val="24"/>
        </w:rPr>
        <w:br/>
        <w:t>Internalised operations enable Sony to react quickly to changes in consumer demand, competitive actions, and regulatory changes. For example, if there is a sudden spike in demand for home entertainment systems during a festive season, Sony India can adjust production, inventory, and marketing campaigns promptly without relying on third-party coordination (</w:t>
      </w:r>
      <w:proofErr w:type="spellStart"/>
      <w:r w:rsidRPr="00641415">
        <w:rPr>
          <w:rFonts w:ascii="Arial" w:hAnsi="Arial" w:cs="Arial"/>
          <w:sz w:val="24"/>
          <w:szCs w:val="24"/>
        </w:rPr>
        <w:t>Saxena</w:t>
      </w:r>
      <w:proofErr w:type="spellEnd"/>
      <w:r w:rsidRPr="00641415">
        <w:rPr>
          <w:rFonts w:ascii="Arial" w:hAnsi="Arial" w:cs="Arial"/>
          <w:sz w:val="24"/>
          <w:szCs w:val="24"/>
        </w:rPr>
        <w:t xml:space="preserve">, 2021; </w:t>
      </w:r>
      <w:proofErr w:type="spellStart"/>
      <w:r w:rsidRPr="00641415">
        <w:rPr>
          <w:rFonts w:ascii="Arial" w:hAnsi="Arial" w:cs="Arial"/>
          <w:sz w:val="24"/>
          <w:szCs w:val="24"/>
        </w:rPr>
        <w:t>Varma</w:t>
      </w:r>
      <w:proofErr w:type="spellEnd"/>
      <w:r w:rsidRPr="00641415">
        <w:rPr>
          <w:rFonts w:ascii="Arial" w:hAnsi="Arial" w:cs="Arial"/>
          <w:sz w:val="24"/>
          <w:szCs w:val="24"/>
        </w:rPr>
        <w:t>, 2019). This agility is crucial for success in a dynamic emerging economy.</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Enhanced Consumer Trust</w:t>
      </w:r>
      <w:r w:rsidRPr="00641415">
        <w:rPr>
          <w:rFonts w:ascii="Arial" w:hAnsi="Arial" w:cs="Arial"/>
          <w:sz w:val="24"/>
          <w:szCs w:val="24"/>
        </w:rPr>
        <w:br/>
        <w:t>Internal control over operations reinforces Sony’s brand credibility. Consumers perceive the company as committed to quality, reliability, and service excellence, which strengthens brand loyalty in India’s competitive electronics market (Hill, 2020).</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lastRenderedPageBreak/>
        <w:t>Conclusion of OLI Analysis</w:t>
      </w:r>
      <w:r w:rsidRPr="00641415">
        <w:rPr>
          <w:rFonts w:ascii="Arial" w:hAnsi="Arial" w:cs="Arial"/>
          <w:sz w:val="24"/>
          <w:szCs w:val="24"/>
        </w:rPr>
        <w:br/>
        <w:t xml:space="preserve">The OLI framework demonstrates that Sony’s ownership advantages, India’s location benefits, and internalisation benefits collectively justify the choice of a wholly owned subsidiary and partially internalised manufacturing strategy. Technological leadership, brand equity, financial strength, and global R&amp;D give Sony the ownership-specific capabilities necessary to compete successfully. India’s large and growing market, cost-effective labour, policy incentives, and skilled workforce make it an attractive location. Internalisation allows Sony to protect its intellectual property, maintain quality, coordinate globally, manage supply chain risks, and respond rapidly to local market changes. These factors explain why Sony has invested heavily in India and designed its operations to balance global integration with local responsiveness (Dunning &amp; </w:t>
      </w:r>
      <w:proofErr w:type="spellStart"/>
      <w:r w:rsidRPr="00641415">
        <w:rPr>
          <w:rFonts w:ascii="Arial" w:hAnsi="Arial" w:cs="Arial"/>
          <w:sz w:val="24"/>
          <w:szCs w:val="24"/>
        </w:rPr>
        <w:t>Lundan</w:t>
      </w:r>
      <w:proofErr w:type="spellEnd"/>
      <w:r w:rsidRPr="00641415">
        <w:rPr>
          <w:rFonts w:ascii="Arial" w:hAnsi="Arial" w:cs="Arial"/>
          <w:sz w:val="24"/>
          <w:szCs w:val="24"/>
        </w:rPr>
        <w:t>, 2008; Grant, 2019; Hill, 2020).</w:t>
      </w:r>
    </w:p>
    <w:p w:rsidR="00641415" w:rsidRPr="00641415" w:rsidRDefault="00641415" w:rsidP="007D263E">
      <w:pPr>
        <w:pStyle w:val="Heading1"/>
      </w:pPr>
      <w:bookmarkStart w:id="10" w:name="_Toc214484688"/>
      <w:r w:rsidRPr="00641415">
        <w:t xml:space="preserve">4. Cultural Differences: Japan </w:t>
      </w:r>
      <w:proofErr w:type="spellStart"/>
      <w:r w:rsidRPr="00641415">
        <w:t>vs</w:t>
      </w:r>
      <w:proofErr w:type="spellEnd"/>
      <w:r w:rsidRPr="00641415">
        <w:t xml:space="preserve"> India</w:t>
      </w:r>
      <w:bookmarkEnd w:id="10"/>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 xml:space="preserve">Cross-cultural differences significantly influence international business operations, particularly when a multinational corporation (MNC) like Sony expands into an emerging market such as India. Understanding cultural dimensions is crucial for aligning strategy, management practices, marketing approaches, and Standard Operating Procedures (SOPs) to local expectations. </w:t>
      </w:r>
      <w:proofErr w:type="spellStart"/>
      <w:r w:rsidRPr="00641415">
        <w:rPr>
          <w:rFonts w:ascii="Arial" w:hAnsi="Arial" w:cs="Arial"/>
          <w:sz w:val="24"/>
          <w:szCs w:val="24"/>
        </w:rPr>
        <w:t>Hofstede’s</w:t>
      </w:r>
      <w:proofErr w:type="spellEnd"/>
      <w:r w:rsidRPr="00641415">
        <w:rPr>
          <w:rFonts w:ascii="Arial" w:hAnsi="Arial" w:cs="Arial"/>
          <w:sz w:val="24"/>
          <w:szCs w:val="24"/>
        </w:rPr>
        <w:t xml:space="preserve"> cultural dimensions provide a widely accepted framework to analyse these differences (</w:t>
      </w:r>
      <w:proofErr w:type="spellStart"/>
      <w:r w:rsidRPr="00641415">
        <w:rPr>
          <w:rFonts w:ascii="Arial" w:hAnsi="Arial" w:cs="Arial"/>
          <w:sz w:val="24"/>
          <w:szCs w:val="24"/>
        </w:rPr>
        <w:t>Hofstede</w:t>
      </w:r>
      <w:proofErr w:type="spellEnd"/>
      <w:r w:rsidRPr="00641415">
        <w:rPr>
          <w:rFonts w:ascii="Arial" w:hAnsi="Arial" w:cs="Arial"/>
          <w:sz w:val="24"/>
          <w:szCs w:val="24"/>
        </w:rPr>
        <w:t xml:space="preserve"> Insights, 2023).</w:t>
      </w:r>
    </w:p>
    <w:tbl>
      <w:tblPr>
        <w:tblStyle w:val="TableGrid"/>
        <w:tblW w:w="0" w:type="auto"/>
        <w:tblLook w:val="04A0"/>
      </w:tblPr>
      <w:tblGrid>
        <w:gridCol w:w="2604"/>
        <w:gridCol w:w="910"/>
        <w:gridCol w:w="777"/>
      </w:tblGrid>
      <w:tr w:rsidR="00641415" w:rsidRPr="00641415" w:rsidTr="00D26344">
        <w:tc>
          <w:tcPr>
            <w:tcW w:w="0" w:type="auto"/>
            <w:hideMark/>
          </w:tcPr>
          <w:p w:rsidR="00641415" w:rsidRPr="00641415" w:rsidRDefault="00641415" w:rsidP="00EF1160">
            <w:pPr>
              <w:spacing w:after="160" w:line="360" w:lineRule="auto"/>
              <w:rPr>
                <w:rFonts w:ascii="Arial" w:hAnsi="Arial" w:cs="Arial"/>
                <w:b/>
                <w:bCs/>
                <w:sz w:val="24"/>
                <w:szCs w:val="24"/>
              </w:rPr>
            </w:pPr>
            <w:r w:rsidRPr="00641415">
              <w:rPr>
                <w:rFonts w:ascii="Arial" w:hAnsi="Arial" w:cs="Arial"/>
                <w:b/>
                <w:bCs/>
                <w:sz w:val="24"/>
                <w:szCs w:val="24"/>
              </w:rPr>
              <w:t>Dimension</w:t>
            </w:r>
          </w:p>
        </w:tc>
        <w:tc>
          <w:tcPr>
            <w:tcW w:w="0" w:type="auto"/>
            <w:hideMark/>
          </w:tcPr>
          <w:p w:rsidR="00641415" w:rsidRPr="00641415" w:rsidRDefault="00641415" w:rsidP="00EF1160">
            <w:pPr>
              <w:spacing w:after="160" w:line="360" w:lineRule="auto"/>
              <w:rPr>
                <w:rFonts w:ascii="Arial" w:hAnsi="Arial" w:cs="Arial"/>
                <w:b/>
                <w:bCs/>
                <w:sz w:val="24"/>
                <w:szCs w:val="24"/>
              </w:rPr>
            </w:pPr>
            <w:r w:rsidRPr="00641415">
              <w:rPr>
                <w:rFonts w:ascii="Arial" w:hAnsi="Arial" w:cs="Arial"/>
                <w:b/>
                <w:bCs/>
                <w:sz w:val="24"/>
                <w:szCs w:val="24"/>
              </w:rPr>
              <w:t>Japan</w:t>
            </w:r>
          </w:p>
        </w:tc>
        <w:tc>
          <w:tcPr>
            <w:tcW w:w="0" w:type="auto"/>
            <w:hideMark/>
          </w:tcPr>
          <w:p w:rsidR="00641415" w:rsidRPr="00641415" w:rsidRDefault="00641415" w:rsidP="00EF1160">
            <w:pPr>
              <w:spacing w:after="160" w:line="360" w:lineRule="auto"/>
              <w:rPr>
                <w:rFonts w:ascii="Arial" w:hAnsi="Arial" w:cs="Arial"/>
                <w:b/>
                <w:bCs/>
                <w:sz w:val="24"/>
                <w:szCs w:val="24"/>
              </w:rPr>
            </w:pPr>
            <w:r w:rsidRPr="00641415">
              <w:rPr>
                <w:rFonts w:ascii="Arial" w:hAnsi="Arial" w:cs="Arial"/>
                <w:b/>
                <w:bCs/>
                <w:sz w:val="24"/>
                <w:szCs w:val="24"/>
              </w:rPr>
              <w:t>India</w:t>
            </w:r>
          </w:p>
        </w:tc>
      </w:tr>
      <w:tr w:rsidR="00641415" w:rsidRPr="00641415" w:rsidTr="00D26344">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Power Distance</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54</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77</w:t>
            </w:r>
          </w:p>
        </w:tc>
      </w:tr>
      <w:tr w:rsidR="00641415" w:rsidRPr="00641415" w:rsidTr="00D26344">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Individualism</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46</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48</w:t>
            </w:r>
          </w:p>
        </w:tc>
      </w:tr>
      <w:tr w:rsidR="00641415" w:rsidRPr="00641415" w:rsidTr="00D26344">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Masculinity</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95</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56</w:t>
            </w:r>
          </w:p>
        </w:tc>
      </w:tr>
      <w:tr w:rsidR="00641415" w:rsidRPr="00641415" w:rsidTr="00D26344">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Uncertainty Avoidance</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92</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40</w:t>
            </w:r>
          </w:p>
        </w:tc>
      </w:tr>
      <w:tr w:rsidR="00641415" w:rsidRPr="00641415" w:rsidTr="00D26344">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Long-Term Orientation</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88</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51</w:t>
            </w:r>
          </w:p>
        </w:tc>
      </w:tr>
      <w:tr w:rsidR="00641415" w:rsidRPr="00641415" w:rsidTr="00D26344">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Indulgence</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42</w:t>
            </w:r>
          </w:p>
        </w:tc>
        <w:tc>
          <w:tcPr>
            <w:tcW w:w="0" w:type="auto"/>
            <w:hideMark/>
          </w:tcPr>
          <w:p w:rsidR="00641415" w:rsidRPr="00641415" w:rsidRDefault="00641415" w:rsidP="00EF1160">
            <w:pPr>
              <w:spacing w:after="160" w:line="360" w:lineRule="auto"/>
              <w:rPr>
                <w:rFonts w:ascii="Arial" w:hAnsi="Arial" w:cs="Arial"/>
                <w:sz w:val="24"/>
                <w:szCs w:val="24"/>
              </w:rPr>
            </w:pPr>
            <w:r w:rsidRPr="00641415">
              <w:rPr>
                <w:rFonts w:ascii="Arial" w:hAnsi="Arial" w:cs="Arial"/>
                <w:sz w:val="24"/>
                <w:szCs w:val="24"/>
              </w:rPr>
              <w:t>26</w:t>
            </w:r>
          </w:p>
        </w:tc>
      </w:tr>
    </w:tbl>
    <w:p w:rsidR="00641415" w:rsidRPr="00641415" w:rsidRDefault="00641415" w:rsidP="00EF1160">
      <w:pPr>
        <w:spacing w:line="360" w:lineRule="auto"/>
        <w:rPr>
          <w:rFonts w:ascii="Arial" w:hAnsi="Arial" w:cs="Arial"/>
          <w:sz w:val="24"/>
          <w:szCs w:val="24"/>
        </w:rPr>
      </w:pPr>
    </w:p>
    <w:p w:rsidR="00EF1160" w:rsidRPr="00EF1160" w:rsidRDefault="00EF1160" w:rsidP="00EF1160">
      <w:pPr>
        <w:spacing w:line="360" w:lineRule="auto"/>
        <w:rPr>
          <w:rFonts w:ascii="Arial" w:hAnsi="Arial" w:cs="Arial"/>
          <w:b/>
          <w:bCs/>
          <w:sz w:val="24"/>
          <w:szCs w:val="24"/>
        </w:rPr>
      </w:pPr>
      <w:r w:rsidRPr="00EF1160">
        <w:rPr>
          <w:rFonts w:ascii="Arial" w:hAnsi="Arial" w:cs="Arial"/>
          <w:b/>
          <w:bCs/>
          <w:noProof/>
          <w:sz w:val="24"/>
          <w:szCs w:val="24"/>
          <w:lang w:val="en-US"/>
        </w:rPr>
        <w:lastRenderedPageBreak/>
        <w:drawing>
          <wp:inline distT="0" distB="0" distL="0" distR="0">
            <wp:extent cx="5731510" cy="4418965"/>
            <wp:effectExtent l="0" t="0" r="2540" b="635"/>
            <wp:docPr id="750189336"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89336" name="Picture 1" descr="A graph of different colored bars&#10;&#10;AI-generated content may be incorrect."/>
                    <pic:cNvPicPr/>
                  </pic:nvPicPr>
                  <pic:blipFill>
                    <a:blip r:embed="rId9" cstate="print"/>
                    <a:stretch>
                      <a:fillRect/>
                    </a:stretch>
                  </pic:blipFill>
                  <pic:spPr>
                    <a:xfrm>
                      <a:off x="0" y="0"/>
                      <a:ext cx="5731510" cy="4418965"/>
                    </a:xfrm>
                    <a:prstGeom prst="rect">
                      <a:avLst/>
                    </a:prstGeom>
                  </pic:spPr>
                </pic:pic>
              </a:graphicData>
            </a:graphic>
          </wp:inline>
        </w:drawing>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Power Distance</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Power distance reflects the extent to which less powerful members of a society accept unequal power distribution (</w:t>
      </w:r>
      <w:proofErr w:type="spellStart"/>
      <w:r w:rsidRPr="00641415">
        <w:rPr>
          <w:rFonts w:ascii="Arial" w:hAnsi="Arial" w:cs="Arial"/>
          <w:sz w:val="24"/>
          <w:szCs w:val="24"/>
        </w:rPr>
        <w:t>Hofstede</w:t>
      </w:r>
      <w:proofErr w:type="spellEnd"/>
      <w:r w:rsidRPr="00641415">
        <w:rPr>
          <w:rFonts w:ascii="Arial" w:hAnsi="Arial" w:cs="Arial"/>
          <w:sz w:val="24"/>
          <w:szCs w:val="24"/>
        </w:rPr>
        <w:t xml:space="preserve"> Insights, 2023). Japan’s moderate score (54) indicates a culture that balances hierarchical authority with participative management. In contrast, India’s high power distance score (77) suggests that hierarchical structures are more deeply embedded and employees expect clear direction from senior management (Hill, 2020).</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Implications for Sony in India:</w:t>
      </w:r>
    </w:p>
    <w:p w:rsidR="00641415" w:rsidRPr="00641415" w:rsidRDefault="00641415" w:rsidP="00EF1160">
      <w:pPr>
        <w:numPr>
          <w:ilvl w:val="0"/>
          <w:numId w:val="13"/>
        </w:numPr>
        <w:spacing w:line="360" w:lineRule="auto"/>
        <w:rPr>
          <w:rFonts w:ascii="Arial" w:hAnsi="Arial" w:cs="Arial"/>
          <w:sz w:val="24"/>
          <w:szCs w:val="24"/>
        </w:rPr>
      </w:pPr>
      <w:r w:rsidRPr="00641415">
        <w:rPr>
          <w:rFonts w:ascii="Arial" w:hAnsi="Arial" w:cs="Arial"/>
          <w:sz w:val="24"/>
          <w:szCs w:val="24"/>
        </w:rPr>
        <w:t>SOPs must integrate structured decision-making channels and clear lines of authority. For instance, approval protocols for product launches or marketing campaigns should be formalised to match local expectations of hierarchy.</w:t>
      </w:r>
    </w:p>
    <w:p w:rsidR="00641415" w:rsidRPr="00641415" w:rsidRDefault="00641415" w:rsidP="00EF1160">
      <w:pPr>
        <w:numPr>
          <w:ilvl w:val="0"/>
          <w:numId w:val="13"/>
        </w:numPr>
        <w:spacing w:line="360" w:lineRule="auto"/>
        <w:rPr>
          <w:rFonts w:ascii="Arial" w:hAnsi="Arial" w:cs="Arial"/>
          <w:sz w:val="24"/>
          <w:szCs w:val="24"/>
        </w:rPr>
      </w:pPr>
      <w:r w:rsidRPr="00641415">
        <w:rPr>
          <w:rFonts w:ascii="Arial" w:hAnsi="Arial" w:cs="Arial"/>
          <w:sz w:val="24"/>
          <w:szCs w:val="24"/>
        </w:rPr>
        <w:t>Leadership styles need to accommodate top-down guidance while encouraging middle management to communicate operational challenges effectively.</w:t>
      </w:r>
    </w:p>
    <w:p w:rsidR="00641415" w:rsidRPr="00641415" w:rsidRDefault="00641415" w:rsidP="00EF1160">
      <w:pPr>
        <w:numPr>
          <w:ilvl w:val="0"/>
          <w:numId w:val="13"/>
        </w:numPr>
        <w:spacing w:line="360" w:lineRule="auto"/>
        <w:rPr>
          <w:rFonts w:ascii="Arial" w:hAnsi="Arial" w:cs="Arial"/>
          <w:sz w:val="24"/>
          <w:szCs w:val="24"/>
        </w:rPr>
      </w:pPr>
      <w:r w:rsidRPr="00641415">
        <w:rPr>
          <w:rFonts w:ascii="Arial" w:hAnsi="Arial" w:cs="Arial"/>
          <w:sz w:val="24"/>
          <w:szCs w:val="24"/>
        </w:rPr>
        <w:lastRenderedPageBreak/>
        <w:t>Training programs for Indian staff should emphasise reporting structures, chain-of-command communication, and managerial decision-making to align with cultural expectations.</w:t>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 xml:space="preserve">Individualism </w:t>
      </w:r>
      <w:proofErr w:type="spellStart"/>
      <w:r w:rsidRPr="00641415">
        <w:rPr>
          <w:rFonts w:ascii="Arial" w:hAnsi="Arial" w:cs="Arial"/>
          <w:b/>
          <w:bCs/>
          <w:sz w:val="24"/>
          <w:szCs w:val="24"/>
        </w:rPr>
        <w:t>vs</w:t>
      </w:r>
      <w:proofErr w:type="spellEnd"/>
      <w:r w:rsidRPr="00641415">
        <w:rPr>
          <w:rFonts w:ascii="Arial" w:hAnsi="Arial" w:cs="Arial"/>
          <w:b/>
          <w:bCs/>
          <w:sz w:val="24"/>
          <w:szCs w:val="24"/>
        </w:rPr>
        <w:t xml:space="preserve"> Collectivism</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Individualism measures the degree to which people prioritise personal goals over group goals. Japan (46) and India (48) both score relatively low to moderate, indicating that teamwork and collective efforts are valued, though individual performance is also recognised (</w:t>
      </w:r>
      <w:proofErr w:type="spellStart"/>
      <w:r w:rsidRPr="00641415">
        <w:rPr>
          <w:rFonts w:ascii="Arial" w:hAnsi="Arial" w:cs="Arial"/>
          <w:sz w:val="24"/>
          <w:szCs w:val="24"/>
        </w:rPr>
        <w:t>Kotler</w:t>
      </w:r>
      <w:proofErr w:type="spellEnd"/>
      <w:r w:rsidRPr="00641415">
        <w:rPr>
          <w:rFonts w:ascii="Arial" w:hAnsi="Arial" w:cs="Arial"/>
          <w:sz w:val="24"/>
          <w:szCs w:val="24"/>
        </w:rPr>
        <w:t xml:space="preserve"> &amp; Keller, 2016).</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Implications for Sony in India:</w:t>
      </w:r>
    </w:p>
    <w:p w:rsidR="00641415" w:rsidRPr="00641415" w:rsidRDefault="00641415" w:rsidP="00EF1160">
      <w:pPr>
        <w:numPr>
          <w:ilvl w:val="0"/>
          <w:numId w:val="14"/>
        </w:numPr>
        <w:spacing w:line="360" w:lineRule="auto"/>
        <w:rPr>
          <w:rFonts w:ascii="Arial" w:hAnsi="Arial" w:cs="Arial"/>
          <w:sz w:val="24"/>
          <w:szCs w:val="24"/>
        </w:rPr>
      </w:pPr>
      <w:r w:rsidRPr="00641415">
        <w:rPr>
          <w:rFonts w:ascii="Arial" w:hAnsi="Arial" w:cs="Arial"/>
          <w:sz w:val="24"/>
          <w:szCs w:val="24"/>
        </w:rPr>
        <w:t>HR practices must balance personal incentives with team-based performance metrics. For example, sales teams can be rewarded both individually and collectively to motivate collaboration.</w:t>
      </w:r>
    </w:p>
    <w:p w:rsidR="00641415" w:rsidRPr="00641415" w:rsidRDefault="00641415" w:rsidP="00EF1160">
      <w:pPr>
        <w:numPr>
          <w:ilvl w:val="0"/>
          <w:numId w:val="14"/>
        </w:numPr>
        <w:spacing w:line="360" w:lineRule="auto"/>
        <w:rPr>
          <w:rFonts w:ascii="Arial" w:hAnsi="Arial" w:cs="Arial"/>
          <w:sz w:val="24"/>
          <w:szCs w:val="24"/>
        </w:rPr>
      </w:pPr>
      <w:r w:rsidRPr="00641415">
        <w:rPr>
          <w:rFonts w:ascii="Arial" w:hAnsi="Arial" w:cs="Arial"/>
          <w:sz w:val="24"/>
          <w:szCs w:val="24"/>
        </w:rPr>
        <w:t>Marketing campaigns need to appeal to both personal aspirations and family or community-oriented decision-making, which is common in Indian purchasing behaviour.</w:t>
      </w:r>
    </w:p>
    <w:p w:rsidR="00641415" w:rsidRPr="00641415" w:rsidRDefault="00641415" w:rsidP="00EF1160">
      <w:pPr>
        <w:numPr>
          <w:ilvl w:val="0"/>
          <w:numId w:val="14"/>
        </w:numPr>
        <w:spacing w:line="360" w:lineRule="auto"/>
        <w:rPr>
          <w:rFonts w:ascii="Arial" w:hAnsi="Arial" w:cs="Arial"/>
          <w:sz w:val="24"/>
          <w:szCs w:val="24"/>
        </w:rPr>
      </w:pPr>
      <w:r w:rsidRPr="00641415">
        <w:rPr>
          <w:rFonts w:ascii="Arial" w:hAnsi="Arial" w:cs="Arial"/>
          <w:sz w:val="24"/>
          <w:szCs w:val="24"/>
        </w:rPr>
        <w:t>Corporate communication should encourage knowledge sharing and teamwork while recognising individual contributions, reflecting the moderately collectivist culture.</w:t>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 xml:space="preserve"> Uncertainty Avoidance</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Uncertainty avoidance indicates a society’s tolerance for ambiguity and unstructured situations. Japan scores very high (92), demonstrating a strong preference for rules, procedures, and risk minimisation. India’s low score (40) reflects a culture that tolerates ambiguity and is more flexible in decision-making (Christopher, 2016).</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Implications for Sony in India:</w:t>
      </w:r>
    </w:p>
    <w:p w:rsidR="00641415" w:rsidRPr="00641415" w:rsidRDefault="00641415" w:rsidP="00EF1160">
      <w:pPr>
        <w:numPr>
          <w:ilvl w:val="0"/>
          <w:numId w:val="15"/>
        </w:numPr>
        <w:spacing w:line="360" w:lineRule="auto"/>
        <w:rPr>
          <w:rFonts w:ascii="Arial" w:hAnsi="Arial" w:cs="Arial"/>
          <w:sz w:val="24"/>
          <w:szCs w:val="24"/>
        </w:rPr>
      </w:pPr>
      <w:r w:rsidRPr="00641415">
        <w:rPr>
          <w:rFonts w:ascii="Arial" w:hAnsi="Arial" w:cs="Arial"/>
          <w:sz w:val="24"/>
          <w:szCs w:val="24"/>
        </w:rPr>
        <w:t>SOPs need to allow flexibility and rapid adaptation to market changes, such as sudden shifts in consumer demand or regulatory updates.</w:t>
      </w:r>
    </w:p>
    <w:p w:rsidR="00641415" w:rsidRPr="00641415" w:rsidRDefault="00641415" w:rsidP="00EF1160">
      <w:pPr>
        <w:numPr>
          <w:ilvl w:val="0"/>
          <w:numId w:val="15"/>
        </w:numPr>
        <w:spacing w:line="360" w:lineRule="auto"/>
        <w:rPr>
          <w:rFonts w:ascii="Arial" w:hAnsi="Arial" w:cs="Arial"/>
          <w:sz w:val="24"/>
          <w:szCs w:val="24"/>
        </w:rPr>
      </w:pPr>
      <w:r w:rsidRPr="00641415">
        <w:rPr>
          <w:rFonts w:ascii="Arial" w:hAnsi="Arial" w:cs="Arial"/>
          <w:sz w:val="24"/>
          <w:szCs w:val="24"/>
        </w:rPr>
        <w:t>Marketing campaigns and product launches can be less rigid, enabling experimentation with local promotions and pricing strategies.</w:t>
      </w:r>
    </w:p>
    <w:p w:rsidR="00641415" w:rsidRPr="00641415" w:rsidRDefault="00641415" w:rsidP="00EF1160">
      <w:pPr>
        <w:numPr>
          <w:ilvl w:val="0"/>
          <w:numId w:val="15"/>
        </w:numPr>
        <w:spacing w:line="360" w:lineRule="auto"/>
        <w:rPr>
          <w:rFonts w:ascii="Arial" w:hAnsi="Arial" w:cs="Arial"/>
          <w:sz w:val="24"/>
          <w:szCs w:val="24"/>
        </w:rPr>
      </w:pPr>
      <w:r w:rsidRPr="00641415">
        <w:rPr>
          <w:rFonts w:ascii="Arial" w:hAnsi="Arial" w:cs="Arial"/>
          <w:sz w:val="24"/>
          <w:szCs w:val="24"/>
        </w:rPr>
        <w:lastRenderedPageBreak/>
        <w:t>Indian consumers may respond well to dynamic retail strategies, online flash sales, or temporary festive discounts, which contrast with Japan’s preference for planned, consistent launches.</w:t>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 xml:space="preserve">Masculinity </w:t>
      </w:r>
      <w:proofErr w:type="spellStart"/>
      <w:r w:rsidRPr="00641415">
        <w:rPr>
          <w:rFonts w:ascii="Arial" w:hAnsi="Arial" w:cs="Arial"/>
          <w:b/>
          <w:bCs/>
          <w:sz w:val="24"/>
          <w:szCs w:val="24"/>
        </w:rPr>
        <w:t>vs</w:t>
      </w:r>
      <w:proofErr w:type="spellEnd"/>
      <w:r w:rsidRPr="00641415">
        <w:rPr>
          <w:rFonts w:ascii="Arial" w:hAnsi="Arial" w:cs="Arial"/>
          <w:b/>
          <w:bCs/>
          <w:sz w:val="24"/>
          <w:szCs w:val="24"/>
        </w:rPr>
        <w:t xml:space="preserve"> Femininity</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Masculinity measures a society’s preference for achievement, competition, and material success. Japan scores extremely high (95), reflecting a strong competitive and achievement-oriented culture. India’s score of 56 is moderate, suggesting a balance between competitiveness and quality-of-life considerations (Grant, 2019).</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Implications for Sony in India:</w:t>
      </w:r>
    </w:p>
    <w:p w:rsidR="00641415" w:rsidRPr="00641415" w:rsidRDefault="00641415" w:rsidP="00EF1160">
      <w:pPr>
        <w:numPr>
          <w:ilvl w:val="0"/>
          <w:numId w:val="16"/>
        </w:numPr>
        <w:spacing w:line="360" w:lineRule="auto"/>
        <w:rPr>
          <w:rFonts w:ascii="Arial" w:hAnsi="Arial" w:cs="Arial"/>
          <w:sz w:val="24"/>
          <w:szCs w:val="24"/>
        </w:rPr>
      </w:pPr>
      <w:r w:rsidRPr="00641415">
        <w:rPr>
          <w:rFonts w:ascii="Arial" w:hAnsi="Arial" w:cs="Arial"/>
          <w:sz w:val="24"/>
          <w:szCs w:val="24"/>
        </w:rPr>
        <w:t xml:space="preserve">Marketing strategies can emphasise </w:t>
      </w:r>
      <w:proofErr w:type="spellStart"/>
      <w:r w:rsidRPr="00641415">
        <w:rPr>
          <w:rFonts w:ascii="Arial" w:hAnsi="Arial" w:cs="Arial"/>
          <w:sz w:val="24"/>
          <w:szCs w:val="24"/>
        </w:rPr>
        <w:t>aspirational</w:t>
      </w:r>
      <w:proofErr w:type="spellEnd"/>
      <w:r w:rsidRPr="00641415">
        <w:rPr>
          <w:rFonts w:ascii="Arial" w:hAnsi="Arial" w:cs="Arial"/>
          <w:sz w:val="24"/>
          <w:szCs w:val="24"/>
        </w:rPr>
        <w:t xml:space="preserve"> lifestyles, premium product quality, and technological superiority to appeal to consumers seeking social recognition.</w:t>
      </w:r>
    </w:p>
    <w:p w:rsidR="00641415" w:rsidRPr="00641415" w:rsidRDefault="00641415" w:rsidP="00EF1160">
      <w:pPr>
        <w:numPr>
          <w:ilvl w:val="0"/>
          <w:numId w:val="16"/>
        </w:numPr>
        <w:spacing w:line="360" w:lineRule="auto"/>
        <w:rPr>
          <w:rFonts w:ascii="Arial" w:hAnsi="Arial" w:cs="Arial"/>
          <w:sz w:val="24"/>
          <w:szCs w:val="24"/>
        </w:rPr>
      </w:pPr>
      <w:r w:rsidRPr="00641415">
        <w:rPr>
          <w:rFonts w:ascii="Arial" w:hAnsi="Arial" w:cs="Arial"/>
          <w:sz w:val="24"/>
          <w:szCs w:val="24"/>
        </w:rPr>
        <w:t>Promotions can highlight achievement-oriented messaging, such as winning awards, celebrity endorsements, and innovative features of Sony products.</w:t>
      </w:r>
    </w:p>
    <w:p w:rsidR="00641415" w:rsidRPr="00641415" w:rsidRDefault="00641415" w:rsidP="00EF1160">
      <w:pPr>
        <w:numPr>
          <w:ilvl w:val="0"/>
          <w:numId w:val="16"/>
        </w:numPr>
        <w:spacing w:line="360" w:lineRule="auto"/>
        <w:rPr>
          <w:rFonts w:ascii="Arial" w:hAnsi="Arial" w:cs="Arial"/>
          <w:sz w:val="24"/>
          <w:szCs w:val="24"/>
        </w:rPr>
      </w:pPr>
      <w:r w:rsidRPr="00641415">
        <w:rPr>
          <w:rFonts w:ascii="Arial" w:hAnsi="Arial" w:cs="Arial"/>
          <w:sz w:val="24"/>
          <w:szCs w:val="24"/>
        </w:rPr>
        <w:t>SOPs for retail and sales teams should support performance-driven behaviour while also maintaining customer relationship management to accommodate cultural preferences for trust and rapport.</w:t>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Long-Term Orientation</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Long-term orientation measures the degree to which a society values long-term planning versus short-term gains. Japan scores very high (88), reflecting a strong focus on long-term strategy, persistence, and delayed gratification. India’s moderate score (51) suggests a more balanced approach, where short-term outcomes and immediate rewards are important alongside long-term planning (</w:t>
      </w:r>
      <w:proofErr w:type="spellStart"/>
      <w:r w:rsidRPr="00641415">
        <w:rPr>
          <w:rFonts w:ascii="Arial" w:hAnsi="Arial" w:cs="Arial"/>
          <w:sz w:val="24"/>
          <w:szCs w:val="24"/>
        </w:rPr>
        <w:t>Varma</w:t>
      </w:r>
      <w:proofErr w:type="spellEnd"/>
      <w:r w:rsidRPr="00641415">
        <w:rPr>
          <w:rFonts w:ascii="Arial" w:hAnsi="Arial" w:cs="Arial"/>
          <w:sz w:val="24"/>
          <w:szCs w:val="24"/>
        </w:rPr>
        <w:t>, 2019).</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Implications for Sony in India:</w:t>
      </w:r>
    </w:p>
    <w:p w:rsidR="00641415" w:rsidRPr="00641415" w:rsidRDefault="00641415" w:rsidP="00EF1160">
      <w:pPr>
        <w:numPr>
          <w:ilvl w:val="0"/>
          <w:numId w:val="17"/>
        </w:numPr>
        <w:spacing w:line="360" w:lineRule="auto"/>
        <w:rPr>
          <w:rFonts w:ascii="Arial" w:hAnsi="Arial" w:cs="Arial"/>
          <w:sz w:val="24"/>
          <w:szCs w:val="24"/>
        </w:rPr>
      </w:pPr>
      <w:r w:rsidRPr="00641415">
        <w:rPr>
          <w:rFonts w:ascii="Arial" w:hAnsi="Arial" w:cs="Arial"/>
          <w:sz w:val="24"/>
          <w:szCs w:val="24"/>
        </w:rPr>
        <w:t>SOPs should incorporate flexibility for short-term promotions, festive campaigns, and seasonal marketing strategies to capture immediate market opportunities.</w:t>
      </w:r>
    </w:p>
    <w:p w:rsidR="00641415" w:rsidRPr="00641415" w:rsidRDefault="00641415" w:rsidP="00EF1160">
      <w:pPr>
        <w:numPr>
          <w:ilvl w:val="0"/>
          <w:numId w:val="17"/>
        </w:numPr>
        <w:spacing w:line="360" w:lineRule="auto"/>
        <w:rPr>
          <w:rFonts w:ascii="Arial" w:hAnsi="Arial" w:cs="Arial"/>
          <w:sz w:val="24"/>
          <w:szCs w:val="24"/>
        </w:rPr>
      </w:pPr>
      <w:r w:rsidRPr="00641415">
        <w:rPr>
          <w:rFonts w:ascii="Arial" w:hAnsi="Arial" w:cs="Arial"/>
          <w:sz w:val="24"/>
          <w:szCs w:val="24"/>
        </w:rPr>
        <w:lastRenderedPageBreak/>
        <w:t xml:space="preserve">Long-term strategic investments, such as R&amp;D and infrastructure, should be complemented by short-term revenue-driven initiatives, particularly during festivals and sale periods like </w:t>
      </w:r>
      <w:proofErr w:type="spellStart"/>
      <w:r w:rsidRPr="00641415">
        <w:rPr>
          <w:rFonts w:ascii="Arial" w:hAnsi="Arial" w:cs="Arial"/>
          <w:sz w:val="24"/>
          <w:szCs w:val="24"/>
        </w:rPr>
        <w:t>Diwali</w:t>
      </w:r>
      <w:proofErr w:type="spellEnd"/>
      <w:r w:rsidRPr="00641415">
        <w:rPr>
          <w:rFonts w:ascii="Arial" w:hAnsi="Arial" w:cs="Arial"/>
          <w:sz w:val="24"/>
          <w:szCs w:val="24"/>
        </w:rPr>
        <w:t xml:space="preserve"> or </w:t>
      </w:r>
      <w:proofErr w:type="spellStart"/>
      <w:r w:rsidRPr="00641415">
        <w:rPr>
          <w:rFonts w:ascii="Arial" w:hAnsi="Arial" w:cs="Arial"/>
          <w:sz w:val="24"/>
          <w:szCs w:val="24"/>
        </w:rPr>
        <w:t>Holi</w:t>
      </w:r>
      <w:proofErr w:type="spellEnd"/>
      <w:r w:rsidRPr="00641415">
        <w:rPr>
          <w:rFonts w:ascii="Arial" w:hAnsi="Arial" w:cs="Arial"/>
          <w:sz w:val="24"/>
          <w:szCs w:val="24"/>
        </w:rPr>
        <w:t>.</w:t>
      </w:r>
    </w:p>
    <w:p w:rsidR="00641415" w:rsidRPr="00641415" w:rsidRDefault="00641415" w:rsidP="00EF1160">
      <w:pPr>
        <w:numPr>
          <w:ilvl w:val="0"/>
          <w:numId w:val="17"/>
        </w:numPr>
        <w:spacing w:line="360" w:lineRule="auto"/>
        <w:rPr>
          <w:rFonts w:ascii="Arial" w:hAnsi="Arial" w:cs="Arial"/>
          <w:sz w:val="24"/>
          <w:szCs w:val="24"/>
        </w:rPr>
      </w:pPr>
      <w:r w:rsidRPr="00641415">
        <w:rPr>
          <w:rFonts w:ascii="Arial" w:hAnsi="Arial" w:cs="Arial"/>
          <w:sz w:val="24"/>
          <w:szCs w:val="24"/>
        </w:rPr>
        <w:t>Retail and marketing teams must be trained to balance short-term sales objectives with long-term brand positioning.</w:t>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 xml:space="preserve">Indulgence </w:t>
      </w:r>
      <w:proofErr w:type="spellStart"/>
      <w:r w:rsidRPr="00641415">
        <w:rPr>
          <w:rFonts w:ascii="Arial" w:hAnsi="Arial" w:cs="Arial"/>
          <w:b/>
          <w:bCs/>
          <w:sz w:val="24"/>
          <w:szCs w:val="24"/>
        </w:rPr>
        <w:t>vs</w:t>
      </w:r>
      <w:proofErr w:type="spellEnd"/>
      <w:r w:rsidRPr="00641415">
        <w:rPr>
          <w:rFonts w:ascii="Arial" w:hAnsi="Arial" w:cs="Arial"/>
          <w:b/>
          <w:bCs/>
          <w:sz w:val="24"/>
          <w:szCs w:val="24"/>
        </w:rPr>
        <w:t xml:space="preserve"> Restraint</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Indulgence refers to the degree to which a society allows relatively free gratification of desires. Japan scores moderately low (42), while India scores even lower (26), indicating a culture that values restraint and delayed gratification (</w:t>
      </w:r>
      <w:proofErr w:type="spellStart"/>
      <w:r w:rsidRPr="00641415">
        <w:rPr>
          <w:rFonts w:ascii="Arial" w:hAnsi="Arial" w:cs="Arial"/>
          <w:sz w:val="24"/>
          <w:szCs w:val="24"/>
        </w:rPr>
        <w:t>Hofstede</w:t>
      </w:r>
      <w:proofErr w:type="spellEnd"/>
      <w:r w:rsidRPr="00641415">
        <w:rPr>
          <w:rFonts w:ascii="Arial" w:hAnsi="Arial" w:cs="Arial"/>
          <w:sz w:val="24"/>
          <w:szCs w:val="24"/>
        </w:rPr>
        <w:t xml:space="preserve"> Insights, 2023).</w:t>
      </w:r>
    </w:p>
    <w:p w:rsidR="00641415" w:rsidRPr="00641415" w:rsidRDefault="00641415" w:rsidP="00EF1160">
      <w:pPr>
        <w:spacing w:line="360" w:lineRule="auto"/>
        <w:rPr>
          <w:rFonts w:ascii="Arial" w:hAnsi="Arial" w:cs="Arial"/>
          <w:sz w:val="24"/>
          <w:szCs w:val="24"/>
        </w:rPr>
      </w:pPr>
      <w:r w:rsidRPr="00641415">
        <w:rPr>
          <w:rFonts w:ascii="Arial" w:hAnsi="Arial" w:cs="Arial"/>
          <w:b/>
          <w:bCs/>
          <w:sz w:val="24"/>
          <w:szCs w:val="24"/>
        </w:rPr>
        <w:t>Implications for Sony in India:</w:t>
      </w:r>
    </w:p>
    <w:p w:rsidR="00641415" w:rsidRPr="00641415" w:rsidRDefault="00641415" w:rsidP="00EF1160">
      <w:pPr>
        <w:numPr>
          <w:ilvl w:val="0"/>
          <w:numId w:val="18"/>
        </w:numPr>
        <w:spacing w:line="360" w:lineRule="auto"/>
        <w:rPr>
          <w:rFonts w:ascii="Arial" w:hAnsi="Arial" w:cs="Arial"/>
          <w:sz w:val="24"/>
          <w:szCs w:val="24"/>
        </w:rPr>
      </w:pPr>
      <w:r w:rsidRPr="00641415">
        <w:rPr>
          <w:rFonts w:ascii="Arial" w:hAnsi="Arial" w:cs="Arial"/>
          <w:sz w:val="24"/>
          <w:szCs w:val="24"/>
        </w:rPr>
        <w:t>Consumer behaviour is influenced by seasonal spending and cultural events. Festive buying patterns are prominent, and Sony must align product launches with these occasions (</w:t>
      </w:r>
      <w:proofErr w:type="spellStart"/>
      <w:r w:rsidRPr="00641415">
        <w:rPr>
          <w:rFonts w:ascii="Arial" w:hAnsi="Arial" w:cs="Arial"/>
          <w:sz w:val="24"/>
          <w:szCs w:val="24"/>
        </w:rPr>
        <w:t>Saxena</w:t>
      </w:r>
      <w:proofErr w:type="spellEnd"/>
      <w:r w:rsidRPr="00641415">
        <w:rPr>
          <w:rFonts w:ascii="Arial" w:hAnsi="Arial" w:cs="Arial"/>
          <w:sz w:val="24"/>
          <w:szCs w:val="24"/>
        </w:rPr>
        <w:t>, 2021).</w:t>
      </w:r>
    </w:p>
    <w:p w:rsidR="00641415" w:rsidRPr="00641415" w:rsidRDefault="00641415" w:rsidP="00EF1160">
      <w:pPr>
        <w:numPr>
          <w:ilvl w:val="0"/>
          <w:numId w:val="18"/>
        </w:numPr>
        <w:spacing w:line="360" w:lineRule="auto"/>
        <w:rPr>
          <w:rFonts w:ascii="Arial" w:hAnsi="Arial" w:cs="Arial"/>
          <w:sz w:val="24"/>
          <w:szCs w:val="24"/>
        </w:rPr>
      </w:pPr>
      <w:r w:rsidRPr="00641415">
        <w:rPr>
          <w:rFonts w:ascii="Arial" w:hAnsi="Arial" w:cs="Arial"/>
          <w:sz w:val="24"/>
          <w:szCs w:val="24"/>
        </w:rPr>
        <w:t>SOPs should schedule inventory, promotions, and marketing campaigns around peak periods rather than relying on constant year-round demand.</w:t>
      </w:r>
    </w:p>
    <w:p w:rsidR="00641415" w:rsidRPr="00641415" w:rsidRDefault="00641415" w:rsidP="00EF1160">
      <w:pPr>
        <w:numPr>
          <w:ilvl w:val="0"/>
          <w:numId w:val="18"/>
        </w:numPr>
        <w:spacing w:line="360" w:lineRule="auto"/>
        <w:rPr>
          <w:rFonts w:ascii="Arial" w:hAnsi="Arial" w:cs="Arial"/>
          <w:sz w:val="24"/>
          <w:szCs w:val="24"/>
        </w:rPr>
      </w:pPr>
      <w:r w:rsidRPr="00641415">
        <w:rPr>
          <w:rFonts w:ascii="Arial" w:hAnsi="Arial" w:cs="Arial"/>
          <w:sz w:val="24"/>
          <w:szCs w:val="24"/>
        </w:rPr>
        <w:t xml:space="preserve">Marketing communication should emphasise </w:t>
      </w:r>
      <w:proofErr w:type="spellStart"/>
      <w:r w:rsidRPr="00641415">
        <w:rPr>
          <w:rFonts w:ascii="Arial" w:hAnsi="Arial" w:cs="Arial"/>
          <w:sz w:val="24"/>
          <w:szCs w:val="24"/>
        </w:rPr>
        <w:t>aspirational</w:t>
      </w:r>
      <w:proofErr w:type="spellEnd"/>
      <w:r w:rsidRPr="00641415">
        <w:rPr>
          <w:rFonts w:ascii="Arial" w:hAnsi="Arial" w:cs="Arial"/>
          <w:sz w:val="24"/>
          <w:szCs w:val="24"/>
        </w:rPr>
        <w:t xml:space="preserve"> and experiential benefits while respecting cultural norms around moderation and prudent spending.</w:t>
      </w:r>
    </w:p>
    <w:p w:rsidR="00641415" w:rsidRPr="00641415" w:rsidRDefault="00641415" w:rsidP="00EF1160">
      <w:pPr>
        <w:spacing w:line="360" w:lineRule="auto"/>
        <w:rPr>
          <w:rFonts w:ascii="Arial" w:hAnsi="Arial" w:cs="Arial"/>
          <w:b/>
          <w:bCs/>
          <w:sz w:val="24"/>
          <w:szCs w:val="24"/>
        </w:rPr>
      </w:pPr>
      <w:r w:rsidRPr="00641415">
        <w:rPr>
          <w:rFonts w:ascii="Arial" w:hAnsi="Arial" w:cs="Arial"/>
          <w:b/>
          <w:bCs/>
          <w:sz w:val="24"/>
          <w:szCs w:val="24"/>
        </w:rPr>
        <w:t>Integrated Cultural Implications</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t xml:space="preserve">The differences between Japanese and Indian cultural dimensions have a direct impact on Sony’s market entry and operations. High power distance and low uncertainty avoidance in India necessitate flexible, hierarchical, yet responsive SOPs. Moderate collectivism and low indulgence require team-oriented HR practices and culturally sensitive marketing. Variations in masculinity and long-term orientation guide promotional strategies to balance </w:t>
      </w:r>
      <w:proofErr w:type="spellStart"/>
      <w:r w:rsidRPr="00641415">
        <w:rPr>
          <w:rFonts w:ascii="Arial" w:hAnsi="Arial" w:cs="Arial"/>
          <w:sz w:val="24"/>
          <w:szCs w:val="24"/>
        </w:rPr>
        <w:t>aspirational</w:t>
      </w:r>
      <w:proofErr w:type="spellEnd"/>
      <w:r w:rsidRPr="00641415">
        <w:rPr>
          <w:rFonts w:ascii="Arial" w:hAnsi="Arial" w:cs="Arial"/>
          <w:sz w:val="24"/>
          <w:szCs w:val="24"/>
        </w:rPr>
        <w:t xml:space="preserve"> messaging with short-term consumer engagement. By understanding these cultural differences, Sony can align SOPs for production, marketing, HR, and customer service to enhance operational effectiveness and consumer satisfaction in India (Hill, 2020; </w:t>
      </w:r>
      <w:proofErr w:type="spellStart"/>
      <w:r w:rsidRPr="00641415">
        <w:rPr>
          <w:rFonts w:ascii="Arial" w:hAnsi="Arial" w:cs="Arial"/>
          <w:sz w:val="24"/>
          <w:szCs w:val="24"/>
        </w:rPr>
        <w:t>Kotler</w:t>
      </w:r>
      <w:proofErr w:type="spellEnd"/>
      <w:r w:rsidRPr="00641415">
        <w:rPr>
          <w:rFonts w:ascii="Arial" w:hAnsi="Arial" w:cs="Arial"/>
          <w:sz w:val="24"/>
          <w:szCs w:val="24"/>
        </w:rPr>
        <w:t xml:space="preserve"> &amp; Keller, 2016; </w:t>
      </w:r>
      <w:proofErr w:type="spellStart"/>
      <w:r w:rsidRPr="00641415">
        <w:rPr>
          <w:rFonts w:ascii="Arial" w:hAnsi="Arial" w:cs="Arial"/>
          <w:sz w:val="24"/>
          <w:szCs w:val="24"/>
        </w:rPr>
        <w:t>Saxena</w:t>
      </w:r>
      <w:proofErr w:type="spellEnd"/>
      <w:r w:rsidRPr="00641415">
        <w:rPr>
          <w:rFonts w:ascii="Arial" w:hAnsi="Arial" w:cs="Arial"/>
          <w:sz w:val="24"/>
          <w:szCs w:val="24"/>
        </w:rPr>
        <w:t>, 2021).</w:t>
      </w:r>
    </w:p>
    <w:p w:rsidR="00641415" w:rsidRPr="00641415" w:rsidRDefault="00641415" w:rsidP="00EF1160">
      <w:pPr>
        <w:spacing w:line="360" w:lineRule="auto"/>
        <w:rPr>
          <w:rFonts w:ascii="Arial" w:hAnsi="Arial" w:cs="Arial"/>
          <w:sz w:val="24"/>
          <w:szCs w:val="24"/>
        </w:rPr>
      </w:pPr>
      <w:r w:rsidRPr="00641415">
        <w:rPr>
          <w:rFonts w:ascii="Arial" w:hAnsi="Arial" w:cs="Arial"/>
          <w:sz w:val="24"/>
          <w:szCs w:val="24"/>
        </w:rPr>
        <w:lastRenderedPageBreak/>
        <w:t xml:space="preserve">In conclusion, </w:t>
      </w:r>
      <w:proofErr w:type="spellStart"/>
      <w:r w:rsidRPr="00641415">
        <w:rPr>
          <w:rFonts w:ascii="Arial" w:hAnsi="Arial" w:cs="Arial"/>
          <w:sz w:val="24"/>
          <w:szCs w:val="24"/>
        </w:rPr>
        <w:t>Hofstede’s</w:t>
      </w:r>
      <w:proofErr w:type="spellEnd"/>
      <w:r w:rsidRPr="00641415">
        <w:rPr>
          <w:rFonts w:ascii="Arial" w:hAnsi="Arial" w:cs="Arial"/>
          <w:sz w:val="24"/>
          <w:szCs w:val="24"/>
        </w:rPr>
        <w:t xml:space="preserve"> cultural dimensions reveal that Sony cannot simply replicate Japanese practices in India. Successful localisation involves adapting SOPs, marketing strategies, and HR policies to reflect Indian cultural norms, consumer behaviour, and decision-making patterns, ensuring the company remains competitive in a diverse and dynamic market.</w:t>
      </w:r>
    </w:p>
    <w:p w:rsidR="00D26344" w:rsidRPr="00D26344" w:rsidRDefault="00D26344" w:rsidP="007D263E">
      <w:pPr>
        <w:pStyle w:val="Heading1"/>
      </w:pPr>
      <w:bookmarkStart w:id="11" w:name="_Toc214484689"/>
      <w:r w:rsidRPr="00D26344">
        <w:t>5. Recommendations: SOP Adjustments for India</w:t>
      </w:r>
      <w:bookmarkEnd w:id="11"/>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To ensure Sony’s success in India, it is crucial to tailor its Standard Operating Procedures (SOPs) to the unique business, cultural, and regulatory environment of the country. The following recommendations are based on the earlier analysis of Sony’s global value chain, OLI factors, and cultural differences between Japan and India. Each recommendation addresses current operational gaps and proposes actionable SOP adjustments designed to enhance local competitiveness, operational efficiency, and organisational alignment.</w:t>
      </w:r>
    </w:p>
    <w:p w:rsidR="00D26344" w:rsidRPr="00D26344" w:rsidRDefault="00D26344" w:rsidP="007D263E">
      <w:pPr>
        <w:pStyle w:val="Heading2"/>
      </w:pPr>
      <w:bookmarkStart w:id="12" w:name="_Toc214484690"/>
      <w:r w:rsidRPr="00D26344">
        <w:t>Recommendation 1: Establish India-Focused R&amp;D</w:t>
      </w:r>
      <w:bookmarkEnd w:id="12"/>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Current Situation</w:t>
      </w:r>
      <w:proofErr w:type="gramStart"/>
      <w:r w:rsidRPr="00D26344">
        <w:rPr>
          <w:rFonts w:ascii="Arial" w:hAnsi="Arial" w:cs="Arial"/>
          <w:b/>
          <w:bCs/>
          <w:sz w:val="24"/>
          <w:szCs w:val="24"/>
        </w:rPr>
        <w:t>:</w:t>
      </w:r>
      <w:proofErr w:type="gramEnd"/>
      <w:r w:rsidRPr="00D26344">
        <w:rPr>
          <w:rFonts w:ascii="Arial" w:hAnsi="Arial" w:cs="Arial"/>
          <w:sz w:val="24"/>
          <w:szCs w:val="24"/>
        </w:rPr>
        <w:br/>
        <w:t>Sony’s product design and technological innovation have historically been driven by R&amp;D centres in Japan, the United States, and Europe (Sony Group Corporation, 2024). While these global centres maintain Sony’s technological edge, their distance from the Indian market limits their understanding of local consumer preferences, network infrastructure, and price sensitivity.</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Problem</w:t>
      </w:r>
      <w:proofErr w:type="gramStart"/>
      <w:r w:rsidRPr="00D26344">
        <w:rPr>
          <w:rFonts w:ascii="Arial" w:hAnsi="Arial" w:cs="Arial"/>
          <w:b/>
          <w:bCs/>
          <w:sz w:val="24"/>
          <w:szCs w:val="24"/>
        </w:rPr>
        <w:t>:</w:t>
      </w:r>
      <w:proofErr w:type="gramEnd"/>
      <w:r w:rsidRPr="00D26344">
        <w:rPr>
          <w:rFonts w:ascii="Arial" w:hAnsi="Arial" w:cs="Arial"/>
          <w:sz w:val="24"/>
          <w:szCs w:val="24"/>
        </w:rPr>
        <w:br/>
        <w:t>The limited localisation of R&amp;D restricts Sony’s ability to optimise products for Indian consumers. Features and pricing strategies developed abroad may not fully resonate with local needs, particularly for mid-range electronics and mobile devices. This gap leads to higher costs, less competitive pricing, and slower responsiveness to emerging trends in India (</w:t>
      </w:r>
      <w:proofErr w:type="spellStart"/>
      <w:r w:rsidRPr="00D26344">
        <w:rPr>
          <w:rFonts w:ascii="Arial" w:hAnsi="Arial" w:cs="Arial"/>
          <w:sz w:val="24"/>
          <w:szCs w:val="24"/>
        </w:rPr>
        <w:t>Saxena</w:t>
      </w:r>
      <w:proofErr w:type="spellEnd"/>
      <w:r w:rsidRPr="00D26344">
        <w:rPr>
          <w:rFonts w:ascii="Arial" w:hAnsi="Arial" w:cs="Arial"/>
          <w:sz w:val="24"/>
          <w:szCs w:val="24"/>
        </w:rPr>
        <w:t xml:space="preserve">, 2021). For example, while premium </w:t>
      </w:r>
      <w:proofErr w:type="spellStart"/>
      <w:r w:rsidRPr="00D26344">
        <w:rPr>
          <w:rFonts w:ascii="Arial" w:hAnsi="Arial" w:cs="Arial"/>
          <w:sz w:val="24"/>
          <w:szCs w:val="24"/>
        </w:rPr>
        <w:t>Bravia</w:t>
      </w:r>
      <w:proofErr w:type="spellEnd"/>
      <w:r w:rsidRPr="00D26344">
        <w:rPr>
          <w:rFonts w:ascii="Arial" w:hAnsi="Arial" w:cs="Arial"/>
          <w:sz w:val="24"/>
          <w:szCs w:val="24"/>
        </w:rPr>
        <w:t xml:space="preserve"> TVs and Alpha cameras perform well, mid-tier products tailored to Indian power supply variations, internet speeds, and content consumption preferences may lag behind competitors who design specifically for the local market.</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SOP Adjustment:</w:t>
      </w:r>
    </w:p>
    <w:p w:rsidR="00D26344" w:rsidRPr="00D26344" w:rsidRDefault="00D26344" w:rsidP="00EF1160">
      <w:pPr>
        <w:numPr>
          <w:ilvl w:val="0"/>
          <w:numId w:val="19"/>
        </w:numPr>
        <w:spacing w:line="360" w:lineRule="auto"/>
        <w:rPr>
          <w:rFonts w:ascii="Arial" w:hAnsi="Arial" w:cs="Arial"/>
          <w:sz w:val="24"/>
          <w:szCs w:val="24"/>
        </w:rPr>
      </w:pPr>
      <w:r w:rsidRPr="00D26344">
        <w:rPr>
          <w:rFonts w:ascii="Arial" w:hAnsi="Arial" w:cs="Arial"/>
          <w:b/>
          <w:bCs/>
          <w:sz w:val="24"/>
          <w:szCs w:val="24"/>
        </w:rPr>
        <w:lastRenderedPageBreak/>
        <w:t>Creation of a Sony India Innovation Hub:</w:t>
      </w:r>
      <w:r w:rsidRPr="00D26344">
        <w:rPr>
          <w:rFonts w:ascii="Arial" w:hAnsi="Arial" w:cs="Arial"/>
          <w:sz w:val="24"/>
          <w:szCs w:val="24"/>
        </w:rPr>
        <w:t xml:space="preserve"> Establish a dedicated R&amp;D centre in India staffed by local engineers, designers, and market analysts.</w:t>
      </w:r>
    </w:p>
    <w:p w:rsidR="00D26344" w:rsidRPr="00D26344" w:rsidRDefault="00D26344" w:rsidP="00EF1160">
      <w:pPr>
        <w:numPr>
          <w:ilvl w:val="0"/>
          <w:numId w:val="19"/>
        </w:numPr>
        <w:spacing w:line="360" w:lineRule="auto"/>
        <w:rPr>
          <w:rFonts w:ascii="Arial" w:hAnsi="Arial" w:cs="Arial"/>
          <w:sz w:val="24"/>
          <w:szCs w:val="24"/>
        </w:rPr>
      </w:pPr>
      <w:r w:rsidRPr="00D26344">
        <w:rPr>
          <w:rFonts w:ascii="Arial" w:hAnsi="Arial" w:cs="Arial"/>
          <w:b/>
          <w:bCs/>
          <w:sz w:val="24"/>
          <w:szCs w:val="24"/>
        </w:rPr>
        <w:t>Local Feature Development:</w:t>
      </w:r>
      <w:r w:rsidRPr="00D26344">
        <w:rPr>
          <w:rFonts w:ascii="Arial" w:hAnsi="Arial" w:cs="Arial"/>
          <w:sz w:val="24"/>
          <w:szCs w:val="24"/>
        </w:rPr>
        <w:t xml:space="preserve"> Enable Indian teams to customise products with features aligned to local consumer behaviour, such as mobile-friendly gaming, regional content compatibility, and energy-efficient electronics suitable for variable power conditions.</w:t>
      </w:r>
    </w:p>
    <w:p w:rsidR="00D26344" w:rsidRPr="00D26344" w:rsidRDefault="00D26344" w:rsidP="00EF1160">
      <w:pPr>
        <w:numPr>
          <w:ilvl w:val="0"/>
          <w:numId w:val="19"/>
        </w:numPr>
        <w:spacing w:line="360" w:lineRule="auto"/>
        <w:rPr>
          <w:rFonts w:ascii="Arial" w:hAnsi="Arial" w:cs="Arial"/>
          <w:sz w:val="24"/>
          <w:szCs w:val="24"/>
        </w:rPr>
      </w:pPr>
      <w:r w:rsidRPr="00D26344">
        <w:rPr>
          <w:rFonts w:ascii="Arial" w:hAnsi="Arial" w:cs="Arial"/>
          <w:b/>
          <w:bCs/>
          <w:sz w:val="24"/>
          <w:szCs w:val="24"/>
        </w:rPr>
        <w:t>Collaborative Global R&amp;D:</w:t>
      </w:r>
      <w:r w:rsidRPr="00D26344">
        <w:rPr>
          <w:rFonts w:ascii="Arial" w:hAnsi="Arial" w:cs="Arial"/>
          <w:sz w:val="24"/>
          <w:szCs w:val="24"/>
        </w:rPr>
        <w:t xml:space="preserve"> Implement a structured process to integrate insights from India into global R&amp;D, allowing successful local innovations to be scaled internationally.</w:t>
      </w:r>
    </w:p>
    <w:p w:rsidR="00D26344" w:rsidRPr="00D26344" w:rsidRDefault="00D26344" w:rsidP="00EF1160">
      <w:pPr>
        <w:numPr>
          <w:ilvl w:val="0"/>
          <w:numId w:val="19"/>
        </w:numPr>
        <w:spacing w:line="360" w:lineRule="auto"/>
        <w:rPr>
          <w:rFonts w:ascii="Arial" w:hAnsi="Arial" w:cs="Arial"/>
          <w:sz w:val="24"/>
          <w:szCs w:val="24"/>
        </w:rPr>
      </w:pPr>
      <w:r w:rsidRPr="00D26344">
        <w:rPr>
          <w:rFonts w:ascii="Arial" w:hAnsi="Arial" w:cs="Arial"/>
          <w:b/>
          <w:bCs/>
          <w:sz w:val="24"/>
          <w:szCs w:val="24"/>
        </w:rPr>
        <w:t>Rapid Prototyping and Testing:</w:t>
      </w:r>
      <w:r w:rsidRPr="00D26344">
        <w:rPr>
          <w:rFonts w:ascii="Arial" w:hAnsi="Arial" w:cs="Arial"/>
          <w:sz w:val="24"/>
          <w:szCs w:val="24"/>
        </w:rPr>
        <w:t xml:space="preserve"> SOPs should formalise rapid product testing cycles with Indian consumers, enabling iterative feedback and faster adaptation.</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Expected Impact:</w:t>
      </w:r>
    </w:p>
    <w:p w:rsidR="00D26344" w:rsidRPr="00D26344" w:rsidRDefault="00D26344" w:rsidP="00EF1160">
      <w:pPr>
        <w:numPr>
          <w:ilvl w:val="0"/>
          <w:numId w:val="20"/>
        </w:numPr>
        <w:spacing w:line="360" w:lineRule="auto"/>
        <w:rPr>
          <w:rFonts w:ascii="Arial" w:hAnsi="Arial" w:cs="Arial"/>
          <w:sz w:val="24"/>
          <w:szCs w:val="24"/>
        </w:rPr>
      </w:pPr>
      <w:r w:rsidRPr="00D26344">
        <w:rPr>
          <w:rFonts w:ascii="Arial" w:hAnsi="Arial" w:cs="Arial"/>
          <w:sz w:val="24"/>
          <w:szCs w:val="24"/>
        </w:rPr>
        <w:t>Improved product-market fit enhances sales potential and customer satisfaction.</w:t>
      </w:r>
    </w:p>
    <w:p w:rsidR="00D26344" w:rsidRPr="00D26344" w:rsidRDefault="00D26344" w:rsidP="00EF1160">
      <w:pPr>
        <w:numPr>
          <w:ilvl w:val="0"/>
          <w:numId w:val="20"/>
        </w:numPr>
        <w:spacing w:line="360" w:lineRule="auto"/>
        <w:rPr>
          <w:rFonts w:ascii="Arial" w:hAnsi="Arial" w:cs="Arial"/>
          <w:sz w:val="24"/>
          <w:szCs w:val="24"/>
        </w:rPr>
      </w:pPr>
      <w:r w:rsidRPr="00D26344">
        <w:rPr>
          <w:rFonts w:ascii="Arial" w:hAnsi="Arial" w:cs="Arial"/>
          <w:sz w:val="24"/>
          <w:szCs w:val="24"/>
        </w:rPr>
        <w:t>Cost optimisation through localisation reduces unnecessary features designed for other markets.</w:t>
      </w:r>
    </w:p>
    <w:p w:rsidR="00D26344" w:rsidRPr="00D26344" w:rsidRDefault="00D26344" w:rsidP="00EF1160">
      <w:pPr>
        <w:numPr>
          <w:ilvl w:val="0"/>
          <w:numId w:val="20"/>
        </w:numPr>
        <w:spacing w:line="360" w:lineRule="auto"/>
        <w:rPr>
          <w:rFonts w:ascii="Arial" w:hAnsi="Arial" w:cs="Arial"/>
          <w:sz w:val="24"/>
          <w:szCs w:val="24"/>
        </w:rPr>
      </w:pPr>
      <w:r w:rsidRPr="00D26344">
        <w:rPr>
          <w:rFonts w:ascii="Arial" w:hAnsi="Arial" w:cs="Arial"/>
          <w:sz w:val="24"/>
          <w:szCs w:val="24"/>
        </w:rPr>
        <w:t>Faster time-to-market for India-specific products increases competitive advantage.</w:t>
      </w:r>
    </w:p>
    <w:p w:rsidR="00D26344" w:rsidRPr="00D26344" w:rsidRDefault="00D26344" w:rsidP="00EF1160">
      <w:pPr>
        <w:numPr>
          <w:ilvl w:val="0"/>
          <w:numId w:val="20"/>
        </w:numPr>
        <w:spacing w:line="360" w:lineRule="auto"/>
        <w:rPr>
          <w:rFonts w:ascii="Arial" w:hAnsi="Arial" w:cs="Arial"/>
          <w:sz w:val="24"/>
          <w:szCs w:val="24"/>
        </w:rPr>
      </w:pPr>
      <w:r w:rsidRPr="00D26344">
        <w:rPr>
          <w:rFonts w:ascii="Arial" w:hAnsi="Arial" w:cs="Arial"/>
          <w:sz w:val="24"/>
          <w:szCs w:val="24"/>
        </w:rPr>
        <w:t>Strengthened innovation culture aligns with both global objectives and local market responsiveness (</w:t>
      </w:r>
      <w:proofErr w:type="spellStart"/>
      <w:r w:rsidRPr="00D26344">
        <w:rPr>
          <w:rFonts w:ascii="Arial" w:hAnsi="Arial" w:cs="Arial"/>
          <w:sz w:val="24"/>
          <w:szCs w:val="24"/>
        </w:rPr>
        <w:t>Kotabe</w:t>
      </w:r>
      <w:proofErr w:type="spellEnd"/>
      <w:r w:rsidRPr="00D26344">
        <w:rPr>
          <w:rFonts w:ascii="Arial" w:hAnsi="Arial" w:cs="Arial"/>
          <w:sz w:val="24"/>
          <w:szCs w:val="24"/>
        </w:rPr>
        <w:t xml:space="preserve"> &amp; </w:t>
      </w:r>
      <w:proofErr w:type="spellStart"/>
      <w:r w:rsidRPr="00D26344">
        <w:rPr>
          <w:rFonts w:ascii="Arial" w:hAnsi="Arial" w:cs="Arial"/>
          <w:sz w:val="24"/>
          <w:szCs w:val="24"/>
        </w:rPr>
        <w:t>Helsen</w:t>
      </w:r>
      <w:proofErr w:type="spellEnd"/>
      <w:r w:rsidRPr="00D26344">
        <w:rPr>
          <w:rFonts w:ascii="Arial" w:hAnsi="Arial" w:cs="Arial"/>
          <w:sz w:val="24"/>
          <w:szCs w:val="24"/>
        </w:rPr>
        <w:t>, 2022).</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By decentralising R&amp;D while maintaining coordination with global centres, Sony can retain its technological leadership while developing products that resonate with Indian consumers’ unique preferences and consumption patterns.</w:t>
      </w:r>
    </w:p>
    <w:p w:rsidR="00D26344" w:rsidRPr="00D26344" w:rsidRDefault="00D26344" w:rsidP="007D263E">
      <w:pPr>
        <w:pStyle w:val="Heading2"/>
      </w:pPr>
      <w:bookmarkStart w:id="13" w:name="_Toc214484691"/>
      <w:r w:rsidRPr="00D26344">
        <w:t>Recommendation 2: Strengthen Local Manufacturing and Supply Chain Integration</w:t>
      </w:r>
      <w:bookmarkEnd w:id="13"/>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Current Situation</w:t>
      </w:r>
      <w:proofErr w:type="gramStart"/>
      <w:r w:rsidRPr="00D26344">
        <w:rPr>
          <w:rFonts w:ascii="Arial" w:hAnsi="Arial" w:cs="Arial"/>
          <w:b/>
          <w:bCs/>
          <w:sz w:val="24"/>
          <w:szCs w:val="24"/>
        </w:rPr>
        <w:t>:</w:t>
      </w:r>
      <w:proofErr w:type="gramEnd"/>
      <w:r w:rsidRPr="00D26344">
        <w:rPr>
          <w:rFonts w:ascii="Arial" w:hAnsi="Arial" w:cs="Arial"/>
          <w:sz w:val="24"/>
          <w:szCs w:val="24"/>
        </w:rPr>
        <w:br/>
        <w:t xml:space="preserve">Sony currently relies on imported components from Japan, China, South Korea, and Europe for many of its electronic products (Singh, 2020). In India, some assembly is </w:t>
      </w:r>
      <w:r w:rsidRPr="00D26344">
        <w:rPr>
          <w:rFonts w:ascii="Arial" w:hAnsi="Arial" w:cs="Arial"/>
          <w:sz w:val="24"/>
          <w:szCs w:val="24"/>
        </w:rPr>
        <w:lastRenderedPageBreak/>
        <w:t>conducted locally, but high-value components continue to be imported, increasing costs and exposure to supply chain disruptions (Christopher, 2016).</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Problem:</w:t>
      </w:r>
    </w:p>
    <w:p w:rsidR="00D26344" w:rsidRPr="00D26344" w:rsidRDefault="00D26344" w:rsidP="00EF1160">
      <w:pPr>
        <w:numPr>
          <w:ilvl w:val="0"/>
          <w:numId w:val="21"/>
        </w:numPr>
        <w:spacing w:line="360" w:lineRule="auto"/>
        <w:rPr>
          <w:rFonts w:ascii="Arial" w:hAnsi="Arial" w:cs="Arial"/>
          <w:sz w:val="24"/>
          <w:szCs w:val="24"/>
        </w:rPr>
      </w:pPr>
      <w:r w:rsidRPr="00D26344">
        <w:rPr>
          <w:rFonts w:ascii="Arial" w:hAnsi="Arial" w:cs="Arial"/>
          <w:b/>
          <w:bCs/>
          <w:sz w:val="24"/>
          <w:szCs w:val="24"/>
        </w:rPr>
        <w:t>High Costs:</w:t>
      </w:r>
      <w:r w:rsidRPr="00D26344">
        <w:rPr>
          <w:rFonts w:ascii="Arial" w:hAnsi="Arial" w:cs="Arial"/>
          <w:sz w:val="24"/>
          <w:szCs w:val="24"/>
        </w:rPr>
        <w:t xml:space="preserve"> Import duties and foreign exchange fluctuations increase the final retail price, reducing competitiveness against locally manufactured electronics.</w:t>
      </w:r>
    </w:p>
    <w:p w:rsidR="00D26344" w:rsidRPr="00D26344" w:rsidRDefault="00D26344" w:rsidP="00EF1160">
      <w:pPr>
        <w:numPr>
          <w:ilvl w:val="0"/>
          <w:numId w:val="21"/>
        </w:numPr>
        <w:spacing w:line="360" w:lineRule="auto"/>
        <w:rPr>
          <w:rFonts w:ascii="Arial" w:hAnsi="Arial" w:cs="Arial"/>
          <w:sz w:val="24"/>
          <w:szCs w:val="24"/>
        </w:rPr>
      </w:pPr>
      <w:r w:rsidRPr="00D26344">
        <w:rPr>
          <w:rFonts w:ascii="Arial" w:hAnsi="Arial" w:cs="Arial"/>
          <w:b/>
          <w:bCs/>
          <w:sz w:val="24"/>
          <w:szCs w:val="24"/>
        </w:rPr>
        <w:t>Supply Risk:</w:t>
      </w:r>
      <w:r w:rsidRPr="00D26344">
        <w:rPr>
          <w:rFonts w:ascii="Arial" w:hAnsi="Arial" w:cs="Arial"/>
          <w:sz w:val="24"/>
          <w:szCs w:val="24"/>
        </w:rPr>
        <w:t xml:space="preserve"> Dependence on foreign suppliers creates vulnerability to geopolitical events, shipping delays, and regulatory changes.</w:t>
      </w:r>
    </w:p>
    <w:p w:rsidR="00D26344" w:rsidRPr="00D26344" w:rsidRDefault="00D26344" w:rsidP="00EF1160">
      <w:pPr>
        <w:numPr>
          <w:ilvl w:val="0"/>
          <w:numId w:val="21"/>
        </w:numPr>
        <w:spacing w:line="360" w:lineRule="auto"/>
        <w:rPr>
          <w:rFonts w:ascii="Arial" w:hAnsi="Arial" w:cs="Arial"/>
          <w:sz w:val="24"/>
          <w:szCs w:val="24"/>
        </w:rPr>
      </w:pPr>
      <w:r w:rsidRPr="00D26344">
        <w:rPr>
          <w:rFonts w:ascii="Arial" w:hAnsi="Arial" w:cs="Arial"/>
          <w:b/>
          <w:bCs/>
          <w:sz w:val="24"/>
          <w:szCs w:val="24"/>
        </w:rPr>
        <w:t>Slower Delivery:</w:t>
      </w:r>
      <w:r w:rsidRPr="00D26344">
        <w:rPr>
          <w:rFonts w:ascii="Arial" w:hAnsi="Arial" w:cs="Arial"/>
          <w:sz w:val="24"/>
          <w:szCs w:val="24"/>
        </w:rPr>
        <w:t xml:space="preserve"> Extended lead times from overseas manufacturing slow down product availability, particularly for seasonal and festival demand surges.</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SOP Adjustment:</w:t>
      </w:r>
    </w:p>
    <w:p w:rsidR="00D26344" w:rsidRPr="00D26344" w:rsidRDefault="00D26344" w:rsidP="00EF1160">
      <w:pPr>
        <w:numPr>
          <w:ilvl w:val="0"/>
          <w:numId w:val="22"/>
        </w:numPr>
        <w:spacing w:line="360" w:lineRule="auto"/>
        <w:rPr>
          <w:rFonts w:ascii="Arial" w:hAnsi="Arial" w:cs="Arial"/>
          <w:sz w:val="24"/>
          <w:szCs w:val="24"/>
        </w:rPr>
      </w:pPr>
      <w:r w:rsidRPr="00D26344">
        <w:rPr>
          <w:rFonts w:ascii="Arial" w:hAnsi="Arial" w:cs="Arial"/>
          <w:b/>
          <w:bCs/>
          <w:sz w:val="24"/>
          <w:szCs w:val="24"/>
        </w:rPr>
        <w:t>Increase Component Localisation:</w:t>
      </w:r>
      <w:r w:rsidRPr="00D26344">
        <w:rPr>
          <w:rFonts w:ascii="Arial" w:hAnsi="Arial" w:cs="Arial"/>
          <w:sz w:val="24"/>
          <w:szCs w:val="24"/>
        </w:rPr>
        <w:t xml:space="preserve"> Develop partnerships with Indian suppliers for key components, such as plastics, casings, and low-to-mid range electronics.</w:t>
      </w:r>
    </w:p>
    <w:p w:rsidR="00D26344" w:rsidRPr="00D26344" w:rsidRDefault="00D26344" w:rsidP="00EF1160">
      <w:pPr>
        <w:numPr>
          <w:ilvl w:val="0"/>
          <w:numId w:val="22"/>
        </w:numPr>
        <w:spacing w:line="360" w:lineRule="auto"/>
        <w:rPr>
          <w:rFonts w:ascii="Arial" w:hAnsi="Arial" w:cs="Arial"/>
          <w:sz w:val="24"/>
          <w:szCs w:val="24"/>
        </w:rPr>
      </w:pPr>
      <w:r w:rsidRPr="00D26344">
        <w:rPr>
          <w:rFonts w:ascii="Arial" w:hAnsi="Arial" w:cs="Arial"/>
          <w:b/>
          <w:bCs/>
          <w:sz w:val="24"/>
          <w:szCs w:val="24"/>
        </w:rPr>
        <w:t>Supply Chain Monitoring:</w:t>
      </w:r>
      <w:r w:rsidRPr="00D26344">
        <w:rPr>
          <w:rFonts w:ascii="Arial" w:hAnsi="Arial" w:cs="Arial"/>
          <w:sz w:val="24"/>
          <w:szCs w:val="24"/>
        </w:rPr>
        <w:t xml:space="preserve"> Establish India-specific supply chain SOPs, including vendor performance tracking, quality checks, and contingency planning for disruptions.</w:t>
      </w:r>
    </w:p>
    <w:p w:rsidR="00D26344" w:rsidRPr="00D26344" w:rsidRDefault="00D26344" w:rsidP="00EF1160">
      <w:pPr>
        <w:numPr>
          <w:ilvl w:val="0"/>
          <w:numId w:val="22"/>
        </w:numPr>
        <w:spacing w:line="360" w:lineRule="auto"/>
        <w:rPr>
          <w:rFonts w:ascii="Arial" w:hAnsi="Arial" w:cs="Arial"/>
          <w:sz w:val="24"/>
          <w:szCs w:val="24"/>
        </w:rPr>
      </w:pPr>
      <w:r w:rsidRPr="00D26344">
        <w:rPr>
          <w:rFonts w:ascii="Arial" w:hAnsi="Arial" w:cs="Arial"/>
          <w:b/>
          <w:bCs/>
          <w:sz w:val="24"/>
          <w:szCs w:val="24"/>
        </w:rPr>
        <w:t>Local Assembly Expansion:</w:t>
      </w:r>
      <w:r w:rsidRPr="00D26344">
        <w:rPr>
          <w:rFonts w:ascii="Arial" w:hAnsi="Arial" w:cs="Arial"/>
          <w:sz w:val="24"/>
          <w:szCs w:val="24"/>
        </w:rPr>
        <w:t xml:space="preserve"> Expand local assembly lines for high-volume consumer electronics to reduce reliance on imports and support government “Make in India” initiatives.</w:t>
      </w:r>
    </w:p>
    <w:p w:rsidR="00D26344" w:rsidRPr="00D26344" w:rsidRDefault="00D26344" w:rsidP="00EF1160">
      <w:pPr>
        <w:numPr>
          <w:ilvl w:val="0"/>
          <w:numId w:val="22"/>
        </w:numPr>
        <w:spacing w:line="360" w:lineRule="auto"/>
        <w:rPr>
          <w:rFonts w:ascii="Arial" w:hAnsi="Arial" w:cs="Arial"/>
          <w:sz w:val="24"/>
          <w:szCs w:val="24"/>
        </w:rPr>
      </w:pPr>
      <w:r w:rsidRPr="00D26344">
        <w:rPr>
          <w:rFonts w:ascii="Arial" w:hAnsi="Arial" w:cs="Arial"/>
          <w:b/>
          <w:bCs/>
          <w:sz w:val="24"/>
          <w:szCs w:val="24"/>
        </w:rPr>
        <w:t>Lean Manufacturing Practices:</w:t>
      </w:r>
      <w:r w:rsidRPr="00D26344">
        <w:rPr>
          <w:rFonts w:ascii="Arial" w:hAnsi="Arial" w:cs="Arial"/>
          <w:sz w:val="24"/>
          <w:szCs w:val="24"/>
        </w:rPr>
        <w:t xml:space="preserve"> Implement SOPs for lean inventory management, just-in-time delivery, and flexible production scheduling tailored to India’s demand volatility.</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Expected Impact:</w:t>
      </w:r>
    </w:p>
    <w:p w:rsidR="00D26344" w:rsidRPr="00D26344" w:rsidRDefault="00D26344" w:rsidP="00EF1160">
      <w:pPr>
        <w:numPr>
          <w:ilvl w:val="0"/>
          <w:numId w:val="23"/>
        </w:numPr>
        <w:spacing w:line="360" w:lineRule="auto"/>
        <w:rPr>
          <w:rFonts w:ascii="Arial" w:hAnsi="Arial" w:cs="Arial"/>
          <w:sz w:val="24"/>
          <w:szCs w:val="24"/>
        </w:rPr>
      </w:pPr>
      <w:r w:rsidRPr="00D26344">
        <w:rPr>
          <w:rFonts w:ascii="Arial" w:hAnsi="Arial" w:cs="Arial"/>
          <w:b/>
          <w:bCs/>
          <w:sz w:val="24"/>
          <w:szCs w:val="24"/>
        </w:rPr>
        <w:t>Cost Reduction:</w:t>
      </w:r>
      <w:r w:rsidRPr="00D26344">
        <w:rPr>
          <w:rFonts w:ascii="Arial" w:hAnsi="Arial" w:cs="Arial"/>
          <w:sz w:val="24"/>
          <w:szCs w:val="24"/>
        </w:rPr>
        <w:t xml:space="preserve"> Local sourcing lowers import duties and transportation costs.</w:t>
      </w:r>
    </w:p>
    <w:p w:rsidR="00D26344" w:rsidRPr="00D26344" w:rsidRDefault="00D26344" w:rsidP="00EF1160">
      <w:pPr>
        <w:numPr>
          <w:ilvl w:val="0"/>
          <w:numId w:val="23"/>
        </w:numPr>
        <w:spacing w:line="360" w:lineRule="auto"/>
        <w:rPr>
          <w:rFonts w:ascii="Arial" w:hAnsi="Arial" w:cs="Arial"/>
          <w:sz w:val="24"/>
          <w:szCs w:val="24"/>
        </w:rPr>
      </w:pPr>
      <w:r w:rsidRPr="00D26344">
        <w:rPr>
          <w:rFonts w:ascii="Arial" w:hAnsi="Arial" w:cs="Arial"/>
          <w:b/>
          <w:bCs/>
          <w:sz w:val="24"/>
          <w:szCs w:val="24"/>
        </w:rPr>
        <w:t>Faster Delivery:</w:t>
      </w:r>
      <w:r w:rsidRPr="00D26344">
        <w:rPr>
          <w:rFonts w:ascii="Arial" w:hAnsi="Arial" w:cs="Arial"/>
          <w:sz w:val="24"/>
          <w:szCs w:val="24"/>
        </w:rPr>
        <w:t xml:space="preserve"> Shortened supply chains allow quicker response to market demands, especially during festivals and seasonal peaks.</w:t>
      </w:r>
    </w:p>
    <w:p w:rsidR="00D26344" w:rsidRPr="00D26344" w:rsidRDefault="00D26344" w:rsidP="00EF1160">
      <w:pPr>
        <w:numPr>
          <w:ilvl w:val="0"/>
          <w:numId w:val="23"/>
        </w:numPr>
        <w:spacing w:line="360" w:lineRule="auto"/>
        <w:rPr>
          <w:rFonts w:ascii="Arial" w:hAnsi="Arial" w:cs="Arial"/>
          <w:sz w:val="24"/>
          <w:szCs w:val="24"/>
        </w:rPr>
      </w:pPr>
      <w:r w:rsidRPr="00D26344">
        <w:rPr>
          <w:rFonts w:ascii="Arial" w:hAnsi="Arial" w:cs="Arial"/>
          <w:b/>
          <w:bCs/>
          <w:sz w:val="24"/>
          <w:szCs w:val="24"/>
        </w:rPr>
        <w:lastRenderedPageBreak/>
        <w:t>Regulatory Compliance:</w:t>
      </w:r>
      <w:r w:rsidRPr="00D26344">
        <w:rPr>
          <w:rFonts w:ascii="Arial" w:hAnsi="Arial" w:cs="Arial"/>
          <w:sz w:val="24"/>
          <w:szCs w:val="24"/>
        </w:rPr>
        <w:t xml:space="preserve"> Alignment with “Make in India” policies enhances government relations and enables tax incentives.</w:t>
      </w:r>
    </w:p>
    <w:p w:rsidR="00D26344" w:rsidRPr="00D26344" w:rsidRDefault="00D26344" w:rsidP="00EF1160">
      <w:pPr>
        <w:numPr>
          <w:ilvl w:val="0"/>
          <w:numId w:val="23"/>
        </w:numPr>
        <w:spacing w:line="360" w:lineRule="auto"/>
        <w:rPr>
          <w:rFonts w:ascii="Arial" w:hAnsi="Arial" w:cs="Arial"/>
          <w:sz w:val="24"/>
          <w:szCs w:val="24"/>
        </w:rPr>
      </w:pPr>
      <w:r w:rsidRPr="00D26344">
        <w:rPr>
          <w:rFonts w:ascii="Arial" w:hAnsi="Arial" w:cs="Arial"/>
          <w:b/>
          <w:bCs/>
          <w:sz w:val="24"/>
          <w:szCs w:val="24"/>
        </w:rPr>
        <w:t>Supply Chain Resilience:</w:t>
      </w:r>
      <w:r w:rsidRPr="00D26344">
        <w:rPr>
          <w:rFonts w:ascii="Arial" w:hAnsi="Arial" w:cs="Arial"/>
          <w:sz w:val="24"/>
          <w:szCs w:val="24"/>
        </w:rPr>
        <w:t xml:space="preserve"> Reduced reliance on overseas suppliers mitigates risks from geopolitical tensions, trade restrictions, and shipping delays (World Bank, 2023).</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By strengthening local manufacturing and supply chain integration, Sony can achieve operational efficiency, price competitiveness, and sustainable growth in India.</w:t>
      </w:r>
    </w:p>
    <w:p w:rsidR="00D26344" w:rsidRPr="00D26344" w:rsidRDefault="00D26344" w:rsidP="007D263E">
      <w:pPr>
        <w:pStyle w:val="Heading2"/>
      </w:pPr>
      <w:bookmarkStart w:id="14" w:name="_Toc214484692"/>
      <w:r w:rsidRPr="00D26344">
        <w:t>Recommendation 3: Localised HR and Cross-Cultural Management</w:t>
      </w:r>
      <w:bookmarkEnd w:id="14"/>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Current Situation</w:t>
      </w:r>
      <w:proofErr w:type="gramStart"/>
      <w:r w:rsidRPr="00D26344">
        <w:rPr>
          <w:rFonts w:ascii="Arial" w:hAnsi="Arial" w:cs="Arial"/>
          <w:b/>
          <w:bCs/>
          <w:sz w:val="24"/>
          <w:szCs w:val="24"/>
        </w:rPr>
        <w:t>:</w:t>
      </w:r>
      <w:proofErr w:type="gramEnd"/>
      <w:r w:rsidRPr="00D26344">
        <w:rPr>
          <w:rFonts w:ascii="Arial" w:hAnsi="Arial" w:cs="Arial"/>
          <w:sz w:val="24"/>
          <w:szCs w:val="24"/>
        </w:rPr>
        <w:br/>
        <w:t>Sony’s management style has traditionally followed Japanese organisational practices, characterised by hierarchical decision-making, group consensus, and long-term orientation (</w:t>
      </w:r>
      <w:proofErr w:type="spellStart"/>
      <w:r w:rsidRPr="00D26344">
        <w:rPr>
          <w:rFonts w:ascii="Arial" w:hAnsi="Arial" w:cs="Arial"/>
          <w:sz w:val="24"/>
          <w:szCs w:val="24"/>
        </w:rPr>
        <w:t>Varma</w:t>
      </w:r>
      <w:proofErr w:type="spellEnd"/>
      <w:r w:rsidRPr="00D26344">
        <w:rPr>
          <w:rFonts w:ascii="Arial" w:hAnsi="Arial" w:cs="Arial"/>
          <w:sz w:val="24"/>
          <w:szCs w:val="24"/>
        </w:rPr>
        <w:t>, 2019). While effective in Japan, these practices do not fully align with the expectations of Indian employees, who value more flexibility, faster feedback, and performance recognition (Hill, 2020).</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Problem:</w:t>
      </w:r>
    </w:p>
    <w:p w:rsidR="00D26344" w:rsidRPr="00D26344" w:rsidRDefault="00D26344" w:rsidP="00EF1160">
      <w:pPr>
        <w:numPr>
          <w:ilvl w:val="0"/>
          <w:numId w:val="24"/>
        </w:numPr>
        <w:spacing w:line="360" w:lineRule="auto"/>
        <w:rPr>
          <w:rFonts w:ascii="Arial" w:hAnsi="Arial" w:cs="Arial"/>
          <w:sz w:val="24"/>
          <w:szCs w:val="24"/>
        </w:rPr>
      </w:pPr>
      <w:r w:rsidRPr="00D26344">
        <w:rPr>
          <w:rFonts w:ascii="Arial" w:hAnsi="Arial" w:cs="Arial"/>
          <w:b/>
          <w:bCs/>
          <w:sz w:val="24"/>
          <w:szCs w:val="24"/>
        </w:rPr>
        <w:t>Lower Employee Engagement:</w:t>
      </w:r>
      <w:r w:rsidRPr="00D26344">
        <w:rPr>
          <w:rFonts w:ascii="Arial" w:hAnsi="Arial" w:cs="Arial"/>
          <w:sz w:val="24"/>
          <w:szCs w:val="24"/>
        </w:rPr>
        <w:t xml:space="preserve"> Japanese-style rigid hierarchies may limit initiative and reduce motivation among Indian employees.</w:t>
      </w:r>
    </w:p>
    <w:p w:rsidR="00D26344" w:rsidRPr="00D26344" w:rsidRDefault="00D26344" w:rsidP="00EF1160">
      <w:pPr>
        <w:numPr>
          <w:ilvl w:val="0"/>
          <w:numId w:val="24"/>
        </w:numPr>
        <w:spacing w:line="360" w:lineRule="auto"/>
        <w:rPr>
          <w:rFonts w:ascii="Arial" w:hAnsi="Arial" w:cs="Arial"/>
          <w:sz w:val="24"/>
          <w:szCs w:val="24"/>
        </w:rPr>
      </w:pPr>
      <w:r w:rsidRPr="00D26344">
        <w:rPr>
          <w:rFonts w:ascii="Arial" w:hAnsi="Arial" w:cs="Arial"/>
          <w:b/>
          <w:bCs/>
          <w:sz w:val="24"/>
          <w:szCs w:val="24"/>
        </w:rPr>
        <w:t>Slower Decision-Making:</w:t>
      </w:r>
      <w:r w:rsidRPr="00D26344">
        <w:rPr>
          <w:rFonts w:ascii="Arial" w:hAnsi="Arial" w:cs="Arial"/>
          <w:sz w:val="24"/>
          <w:szCs w:val="24"/>
        </w:rPr>
        <w:t xml:space="preserve"> Excessive approval chains impede responsiveness to market changes.</w:t>
      </w:r>
    </w:p>
    <w:p w:rsidR="00D26344" w:rsidRPr="00D26344" w:rsidRDefault="00D26344" w:rsidP="00EF1160">
      <w:pPr>
        <w:numPr>
          <w:ilvl w:val="0"/>
          <w:numId w:val="24"/>
        </w:numPr>
        <w:spacing w:line="360" w:lineRule="auto"/>
        <w:rPr>
          <w:rFonts w:ascii="Arial" w:hAnsi="Arial" w:cs="Arial"/>
          <w:sz w:val="24"/>
          <w:szCs w:val="24"/>
        </w:rPr>
      </w:pPr>
      <w:r w:rsidRPr="00D26344">
        <w:rPr>
          <w:rFonts w:ascii="Arial" w:hAnsi="Arial" w:cs="Arial"/>
          <w:b/>
          <w:bCs/>
          <w:sz w:val="24"/>
          <w:szCs w:val="24"/>
        </w:rPr>
        <w:t>Talent Acquisition Challenges:</w:t>
      </w:r>
      <w:r w:rsidRPr="00D26344">
        <w:rPr>
          <w:rFonts w:ascii="Arial" w:hAnsi="Arial" w:cs="Arial"/>
          <w:sz w:val="24"/>
          <w:szCs w:val="24"/>
        </w:rPr>
        <w:t xml:space="preserve"> Top Indian talent may prefer organisations with flatter structures, faster growth opportunities, and performance-based rewards.</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SOP Adjustment:</w:t>
      </w:r>
    </w:p>
    <w:p w:rsidR="00D26344" w:rsidRPr="00D26344" w:rsidRDefault="00D26344" w:rsidP="00EF1160">
      <w:pPr>
        <w:numPr>
          <w:ilvl w:val="0"/>
          <w:numId w:val="25"/>
        </w:numPr>
        <w:spacing w:line="360" w:lineRule="auto"/>
        <w:rPr>
          <w:rFonts w:ascii="Arial" w:hAnsi="Arial" w:cs="Arial"/>
          <w:sz w:val="24"/>
          <w:szCs w:val="24"/>
        </w:rPr>
      </w:pPr>
      <w:r w:rsidRPr="00D26344">
        <w:rPr>
          <w:rFonts w:ascii="Arial" w:hAnsi="Arial" w:cs="Arial"/>
          <w:b/>
          <w:bCs/>
          <w:sz w:val="24"/>
          <w:szCs w:val="24"/>
        </w:rPr>
        <w:t>Cross-Cultural Training:</w:t>
      </w:r>
      <w:r w:rsidRPr="00D26344">
        <w:rPr>
          <w:rFonts w:ascii="Arial" w:hAnsi="Arial" w:cs="Arial"/>
          <w:sz w:val="24"/>
          <w:szCs w:val="24"/>
        </w:rPr>
        <w:t xml:space="preserve"> Implement training programmes for both Japanese and Indian managers to bridge cultural gaps, improve communication, and enhance mutual understanding.</w:t>
      </w:r>
    </w:p>
    <w:p w:rsidR="00D26344" w:rsidRPr="00D26344" w:rsidRDefault="00D26344" w:rsidP="00EF1160">
      <w:pPr>
        <w:numPr>
          <w:ilvl w:val="0"/>
          <w:numId w:val="25"/>
        </w:numPr>
        <w:spacing w:line="360" w:lineRule="auto"/>
        <w:rPr>
          <w:rFonts w:ascii="Arial" w:hAnsi="Arial" w:cs="Arial"/>
          <w:sz w:val="24"/>
          <w:szCs w:val="24"/>
        </w:rPr>
      </w:pPr>
      <w:r w:rsidRPr="00D26344">
        <w:rPr>
          <w:rFonts w:ascii="Arial" w:hAnsi="Arial" w:cs="Arial"/>
          <w:b/>
          <w:bCs/>
          <w:sz w:val="24"/>
          <w:szCs w:val="24"/>
        </w:rPr>
        <w:lastRenderedPageBreak/>
        <w:t>Indian Leadership Representation:</w:t>
      </w:r>
      <w:r w:rsidRPr="00D26344">
        <w:rPr>
          <w:rFonts w:ascii="Arial" w:hAnsi="Arial" w:cs="Arial"/>
          <w:sz w:val="24"/>
          <w:szCs w:val="24"/>
        </w:rPr>
        <w:t xml:space="preserve"> Include local leaders in decision-making bodies to ensure SOPs, operations, and marketing strategies are culturally aligned.</w:t>
      </w:r>
    </w:p>
    <w:p w:rsidR="00D26344" w:rsidRPr="00D26344" w:rsidRDefault="00D26344" w:rsidP="00EF1160">
      <w:pPr>
        <w:numPr>
          <w:ilvl w:val="0"/>
          <w:numId w:val="25"/>
        </w:numPr>
        <w:spacing w:line="360" w:lineRule="auto"/>
        <w:rPr>
          <w:rFonts w:ascii="Arial" w:hAnsi="Arial" w:cs="Arial"/>
          <w:sz w:val="24"/>
          <w:szCs w:val="24"/>
        </w:rPr>
      </w:pPr>
      <w:r w:rsidRPr="00D26344">
        <w:rPr>
          <w:rFonts w:ascii="Arial" w:hAnsi="Arial" w:cs="Arial"/>
          <w:b/>
          <w:bCs/>
          <w:sz w:val="24"/>
          <w:szCs w:val="24"/>
        </w:rPr>
        <w:t>Performance-Based Incentives:</w:t>
      </w:r>
      <w:r w:rsidRPr="00D26344">
        <w:rPr>
          <w:rFonts w:ascii="Arial" w:hAnsi="Arial" w:cs="Arial"/>
          <w:sz w:val="24"/>
          <w:szCs w:val="24"/>
        </w:rPr>
        <w:t xml:space="preserve"> Introduce SOPs that reward individual and team performance through bonuses, recognition programs, and career advancement opportunities.</w:t>
      </w:r>
    </w:p>
    <w:p w:rsidR="00D26344" w:rsidRPr="00D26344" w:rsidRDefault="00D26344" w:rsidP="00EF1160">
      <w:pPr>
        <w:numPr>
          <w:ilvl w:val="0"/>
          <w:numId w:val="25"/>
        </w:numPr>
        <w:spacing w:line="360" w:lineRule="auto"/>
        <w:rPr>
          <w:rFonts w:ascii="Arial" w:hAnsi="Arial" w:cs="Arial"/>
          <w:sz w:val="24"/>
          <w:szCs w:val="24"/>
        </w:rPr>
      </w:pPr>
      <w:r w:rsidRPr="00D26344">
        <w:rPr>
          <w:rFonts w:ascii="Arial" w:hAnsi="Arial" w:cs="Arial"/>
          <w:b/>
          <w:bCs/>
          <w:sz w:val="24"/>
          <w:szCs w:val="24"/>
        </w:rPr>
        <w:t>Faster Feedback Mechanisms:</w:t>
      </w:r>
      <w:r w:rsidRPr="00D26344">
        <w:rPr>
          <w:rFonts w:ascii="Arial" w:hAnsi="Arial" w:cs="Arial"/>
          <w:sz w:val="24"/>
          <w:szCs w:val="24"/>
        </w:rPr>
        <w:t xml:space="preserve"> Develop SOPs for quicker operational and strategic feedback loops, enabling Indian teams to respond rapidly to market trends and customer feedback.</w:t>
      </w:r>
    </w:p>
    <w:p w:rsidR="00D26344" w:rsidRPr="00D26344" w:rsidRDefault="00D26344" w:rsidP="00EF1160">
      <w:pPr>
        <w:numPr>
          <w:ilvl w:val="0"/>
          <w:numId w:val="25"/>
        </w:numPr>
        <w:spacing w:line="360" w:lineRule="auto"/>
        <w:rPr>
          <w:rFonts w:ascii="Arial" w:hAnsi="Arial" w:cs="Arial"/>
          <w:sz w:val="24"/>
          <w:szCs w:val="24"/>
        </w:rPr>
      </w:pPr>
      <w:r w:rsidRPr="00D26344">
        <w:rPr>
          <w:rFonts w:ascii="Arial" w:hAnsi="Arial" w:cs="Arial"/>
          <w:b/>
          <w:bCs/>
          <w:sz w:val="24"/>
          <w:szCs w:val="24"/>
        </w:rPr>
        <w:t>Employee Engagement Initiatives:</w:t>
      </w:r>
      <w:r w:rsidRPr="00D26344">
        <w:rPr>
          <w:rFonts w:ascii="Arial" w:hAnsi="Arial" w:cs="Arial"/>
          <w:sz w:val="24"/>
          <w:szCs w:val="24"/>
        </w:rPr>
        <w:t xml:space="preserve"> Regular surveys, town halls, and internal communication campaigns tailored to local preferences.</w:t>
      </w:r>
    </w:p>
    <w:p w:rsidR="00D26344" w:rsidRPr="00D26344" w:rsidRDefault="00D26344" w:rsidP="00EF1160">
      <w:pPr>
        <w:spacing w:line="360" w:lineRule="auto"/>
        <w:rPr>
          <w:rFonts w:ascii="Arial" w:hAnsi="Arial" w:cs="Arial"/>
          <w:sz w:val="24"/>
          <w:szCs w:val="24"/>
        </w:rPr>
      </w:pPr>
      <w:r w:rsidRPr="00D26344">
        <w:rPr>
          <w:rFonts w:ascii="Arial" w:hAnsi="Arial" w:cs="Arial"/>
          <w:b/>
          <w:bCs/>
          <w:sz w:val="24"/>
          <w:szCs w:val="24"/>
        </w:rPr>
        <w:t>Expected Impact:</w:t>
      </w:r>
    </w:p>
    <w:p w:rsidR="00D26344" w:rsidRPr="00D26344" w:rsidRDefault="00D26344" w:rsidP="00EF1160">
      <w:pPr>
        <w:numPr>
          <w:ilvl w:val="0"/>
          <w:numId w:val="26"/>
        </w:numPr>
        <w:spacing w:line="360" w:lineRule="auto"/>
        <w:rPr>
          <w:rFonts w:ascii="Arial" w:hAnsi="Arial" w:cs="Arial"/>
          <w:sz w:val="24"/>
          <w:szCs w:val="24"/>
        </w:rPr>
      </w:pPr>
      <w:r w:rsidRPr="00D26344">
        <w:rPr>
          <w:rFonts w:ascii="Arial" w:hAnsi="Arial" w:cs="Arial"/>
          <w:b/>
          <w:bCs/>
          <w:sz w:val="24"/>
          <w:szCs w:val="24"/>
        </w:rPr>
        <w:t>Enhanced Motivation and Productivity:</w:t>
      </w:r>
      <w:r w:rsidRPr="00D26344">
        <w:rPr>
          <w:rFonts w:ascii="Arial" w:hAnsi="Arial" w:cs="Arial"/>
          <w:sz w:val="24"/>
          <w:szCs w:val="24"/>
        </w:rPr>
        <w:t xml:space="preserve"> Employees are more engaged and aligned with organisational objectives.</w:t>
      </w:r>
    </w:p>
    <w:p w:rsidR="00D26344" w:rsidRPr="00D26344" w:rsidRDefault="00D26344" w:rsidP="00EF1160">
      <w:pPr>
        <w:numPr>
          <w:ilvl w:val="0"/>
          <w:numId w:val="26"/>
        </w:numPr>
        <w:spacing w:line="360" w:lineRule="auto"/>
        <w:rPr>
          <w:rFonts w:ascii="Arial" w:hAnsi="Arial" w:cs="Arial"/>
          <w:sz w:val="24"/>
          <w:szCs w:val="24"/>
        </w:rPr>
      </w:pPr>
      <w:r w:rsidRPr="00D26344">
        <w:rPr>
          <w:rFonts w:ascii="Arial" w:hAnsi="Arial" w:cs="Arial"/>
          <w:b/>
          <w:bCs/>
          <w:sz w:val="24"/>
          <w:szCs w:val="24"/>
        </w:rPr>
        <w:t>Organisational Culture Fit:</w:t>
      </w:r>
      <w:r w:rsidRPr="00D26344">
        <w:rPr>
          <w:rFonts w:ascii="Arial" w:hAnsi="Arial" w:cs="Arial"/>
          <w:sz w:val="24"/>
          <w:szCs w:val="24"/>
        </w:rPr>
        <w:t xml:space="preserve"> SOPs support integration of Japanese global standards with Indian workplace expectations, improving efficiency.</w:t>
      </w:r>
    </w:p>
    <w:p w:rsidR="00D26344" w:rsidRPr="00D26344" w:rsidRDefault="00D26344" w:rsidP="00EF1160">
      <w:pPr>
        <w:numPr>
          <w:ilvl w:val="0"/>
          <w:numId w:val="26"/>
        </w:numPr>
        <w:spacing w:line="360" w:lineRule="auto"/>
        <w:rPr>
          <w:rFonts w:ascii="Arial" w:hAnsi="Arial" w:cs="Arial"/>
          <w:sz w:val="24"/>
          <w:szCs w:val="24"/>
        </w:rPr>
      </w:pPr>
      <w:r w:rsidRPr="00D26344">
        <w:rPr>
          <w:rFonts w:ascii="Arial" w:hAnsi="Arial" w:cs="Arial"/>
          <w:b/>
          <w:bCs/>
          <w:sz w:val="24"/>
          <w:szCs w:val="24"/>
        </w:rPr>
        <w:t>Strategic Initiative Execution:</w:t>
      </w:r>
      <w:r w:rsidRPr="00D26344">
        <w:rPr>
          <w:rFonts w:ascii="Arial" w:hAnsi="Arial" w:cs="Arial"/>
          <w:sz w:val="24"/>
          <w:szCs w:val="24"/>
        </w:rPr>
        <w:t xml:space="preserve"> Faster decision-making enables timely marketing campaigns, product launches, and operational adjustments.</w:t>
      </w:r>
    </w:p>
    <w:p w:rsidR="00D26344" w:rsidRPr="00D26344" w:rsidRDefault="00D26344" w:rsidP="00EF1160">
      <w:pPr>
        <w:numPr>
          <w:ilvl w:val="0"/>
          <w:numId w:val="26"/>
        </w:numPr>
        <w:spacing w:line="360" w:lineRule="auto"/>
        <w:rPr>
          <w:rFonts w:ascii="Arial" w:hAnsi="Arial" w:cs="Arial"/>
          <w:sz w:val="24"/>
          <w:szCs w:val="24"/>
        </w:rPr>
      </w:pPr>
      <w:r w:rsidRPr="00D26344">
        <w:rPr>
          <w:rFonts w:ascii="Arial" w:hAnsi="Arial" w:cs="Arial"/>
          <w:b/>
          <w:bCs/>
          <w:sz w:val="24"/>
          <w:szCs w:val="24"/>
        </w:rPr>
        <w:t>Talent Retention:</w:t>
      </w:r>
      <w:r w:rsidRPr="00D26344">
        <w:rPr>
          <w:rFonts w:ascii="Arial" w:hAnsi="Arial" w:cs="Arial"/>
          <w:sz w:val="24"/>
          <w:szCs w:val="24"/>
        </w:rPr>
        <w:t xml:space="preserve"> Improved HR practices attract and retain high-quality local talent, ensuring continuity and sustainability of operations (Bartlett &amp; </w:t>
      </w:r>
      <w:proofErr w:type="spellStart"/>
      <w:r w:rsidRPr="00D26344">
        <w:rPr>
          <w:rFonts w:ascii="Arial" w:hAnsi="Arial" w:cs="Arial"/>
          <w:sz w:val="24"/>
          <w:szCs w:val="24"/>
        </w:rPr>
        <w:t>Ghoshal</w:t>
      </w:r>
      <w:proofErr w:type="spellEnd"/>
      <w:r w:rsidRPr="00D26344">
        <w:rPr>
          <w:rFonts w:ascii="Arial" w:hAnsi="Arial" w:cs="Arial"/>
          <w:sz w:val="24"/>
          <w:szCs w:val="24"/>
        </w:rPr>
        <w:t>, 1989).</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By localising HR practices and integrating cross-cultural management strategies into SOPs, Sony can foster a motivated workforce capable of supporting both local market needs and global strategic objectives.</w:t>
      </w:r>
    </w:p>
    <w:p w:rsidR="00D26344" w:rsidRPr="00D26344" w:rsidRDefault="00D26344" w:rsidP="00EF1160">
      <w:pPr>
        <w:spacing w:line="360" w:lineRule="auto"/>
        <w:rPr>
          <w:rFonts w:ascii="Arial" w:hAnsi="Arial" w:cs="Arial"/>
          <w:b/>
          <w:bCs/>
          <w:sz w:val="24"/>
          <w:szCs w:val="24"/>
        </w:rPr>
      </w:pPr>
      <w:r w:rsidRPr="00D26344">
        <w:rPr>
          <w:rFonts w:ascii="Arial" w:hAnsi="Arial" w:cs="Arial"/>
          <w:b/>
          <w:bCs/>
          <w:sz w:val="24"/>
          <w:szCs w:val="24"/>
        </w:rPr>
        <w:t>Integrated Impact of Recommendations</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These three recommendations—India-focused R&amp;D, enhanced local manufacturing, and cross-cultural HR practices—are interdependent and collectively strengthen Sony’s operations in India:</w:t>
      </w:r>
    </w:p>
    <w:p w:rsidR="00D26344" w:rsidRPr="00D26344" w:rsidRDefault="00D26344" w:rsidP="00EF1160">
      <w:pPr>
        <w:numPr>
          <w:ilvl w:val="0"/>
          <w:numId w:val="27"/>
        </w:numPr>
        <w:spacing w:line="360" w:lineRule="auto"/>
        <w:rPr>
          <w:rFonts w:ascii="Arial" w:hAnsi="Arial" w:cs="Arial"/>
          <w:sz w:val="24"/>
          <w:szCs w:val="24"/>
        </w:rPr>
      </w:pPr>
      <w:r w:rsidRPr="00D26344">
        <w:rPr>
          <w:rFonts w:ascii="Arial" w:hAnsi="Arial" w:cs="Arial"/>
          <w:sz w:val="24"/>
          <w:szCs w:val="24"/>
        </w:rPr>
        <w:lastRenderedPageBreak/>
        <w:t>Localised R&amp;D enables better product-market fit, which is supported by local manufacturing capabilities to produce products efficiently and cost-effectively.</w:t>
      </w:r>
    </w:p>
    <w:p w:rsidR="00D26344" w:rsidRPr="00D26344" w:rsidRDefault="00D26344" w:rsidP="00EF1160">
      <w:pPr>
        <w:numPr>
          <w:ilvl w:val="0"/>
          <w:numId w:val="27"/>
        </w:numPr>
        <w:spacing w:line="360" w:lineRule="auto"/>
        <w:rPr>
          <w:rFonts w:ascii="Arial" w:hAnsi="Arial" w:cs="Arial"/>
          <w:sz w:val="24"/>
          <w:szCs w:val="24"/>
        </w:rPr>
      </w:pPr>
      <w:r w:rsidRPr="00D26344">
        <w:rPr>
          <w:rFonts w:ascii="Arial" w:hAnsi="Arial" w:cs="Arial"/>
          <w:sz w:val="24"/>
          <w:szCs w:val="24"/>
        </w:rPr>
        <w:t>Cross-cultural HR management ensures that employees can implement these strategies effectively while maintaining operational standards and adapting to local consumer needs.</w:t>
      </w:r>
    </w:p>
    <w:p w:rsidR="00D26344" w:rsidRPr="00D26344" w:rsidRDefault="00D26344" w:rsidP="00EF1160">
      <w:pPr>
        <w:numPr>
          <w:ilvl w:val="0"/>
          <w:numId w:val="27"/>
        </w:numPr>
        <w:spacing w:line="360" w:lineRule="auto"/>
        <w:rPr>
          <w:rFonts w:ascii="Arial" w:hAnsi="Arial" w:cs="Arial"/>
          <w:sz w:val="24"/>
          <w:szCs w:val="24"/>
        </w:rPr>
      </w:pPr>
      <w:r w:rsidRPr="00D26344">
        <w:rPr>
          <w:rFonts w:ascii="Arial" w:hAnsi="Arial" w:cs="Arial"/>
          <w:sz w:val="24"/>
          <w:szCs w:val="24"/>
        </w:rPr>
        <w:t>Alignment of SOPs with cultural and regulatory contexts enhances responsiveness, risk management, and strategic agility in the emerging Indian market.</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By implementing these SOP adjustments, Sony can increase competitiveness, strengthen market positioning, and drive sustainable growth in India.</w:t>
      </w:r>
    </w:p>
    <w:p w:rsidR="00D26344" w:rsidRPr="00D26344" w:rsidRDefault="00D26344" w:rsidP="007D263E">
      <w:pPr>
        <w:pStyle w:val="Heading1"/>
      </w:pPr>
      <w:bookmarkStart w:id="15" w:name="_Toc214484693"/>
      <w:r w:rsidRPr="00D26344">
        <w:t>6. Conclusion</w:t>
      </w:r>
      <w:bookmarkEnd w:id="15"/>
      <w:r w:rsidRPr="00D26344">
        <w:t xml:space="preserve"> </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 xml:space="preserve">Sony’s operations in India are strategically significant due to the country’s large, growing market, increasing demand for consumer electronics, and favourable demographic profile (World Bank, 2023; </w:t>
      </w:r>
      <w:proofErr w:type="spellStart"/>
      <w:r w:rsidRPr="00D26344">
        <w:rPr>
          <w:rFonts w:ascii="Arial" w:hAnsi="Arial" w:cs="Arial"/>
          <w:sz w:val="24"/>
          <w:szCs w:val="24"/>
        </w:rPr>
        <w:t>Saxena</w:t>
      </w:r>
      <w:proofErr w:type="spellEnd"/>
      <w:r w:rsidRPr="00D26344">
        <w:rPr>
          <w:rFonts w:ascii="Arial" w:hAnsi="Arial" w:cs="Arial"/>
          <w:sz w:val="24"/>
          <w:szCs w:val="24"/>
        </w:rPr>
        <w:t>, 2021). This report has provided a comprehensive analysis of Sony’s global value chain, entry strategy, OLI factors, and cultural differences, focusing on R&amp;D, production, and marketing/distribution as the key determinants of success in India (Sony Group Corporation, 2024; Porter, 1985).</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 xml:space="preserve">The OLI analysis demonstrates that Sony’s ownership advantages—technological leadership, global brand equity, financial strength, and a worldwide R&amp;D network—enable it to maintain control and innovate effectively in foreign markets (Dunning, 1988; Dunning &amp; </w:t>
      </w:r>
      <w:proofErr w:type="spellStart"/>
      <w:r w:rsidRPr="00D26344">
        <w:rPr>
          <w:rFonts w:ascii="Arial" w:hAnsi="Arial" w:cs="Arial"/>
          <w:sz w:val="24"/>
          <w:szCs w:val="24"/>
        </w:rPr>
        <w:t>Lundan</w:t>
      </w:r>
      <w:proofErr w:type="spellEnd"/>
      <w:r w:rsidRPr="00D26344">
        <w:rPr>
          <w:rFonts w:ascii="Arial" w:hAnsi="Arial" w:cs="Arial"/>
          <w:sz w:val="24"/>
          <w:szCs w:val="24"/>
        </w:rPr>
        <w:t>, 2008). Location advantages in India, such as a large consumer base, cost-effective labour, policy incentives, skilled workforce, and digital adoption, provide compelling reasons for investment and operational focus. Internalisation advantages justify the use of wholly owned subsidiaries, enabling quality control, IP protection, supply chain management, and global coordination (Grant, 2019).</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Cultural analysis underscores the critical differences between Japan and India in power distance, uncertainty avoidance, masculinity, long-term orientation, and indulgence (</w:t>
      </w:r>
      <w:proofErr w:type="spellStart"/>
      <w:r w:rsidRPr="00D26344">
        <w:rPr>
          <w:rFonts w:ascii="Arial" w:hAnsi="Arial" w:cs="Arial"/>
          <w:sz w:val="24"/>
          <w:szCs w:val="24"/>
        </w:rPr>
        <w:t>Hofstede</w:t>
      </w:r>
      <w:proofErr w:type="spellEnd"/>
      <w:r w:rsidRPr="00D26344">
        <w:rPr>
          <w:rFonts w:ascii="Arial" w:hAnsi="Arial" w:cs="Arial"/>
          <w:sz w:val="24"/>
          <w:szCs w:val="24"/>
        </w:rPr>
        <w:t xml:space="preserve"> Insights, 2023). These differences necessitate adaptations in </w:t>
      </w:r>
      <w:r w:rsidRPr="00D26344">
        <w:rPr>
          <w:rFonts w:ascii="Arial" w:hAnsi="Arial" w:cs="Arial"/>
          <w:sz w:val="24"/>
          <w:szCs w:val="24"/>
        </w:rPr>
        <w:lastRenderedPageBreak/>
        <w:t xml:space="preserve">SOPs, HR policies, and marketing strategies to balance global consistency with local responsiveness (Hill, 2020; </w:t>
      </w:r>
      <w:proofErr w:type="spellStart"/>
      <w:r w:rsidRPr="00D26344">
        <w:rPr>
          <w:rFonts w:ascii="Arial" w:hAnsi="Arial" w:cs="Arial"/>
          <w:sz w:val="24"/>
          <w:szCs w:val="24"/>
        </w:rPr>
        <w:t>Kotler</w:t>
      </w:r>
      <w:proofErr w:type="spellEnd"/>
      <w:r w:rsidRPr="00D26344">
        <w:rPr>
          <w:rFonts w:ascii="Arial" w:hAnsi="Arial" w:cs="Arial"/>
          <w:sz w:val="24"/>
          <w:szCs w:val="24"/>
        </w:rPr>
        <w:t xml:space="preserve"> &amp; Keller, 2016).</w:t>
      </w:r>
    </w:p>
    <w:p w:rsidR="00D26344" w:rsidRPr="00D26344" w:rsidRDefault="00D26344" w:rsidP="00EF1160">
      <w:pPr>
        <w:spacing w:line="360" w:lineRule="auto"/>
        <w:rPr>
          <w:rFonts w:ascii="Arial" w:hAnsi="Arial" w:cs="Arial"/>
          <w:sz w:val="24"/>
          <w:szCs w:val="24"/>
        </w:rPr>
      </w:pPr>
      <w:r w:rsidRPr="00D26344">
        <w:rPr>
          <w:rFonts w:ascii="Arial" w:hAnsi="Arial" w:cs="Arial"/>
          <w:sz w:val="24"/>
          <w:szCs w:val="24"/>
        </w:rPr>
        <w:t>The recommendations proposed—establishing India-focused R&amp;D, strengthening local manufacturing, and implementing cross-cultural HR strategies—address key gaps in product localisation, operational efficiency, and workforce engagement. Integrating these adjustments into SOPs will enhance product-market alignment, reduce costs, improve responsiveness, and increase employee motivation (</w:t>
      </w:r>
      <w:proofErr w:type="spellStart"/>
      <w:r w:rsidRPr="00D26344">
        <w:rPr>
          <w:rFonts w:ascii="Arial" w:hAnsi="Arial" w:cs="Arial"/>
          <w:sz w:val="24"/>
          <w:szCs w:val="24"/>
        </w:rPr>
        <w:t>Kotabe</w:t>
      </w:r>
      <w:proofErr w:type="spellEnd"/>
      <w:r w:rsidRPr="00D26344">
        <w:rPr>
          <w:rFonts w:ascii="Arial" w:hAnsi="Arial" w:cs="Arial"/>
          <w:sz w:val="24"/>
          <w:szCs w:val="24"/>
        </w:rPr>
        <w:t xml:space="preserve"> &amp; </w:t>
      </w:r>
      <w:proofErr w:type="spellStart"/>
      <w:r w:rsidRPr="00D26344">
        <w:rPr>
          <w:rFonts w:ascii="Arial" w:hAnsi="Arial" w:cs="Arial"/>
          <w:sz w:val="24"/>
          <w:szCs w:val="24"/>
        </w:rPr>
        <w:t>Helsen</w:t>
      </w:r>
      <w:proofErr w:type="spellEnd"/>
      <w:r w:rsidRPr="00D26344">
        <w:rPr>
          <w:rFonts w:ascii="Arial" w:hAnsi="Arial" w:cs="Arial"/>
          <w:sz w:val="24"/>
          <w:szCs w:val="24"/>
        </w:rPr>
        <w:t xml:space="preserve">, 2022; </w:t>
      </w:r>
      <w:proofErr w:type="spellStart"/>
      <w:r w:rsidRPr="00D26344">
        <w:rPr>
          <w:rFonts w:ascii="Arial" w:hAnsi="Arial" w:cs="Arial"/>
          <w:sz w:val="24"/>
          <w:szCs w:val="24"/>
        </w:rPr>
        <w:t>Varma</w:t>
      </w:r>
      <w:proofErr w:type="spellEnd"/>
      <w:r w:rsidRPr="00D26344">
        <w:rPr>
          <w:rFonts w:ascii="Arial" w:hAnsi="Arial" w:cs="Arial"/>
          <w:sz w:val="24"/>
          <w:szCs w:val="24"/>
        </w:rPr>
        <w:t>, 2019).</w:t>
      </w:r>
    </w:p>
    <w:p w:rsidR="007D263E" w:rsidRDefault="00D26344" w:rsidP="00EF1160">
      <w:pPr>
        <w:spacing w:line="360" w:lineRule="auto"/>
        <w:rPr>
          <w:rFonts w:ascii="Arial" w:hAnsi="Arial" w:cs="Arial"/>
          <w:sz w:val="24"/>
          <w:szCs w:val="24"/>
        </w:rPr>
      </w:pPr>
      <w:r w:rsidRPr="00D26344">
        <w:rPr>
          <w:rFonts w:ascii="Arial" w:hAnsi="Arial" w:cs="Arial"/>
          <w:sz w:val="24"/>
          <w:szCs w:val="24"/>
        </w:rPr>
        <w:t>By following these strategies, Sony can consolidate its competitive position in India, foster long-term growth, and ensure that its operations align with both global standards and local market needs. In a dynamic and rapidly evolving emerging market, these targeted SOP adjustments will enable Sony to maximise revenue potential, maintain brand leadership, and secure sustainable growth in one of the world’s most promising consumer markets.</w:t>
      </w:r>
    </w:p>
    <w:p w:rsidR="007D263E" w:rsidRDefault="007D263E">
      <w:pPr>
        <w:rPr>
          <w:rFonts w:ascii="Arial" w:hAnsi="Arial" w:cs="Arial"/>
          <w:sz w:val="24"/>
          <w:szCs w:val="24"/>
        </w:rPr>
      </w:pPr>
      <w:r>
        <w:rPr>
          <w:rFonts w:ascii="Arial" w:hAnsi="Arial" w:cs="Arial"/>
          <w:sz w:val="24"/>
          <w:szCs w:val="24"/>
        </w:rPr>
        <w:br w:type="page"/>
      </w:r>
    </w:p>
    <w:p w:rsidR="00D26344" w:rsidRDefault="00511988" w:rsidP="00511988">
      <w:pPr>
        <w:pStyle w:val="Heading1"/>
      </w:pPr>
      <w:bookmarkStart w:id="16" w:name="_Toc214484694"/>
      <w:r>
        <w:lastRenderedPageBreak/>
        <w:t xml:space="preserve">7. </w:t>
      </w:r>
      <w:r w:rsidR="007D263E">
        <w:t>References</w:t>
      </w:r>
      <w:bookmarkEnd w:id="16"/>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Bartlett, C.A. &amp; Beamish, P.W., 2018.</w:t>
      </w:r>
      <w:proofErr w:type="gramEnd"/>
      <w:r w:rsidRPr="00511988">
        <w:rPr>
          <w:rFonts w:ascii="Arial" w:hAnsi="Arial" w:cs="Arial"/>
          <w:sz w:val="24"/>
          <w:szCs w:val="24"/>
        </w:rPr>
        <w:t xml:space="preserve"> </w:t>
      </w:r>
      <w:r w:rsidRPr="00511988">
        <w:rPr>
          <w:rFonts w:ascii="Arial" w:hAnsi="Arial" w:cs="Arial"/>
          <w:i/>
          <w:iCs/>
          <w:sz w:val="24"/>
          <w:szCs w:val="24"/>
        </w:rPr>
        <w:t>Transnational Management: Text, Cases &amp; Readings in Cross-Border Management</w:t>
      </w:r>
      <w:r w:rsidRPr="00511988">
        <w:rPr>
          <w:rFonts w:ascii="Arial" w:hAnsi="Arial" w:cs="Arial"/>
          <w:sz w:val="24"/>
          <w:szCs w:val="24"/>
        </w:rPr>
        <w:t xml:space="preserve">. 7th </w:t>
      </w:r>
      <w:proofErr w:type="gramStart"/>
      <w:r w:rsidRPr="00511988">
        <w:rPr>
          <w:rFonts w:ascii="Arial" w:hAnsi="Arial" w:cs="Arial"/>
          <w:sz w:val="24"/>
          <w:szCs w:val="24"/>
        </w:rPr>
        <w:t>ed</w:t>
      </w:r>
      <w:proofErr w:type="gramEnd"/>
      <w:r w:rsidRPr="00511988">
        <w:rPr>
          <w:rFonts w:ascii="Arial" w:hAnsi="Arial" w:cs="Arial"/>
          <w:sz w:val="24"/>
          <w:szCs w:val="24"/>
        </w:rPr>
        <w:t>. New York: McGraw-Hill Education.</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 xml:space="preserve">Bartlett, C.A. &amp; </w:t>
      </w:r>
      <w:proofErr w:type="spellStart"/>
      <w:r w:rsidRPr="00511988">
        <w:rPr>
          <w:rFonts w:ascii="Arial" w:hAnsi="Arial" w:cs="Arial"/>
          <w:sz w:val="24"/>
          <w:szCs w:val="24"/>
        </w:rPr>
        <w:t>Ghoshal</w:t>
      </w:r>
      <w:proofErr w:type="spellEnd"/>
      <w:r w:rsidRPr="00511988">
        <w:rPr>
          <w:rFonts w:ascii="Arial" w:hAnsi="Arial" w:cs="Arial"/>
          <w:sz w:val="24"/>
          <w:szCs w:val="24"/>
        </w:rPr>
        <w:t>, S., 1989.</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Managing Across Borders: The Transnational Solution</w:t>
      </w:r>
      <w:r w:rsidRPr="00511988">
        <w:rPr>
          <w:rFonts w:ascii="Arial" w:hAnsi="Arial" w:cs="Arial"/>
          <w:sz w:val="24"/>
          <w:szCs w:val="24"/>
        </w:rPr>
        <w:t>.</w:t>
      </w:r>
      <w:proofErr w:type="gramEnd"/>
      <w:r w:rsidRPr="00511988">
        <w:rPr>
          <w:rFonts w:ascii="Arial" w:hAnsi="Arial" w:cs="Arial"/>
          <w:sz w:val="24"/>
          <w:szCs w:val="24"/>
        </w:rPr>
        <w:t xml:space="preserve"> Boston: Harvard Business School Press.</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Deloitte, 2024.</w:t>
      </w:r>
      <w:proofErr w:type="gramEnd"/>
      <w:r w:rsidRPr="00511988">
        <w:rPr>
          <w:rFonts w:ascii="Arial" w:hAnsi="Arial" w:cs="Arial"/>
          <w:sz w:val="24"/>
          <w:szCs w:val="24"/>
        </w:rPr>
        <w:t xml:space="preserve"> </w:t>
      </w:r>
      <w:r w:rsidRPr="00511988">
        <w:rPr>
          <w:rFonts w:ascii="Arial" w:hAnsi="Arial" w:cs="Arial"/>
          <w:i/>
          <w:iCs/>
          <w:sz w:val="24"/>
          <w:szCs w:val="24"/>
        </w:rPr>
        <w:t>India: Economic and Regulatory Overview</w:t>
      </w:r>
      <w:r w:rsidRPr="00511988">
        <w:rPr>
          <w:rFonts w:ascii="Arial" w:hAnsi="Arial" w:cs="Arial"/>
          <w:sz w:val="24"/>
          <w:szCs w:val="24"/>
        </w:rPr>
        <w:t xml:space="preserve">. </w:t>
      </w:r>
      <w:proofErr w:type="gramStart"/>
      <w:r w:rsidRPr="00511988">
        <w:rPr>
          <w:rFonts w:ascii="Arial" w:hAnsi="Arial" w:cs="Arial"/>
          <w:sz w:val="24"/>
          <w:szCs w:val="24"/>
        </w:rPr>
        <w:t>Deloitte Insights.</w:t>
      </w:r>
      <w:proofErr w:type="gramEnd"/>
      <w:r w:rsidRPr="00511988">
        <w:rPr>
          <w:rFonts w:ascii="Arial" w:hAnsi="Arial" w:cs="Arial"/>
          <w:sz w:val="24"/>
          <w:szCs w:val="24"/>
        </w:rPr>
        <w:t xml:space="preserve"> Available at: </w:t>
      </w:r>
      <w:hyperlink r:id="rId10" w:tgtFrame="_new" w:history="1">
        <w:r w:rsidRPr="00511988">
          <w:rPr>
            <w:rStyle w:val="Hyperlink"/>
            <w:rFonts w:ascii="Arial" w:hAnsi="Arial" w:cs="Arial"/>
            <w:sz w:val="24"/>
            <w:szCs w:val="24"/>
          </w:rPr>
          <w:t>https://www2.deloitte.com/in</w:t>
        </w:r>
      </w:hyperlink>
      <w:r w:rsidRPr="00511988">
        <w:rPr>
          <w:rFonts w:ascii="Arial" w:hAnsi="Arial" w:cs="Arial"/>
          <w:sz w:val="24"/>
          <w:szCs w:val="24"/>
        </w:rPr>
        <w:t xml:space="preserve"> [Accessed 6 November 2025].</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Fang, T., 2012.</w:t>
      </w:r>
      <w:proofErr w:type="gramEnd"/>
      <w:r w:rsidRPr="00511988">
        <w:rPr>
          <w:rFonts w:ascii="Arial" w:hAnsi="Arial" w:cs="Arial"/>
          <w:sz w:val="24"/>
          <w:szCs w:val="24"/>
        </w:rPr>
        <w:t xml:space="preserve"> </w:t>
      </w:r>
      <w:r w:rsidRPr="00511988">
        <w:rPr>
          <w:rFonts w:ascii="Arial" w:hAnsi="Arial" w:cs="Arial"/>
          <w:i/>
          <w:iCs/>
          <w:sz w:val="24"/>
          <w:szCs w:val="24"/>
        </w:rPr>
        <w:t>Yin Yang: A New Perspective on Culture</w:t>
      </w:r>
      <w:r w:rsidRPr="00511988">
        <w:rPr>
          <w:rFonts w:ascii="Arial" w:hAnsi="Arial" w:cs="Arial"/>
          <w:sz w:val="24"/>
          <w:szCs w:val="24"/>
        </w:rPr>
        <w:t xml:space="preserve">. </w:t>
      </w:r>
      <w:proofErr w:type="gramStart"/>
      <w:r w:rsidRPr="00511988">
        <w:rPr>
          <w:rFonts w:ascii="Arial" w:hAnsi="Arial" w:cs="Arial"/>
          <w:sz w:val="24"/>
          <w:szCs w:val="24"/>
        </w:rPr>
        <w:t>Management and Organization Review, 8(1), pp.25–50.</w:t>
      </w:r>
      <w:proofErr w:type="gramEnd"/>
    </w:p>
    <w:p w:rsidR="00511988" w:rsidRPr="00511988" w:rsidRDefault="00511988" w:rsidP="00511988">
      <w:pPr>
        <w:spacing w:line="360" w:lineRule="auto"/>
        <w:rPr>
          <w:rFonts w:ascii="Arial" w:hAnsi="Arial" w:cs="Arial"/>
          <w:sz w:val="24"/>
          <w:szCs w:val="24"/>
        </w:rPr>
      </w:pPr>
      <w:proofErr w:type="spellStart"/>
      <w:proofErr w:type="gramStart"/>
      <w:r w:rsidRPr="00511988">
        <w:rPr>
          <w:rFonts w:ascii="Arial" w:hAnsi="Arial" w:cs="Arial"/>
          <w:sz w:val="24"/>
          <w:szCs w:val="24"/>
        </w:rPr>
        <w:t>Gao</w:t>
      </w:r>
      <w:proofErr w:type="spellEnd"/>
      <w:proofErr w:type="gramEnd"/>
      <w:r w:rsidRPr="00511988">
        <w:rPr>
          <w:rFonts w:ascii="Arial" w:hAnsi="Arial" w:cs="Arial"/>
          <w:sz w:val="24"/>
          <w:szCs w:val="24"/>
        </w:rPr>
        <w:t xml:space="preserve">, P., 2021. Apple’s Market Entry Strategy in China: A Case Study. </w:t>
      </w:r>
      <w:proofErr w:type="gramStart"/>
      <w:r w:rsidRPr="00511988">
        <w:rPr>
          <w:rFonts w:ascii="Arial" w:hAnsi="Arial" w:cs="Arial"/>
          <w:i/>
          <w:iCs/>
          <w:sz w:val="24"/>
          <w:szCs w:val="24"/>
        </w:rPr>
        <w:t>Journal of International Business Studies</w:t>
      </w:r>
      <w:r w:rsidRPr="00511988">
        <w:rPr>
          <w:rFonts w:ascii="Arial" w:hAnsi="Arial" w:cs="Arial"/>
          <w:sz w:val="24"/>
          <w:szCs w:val="24"/>
        </w:rPr>
        <w:t>, 52(6), pp.1034–1050.</w:t>
      </w:r>
      <w:proofErr w:type="gramEnd"/>
    </w:p>
    <w:p w:rsidR="00511988" w:rsidRPr="00511988" w:rsidRDefault="00511988" w:rsidP="00511988">
      <w:pPr>
        <w:spacing w:line="360" w:lineRule="auto"/>
        <w:rPr>
          <w:rFonts w:ascii="Arial" w:hAnsi="Arial" w:cs="Arial"/>
          <w:sz w:val="24"/>
          <w:szCs w:val="24"/>
        </w:rPr>
      </w:pPr>
      <w:proofErr w:type="spellStart"/>
      <w:r w:rsidRPr="00511988">
        <w:rPr>
          <w:rFonts w:ascii="Arial" w:hAnsi="Arial" w:cs="Arial"/>
          <w:sz w:val="24"/>
          <w:szCs w:val="24"/>
        </w:rPr>
        <w:t>Ghemawat</w:t>
      </w:r>
      <w:proofErr w:type="spellEnd"/>
      <w:r w:rsidRPr="00511988">
        <w:rPr>
          <w:rFonts w:ascii="Arial" w:hAnsi="Arial" w:cs="Arial"/>
          <w:sz w:val="24"/>
          <w:szCs w:val="24"/>
        </w:rPr>
        <w:t xml:space="preserve">, P., 2001. Distance Still Matters: The Hard Reality of Global Expansion. </w:t>
      </w:r>
      <w:proofErr w:type="gramStart"/>
      <w:r w:rsidRPr="00511988">
        <w:rPr>
          <w:rFonts w:ascii="Arial" w:hAnsi="Arial" w:cs="Arial"/>
          <w:i/>
          <w:iCs/>
          <w:sz w:val="24"/>
          <w:szCs w:val="24"/>
        </w:rPr>
        <w:t>Harvard Business Review</w:t>
      </w:r>
      <w:r w:rsidRPr="00511988">
        <w:rPr>
          <w:rFonts w:ascii="Arial" w:hAnsi="Arial" w:cs="Arial"/>
          <w:sz w:val="24"/>
          <w:szCs w:val="24"/>
        </w:rPr>
        <w:t>, 79(8), pp.137–147.</w:t>
      </w:r>
      <w:proofErr w:type="gramEnd"/>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 xml:space="preserve">Hillman, A.J. &amp; </w:t>
      </w:r>
      <w:proofErr w:type="spellStart"/>
      <w:r w:rsidRPr="00511988">
        <w:rPr>
          <w:rFonts w:ascii="Arial" w:hAnsi="Arial" w:cs="Arial"/>
          <w:sz w:val="24"/>
          <w:szCs w:val="24"/>
        </w:rPr>
        <w:t>Hitt</w:t>
      </w:r>
      <w:proofErr w:type="spellEnd"/>
      <w:r w:rsidRPr="00511988">
        <w:rPr>
          <w:rFonts w:ascii="Arial" w:hAnsi="Arial" w:cs="Arial"/>
          <w:sz w:val="24"/>
          <w:szCs w:val="24"/>
        </w:rPr>
        <w:t>, M.A., 1999.</w:t>
      </w:r>
      <w:proofErr w:type="gramEnd"/>
      <w:r w:rsidRPr="00511988">
        <w:rPr>
          <w:rFonts w:ascii="Arial" w:hAnsi="Arial" w:cs="Arial"/>
          <w:sz w:val="24"/>
          <w:szCs w:val="24"/>
        </w:rPr>
        <w:t xml:space="preserve"> Corporate Political Strategy Formulation: A Model of Approach, Participation, and Strategy Decisions. </w:t>
      </w:r>
      <w:proofErr w:type="gramStart"/>
      <w:r w:rsidRPr="00511988">
        <w:rPr>
          <w:rFonts w:ascii="Arial" w:hAnsi="Arial" w:cs="Arial"/>
          <w:i/>
          <w:iCs/>
          <w:sz w:val="24"/>
          <w:szCs w:val="24"/>
        </w:rPr>
        <w:t>Academy of Management Review</w:t>
      </w:r>
      <w:r w:rsidRPr="00511988">
        <w:rPr>
          <w:rFonts w:ascii="Arial" w:hAnsi="Arial" w:cs="Arial"/>
          <w:sz w:val="24"/>
          <w:szCs w:val="24"/>
        </w:rPr>
        <w:t>, 24(4), pp.825–842.</w:t>
      </w:r>
      <w:proofErr w:type="gramEnd"/>
    </w:p>
    <w:p w:rsidR="00511988" w:rsidRPr="00511988" w:rsidRDefault="00511988" w:rsidP="00511988">
      <w:pPr>
        <w:spacing w:line="360" w:lineRule="auto"/>
        <w:rPr>
          <w:rFonts w:ascii="Arial" w:hAnsi="Arial" w:cs="Arial"/>
          <w:sz w:val="24"/>
          <w:szCs w:val="24"/>
        </w:rPr>
      </w:pPr>
      <w:proofErr w:type="spellStart"/>
      <w:r w:rsidRPr="00511988">
        <w:rPr>
          <w:rFonts w:ascii="Arial" w:hAnsi="Arial" w:cs="Arial"/>
          <w:sz w:val="24"/>
          <w:szCs w:val="24"/>
        </w:rPr>
        <w:t>Hitt</w:t>
      </w:r>
      <w:proofErr w:type="spellEnd"/>
      <w:r w:rsidRPr="00511988">
        <w:rPr>
          <w:rFonts w:ascii="Arial" w:hAnsi="Arial" w:cs="Arial"/>
          <w:sz w:val="24"/>
          <w:szCs w:val="24"/>
        </w:rPr>
        <w:t xml:space="preserve">, M.A., Ireland, R.D., &amp; </w:t>
      </w:r>
      <w:proofErr w:type="spellStart"/>
      <w:r w:rsidRPr="00511988">
        <w:rPr>
          <w:rFonts w:ascii="Arial" w:hAnsi="Arial" w:cs="Arial"/>
          <w:sz w:val="24"/>
          <w:szCs w:val="24"/>
        </w:rPr>
        <w:t>Hoskisson</w:t>
      </w:r>
      <w:proofErr w:type="spellEnd"/>
      <w:r w:rsidRPr="00511988">
        <w:rPr>
          <w:rFonts w:ascii="Arial" w:hAnsi="Arial" w:cs="Arial"/>
          <w:sz w:val="24"/>
          <w:szCs w:val="24"/>
        </w:rPr>
        <w:t xml:space="preserve">, R.E., 2020. </w:t>
      </w:r>
      <w:r w:rsidRPr="00511988">
        <w:rPr>
          <w:rFonts w:ascii="Arial" w:hAnsi="Arial" w:cs="Arial"/>
          <w:i/>
          <w:iCs/>
          <w:sz w:val="24"/>
          <w:szCs w:val="24"/>
        </w:rPr>
        <w:t>Strategic Management: Competitiveness and Globalisation</w:t>
      </w:r>
      <w:r w:rsidRPr="00511988">
        <w:rPr>
          <w:rFonts w:ascii="Arial" w:hAnsi="Arial" w:cs="Arial"/>
          <w:sz w:val="24"/>
          <w:szCs w:val="24"/>
        </w:rPr>
        <w:t xml:space="preserve">. 13th ed. Boston: </w:t>
      </w:r>
      <w:proofErr w:type="spellStart"/>
      <w:r w:rsidRPr="00511988">
        <w:rPr>
          <w:rFonts w:ascii="Arial" w:hAnsi="Arial" w:cs="Arial"/>
          <w:sz w:val="24"/>
          <w:szCs w:val="24"/>
        </w:rPr>
        <w:t>Cengage</w:t>
      </w:r>
      <w:proofErr w:type="spellEnd"/>
      <w:r w:rsidRPr="00511988">
        <w:rPr>
          <w:rFonts w:ascii="Arial" w:hAnsi="Arial" w:cs="Arial"/>
          <w:sz w:val="24"/>
          <w:szCs w:val="24"/>
        </w:rPr>
        <w:t xml:space="preserve"> Learning.</w:t>
      </w:r>
    </w:p>
    <w:p w:rsidR="00511988" w:rsidRPr="00511988" w:rsidRDefault="00511988" w:rsidP="00511988">
      <w:pPr>
        <w:spacing w:line="360" w:lineRule="auto"/>
        <w:rPr>
          <w:rFonts w:ascii="Arial" w:hAnsi="Arial" w:cs="Arial"/>
          <w:sz w:val="24"/>
          <w:szCs w:val="24"/>
        </w:rPr>
      </w:pPr>
      <w:proofErr w:type="spellStart"/>
      <w:r w:rsidRPr="00511988">
        <w:rPr>
          <w:rFonts w:ascii="Arial" w:hAnsi="Arial" w:cs="Arial"/>
          <w:sz w:val="24"/>
          <w:szCs w:val="24"/>
        </w:rPr>
        <w:t>Hofstede</w:t>
      </w:r>
      <w:proofErr w:type="spellEnd"/>
      <w:r w:rsidRPr="00511988">
        <w:rPr>
          <w:rFonts w:ascii="Arial" w:hAnsi="Arial" w:cs="Arial"/>
          <w:sz w:val="24"/>
          <w:szCs w:val="24"/>
        </w:rPr>
        <w:t xml:space="preserve">, G., 2011. </w:t>
      </w:r>
      <w:proofErr w:type="spellStart"/>
      <w:proofErr w:type="gramStart"/>
      <w:r w:rsidRPr="00511988">
        <w:rPr>
          <w:rFonts w:ascii="Arial" w:hAnsi="Arial" w:cs="Arial"/>
          <w:sz w:val="24"/>
          <w:szCs w:val="24"/>
        </w:rPr>
        <w:t>Dimensionalizing</w:t>
      </w:r>
      <w:proofErr w:type="spellEnd"/>
      <w:r w:rsidRPr="00511988">
        <w:rPr>
          <w:rFonts w:ascii="Arial" w:hAnsi="Arial" w:cs="Arial"/>
          <w:sz w:val="24"/>
          <w:szCs w:val="24"/>
        </w:rPr>
        <w:t xml:space="preserve"> Cultures: The </w:t>
      </w:r>
      <w:proofErr w:type="spellStart"/>
      <w:r w:rsidRPr="00511988">
        <w:rPr>
          <w:rFonts w:ascii="Arial" w:hAnsi="Arial" w:cs="Arial"/>
          <w:sz w:val="24"/>
          <w:szCs w:val="24"/>
        </w:rPr>
        <w:t>Hofstede</w:t>
      </w:r>
      <w:proofErr w:type="spellEnd"/>
      <w:r w:rsidRPr="00511988">
        <w:rPr>
          <w:rFonts w:ascii="Arial" w:hAnsi="Arial" w:cs="Arial"/>
          <w:sz w:val="24"/>
          <w:szCs w:val="24"/>
        </w:rPr>
        <w:t xml:space="preserve"> Model in Context.</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Online Readings in Psychology and Culture</w:t>
      </w:r>
      <w:r w:rsidRPr="00511988">
        <w:rPr>
          <w:rFonts w:ascii="Arial" w:hAnsi="Arial" w:cs="Arial"/>
          <w:sz w:val="24"/>
          <w:szCs w:val="24"/>
        </w:rPr>
        <w:t>, 2(1), pp.1–26.</w:t>
      </w:r>
      <w:proofErr w:type="gramEnd"/>
    </w:p>
    <w:p w:rsidR="00511988" w:rsidRPr="00511988" w:rsidRDefault="00511988" w:rsidP="00511988">
      <w:pPr>
        <w:spacing w:line="360" w:lineRule="auto"/>
        <w:rPr>
          <w:rFonts w:ascii="Arial" w:hAnsi="Arial" w:cs="Arial"/>
          <w:sz w:val="24"/>
          <w:szCs w:val="24"/>
        </w:rPr>
      </w:pPr>
      <w:proofErr w:type="spellStart"/>
      <w:proofErr w:type="gramStart"/>
      <w:r w:rsidRPr="00511988">
        <w:rPr>
          <w:rFonts w:ascii="Arial" w:hAnsi="Arial" w:cs="Arial"/>
          <w:sz w:val="24"/>
          <w:szCs w:val="24"/>
        </w:rPr>
        <w:t>Hofstede</w:t>
      </w:r>
      <w:proofErr w:type="spellEnd"/>
      <w:r w:rsidRPr="00511988">
        <w:rPr>
          <w:rFonts w:ascii="Arial" w:hAnsi="Arial" w:cs="Arial"/>
          <w:sz w:val="24"/>
          <w:szCs w:val="24"/>
        </w:rPr>
        <w:t xml:space="preserve"> Insights, 2024.</w:t>
      </w:r>
      <w:proofErr w:type="gramEnd"/>
      <w:r w:rsidRPr="00511988">
        <w:rPr>
          <w:rFonts w:ascii="Arial" w:hAnsi="Arial" w:cs="Arial"/>
          <w:sz w:val="24"/>
          <w:szCs w:val="24"/>
        </w:rPr>
        <w:t xml:space="preserve"> </w:t>
      </w:r>
      <w:r w:rsidRPr="00511988">
        <w:rPr>
          <w:rFonts w:ascii="Arial" w:hAnsi="Arial" w:cs="Arial"/>
          <w:i/>
          <w:iCs/>
          <w:sz w:val="24"/>
          <w:szCs w:val="24"/>
        </w:rPr>
        <w:t>Country Comparison: India, China, Japan</w:t>
      </w:r>
      <w:r w:rsidRPr="00511988">
        <w:rPr>
          <w:rFonts w:ascii="Arial" w:hAnsi="Arial" w:cs="Arial"/>
          <w:sz w:val="24"/>
          <w:szCs w:val="24"/>
        </w:rPr>
        <w:t xml:space="preserve">. Available at: </w:t>
      </w:r>
      <w:hyperlink r:id="rId11" w:tgtFrame="_new" w:history="1">
        <w:r w:rsidRPr="00511988">
          <w:rPr>
            <w:rStyle w:val="Hyperlink"/>
            <w:rFonts w:ascii="Arial" w:hAnsi="Arial" w:cs="Arial"/>
            <w:sz w:val="24"/>
            <w:szCs w:val="24"/>
          </w:rPr>
          <w:t>https://www.hofstede-insights.com</w:t>
        </w:r>
      </w:hyperlink>
      <w:r w:rsidRPr="00511988">
        <w:rPr>
          <w:rFonts w:ascii="Arial" w:hAnsi="Arial" w:cs="Arial"/>
          <w:sz w:val="24"/>
          <w:szCs w:val="24"/>
        </w:rPr>
        <w:t xml:space="preserve"> [Accessed 6 November 2025].</w:t>
      </w:r>
    </w:p>
    <w:p w:rsidR="00511988" w:rsidRPr="00511988" w:rsidRDefault="00511988" w:rsidP="00511988">
      <w:pPr>
        <w:spacing w:line="360" w:lineRule="auto"/>
        <w:rPr>
          <w:rFonts w:ascii="Arial" w:hAnsi="Arial" w:cs="Arial"/>
          <w:sz w:val="24"/>
          <w:szCs w:val="24"/>
        </w:rPr>
      </w:pPr>
      <w:proofErr w:type="spellStart"/>
      <w:proofErr w:type="gramStart"/>
      <w:r w:rsidRPr="00511988">
        <w:rPr>
          <w:rFonts w:ascii="Arial" w:hAnsi="Arial" w:cs="Arial"/>
          <w:sz w:val="24"/>
          <w:szCs w:val="24"/>
        </w:rPr>
        <w:t>Khanna</w:t>
      </w:r>
      <w:proofErr w:type="spellEnd"/>
      <w:r w:rsidRPr="00511988">
        <w:rPr>
          <w:rFonts w:ascii="Arial" w:hAnsi="Arial" w:cs="Arial"/>
          <w:sz w:val="24"/>
          <w:szCs w:val="24"/>
        </w:rPr>
        <w:t xml:space="preserve">, T. &amp; </w:t>
      </w:r>
      <w:proofErr w:type="spellStart"/>
      <w:r w:rsidRPr="00511988">
        <w:rPr>
          <w:rFonts w:ascii="Arial" w:hAnsi="Arial" w:cs="Arial"/>
          <w:sz w:val="24"/>
          <w:szCs w:val="24"/>
        </w:rPr>
        <w:t>Palepu</w:t>
      </w:r>
      <w:proofErr w:type="spellEnd"/>
      <w:r w:rsidRPr="00511988">
        <w:rPr>
          <w:rFonts w:ascii="Arial" w:hAnsi="Arial" w:cs="Arial"/>
          <w:sz w:val="24"/>
          <w:szCs w:val="24"/>
        </w:rPr>
        <w:t>, K., 2010.</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Winning in Emerging Markets: A Road Map for Strategy and Execution</w:t>
      </w:r>
      <w:r w:rsidRPr="00511988">
        <w:rPr>
          <w:rFonts w:ascii="Arial" w:hAnsi="Arial" w:cs="Arial"/>
          <w:sz w:val="24"/>
          <w:szCs w:val="24"/>
        </w:rPr>
        <w:t>.</w:t>
      </w:r>
      <w:proofErr w:type="gramEnd"/>
      <w:r w:rsidRPr="00511988">
        <w:rPr>
          <w:rFonts w:ascii="Arial" w:hAnsi="Arial" w:cs="Arial"/>
          <w:sz w:val="24"/>
          <w:szCs w:val="24"/>
        </w:rPr>
        <w:t xml:space="preserve"> Boston: Harvard Business Press.</w:t>
      </w:r>
    </w:p>
    <w:p w:rsidR="00511988" w:rsidRPr="00511988" w:rsidRDefault="00511988" w:rsidP="00511988">
      <w:pPr>
        <w:spacing w:line="360" w:lineRule="auto"/>
        <w:rPr>
          <w:rFonts w:ascii="Arial" w:hAnsi="Arial" w:cs="Arial"/>
          <w:sz w:val="24"/>
          <w:szCs w:val="24"/>
        </w:rPr>
      </w:pPr>
      <w:r w:rsidRPr="00511988">
        <w:rPr>
          <w:rFonts w:ascii="Arial" w:hAnsi="Arial" w:cs="Arial"/>
          <w:sz w:val="24"/>
          <w:szCs w:val="24"/>
        </w:rPr>
        <w:t xml:space="preserve">Kim, W.C., 2020. Samsung’s Regional Hub Strategy: Balancing Global Efficiency and Local Responsiveness. </w:t>
      </w:r>
      <w:proofErr w:type="gramStart"/>
      <w:r w:rsidRPr="00511988">
        <w:rPr>
          <w:rFonts w:ascii="Arial" w:hAnsi="Arial" w:cs="Arial"/>
          <w:i/>
          <w:iCs/>
          <w:sz w:val="24"/>
          <w:szCs w:val="24"/>
        </w:rPr>
        <w:t>Asia Pacific Journal of Management</w:t>
      </w:r>
      <w:r w:rsidRPr="00511988">
        <w:rPr>
          <w:rFonts w:ascii="Arial" w:hAnsi="Arial" w:cs="Arial"/>
          <w:sz w:val="24"/>
          <w:szCs w:val="24"/>
        </w:rPr>
        <w:t>, 37(3), pp.601–625.</w:t>
      </w:r>
      <w:proofErr w:type="gramEnd"/>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KPMG, 2023.</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Media and Entertainment Industry Outlook India 2023</w:t>
      </w:r>
      <w:r w:rsidRPr="00511988">
        <w:rPr>
          <w:rFonts w:ascii="Arial" w:hAnsi="Arial" w:cs="Arial"/>
          <w:sz w:val="24"/>
          <w:szCs w:val="24"/>
        </w:rPr>
        <w:t>.</w:t>
      </w:r>
      <w:proofErr w:type="gramEnd"/>
      <w:r w:rsidRPr="00511988">
        <w:rPr>
          <w:rFonts w:ascii="Arial" w:hAnsi="Arial" w:cs="Arial"/>
          <w:sz w:val="24"/>
          <w:szCs w:val="24"/>
        </w:rPr>
        <w:t xml:space="preserve"> </w:t>
      </w:r>
      <w:proofErr w:type="gramStart"/>
      <w:r w:rsidRPr="00511988">
        <w:rPr>
          <w:rFonts w:ascii="Arial" w:hAnsi="Arial" w:cs="Arial"/>
          <w:sz w:val="24"/>
          <w:szCs w:val="24"/>
        </w:rPr>
        <w:t>KPMG India.</w:t>
      </w:r>
      <w:proofErr w:type="gramEnd"/>
      <w:r w:rsidRPr="00511988">
        <w:rPr>
          <w:rFonts w:ascii="Arial" w:hAnsi="Arial" w:cs="Arial"/>
          <w:sz w:val="24"/>
          <w:szCs w:val="24"/>
        </w:rPr>
        <w:t xml:space="preserve"> Available at: https://home.kpmg/in [Accessed 6 November 2025].</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lastRenderedPageBreak/>
        <w:t>Lee, S., 2022.</w:t>
      </w:r>
      <w:proofErr w:type="gramEnd"/>
      <w:r w:rsidRPr="00511988">
        <w:rPr>
          <w:rFonts w:ascii="Arial" w:hAnsi="Arial" w:cs="Arial"/>
          <w:sz w:val="24"/>
          <w:szCs w:val="24"/>
        </w:rPr>
        <w:t xml:space="preserve"> Netflix’s Local Content Strategy in India: Lessons for Global Expansion. </w:t>
      </w:r>
      <w:proofErr w:type="gramStart"/>
      <w:r w:rsidRPr="00511988">
        <w:rPr>
          <w:rFonts w:ascii="Arial" w:hAnsi="Arial" w:cs="Arial"/>
          <w:i/>
          <w:iCs/>
          <w:sz w:val="24"/>
          <w:szCs w:val="24"/>
        </w:rPr>
        <w:t>International Journal of Media Management</w:t>
      </w:r>
      <w:r w:rsidRPr="00511988">
        <w:rPr>
          <w:rFonts w:ascii="Arial" w:hAnsi="Arial" w:cs="Arial"/>
          <w:sz w:val="24"/>
          <w:szCs w:val="24"/>
        </w:rPr>
        <w:t>, 24(2), pp.77–92.</w:t>
      </w:r>
      <w:proofErr w:type="gramEnd"/>
    </w:p>
    <w:p w:rsidR="00511988" w:rsidRPr="00511988" w:rsidRDefault="00511988" w:rsidP="00511988">
      <w:pPr>
        <w:spacing w:line="360" w:lineRule="auto"/>
        <w:rPr>
          <w:rFonts w:ascii="Arial" w:hAnsi="Arial" w:cs="Arial"/>
          <w:sz w:val="24"/>
          <w:szCs w:val="24"/>
        </w:rPr>
      </w:pPr>
      <w:proofErr w:type="spellStart"/>
      <w:r w:rsidRPr="00511988">
        <w:rPr>
          <w:rFonts w:ascii="Arial" w:hAnsi="Arial" w:cs="Arial"/>
          <w:sz w:val="24"/>
          <w:szCs w:val="24"/>
        </w:rPr>
        <w:t>McSweeney</w:t>
      </w:r>
      <w:proofErr w:type="spellEnd"/>
      <w:r w:rsidRPr="00511988">
        <w:rPr>
          <w:rFonts w:ascii="Arial" w:hAnsi="Arial" w:cs="Arial"/>
          <w:sz w:val="24"/>
          <w:szCs w:val="24"/>
        </w:rPr>
        <w:t xml:space="preserve">, B., 2016. </w:t>
      </w:r>
      <w:proofErr w:type="spellStart"/>
      <w:r w:rsidRPr="00511988">
        <w:rPr>
          <w:rFonts w:ascii="Arial" w:hAnsi="Arial" w:cs="Arial"/>
          <w:i/>
          <w:iCs/>
          <w:sz w:val="24"/>
          <w:szCs w:val="24"/>
        </w:rPr>
        <w:t>Hofstede’s</w:t>
      </w:r>
      <w:proofErr w:type="spellEnd"/>
      <w:r w:rsidRPr="00511988">
        <w:rPr>
          <w:rFonts w:ascii="Arial" w:hAnsi="Arial" w:cs="Arial"/>
          <w:i/>
          <w:iCs/>
          <w:sz w:val="24"/>
          <w:szCs w:val="24"/>
        </w:rPr>
        <w:t xml:space="preserve"> Model of National Cultural Differences and Their Consequences: </w:t>
      </w:r>
      <w:proofErr w:type="gramStart"/>
      <w:r w:rsidRPr="00511988">
        <w:rPr>
          <w:rFonts w:ascii="Arial" w:hAnsi="Arial" w:cs="Arial"/>
          <w:i/>
          <w:iCs/>
          <w:sz w:val="24"/>
          <w:szCs w:val="24"/>
        </w:rPr>
        <w:t>A Triumph of Faith – A</w:t>
      </w:r>
      <w:proofErr w:type="gramEnd"/>
      <w:r w:rsidRPr="00511988">
        <w:rPr>
          <w:rFonts w:ascii="Arial" w:hAnsi="Arial" w:cs="Arial"/>
          <w:i/>
          <w:iCs/>
          <w:sz w:val="24"/>
          <w:szCs w:val="24"/>
        </w:rPr>
        <w:t xml:space="preserve"> Failure of Analysis</w:t>
      </w:r>
      <w:r w:rsidRPr="00511988">
        <w:rPr>
          <w:rFonts w:ascii="Arial" w:hAnsi="Arial" w:cs="Arial"/>
          <w:sz w:val="24"/>
          <w:szCs w:val="24"/>
        </w:rPr>
        <w:t xml:space="preserve">. </w:t>
      </w:r>
      <w:proofErr w:type="gramStart"/>
      <w:r w:rsidRPr="00511988">
        <w:rPr>
          <w:rFonts w:ascii="Arial" w:hAnsi="Arial" w:cs="Arial"/>
          <w:sz w:val="24"/>
          <w:szCs w:val="24"/>
        </w:rPr>
        <w:t>Human Relations, 69(6), pp.1231–1256.</w:t>
      </w:r>
      <w:proofErr w:type="gramEnd"/>
    </w:p>
    <w:p w:rsidR="00511988" w:rsidRPr="00511988" w:rsidRDefault="00511988" w:rsidP="00511988">
      <w:pPr>
        <w:spacing w:line="360" w:lineRule="auto"/>
        <w:rPr>
          <w:rFonts w:ascii="Arial" w:hAnsi="Arial" w:cs="Arial"/>
          <w:sz w:val="24"/>
          <w:szCs w:val="24"/>
        </w:rPr>
      </w:pPr>
      <w:proofErr w:type="spellStart"/>
      <w:proofErr w:type="gramStart"/>
      <w:r w:rsidRPr="00511988">
        <w:rPr>
          <w:rFonts w:ascii="Arial" w:hAnsi="Arial" w:cs="Arial"/>
          <w:sz w:val="24"/>
          <w:szCs w:val="24"/>
        </w:rPr>
        <w:t>Minkov</w:t>
      </w:r>
      <w:proofErr w:type="spellEnd"/>
      <w:r w:rsidRPr="00511988">
        <w:rPr>
          <w:rFonts w:ascii="Arial" w:hAnsi="Arial" w:cs="Arial"/>
          <w:sz w:val="24"/>
          <w:szCs w:val="24"/>
        </w:rPr>
        <w:t xml:space="preserve">, M. &amp; </w:t>
      </w:r>
      <w:proofErr w:type="spellStart"/>
      <w:r w:rsidRPr="00511988">
        <w:rPr>
          <w:rFonts w:ascii="Arial" w:hAnsi="Arial" w:cs="Arial"/>
          <w:sz w:val="24"/>
          <w:szCs w:val="24"/>
        </w:rPr>
        <w:t>Hofstede</w:t>
      </w:r>
      <w:proofErr w:type="spellEnd"/>
      <w:r w:rsidRPr="00511988">
        <w:rPr>
          <w:rFonts w:ascii="Arial" w:hAnsi="Arial" w:cs="Arial"/>
          <w:sz w:val="24"/>
          <w:szCs w:val="24"/>
        </w:rPr>
        <w:t>, G., 2020.</w:t>
      </w:r>
      <w:proofErr w:type="gramEnd"/>
      <w:r w:rsidRPr="00511988">
        <w:rPr>
          <w:rFonts w:ascii="Arial" w:hAnsi="Arial" w:cs="Arial"/>
          <w:sz w:val="24"/>
          <w:szCs w:val="24"/>
        </w:rPr>
        <w:t xml:space="preserve"> </w:t>
      </w:r>
      <w:r w:rsidRPr="00511988">
        <w:rPr>
          <w:rFonts w:ascii="Arial" w:hAnsi="Arial" w:cs="Arial"/>
          <w:i/>
          <w:iCs/>
          <w:sz w:val="24"/>
          <w:szCs w:val="24"/>
        </w:rPr>
        <w:t>Cross-Cultural Analysis: The Science and Art of Comparing Cultures</w:t>
      </w:r>
      <w:r w:rsidRPr="00511988">
        <w:rPr>
          <w:rFonts w:ascii="Arial" w:hAnsi="Arial" w:cs="Arial"/>
          <w:sz w:val="24"/>
          <w:szCs w:val="24"/>
        </w:rPr>
        <w:t>. 4th ed. Thousand Oaks: SAGE Publications.</w:t>
      </w:r>
    </w:p>
    <w:p w:rsidR="00511988" w:rsidRPr="00511988" w:rsidRDefault="00511988" w:rsidP="00511988">
      <w:pPr>
        <w:spacing w:line="360" w:lineRule="auto"/>
        <w:rPr>
          <w:rFonts w:ascii="Arial" w:hAnsi="Arial" w:cs="Arial"/>
          <w:sz w:val="24"/>
          <w:szCs w:val="24"/>
        </w:rPr>
      </w:pPr>
      <w:proofErr w:type="spellStart"/>
      <w:proofErr w:type="gramStart"/>
      <w:r w:rsidRPr="00511988">
        <w:rPr>
          <w:rFonts w:ascii="Arial" w:hAnsi="Arial" w:cs="Arial"/>
          <w:sz w:val="24"/>
          <w:szCs w:val="24"/>
        </w:rPr>
        <w:t>Nath</w:t>
      </w:r>
      <w:proofErr w:type="spellEnd"/>
      <w:r w:rsidRPr="00511988">
        <w:rPr>
          <w:rFonts w:ascii="Arial" w:hAnsi="Arial" w:cs="Arial"/>
          <w:sz w:val="24"/>
          <w:szCs w:val="24"/>
        </w:rPr>
        <w:t>, V. &amp; Reddy, S., 2022.</w:t>
      </w:r>
      <w:proofErr w:type="gramEnd"/>
      <w:r w:rsidRPr="00511988">
        <w:rPr>
          <w:rFonts w:ascii="Arial" w:hAnsi="Arial" w:cs="Arial"/>
          <w:sz w:val="24"/>
          <w:szCs w:val="24"/>
        </w:rPr>
        <w:t xml:space="preserve"> Regional Language Strategies in India’s Digital Media Market. </w:t>
      </w:r>
      <w:proofErr w:type="gramStart"/>
      <w:r w:rsidRPr="00511988">
        <w:rPr>
          <w:rFonts w:ascii="Arial" w:hAnsi="Arial" w:cs="Arial"/>
          <w:i/>
          <w:iCs/>
          <w:sz w:val="24"/>
          <w:szCs w:val="24"/>
        </w:rPr>
        <w:t>Journal of Media Economics</w:t>
      </w:r>
      <w:r w:rsidRPr="00511988">
        <w:rPr>
          <w:rFonts w:ascii="Arial" w:hAnsi="Arial" w:cs="Arial"/>
          <w:sz w:val="24"/>
          <w:szCs w:val="24"/>
        </w:rPr>
        <w:t>, 35(1), pp.12–29.</w:t>
      </w:r>
      <w:proofErr w:type="gramEnd"/>
    </w:p>
    <w:p w:rsidR="00511988" w:rsidRPr="00511988" w:rsidRDefault="00511988" w:rsidP="00511988">
      <w:pPr>
        <w:spacing w:line="360" w:lineRule="auto"/>
        <w:rPr>
          <w:rFonts w:ascii="Arial" w:hAnsi="Arial" w:cs="Arial"/>
          <w:sz w:val="24"/>
          <w:szCs w:val="24"/>
        </w:rPr>
      </w:pPr>
      <w:r w:rsidRPr="00511988">
        <w:rPr>
          <w:rFonts w:ascii="Arial" w:hAnsi="Arial" w:cs="Arial"/>
          <w:sz w:val="24"/>
          <w:szCs w:val="24"/>
        </w:rPr>
        <w:t xml:space="preserve">North, D.C., 1990. </w:t>
      </w:r>
      <w:proofErr w:type="gramStart"/>
      <w:r w:rsidRPr="00511988">
        <w:rPr>
          <w:rFonts w:ascii="Arial" w:hAnsi="Arial" w:cs="Arial"/>
          <w:i/>
          <w:iCs/>
          <w:sz w:val="24"/>
          <w:szCs w:val="24"/>
        </w:rPr>
        <w:t>Institutions, Institutional Change and Economic Performance</w:t>
      </w:r>
      <w:r w:rsidRPr="00511988">
        <w:rPr>
          <w:rFonts w:ascii="Arial" w:hAnsi="Arial" w:cs="Arial"/>
          <w:sz w:val="24"/>
          <w:szCs w:val="24"/>
        </w:rPr>
        <w:t>.</w:t>
      </w:r>
      <w:proofErr w:type="gramEnd"/>
      <w:r w:rsidRPr="00511988">
        <w:rPr>
          <w:rFonts w:ascii="Arial" w:hAnsi="Arial" w:cs="Arial"/>
          <w:sz w:val="24"/>
          <w:szCs w:val="24"/>
        </w:rPr>
        <w:t xml:space="preserve"> Cambridge: Cambridge University Press.</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OECD, 2023.</w:t>
      </w:r>
      <w:proofErr w:type="gramEnd"/>
      <w:r w:rsidRPr="00511988">
        <w:rPr>
          <w:rFonts w:ascii="Arial" w:hAnsi="Arial" w:cs="Arial"/>
          <w:sz w:val="24"/>
          <w:szCs w:val="24"/>
        </w:rPr>
        <w:t xml:space="preserve"> </w:t>
      </w:r>
      <w:r w:rsidRPr="00511988">
        <w:rPr>
          <w:rFonts w:ascii="Arial" w:hAnsi="Arial" w:cs="Arial"/>
          <w:i/>
          <w:iCs/>
          <w:sz w:val="24"/>
          <w:szCs w:val="24"/>
        </w:rPr>
        <w:t>China: Digital Media and Gaming Regulations</w:t>
      </w:r>
      <w:r w:rsidRPr="00511988">
        <w:rPr>
          <w:rFonts w:ascii="Arial" w:hAnsi="Arial" w:cs="Arial"/>
          <w:sz w:val="24"/>
          <w:szCs w:val="24"/>
        </w:rPr>
        <w:t>. Paris: Organisation for Economic Co-operation and Development.</w:t>
      </w:r>
    </w:p>
    <w:p w:rsidR="00511988" w:rsidRPr="00511988" w:rsidRDefault="00511988" w:rsidP="00511988">
      <w:pPr>
        <w:spacing w:line="360" w:lineRule="auto"/>
        <w:rPr>
          <w:rFonts w:ascii="Arial" w:hAnsi="Arial" w:cs="Arial"/>
          <w:sz w:val="24"/>
          <w:szCs w:val="24"/>
        </w:rPr>
      </w:pPr>
      <w:proofErr w:type="spellStart"/>
      <w:proofErr w:type="gramStart"/>
      <w:r w:rsidRPr="00511988">
        <w:rPr>
          <w:rFonts w:ascii="Arial" w:hAnsi="Arial" w:cs="Arial"/>
          <w:sz w:val="24"/>
          <w:szCs w:val="24"/>
        </w:rPr>
        <w:t>Peng</w:t>
      </w:r>
      <w:proofErr w:type="spellEnd"/>
      <w:r w:rsidRPr="00511988">
        <w:rPr>
          <w:rFonts w:ascii="Arial" w:hAnsi="Arial" w:cs="Arial"/>
          <w:sz w:val="24"/>
          <w:szCs w:val="24"/>
        </w:rPr>
        <w:t>, M.W., Wang, D.Y. &amp; Jiang, Y., 2008.</w:t>
      </w:r>
      <w:proofErr w:type="gramEnd"/>
      <w:r w:rsidRPr="00511988">
        <w:rPr>
          <w:rFonts w:ascii="Arial" w:hAnsi="Arial" w:cs="Arial"/>
          <w:sz w:val="24"/>
          <w:szCs w:val="24"/>
        </w:rPr>
        <w:t xml:space="preserve"> An Institution-Based View of International Business Strategy: A Focus on Emerging Economies. </w:t>
      </w:r>
      <w:proofErr w:type="gramStart"/>
      <w:r w:rsidRPr="00511988">
        <w:rPr>
          <w:rFonts w:ascii="Arial" w:hAnsi="Arial" w:cs="Arial"/>
          <w:i/>
          <w:iCs/>
          <w:sz w:val="24"/>
          <w:szCs w:val="24"/>
        </w:rPr>
        <w:t>Journal of International Business Studies</w:t>
      </w:r>
      <w:r w:rsidRPr="00511988">
        <w:rPr>
          <w:rFonts w:ascii="Arial" w:hAnsi="Arial" w:cs="Arial"/>
          <w:sz w:val="24"/>
          <w:szCs w:val="24"/>
        </w:rPr>
        <w:t>, 39(5), pp.920–936.</w:t>
      </w:r>
      <w:proofErr w:type="gramEnd"/>
    </w:p>
    <w:p w:rsidR="00511988" w:rsidRPr="00511988" w:rsidRDefault="00511988" w:rsidP="00511988">
      <w:pPr>
        <w:spacing w:line="360" w:lineRule="auto"/>
        <w:rPr>
          <w:rFonts w:ascii="Arial" w:hAnsi="Arial" w:cs="Arial"/>
          <w:sz w:val="24"/>
          <w:szCs w:val="24"/>
        </w:rPr>
      </w:pPr>
      <w:proofErr w:type="spellStart"/>
      <w:r w:rsidRPr="00511988">
        <w:rPr>
          <w:rFonts w:ascii="Arial" w:hAnsi="Arial" w:cs="Arial"/>
          <w:sz w:val="24"/>
          <w:szCs w:val="24"/>
        </w:rPr>
        <w:t>Rao</w:t>
      </w:r>
      <w:proofErr w:type="spellEnd"/>
      <w:r w:rsidRPr="00511988">
        <w:rPr>
          <w:rFonts w:ascii="Arial" w:hAnsi="Arial" w:cs="Arial"/>
          <w:sz w:val="24"/>
          <w:szCs w:val="24"/>
        </w:rPr>
        <w:t xml:space="preserve">, V. &amp; </w:t>
      </w:r>
      <w:proofErr w:type="spellStart"/>
      <w:r w:rsidRPr="00511988">
        <w:rPr>
          <w:rFonts w:ascii="Arial" w:hAnsi="Arial" w:cs="Arial"/>
          <w:sz w:val="24"/>
          <w:szCs w:val="24"/>
        </w:rPr>
        <w:t>Narayan</w:t>
      </w:r>
      <w:proofErr w:type="spellEnd"/>
      <w:r w:rsidRPr="00511988">
        <w:rPr>
          <w:rFonts w:ascii="Arial" w:hAnsi="Arial" w:cs="Arial"/>
          <w:sz w:val="24"/>
          <w:szCs w:val="24"/>
        </w:rPr>
        <w:t xml:space="preserve">, S., 2021. </w:t>
      </w:r>
      <w:proofErr w:type="gramStart"/>
      <w:r w:rsidRPr="00511988">
        <w:rPr>
          <w:rFonts w:ascii="Arial" w:hAnsi="Arial" w:cs="Arial"/>
          <w:sz w:val="24"/>
          <w:szCs w:val="24"/>
        </w:rPr>
        <w:t>Cultural Dimensions and Managerial Practices in India.</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Indian Journal of Management</w:t>
      </w:r>
      <w:r w:rsidRPr="00511988">
        <w:rPr>
          <w:rFonts w:ascii="Arial" w:hAnsi="Arial" w:cs="Arial"/>
          <w:sz w:val="24"/>
          <w:szCs w:val="24"/>
        </w:rPr>
        <w:t>, 14(2), pp.45–60.</w:t>
      </w:r>
      <w:proofErr w:type="gramEnd"/>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Reuters, 2023.</w:t>
      </w:r>
      <w:proofErr w:type="gramEnd"/>
      <w:r w:rsidRPr="00511988">
        <w:rPr>
          <w:rFonts w:ascii="Arial" w:hAnsi="Arial" w:cs="Arial"/>
          <w:sz w:val="24"/>
          <w:szCs w:val="24"/>
        </w:rPr>
        <w:t xml:space="preserve"> </w:t>
      </w:r>
      <w:proofErr w:type="gramStart"/>
      <w:r w:rsidRPr="00511988">
        <w:rPr>
          <w:rFonts w:ascii="Arial" w:hAnsi="Arial" w:cs="Arial"/>
          <w:sz w:val="24"/>
          <w:szCs w:val="24"/>
        </w:rPr>
        <w:t>Sony PlayStation Operations in China Face Regulatory Challenges.</w:t>
      </w:r>
      <w:proofErr w:type="gramEnd"/>
      <w:r w:rsidRPr="00511988">
        <w:rPr>
          <w:rFonts w:ascii="Arial" w:hAnsi="Arial" w:cs="Arial"/>
          <w:sz w:val="24"/>
          <w:szCs w:val="24"/>
        </w:rPr>
        <w:t xml:space="preserve"> </w:t>
      </w:r>
      <w:r w:rsidRPr="00511988">
        <w:rPr>
          <w:rFonts w:ascii="Arial" w:hAnsi="Arial" w:cs="Arial"/>
          <w:i/>
          <w:iCs/>
          <w:sz w:val="24"/>
          <w:szCs w:val="24"/>
        </w:rPr>
        <w:t>Reuters News</w:t>
      </w:r>
      <w:r w:rsidRPr="00511988">
        <w:rPr>
          <w:rFonts w:ascii="Arial" w:hAnsi="Arial" w:cs="Arial"/>
          <w:sz w:val="24"/>
          <w:szCs w:val="24"/>
        </w:rPr>
        <w:t>, 12 March. Available at: https://www.reuters.com [Accessed 6 November 2025].</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SCMP, 2024.</w:t>
      </w:r>
      <w:proofErr w:type="gramEnd"/>
      <w:r w:rsidRPr="00511988">
        <w:rPr>
          <w:rFonts w:ascii="Arial" w:hAnsi="Arial" w:cs="Arial"/>
          <w:sz w:val="24"/>
          <w:szCs w:val="24"/>
        </w:rPr>
        <w:t xml:space="preserve"> Foreign Tech Companies and Chinese Consumer Markets: Regulatory Pressures and Adaptation. </w:t>
      </w:r>
      <w:r w:rsidRPr="00511988">
        <w:rPr>
          <w:rFonts w:ascii="Arial" w:hAnsi="Arial" w:cs="Arial"/>
          <w:i/>
          <w:iCs/>
          <w:sz w:val="24"/>
          <w:szCs w:val="24"/>
        </w:rPr>
        <w:t>South China Morning Post</w:t>
      </w:r>
      <w:r w:rsidRPr="00511988">
        <w:rPr>
          <w:rFonts w:ascii="Arial" w:hAnsi="Arial" w:cs="Arial"/>
          <w:sz w:val="24"/>
          <w:szCs w:val="24"/>
        </w:rPr>
        <w:t xml:space="preserve">, 18 February. Available at: </w:t>
      </w:r>
      <w:hyperlink r:id="rId12" w:tgtFrame="_new" w:history="1">
        <w:r w:rsidRPr="00511988">
          <w:rPr>
            <w:rStyle w:val="Hyperlink"/>
            <w:rFonts w:ascii="Arial" w:hAnsi="Arial" w:cs="Arial"/>
            <w:sz w:val="24"/>
            <w:szCs w:val="24"/>
          </w:rPr>
          <w:t>https://www.scmp.com</w:t>
        </w:r>
      </w:hyperlink>
      <w:r w:rsidRPr="00511988">
        <w:rPr>
          <w:rFonts w:ascii="Arial" w:hAnsi="Arial" w:cs="Arial"/>
          <w:sz w:val="24"/>
          <w:szCs w:val="24"/>
        </w:rPr>
        <w:t xml:space="preserve"> [Accessed 6 November 2025].</w:t>
      </w:r>
    </w:p>
    <w:p w:rsidR="00511988" w:rsidRPr="00511988" w:rsidRDefault="00511988" w:rsidP="00511988">
      <w:pPr>
        <w:spacing w:line="360" w:lineRule="auto"/>
        <w:rPr>
          <w:rFonts w:ascii="Arial" w:hAnsi="Arial" w:cs="Arial"/>
          <w:sz w:val="24"/>
          <w:szCs w:val="24"/>
        </w:rPr>
      </w:pPr>
      <w:r w:rsidRPr="00511988">
        <w:rPr>
          <w:rFonts w:ascii="Arial" w:hAnsi="Arial" w:cs="Arial"/>
          <w:sz w:val="24"/>
          <w:szCs w:val="24"/>
        </w:rPr>
        <w:t xml:space="preserve">Scott, W.R., 2013. </w:t>
      </w:r>
      <w:r w:rsidRPr="00511988">
        <w:rPr>
          <w:rFonts w:ascii="Arial" w:hAnsi="Arial" w:cs="Arial"/>
          <w:i/>
          <w:iCs/>
          <w:sz w:val="24"/>
          <w:szCs w:val="24"/>
        </w:rPr>
        <w:t>Institutions and Organizations: Ideas, Interests, and Identities</w:t>
      </w:r>
      <w:r w:rsidRPr="00511988">
        <w:rPr>
          <w:rFonts w:ascii="Arial" w:hAnsi="Arial" w:cs="Arial"/>
          <w:sz w:val="24"/>
          <w:szCs w:val="24"/>
        </w:rPr>
        <w:t>. 4th ed. Thousand Oaks: SAGE Publications.</w:t>
      </w:r>
    </w:p>
    <w:p w:rsidR="00511988" w:rsidRPr="00511988" w:rsidRDefault="00511988" w:rsidP="00511988">
      <w:pPr>
        <w:spacing w:line="360" w:lineRule="auto"/>
        <w:rPr>
          <w:rFonts w:ascii="Arial" w:hAnsi="Arial" w:cs="Arial"/>
          <w:sz w:val="24"/>
          <w:szCs w:val="24"/>
        </w:rPr>
      </w:pPr>
      <w:r w:rsidRPr="00511988">
        <w:rPr>
          <w:rFonts w:ascii="Arial" w:hAnsi="Arial" w:cs="Arial"/>
          <w:sz w:val="24"/>
          <w:szCs w:val="24"/>
        </w:rPr>
        <w:t xml:space="preserve">Witt, M.A., 2019. </w:t>
      </w:r>
      <w:proofErr w:type="gramStart"/>
      <w:r w:rsidRPr="00511988">
        <w:rPr>
          <w:rFonts w:ascii="Arial" w:hAnsi="Arial" w:cs="Arial"/>
          <w:sz w:val="24"/>
          <w:szCs w:val="24"/>
        </w:rPr>
        <w:t>The Institutional Dynamics of Authoritarian Capitalism in China.</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Management and Organization Review</w:t>
      </w:r>
      <w:r w:rsidRPr="00511988">
        <w:rPr>
          <w:rFonts w:ascii="Arial" w:hAnsi="Arial" w:cs="Arial"/>
          <w:sz w:val="24"/>
          <w:szCs w:val="24"/>
        </w:rPr>
        <w:t>, 15(2), pp.279–305.</w:t>
      </w:r>
      <w:proofErr w:type="gramEnd"/>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lastRenderedPageBreak/>
        <w:t>World Bank, 2024.</w:t>
      </w:r>
      <w:proofErr w:type="gramEnd"/>
      <w:r w:rsidRPr="00511988">
        <w:rPr>
          <w:rFonts w:ascii="Arial" w:hAnsi="Arial" w:cs="Arial"/>
          <w:sz w:val="24"/>
          <w:szCs w:val="24"/>
        </w:rPr>
        <w:t xml:space="preserve"> </w:t>
      </w:r>
      <w:proofErr w:type="gramStart"/>
      <w:r w:rsidRPr="00511988">
        <w:rPr>
          <w:rFonts w:ascii="Arial" w:hAnsi="Arial" w:cs="Arial"/>
          <w:i/>
          <w:iCs/>
          <w:sz w:val="24"/>
          <w:szCs w:val="24"/>
        </w:rPr>
        <w:t>Doing Business in India 2024</w:t>
      </w:r>
      <w:r w:rsidRPr="00511988">
        <w:rPr>
          <w:rFonts w:ascii="Arial" w:hAnsi="Arial" w:cs="Arial"/>
          <w:sz w:val="24"/>
          <w:szCs w:val="24"/>
        </w:rPr>
        <w:t>.</w:t>
      </w:r>
      <w:proofErr w:type="gramEnd"/>
      <w:r w:rsidRPr="00511988">
        <w:rPr>
          <w:rFonts w:ascii="Arial" w:hAnsi="Arial" w:cs="Arial"/>
          <w:sz w:val="24"/>
          <w:szCs w:val="24"/>
        </w:rPr>
        <w:t xml:space="preserve"> Washington, D.C.: World Bank. Available at: </w:t>
      </w:r>
      <w:hyperlink r:id="rId13" w:tgtFrame="_new" w:history="1">
        <w:r w:rsidRPr="00511988">
          <w:rPr>
            <w:rStyle w:val="Hyperlink"/>
            <w:rFonts w:ascii="Arial" w:hAnsi="Arial" w:cs="Arial"/>
            <w:sz w:val="24"/>
            <w:szCs w:val="24"/>
          </w:rPr>
          <w:t>https://www.worldbank.org</w:t>
        </w:r>
      </w:hyperlink>
      <w:r w:rsidRPr="00511988">
        <w:rPr>
          <w:rFonts w:ascii="Arial" w:hAnsi="Arial" w:cs="Arial"/>
          <w:sz w:val="24"/>
          <w:szCs w:val="24"/>
        </w:rPr>
        <w:t xml:space="preserve"> [Accessed 6 November 2025].</w:t>
      </w:r>
    </w:p>
    <w:p w:rsidR="00511988" w:rsidRPr="00511988" w:rsidRDefault="00511988" w:rsidP="00511988">
      <w:pPr>
        <w:spacing w:line="360" w:lineRule="auto"/>
        <w:rPr>
          <w:rFonts w:ascii="Arial" w:hAnsi="Arial" w:cs="Arial"/>
          <w:sz w:val="24"/>
          <w:szCs w:val="24"/>
        </w:rPr>
      </w:pPr>
      <w:proofErr w:type="gramStart"/>
      <w:r w:rsidRPr="00511988">
        <w:rPr>
          <w:rFonts w:ascii="Arial" w:hAnsi="Arial" w:cs="Arial"/>
          <w:sz w:val="24"/>
          <w:szCs w:val="24"/>
        </w:rPr>
        <w:t>Zhang, L. &amp; Zhou, H., 2021.</w:t>
      </w:r>
      <w:proofErr w:type="gramEnd"/>
      <w:r w:rsidRPr="00511988">
        <w:rPr>
          <w:rFonts w:ascii="Arial" w:hAnsi="Arial" w:cs="Arial"/>
          <w:sz w:val="24"/>
          <w:szCs w:val="24"/>
        </w:rPr>
        <w:t xml:space="preserve"> Cultural Nationalism and Consumer Behaviour in China: Implications for Foreign Firms. </w:t>
      </w:r>
      <w:proofErr w:type="gramStart"/>
      <w:r w:rsidRPr="00511988">
        <w:rPr>
          <w:rFonts w:ascii="Arial" w:hAnsi="Arial" w:cs="Arial"/>
          <w:i/>
          <w:iCs/>
          <w:sz w:val="24"/>
          <w:szCs w:val="24"/>
        </w:rPr>
        <w:t>International Marketing Review</w:t>
      </w:r>
      <w:r w:rsidRPr="00511988">
        <w:rPr>
          <w:rFonts w:ascii="Arial" w:hAnsi="Arial" w:cs="Arial"/>
          <w:sz w:val="24"/>
          <w:szCs w:val="24"/>
        </w:rPr>
        <w:t>, 38(5), pp.905–924.</w:t>
      </w:r>
      <w:proofErr w:type="gramEnd"/>
    </w:p>
    <w:p w:rsidR="007D263E" w:rsidRPr="00D26344" w:rsidRDefault="007D263E" w:rsidP="00EF1160">
      <w:pPr>
        <w:spacing w:line="360" w:lineRule="auto"/>
        <w:rPr>
          <w:rFonts w:ascii="Arial" w:hAnsi="Arial" w:cs="Arial"/>
          <w:sz w:val="24"/>
          <w:szCs w:val="24"/>
        </w:rPr>
      </w:pPr>
    </w:p>
    <w:p w:rsidR="007724F0" w:rsidRPr="00EF1160" w:rsidRDefault="007724F0" w:rsidP="00EF1160">
      <w:pPr>
        <w:spacing w:line="360" w:lineRule="auto"/>
        <w:rPr>
          <w:rFonts w:ascii="Arial" w:hAnsi="Arial" w:cs="Arial"/>
          <w:sz w:val="24"/>
          <w:szCs w:val="24"/>
        </w:rPr>
      </w:pPr>
    </w:p>
    <w:sectPr w:rsidR="007724F0" w:rsidRPr="00EF1160" w:rsidSect="00B153D5">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18A9" w:rsidRDefault="001B18A9" w:rsidP="00511988">
      <w:pPr>
        <w:spacing w:after="0" w:line="240" w:lineRule="auto"/>
      </w:pPr>
      <w:r>
        <w:separator/>
      </w:r>
    </w:p>
  </w:endnote>
  <w:endnote w:type="continuationSeparator" w:id="0">
    <w:p w:rsidR="001B18A9" w:rsidRDefault="001B18A9" w:rsidP="005119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67062090"/>
      <w:docPartObj>
        <w:docPartGallery w:val="Page Numbers (Bottom of Page)"/>
        <w:docPartUnique/>
      </w:docPartObj>
    </w:sdtPr>
    <w:sdtEndPr>
      <w:rPr>
        <w:noProof/>
      </w:rPr>
    </w:sdtEndPr>
    <w:sdtContent>
      <w:p w:rsidR="00511988" w:rsidRDefault="00B153D5">
        <w:pPr>
          <w:pStyle w:val="Footer"/>
        </w:pPr>
        <w:r>
          <w:fldChar w:fldCharType="begin"/>
        </w:r>
        <w:r w:rsidR="00511988">
          <w:instrText xml:space="preserve"> PAGE   \* MERGEFORMAT </w:instrText>
        </w:r>
        <w:r>
          <w:fldChar w:fldCharType="separate"/>
        </w:r>
        <w:r w:rsidR="004C2C87">
          <w:rPr>
            <w:noProof/>
          </w:rPr>
          <w:t>2</w:t>
        </w:r>
        <w:r>
          <w:rPr>
            <w:noProof/>
          </w:rPr>
          <w:fldChar w:fldCharType="end"/>
        </w:r>
      </w:p>
    </w:sdtContent>
  </w:sdt>
  <w:p w:rsidR="00511988" w:rsidRDefault="0051198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18A9" w:rsidRDefault="001B18A9" w:rsidP="00511988">
      <w:pPr>
        <w:spacing w:after="0" w:line="240" w:lineRule="auto"/>
      </w:pPr>
      <w:r>
        <w:separator/>
      </w:r>
    </w:p>
  </w:footnote>
  <w:footnote w:type="continuationSeparator" w:id="0">
    <w:p w:rsidR="001B18A9" w:rsidRDefault="001B18A9" w:rsidP="0051198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74131"/>
    <w:multiLevelType w:val="multilevel"/>
    <w:tmpl w:val="9328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F34B16"/>
    <w:multiLevelType w:val="multilevel"/>
    <w:tmpl w:val="B7C46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F46BC5"/>
    <w:multiLevelType w:val="multilevel"/>
    <w:tmpl w:val="79A4F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F386120"/>
    <w:multiLevelType w:val="multilevel"/>
    <w:tmpl w:val="A7A27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D0023C9"/>
    <w:multiLevelType w:val="multilevel"/>
    <w:tmpl w:val="FCCCB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F551CE2"/>
    <w:multiLevelType w:val="multilevel"/>
    <w:tmpl w:val="7A12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64F2E90"/>
    <w:multiLevelType w:val="multilevel"/>
    <w:tmpl w:val="2796F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D3972F1"/>
    <w:multiLevelType w:val="multilevel"/>
    <w:tmpl w:val="A268F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E5A559B"/>
    <w:multiLevelType w:val="multilevel"/>
    <w:tmpl w:val="C62C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4C1D44"/>
    <w:multiLevelType w:val="multilevel"/>
    <w:tmpl w:val="F9B64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5B036F3"/>
    <w:multiLevelType w:val="multilevel"/>
    <w:tmpl w:val="AEAC6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6381703"/>
    <w:multiLevelType w:val="multilevel"/>
    <w:tmpl w:val="E2F20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6321C8"/>
    <w:multiLevelType w:val="multilevel"/>
    <w:tmpl w:val="78027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DD660CD"/>
    <w:multiLevelType w:val="multilevel"/>
    <w:tmpl w:val="C35AF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1667EE7"/>
    <w:multiLevelType w:val="multilevel"/>
    <w:tmpl w:val="7F94D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2001853"/>
    <w:multiLevelType w:val="multilevel"/>
    <w:tmpl w:val="A6B4C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E204C55"/>
    <w:multiLevelType w:val="multilevel"/>
    <w:tmpl w:val="1DB86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FEE67EC"/>
    <w:multiLevelType w:val="multilevel"/>
    <w:tmpl w:val="1A767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8B06D53"/>
    <w:multiLevelType w:val="multilevel"/>
    <w:tmpl w:val="B5749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8FF4173"/>
    <w:multiLevelType w:val="multilevel"/>
    <w:tmpl w:val="2DCC7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B6C4FCF"/>
    <w:multiLevelType w:val="multilevel"/>
    <w:tmpl w:val="1A4E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DEC5182"/>
    <w:multiLevelType w:val="multilevel"/>
    <w:tmpl w:val="657A8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3263A4B"/>
    <w:multiLevelType w:val="multilevel"/>
    <w:tmpl w:val="088AE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3FC609A"/>
    <w:multiLevelType w:val="multilevel"/>
    <w:tmpl w:val="7C845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77B8159A"/>
    <w:multiLevelType w:val="multilevel"/>
    <w:tmpl w:val="D190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8BE5E92"/>
    <w:multiLevelType w:val="multilevel"/>
    <w:tmpl w:val="B2865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8F34EDB"/>
    <w:multiLevelType w:val="multilevel"/>
    <w:tmpl w:val="EDB27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A247D2C"/>
    <w:multiLevelType w:val="multilevel"/>
    <w:tmpl w:val="CEA4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0"/>
  </w:num>
  <w:num w:numId="3">
    <w:abstractNumId w:val="26"/>
  </w:num>
  <w:num w:numId="4">
    <w:abstractNumId w:val="4"/>
  </w:num>
  <w:num w:numId="5">
    <w:abstractNumId w:val="14"/>
  </w:num>
  <w:num w:numId="6">
    <w:abstractNumId w:val="11"/>
  </w:num>
  <w:num w:numId="7">
    <w:abstractNumId w:val="22"/>
  </w:num>
  <w:num w:numId="8">
    <w:abstractNumId w:val="2"/>
  </w:num>
  <w:num w:numId="9">
    <w:abstractNumId w:val="13"/>
  </w:num>
  <w:num w:numId="10">
    <w:abstractNumId w:val="25"/>
  </w:num>
  <w:num w:numId="11">
    <w:abstractNumId w:val="23"/>
  </w:num>
  <w:num w:numId="12">
    <w:abstractNumId w:val="9"/>
  </w:num>
  <w:num w:numId="13">
    <w:abstractNumId w:val="17"/>
  </w:num>
  <w:num w:numId="14">
    <w:abstractNumId w:val="21"/>
  </w:num>
  <w:num w:numId="15">
    <w:abstractNumId w:val="7"/>
  </w:num>
  <w:num w:numId="16">
    <w:abstractNumId w:val="27"/>
  </w:num>
  <w:num w:numId="17">
    <w:abstractNumId w:val="0"/>
  </w:num>
  <w:num w:numId="18">
    <w:abstractNumId w:val="15"/>
  </w:num>
  <w:num w:numId="19">
    <w:abstractNumId w:val="20"/>
  </w:num>
  <w:num w:numId="20">
    <w:abstractNumId w:val="16"/>
  </w:num>
  <w:num w:numId="21">
    <w:abstractNumId w:val="24"/>
  </w:num>
  <w:num w:numId="22">
    <w:abstractNumId w:val="1"/>
  </w:num>
  <w:num w:numId="23">
    <w:abstractNumId w:val="5"/>
  </w:num>
  <w:num w:numId="24">
    <w:abstractNumId w:val="3"/>
  </w:num>
  <w:num w:numId="25">
    <w:abstractNumId w:val="19"/>
  </w:num>
  <w:num w:numId="26">
    <w:abstractNumId w:val="8"/>
  </w:num>
  <w:num w:numId="27">
    <w:abstractNumId w:val="6"/>
  </w:num>
  <w:num w:numId="28">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D669E"/>
    <w:rsid w:val="001B18A9"/>
    <w:rsid w:val="004C2C87"/>
    <w:rsid w:val="00511988"/>
    <w:rsid w:val="00641415"/>
    <w:rsid w:val="006850BF"/>
    <w:rsid w:val="00685E22"/>
    <w:rsid w:val="00767C75"/>
    <w:rsid w:val="007724F0"/>
    <w:rsid w:val="00772E90"/>
    <w:rsid w:val="00782429"/>
    <w:rsid w:val="007D263E"/>
    <w:rsid w:val="00B153D5"/>
    <w:rsid w:val="00B9140C"/>
    <w:rsid w:val="00C6037D"/>
    <w:rsid w:val="00D26344"/>
    <w:rsid w:val="00ED669E"/>
    <w:rsid w:val="00EF1160"/>
    <w:rsid w:val="00FC46D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3D5"/>
  </w:style>
  <w:style w:type="paragraph" w:styleId="Heading1">
    <w:name w:val="heading 1"/>
    <w:basedOn w:val="Normal"/>
    <w:next w:val="Normal"/>
    <w:link w:val="Heading1Char"/>
    <w:uiPriority w:val="9"/>
    <w:qFormat/>
    <w:rsid w:val="00ED66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66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6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6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6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6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66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6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6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6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69E"/>
    <w:rPr>
      <w:rFonts w:eastAsiaTheme="majorEastAsia" w:cstheme="majorBidi"/>
      <w:color w:val="272727" w:themeColor="text1" w:themeTint="D8"/>
    </w:rPr>
  </w:style>
  <w:style w:type="paragraph" w:styleId="Title">
    <w:name w:val="Title"/>
    <w:basedOn w:val="Normal"/>
    <w:next w:val="Normal"/>
    <w:link w:val="TitleChar"/>
    <w:uiPriority w:val="10"/>
    <w:qFormat/>
    <w:rsid w:val="00ED6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69E"/>
    <w:pPr>
      <w:spacing w:before="160"/>
      <w:jc w:val="center"/>
    </w:pPr>
    <w:rPr>
      <w:i/>
      <w:iCs/>
      <w:color w:val="404040" w:themeColor="text1" w:themeTint="BF"/>
    </w:rPr>
  </w:style>
  <w:style w:type="character" w:customStyle="1" w:styleId="QuoteChar">
    <w:name w:val="Quote Char"/>
    <w:basedOn w:val="DefaultParagraphFont"/>
    <w:link w:val="Quote"/>
    <w:uiPriority w:val="29"/>
    <w:rsid w:val="00ED669E"/>
    <w:rPr>
      <w:i/>
      <w:iCs/>
      <w:color w:val="404040" w:themeColor="text1" w:themeTint="BF"/>
    </w:rPr>
  </w:style>
  <w:style w:type="paragraph" w:styleId="ListParagraph">
    <w:name w:val="List Paragraph"/>
    <w:basedOn w:val="Normal"/>
    <w:uiPriority w:val="34"/>
    <w:qFormat/>
    <w:rsid w:val="00ED669E"/>
    <w:pPr>
      <w:ind w:left="720"/>
      <w:contextualSpacing/>
    </w:pPr>
  </w:style>
  <w:style w:type="character" w:styleId="IntenseEmphasis">
    <w:name w:val="Intense Emphasis"/>
    <w:basedOn w:val="DefaultParagraphFont"/>
    <w:uiPriority w:val="21"/>
    <w:qFormat/>
    <w:rsid w:val="00ED669E"/>
    <w:rPr>
      <w:i/>
      <w:iCs/>
      <w:color w:val="0F4761" w:themeColor="accent1" w:themeShade="BF"/>
    </w:rPr>
  </w:style>
  <w:style w:type="paragraph" w:styleId="IntenseQuote">
    <w:name w:val="Intense Quote"/>
    <w:basedOn w:val="Normal"/>
    <w:next w:val="Normal"/>
    <w:link w:val="IntenseQuoteChar"/>
    <w:uiPriority w:val="30"/>
    <w:qFormat/>
    <w:rsid w:val="00ED66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69E"/>
    <w:rPr>
      <w:i/>
      <w:iCs/>
      <w:color w:val="0F4761" w:themeColor="accent1" w:themeShade="BF"/>
    </w:rPr>
  </w:style>
  <w:style w:type="character" w:styleId="IntenseReference">
    <w:name w:val="Intense Reference"/>
    <w:basedOn w:val="DefaultParagraphFont"/>
    <w:uiPriority w:val="32"/>
    <w:qFormat/>
    <w:rsid w:val="00ED669E"/>
    <w:rPr>
      <w:b/>
      <w:bCs/>
      <w:smallCaps/>
      <w:color w:val="0F4761" w:themeColor="accent1" w:themeShade="BF"/>
      <w:spacing w:val="5"/>
    </w:rPr>
  </w:style>
  <w:style w:type="table" w:styleId="TableGrid">
    <w:name w:val="Table Grid"/>
    <w:basedOn w:val="TableNormal"/>
    <w:uiPriority w:val="39"/>
    <w:rsid w:val="00D2634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7D263E"/>
    <w:pPr>
      <w:spacing w:before="240" w:after="0"/>
      <w:outlineLvl w:val="9"/>
    </w:pPr>
    <w:rPr>
      <w:kern w:val="0"/>
      <w:sz w:val="32"/>
      <w:szCs w:val="32"/>
      <w:lang w:val="en-US"/>
    </w:rPr>
  </w:style>
  <w:style w:type="character" w:styleId="Hyperlink">
    <w:name w:val="Hyperlink"/>
    <w:basedOn w:val="DefaultParagraphFont"/>
    <w:uiPriority w:val="99"/>
    <w:unhideWhenUsed/>
    <w:rsid w:val="00511988"/>
    <w:rPr>
      <w:color w:val="467886" w:themeColor="hyperlink"/>
      <w:u w:val="single"/>
    </w:rPr>
  </w:style>
  <w:style w:type="character" w:customStyle="1" w:styleId="UnresolvedMention">
    <w:name w:val="Unresolved Mention"/>
    <w:basedOn w:val="DefaultParagraphFont"/>
    <w:uiPriority w:val="99"/>
    <w:semiHidden/>
    <w:unhideWhenUsed/>
    <w:rsid w:val="00511988"/>
    <w:rPr>
      <w:color w:val="605E5C"/>
      <w:shd w:val="clear" w:color="auto" w:fill="E1DFDD"/>
    </w:rPr>
  </w:style>
  <w:style w:type="paragraph" w:styleId="Header">
    <w:name w:val="header"/>
    <w:basedOn w:val="Normal"/>
    <w:link w:val="HeaderChar"/>
    <w:uiPriority w:val="99"/>
    <w:unhideWhenUsed/>
    <w:rsid w:val="00511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988"/>
  </w:style>
  <w:style w:type="paragraph" w:styleId="Footer">
    <w:name w:val="footer"/>
    <w:basedOn w:val="Normal"/>
    <w:link w:val="FooterChar"/>
    <w:uiPriority w:val="99"/>
    <w:unhideWhenUsed/>
    <w:rsid w:val="00511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988"/>
  </w:style>
  <w:style w:type="paragraph" w:styleId="TOC1">
    <w:name w:val="toc 1"/>
    <w:basedOn w:val="Normal"/>
    <w:next w:val="Normal"/>
    <w:autoRedefine/>
    <w:uiPriority w:val="39"/>
    <w:unhideWhenUsed/>
    <w:rsid w:val="00511988"/>
    <w:pPr>
      <w:spacing w:after="100"/>
    </w:pPr>
  </w:style>
  <w:style w:type="paragraph" w:styleId="TOC2">
    <w:name w:val="toc 2"/>
    <w:basedOn w:val="Normal"/>
    <w:next w:val="Normal"/>
    <w:autoRedefine/>
    <w:uiPriority w:val="39"/>
    <w:unhideWhenUsed/>
    <w:rsid w:val="00511988"/>
    <w:pPr>
      <w:spacing w:after="100"/>
      <w:ind w:left="220"/>
    </w:pPr>
  </w:style>
  <w:style w:type="paragraph" w:styleId="BalloonText">
    <w:name w:val="Balloon Text"/>
    <w:basedOn w:val="Normal"/>
    <w:link w:val="BalloonTextChar"/>
    <w:uiPriority w:val="99"/>
    <w:semiHidden/>
    <w:unhideWhenUsed/>
    <w:rsid w:val="004C2C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C8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bank.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mp.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2.deloitte.com/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51582-2821-4C35-841F-6C43D73E3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27</Pages>
  <Words>6956</Words>
  <Characters>39652</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Anchal Atulkumar Patel</dc:creator>
  <cp:keywords/>
  <dc:description/>
  <cp:lastModifiedBy>NITIN</cp:lastModifiedBy>
  <cp:revision>4</cp:revision>
  <dcterms:created xsi:type="dcterms:W3CDTF">2025-11-19T18:40:00Z</dcterms:created>
  <dcterms:modified xsi:type="dcterms:W3CDTF">2025-11-20T18:06:00Z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79a688d5-bd1a-44b6-a588-2839f4e67086</vt:lpwstr>
  </property>
</Properties>
</file>