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D3281" w14:textId="77777777" w:rsidR="00D206BB" w:rsidRPr="00E038AB" w:rsidRDefault="00D206BB" w:rsidP="00161546">
      <w:pPr>
        <w:spacing w:line="360" w:lineRule="auto"/>
        <w:rPr>
          <w:rFonts w:asciiTheme="minorBidi" w:hAnsiTheme="minorBidi"/>
          <w:sz w:val="32"/>
          <w:szCs w:val="32"/>
        </w:rPr>
      </w:pPr>
    </w:p>
    <w:p w14:paraId="0F4305F5" w14:textId="77777777" w:rsidR="00CC5F04" w:rsidRDefault="00CC5F04" w:rsidP="000B28C7">
      <w:pPr>
        <w:spacing w:line="360" w:lineRule="auto"/>
        <w:jc w:val="center"/>
        <w:rPr>
          <w:rFonts w:ascii="Arial" w:hAnsi="Arial" w:cs="Arial"/>
          <w:b/>
          <w:bCs/>
          <w:sz w:val="28"/>
          <w:szCs w:val="28"/>
        </w:rPr>
      </w:pPr>
    </w:p>
    <w:p w14:paraId="069F8702" w14:textId="77777777" w:rsidR="00CC5F04" w:rsidRDefault="00CC5F04" w:rsidP="000B28C7">
      <w:pPr>
        <w:spacing w:line="360" w:lineRule="auto"/>
        <w:jc w:val="center"/>
        <w:rPr>
          <w:rFonts w:ascii="Arial" w:hAnsi="Arial" w:cs="Arial"/>
          <w:b/>
          <w:bCs/>
          <w:sz w:val="28"/>
          <w:szCs w:val="28"/>
        </w:rPr>
      </w:pPr>
    </w:p>
    <w:p w14:paraId="12713C45" w14:textId="77777777" w:rsidR="00CC5F04" w:rsidRDefault="00CC5F04" w:rsidP="000B28C7">
      <w:pPr>
        <w:spacing w:line="360" w:lineRule="auto"/>
        <w:jc w:val="center"/>
        <w:rPr>
          <w:rFonts w:ascii="Arial" w:hAnsi="Arial" w:cs="Arial"/>
          <w:b/>
          <w:bCs/>
          <w:sz w:val="28"/>
          <w:szCs w:val="28"/>
        </w:rPr>
      </w:pPr>
    </w:p>
    <w:p w14:paraId="3624E4B0" w14:textId="77777777" w:rsidR="00CC5F04" w:rsidRDefault="00CC5F04" w:rsidP="000B28C7">
      <w:pPr>
        <w:spacing w:line="360" w:lineRule="auto"/>
        <w:jc w:val="center"/>
        <w:rPr>
          <w:rFonts w:ascii="Arial" w:hAnsi="Arial" w:cs="Arial"/>
          <w:b/>
          <w:bCs/>
          <w:sz w:val="28"/>
          <w:szCs w:val="28"/>
        </w:rPr>
      </w:pPr>
    </w:p>
    <w:p w14:paraId="22D2C382" w14:textId="77777777" w:rsidR="00CC5F04" w:rsidRDefault="00CC5F04" w:rsidP="000B28C7">
      <w:pPr>
        <w:spacing w:line="360" w:lineRule="auto"/>
        <w:jc w:val="center"/>
        <w:rPr>
          <w:rFonts w:ascii="Arial" w:hAnsi="Arial" w:cs="Arial"/>
          <w:b/>
          <w:bCs/>
          <w:sz w:val="28"/>
          <w:szCs w:val="28"/>
        </w:rPr>
      </w:pPr>
    </w:p>
    <w:p w14:paraId="2B1E9C10" w14:textId="77777777" w:rsidR="00CC5F04" w:rsidRDefault="00CC5F04" w:rsidP="000B28C7">
      <w:pPr>
        <w:spacing w:line="360" w:lineRule="auto"/>
        <w:jc w:val="center"/>
        <w:rPr>
          <w:rFonts w:ascii="Arial" w:hAnsi="Arial" w:cs="Arial"/>
          <w:b/>
          <w:bCs/>
          <w:sz w:val="28"/>
          <w:szCs w:val="28"/>
        </w:rPr>
      </w:pPr>
    </w:p>
    <w:p w14:paraId="1410EB0E" w14:textId="0AA305B5" w:rsidR="00CD6406" w:rsidRPr="00CC5F04" w:rsidRDefault="00CD6406" w:rsidP="000B28C7">
      <w:pPr>
        <w:spacing w:line="360" w:lineRule="auto"/>
        <w:jc w:val="center"/>
        <w:rPr>
          <w:rFonts w:ascii="Arial" w:hAnsi="Arial" w:cs="Arial"/>
          <w:b/>
          <w:bCs/>
          <w:sz w:val="28"/>
          <w:szCs w:val="28"/>
        </w:rPr>
      </w:pPr>
      <w:r w:rsidRPr="00CC5F04">
        <w:rPr>
          <w:rFonts w:ascii="Arial" w:hAnsi="Arial" w:cs="Arial"/>
          <w:b/>
          <w:bCs/>
          <w:sz w:val="28"/>
          <w:szCs w:val="28"/>
        </w:rPr>
        <w:t>Component 2: Written Assignment</w:t>
      </w:r>
    </w:p>
    <w:p w14:paraId="75E833D9" w14:textId="1C7A2B25" w:rsidR="00AC2E24" w:rsidRPr="00CC5F04" w:rsidRDefault="00CC5F04" w:rsidP="00CC5F04">
      <w:pPr>
        <w:spacing w:line="360" w:lineRule="auto"/>
        <w:rPr>
          <w:rFonts w:ascii="Arial" w:hAnsi="Arial" w:cs="Arial"/>
          <w:b/>
          <w:bCs/>
          <w:sz w:val="28"/>
          <w:szCs w:val="28"/>
        </w:rPr>
      </w:pPr>
      <w:r>
        <w:rPr>
          <w:rFonts w:ascii="Arial" w:hAnsi="Arial" w:cs="Arial"/>
          <w:b/>
          <w:bCs/>
          <w:sz w:val="28"/>
          <w:szCs w:val="28"/>
        </w:rPr>
        <w:t xml:space="preserve">                                  </w:t>
      </w:r>
      <w:r w:rsidR="00AC2E24" w:rsidRPr="00CC5F04">
        <w:rPr>
          <w:rFonts w:ascii="Arial" w:hAnsi="Arial" w:cs="Arial"/>
          <w:b/>
          <w:bCs/>
          <w:sz w:val="28"/>
          <w:szCs w:val="28"/>
        </w:rPr>
        <w:t>Student Name: Freeda Zeb</w:t>
      </w:r>
    </w:p>
    <w:p w14:paraId="681A006B" w14:textId="4FEB5CC1" w:rsidR="00AC2E24" w:rsidRPr="00CC5F04" w:rsidRDefault="00CC5F04" w:rsidP="00CC5F04">
      <w:pPr>
        <w:spacing w:line="360" w:lineRule="auto"/>
        <w:rPr>
          <w:rFonts w:ascii="Arial" w:hAnsi="Arial" w:cs="Arial"/>
          <w:b/>
          <w:bCs/>
          <w:sz w:val="28"/>
          <w:szCs w:val="28"/>
        </w:rPr>
      </w:pPr>
      <w:r>
        <w:rPr>
          <w:rFonts w:ascii="Arial" w:hAnsi="Arial" w:cs="Arial"/>
          <w:b/>
          <w:bCs/>
          <w:sz w:val="28"/>
          <w:szCs w:val="28"/>
        </w:rPr>
        <w:t xml:space="preserve">                                        </w:t>
      </w:r>
      <w:r w:rsidR="00AC2E24" w:rsidRPr="00CC5F04">
        <w:rPr>
          <w:rFonts w:ascii="Arial" w:hAnsi="Arial" w:cs="Arial"/>
          <w:b/>
          <w:bCs/>
          <w:sz w:val="28"/>
          <w:szCs w:val="28"/>
        </w:rPr>
        <w:t>Student ID: 2126497</w:t>
      </w:r>
    </w:p>
    <w:p w14:paraId="488EFAFD" w14:textId="77777777" w:rsidR="00AC2E24" w:rsidRPr="00CC5F04" w:rsidRDefault="00AC2E24" w:rsidP="000B28C7">
      <w:pPr>
        <w:spacing w:line="360" w:lineRule="auto"/>
        <w:jc w:val="center"/>
        <w:rPr>
          <w:rFonts w:ascii="Arial" w:hAnsi="Arial" w:cs="Arial"/>
          <w:b/>
          <w:bCs/>
          <w:sz w:val="28"/>
          <w:szCs w:val="28"/>
        </w:rPr>
      </w:pPr>
      <w:r w:rsidRPr="00CC5F04">
        <w:rPr>
          <w:rFonts w:ascii="Arial" w:hAnsi="Arial" w:cs="Arial"/>
          <w:b/>
          <w:bCs/>
          <w:sz w:val="28"/>
          <w:szCs w:val="28"/>
        </w:rPr>
        <w:t>Module: BMHP6030 - Health, Wellbeing and Sustainable Development</w:t>
      </w:r>
    </w:p>
    <w:p w14:paraId="012FCCBC" w14:textId="77777777" w:rsidR="00AC2E24" w:rsidRPr="00E038AB" w:rsidRDefault="00AC2E24" w:rsidP="00161546">
      <w:pPr>
        <w:spacing w:line="360" w:lineRule="auto"/>
        <w:rPr>
          <w:rFonts w:asciiTheme="minorBidi" w:hAnsiTheme="minorBidi"/>
          <w:b/>
          <w:bCs/>
        </w:rPr>
      </w:pPr>
    </w:p>
    <w:p w14:paraId="52517D90" w14:textId="77777777" w:rsidR="00CD6406" w:rsidRPr="00E038AB" w:rsidRDefault="00CD6406" w:rsidP="00161546">
      <w:pPr>
        <w:spacing w:line="360" w:lineRule="auto"/>
        <w:rPr>
          <w:rFonts w:asciiTheme="minorBidi" w:hAnsiTheme="minorBidi"/>
          <w:b/>
          <w:bCs/>
        </w:rPr>
      </w:pPr>
    </w:p>
    <w:p w14:paraId="22889532" w14:textId="77777777" w:rsidR="00CD6406" w:rsidRPr="00E038AB" w:rsidRDefault="00CD6406" w:rsidP="00161546">
      <w:pPr>
        <w:spacing w:line="360" w:lineRule="auto"/>
        <w:rPr>
          <w:rFonts w:asciiTheme="minorBidi" w:hAnsiTheme="minorBidi"/>
          <w:b/>
          <w:bCs/>
        </w:rPr>
      </w:pPr>
    </w:p>
    <w:p w14:paraId="0EF0CFE6" w14:textId="77777777" w:rsidR="00CD6406" w:rsidRPr="00E038AB" w:rsidRDefault="00CD6406" w:rsidP="00161546">
      <w:pPr>
        <w:spacing w:line="360" w:lineRule="auto"/>
        <w:rPr>
          <w:rFonts w:asciiTheme="minorBidi" w:hAnsiTheme="minorBidi"/>
        </w:rPr>
      </w:pPr>
    </w:p>
    <w:p w14:paraId="738047A8" w14:textId="77777777" w:rsidR="00CD6406" w:rsidRPr="00E038AB" w:rsidRDefault="00CD6406" w:rsidP="00161546">
      <w:pPr>
        <w:spacing w:line="360" w:lineRule="auto"/>
        <w:rPr>
          <w:rFonts w:asciiTheme="minorBidi" w:hAnsiTheme="minorBidi"/>
        </w:rPr>
      </w:pPr>
    </w:p>
    <w:p w14:paraId="7FADE893" w14:textId="77777777" w:rsidR="00CD6406" w:rsidRPr="00E038AB" w:rsidRDefault="00CD6406" w:rsidP="00161546">
      <w:pPr>
        <w:spacing w:line="360" w:lineRule="auto"/>
        <w:rPr>
          <w:rFonts w:asciiTheme="minorBidi" w:hAnsiTheme="minorBidi"/>
        </w:rPr>
      </w:pPr>
    </w:p>
    <w:p w14:paraId="65E5DD30" w14:textId="77777777" w:rsidR="00CD6406" w:rsidRPr="00E038AB" w:rsidRDefault="00CD6406" w:rsidP="00161546">
      <w:pPr>
        <w:spacing w:line="360" w:lineRule="auto"/>
        <w:rPr>
          <w:rFonts w:asciiTheme="minorBidi" w:hAnsiTheme="minorBidi"/>
        </w:rPr>
      </w:pPr>
    </w:p>
    <w:p w14:paraId="07E66874" w14:textId="77777777" w:rsidR="00CD6406" w:rsidRPr="00E038AB" w:rsidRDefault="00CD6406" w:rsidP="00161546">
      <w:pPr>
        <w:spacing w:line="360" w:lineRule="auto"/>
        <w:rPr>
          <w:rFonts w:asciiTheme="minorBidi" w:hAnsiTheme="minorBidi"/>
        </w:rPr>
      </w:pPr>
    </w:p>
    <w:p w14:paraId="547515D6" w14:textId="77777777" w:rsidR="00CD6406" w:rsidRDefault="00CD6406" w:rsidP="00161546">
      <w:pPr>
        <w:spacing w:line="360" w:lineRule="auto"/>
        <w:rPr>
          <w:rFonts w:asciiTheme="minorBidi" w:hAnsiTheme="minorBidi"/>
        </w:rPr>
      </w:pPr>
    </w:p>
    <w:p w14:paraId="2015D8FF" w14:textId="77777777" w:rsidR="00EF3E09" w:rsidRPr="00E038AB" w:rsidRDefault="00EF3E09" w:rsidP="00E94F04">
      <w:pPr>
        <w:spacing w:line="240" w:lineRule="auto"/>
        <w:rPr>
          <w:rFonts w:asciiTheme="minorBidi" w:hAnsiTheme="minorBidi"/>
        </w:rPr>
      </w:pPr>
    </w:p>
    <w:sdt>
      <w:sdtPr>
        <w:rPr>
          <w:rFonts w:asciiTheme="minorBidi" w:eastAsiaTheme="minorHAnsi" w:hAnsiTheme="minorBidi" w:cstheme="minorBidi"/>
          <w:color w:val="auto"/>
          <w:sz w:val="24"/>
          <w:szCs w:val="24"/>
          <w:lang w:val="en-GB"/>
          <w14:ligatures w14:val="standardContextual"/>
        </w:rPr>
        <w:id w:val="-1924024871"/>
        <w:docPartObj>
          <w:docPartGallery w:val="Table of Contents"/>
          <w:docPartUnique/>
        </w:docPartObj>
      </w:sdtPr>
      <w:sdtEndPr>
        <w:rPr>
          <w:b/>
          <w:bCs/>
          <w:noProof/>
        </w:rPr>
      </w:sdtEndPr>
      <w:sdtContent>
        <w:p w14:paraId="7D1FB436" w14:textId="756FAA88" w:rsidR="00E53890" w:rsidRPr="00CC5F04" w:rsidRDefault="00DB1F05" w:rsidP="000F6BF5">
          <w:pPr>
            <w:pStyle w:val="TOCHeading"/>
            <w:spacing w:line="360" w:lineRule="auto"/>
            <w:jc w:val="center"/>
            <w:rPr>
              <w:rFonts w:ascii="Arial" w:hAnsi="Arial" w:cs="Arial"/>
              <w:b/>
              <w:bCs/>
              <w:sz w:val="24"/>
              <w:szCs w:val="24"/>
              <w:lang w:val="en-GB"/>
            </w:rPr>
          </w:pPr>
          <w:r w:rsidRPr="00CC5F04">
            <w:rPr>
              <w:rFonts w:ascii="Arial" w:hAnsi="Arial" w:cs="Arial"/>
              <w:b/>
              <w:bCs/>
              <w:sz w:val="24"/>
              <w:szCs w:val="24"/>
              <w:lang w:val="en-GB"/>
            </w:rPr>
            <w:t xml:space="preserve">Table of </w:t>
          </w:r>
          <w:r w:rsidR="00E53890" w:rsidRPr="00CC5F04">
            <w:rPr>
              <w:rFonts w:ascii="Arial" w:hAnsi="Arial" w:cs="Arial"/>
              <w:b/>
              <w:bCs/>
              <w:sz w:val="24"/>
              <w:szCs w:val="24"/>
              <w:lang w:val="en-GB"/>
            </w:rPr>
            <w:t>Contents</w:t>
          </w:r>
        </w:p>
        <w:p w14:paraId="3FF1B35C" w14:textId="1B30A09D" w:rsidR="00E53890" w:rsidRPr="00CC5F04" w:rsidRDefault="00E53890" w:rsidP="000F6BF5">
          <w:pPr>
            <w:pStyle w:val="TOC1"/>
            <w:tabs>
              <w:tab w:val="left" w:pos="480"/>
              <w:tab w:val="right" w:leader="dot" w:pos="9350"/>
            </w:tabs>
            <w:spacing w:line="360" w:lineRule="auto"/>
            <w:rPr>
              <w:rFonts w:ascii="Arial" w:hAnsi="Arial" w:cs="Arial"/>
              <w:b/>
              <w:bCs/>
              <w:noProof/>
            </w:rPr>
          </w:pPr>
          <w:r w:rsidRPr="00CC5F04">
            <w:rPr>
              <w:rFonts w:ascii="Arial" w:hAnsi="Arial" w:cs="Arial"/>
              <w:b/>
              <w:bCs/>
            </w:rPr>
            <w:fldChar w:fldCharType="begin"/>
          </w:r>
          <w:r w:rsidRPr="00CC5F04">
            <w:rPr>
              <w:rFonts w:ascii="Arial" w:hAnsi="Arial" w:cs="Arial"/>
              <w:b/>
              <w:bCs/>
            </w:rPr>
            <w:instrText xml:space="preserve"> TOC \o "1-3" \h \z \u </w:instrText>
          </w:r>
          <w:r w:rsidRPr="00CC5F04">
            <w:rPr>
              <w:rFonts w:ascii="Arial" w:hAnsi="Arial" w:cs="Arial"/>
              <w:b/>
              <w:bCs/>
            </w:rPr>
            <w:fldChar w:fldCharType="separate"/>
          </w:r>
          <w:hyperlink w:anchor="_Toc223389125" w:history="1">
            <w:r w:rsidRPr="00CC5F04">
              <w:rPr>
                <w:rStyle w:val="Hyperlink"/>
                <w:rFonts w:ascii="Arial" w:hAnsi="Arial" w:cs="Arial"/>
                <w:b/>
                <w:bCs/>
                <w:noProof/>
              </w:rPr>
              <w:t>1.</w:t>
            </w:r>
            <w:r w:rsidRPr="00CC5F04">
              <w:rPr>
                <w:rFonts w:ascii="Arial" w:hAnsi="Arial" w:cs="Arial"/>
                <w:b/>
                <w:bCs/>
                <w:noProof/>
              </w:rPr>
              <w:tab/>
            </w:r>
            <w:r w:rsidRPr="00CC5F04">
              <w:rPr>
                <w:rStyle w:val="Hyperlink"/>
                <w:rFonts w:ascii="Arial" w:hAnsi="Arial" w:cs="Arial"/>
                <w:b/>
                <w:bCs/>
                <w:noProof/>
              </w:rPr>
              <w:t>Introduction</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_Toc223389125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3</w:t>
            </w:r>
            <w:r w:rsidRPr="00CC5F04">
              <w:rPr>
                <w:rFonts w:ascii="Arial" w:hAnsi="Arial" w:cs="Arial"/>
                <w:b/>
                <w:bCs/>
                <w:noProof/>
                <w:webHidden/>
              </w:rPr>
              <w:fldChar w:fldCharType="end"/>
            </w:r>
          </w:hyperlink>
        </w:p>
        <w:p w14:paraId="367A9415" w14:textId="28A6AC96" w:rsidR="00E53890" w:rsidRPr="00CC5F04" w:rsidRDefault="00E53890" w:rsidP="000F6BF5">
          <w:pPr>
            <w:pStyle w:val="TOC1"/>
            <w:tabs>
              <w:tab w:val="left" w:pos="480"/>
              <w:tab w:val="right" w:leader="dot" w:pos="9350"/>
            </w:tabs>
            <w:spacing w:line="360" w:lineRule="auto"/>
            <w:rPr>
              <w:rFonts w:ascii="Arial" w:hAnsi="Arial" w:cs="Arial"/>
              <w:b/>
              <w:bCs/>
              <w:noProof/>
            </w:rPr>
          </w:pPr>
          <w:hyperlink w:anchor="_Toc223389126" w:history="1">
            <w:r w:rsidRPr="00CC5F04">
              <w:rPr>
                <w:rStyle w:val="Hyperlink"/>
                <w:rFonts w:ascii="Arial" w:hAnsi="Arial" w:cs="Arial"/>
                <w:b/>
                <w:bCs/>
                <w:noProof/>
              </w:rPr>
              <w:t>2.</w:t>
            </w:r>
            <w:r w:rsidRPr="00CC5F04">
              <w:rPr>
                <w:rFonts w:ascii="Arial" w:hAnsi="Arial" w:cs="Arial"/>
                <w:b/>
                <w:bCs/>
                <w:noProof/>
              </w:rPr>
              <w:tab/>
            </w:r>
            <w:r w:rsidRPr="00CC5F04">
              <w:rPr>
                <w:rStyle w:val="Hyperlink"/>
                <w:rFonts w:ascii="Arial" w:hAnsi="Arial" w:cs="Arial"/>
                <w:b/>
                <w:bCs/>
                <w:noProof/>
              </w:rPr>
              <w:t>Section 1: SDG 3 – Good Health and Wellbeing</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_Toc223389126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4</w:t>
            </w:r>
            <w:r w:rsidRPr="00CC5F04">
              <w:rPr>
                <w:rFonts w:ascii="Arial" w:hAnsi="Arial" w:cs="Arial"/>
                <w:b/>
                <w:bCs/>
                <w:noProof/>
                <w:webHidden/>
              </w:rPr>
              <w:fldChar w:fldCharType="end"/>
            </w:r>
          </w:hyperlink>
        </w:p>
        <w:p w14:paraId="178FC44C" w14:textId="3F25DEAF"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27" w:history="1">
            <w:r w:rsidRPr="00CC5F04">
              <w:rPr>
                <w:rStyle w:val="Hyperlink"/>
                <w:rFonts w:ascii="Arial" w:hAnsi="Arial" w:cs="Arial"/>
                <w:b/>
                <w:bCs/>
                <w:noProof/>
              </w:rPr>
              <w:t>2.1.</w:t>
            </w:r>
            <w:r w:rsidRPr="00CC5F04">
              <w:rPr>
                <w:rFonts w:ascii="Arial" w:hAnsi="Arial" w:cs="Arial"/>
                <w:b/>
                <w:bCs/>
                <w:noProof/>
              </w:rPr>
              <w:tab/>
            </w:r>
            <w:r w:rsidRPr="00CC5F04">
              <w:rPr>
                <w:rStyle w:val="Hyperlink"/>
                <w:rFonts w:ascii="Arial" w:hAnsi="Arial" w:cs="Arial"/>
                <w:b/>
                <w:bCs/>
                <w:noProof/>
              </w:rPr>
              <w:t>Overview of SDG 3</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_Toc223389127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4</w:t>
            </w:r>
            <w:r w:rsidRPr="00CC5F04">
              <w:rPr>
                <w:rFonts w:ascii="Arial" w:hAnsi="Arial" w:cs="Arial"/>
                <w:b/>
                <w:bCs/>
                <w:noProof/>
                <w:webHidden/>
              </w:rPr>
              <w:fldChar w:fldCharType="end"/>
            </w:r>
          </w:hyperlink>
        </w:p>
        <w:p w14:paraId="016A42D9" w14:textId="4CDE29CE"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28" w:history="1">
            <w:r w:rsidRPr="00CC5F04">
              <w:rPr>
                <w:rStyle w:val="Hyperlink"/>
                <w:rFonts w:ascii="Arial" w:hAnsi="Arial" w:cs="Arial"/>
                <w:b/>
                <w:bCs/>
                <w:noProof/>
              </w:rPr>
              <w:t>2.2.</w:t>
            </w:r>
            <w:r w:rsidRPr="00CC5F04">
              <w:rPr>
                <w:rFonts w:ascii="Arial" w:hAnsi="Arial" w:cs="Arial"/>
                <w:b/>
                <w:bCs/>
                <w:noProof/>
              </w:rPr>
              <w:tab/>
            </w:r>
            <w:r w:rsidRPr="00CC5F04">
              <w:rPr>
                <w:rStyle w:val="Hyperlink"/>
                <w:rFonts w:ascii="Arial" w:hAnsi="Arial" w:cs="Arial"/>
                <w:b/>
                <w:bCs/>
                <w:noProof/>
              </w:rPr>
              <w:t>National and Local Policies in the UK</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_Toc223389128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5</w:t>
            </w:r>
            <w:r w:rsidRPr="00CC5F04">
              <w:rPr>
                <w:rFonts w:ascii="Arial" w:hAnsi="Arial" w:cs="Arial"/>
                <w:b/>
                <w:bCs/>
                <w:noProof/>
                <w:webHidden/>
              </w:rPr>
              <w:fldChar w:fldCharType="end"/>
            </w:r>
          </w:hyperlink>
        </w:p>
        <w:p w14:paraId="64932AE3" w14:textId="008165B7"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29" w:history="1">
            <w:r w:rsidRPr="00CC5F04">
              <w:rPr>
                <w:rStyle w:val="Hyperlink"/>
                <w:rFonts w:ascii="Arial" w:hAnsi="Arial" w:cs="Arial"/>
                <w:b/>
                <w:bCs/>
                <w:noProof/>
              </w:rPr>
              <w:t>2.3.</w:t>
            </w:r>
            <w:r w:rsidRPr="00CC5F04">
              <w:rPr>
                <w:rFonts w:ascii="Arial" w:hAnsi="Arial" w:cs="Arial"/>
                <w:b/>
                <w:bCs/>
                <w:noProof/>
              </w:rPr>
              <w:tab/>
            </w:r>
            <w:r w:rsidRPr="00CC5F04">
              <w:rPr>
                <w:rStyle w:val="Hyperlink"/>
                <w:rFonts w:ascii="Arial" w:hAnsi="Arial" w:cs="Arial"/>
                <w:b/>
                <w:bCs/>
                <w:noProof/>
              </w:rPr>
              <w:t>Application of Theory: Health Belief Model</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_Toc223389129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5</w:t>
            </w:r>
            <w:r w:rsidRPr="00CC5F04">
              <w:rPr>
                <w:rFonts w:ascii="Arial" w:hAnsi="Arial" w:cs="Arial"/>
                <w:b/>
                <w:bCs/>
                <w:noProof/>
                <w:webHidden/>
              </w:rPr>
              <w:fldChar w:fldCharType="end"/>
            </w:r>
          </w:hyperlink>
        </w:p>
        <w:p w14:paraId="7CE13F2C" w14:textId="7DECB9D0"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30" w:history="1">
            <w:r w:rsidRPr="00CC5F04">
              <w:rPr>
                <w:rStyle w:val="Hyperlink"/>
                <w:rFonts w:ascii="Arial" w:hAnsi="Arial" w:cs="Arial"/>
                <w:b/>
                <w:bCs/>
                <w:noProof/>
              </w:rPr>
              <w:t>2.4.</w:t>
            </w:r>
            <w:r w:rsidRPr="00CC5F04">
              <w:rPr>
                <w:rFonts w:ascii="Arial" w:hAnsi="Arial" w:cs="Arial"/>
                <w:b/>
                <w:bCs/>
                <w:noProof/>
              </w:rPr>
              <w:tab/>
            </w:r>
            <w:r w:rsidRPr="00CC5F04">
              <w:rPr>
                <w:rStyle w:val="Hyperlink"/>
                <w:rFonts w:ascii="Arial" w:hAnsi="Arial" w:cs="Arial"/>
                <w:b/>
                <w:bCs/>
                <w:noProof/>
              </w:rPr>
              <w:t>Evaluation of Effectiveness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_Toc223389130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6</w:t>
            </w:r>
            <w:r w:rsidRPr="00CC5F04">
              <w:rPr>
                <w:rFonts w:ascii="Arial" w:hAnsi="Arial" w:cs="Arial"/>
                <w:b/>
                <w:bCs/>
                <w:noProof/>
                <w:webHidden/>
              </w:rPr>
              <w:fldChar w:fldCharType="end"/>
            </w:r>
          </w:hyperlink>
        </w:p>
        <w:p w14:paraId="68417830" w14:textId="780AF5AF" w:rsidR="00E53890" w:rsidRPr="00CC5F04" w:rsidRDefault="00E53890" w:rsidP="000F6BF5">
          <w:pPr>
            <w:pStyle w:val="TOC3"/>
            <w:tabs>
              <w:tab w:val="left" w:pos="1440"/>
              <w:tab w:val="right" w:leader="dot" w:pos="9350"/>
            </w:tabs>
            <w:spacing w:line="360" w:lineRule="auto"/>
            <w:rPr>
              <w:rFonts w:ascii="Arial" w:hAnsi="Arial" w:cs="Arial"/>
              <w:b/>
              <w:bCs/>
              <w:noProof/>
            </w:rPr>
          </w:pPr>
          <w:hyperlink w:anchor="_Toc223389131" w:history="1">
            <w:r w:rsidRPr="00CC5F04">
              <w:rPr>
                <w:rStyle w:val="Hyperlink"/>
                <w:rFonts w:ascii="Arial" w:hAnsi="Arial" w:cs="Arial"/>
                <w:b/>
                <w:bCs/>
                <w:noProof/>
              </w:rPr>
              <w:t>2.4.1.</w:t>
            </w:r>
            <w:r w:rsidRPr="00CC5F04">
              <w:rPr>
                <w:rFonts w:ascii="Arial" w:hAnsi="Arial" w:cs="Arial"/>
                <w:b/>
                <w:bCs/>
                <w:noProof/>
              </w:rPr>
              <w:tab/>
            </w:r>
            <w:r w:rsidRPr="00CC5F04">
              <w:rPr>
                <w:rStyle w:val="Hyperlink"/>
                <w:rFonts w:ascii="Arial" w:hAnsi="Arial" w:cs="Arial"/>
                <w:b/>
                <w:bCs/>
                <w:noProof/>
              </w:rPr>
              <w:t>Impact on Health</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_Toc223389131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6</w:t>
            </w:r>
            <w:r w:rsidRPr="00CC5F04">
              <w:rPr>
                <w:rFonts w:ascii="Arial" w:hAnsi="Arial" w:cs="Arial"/>
                <w:b/>
                <w:bCs/>
                <w:noProof/>
                <w:webHidden/>
              </w:rPr>
              <w:fldChar w:fldCharType="end"/>
            </w:r>
          </w:hyperlink>
        </w:p>
        <w:p w14:paraId="32ACB75C" w14:textId="733D741D" w:rsidR="00E53890" w:rsidRPr="00CC5F04" w:rsidRDefault="00E53890" w:rsidP="000F6BF5">
          <w:pPr>
            <w:pStyle w:val="TOC3"/>
            <w:tabs>
              <w:tab w:val="left" w:pos="1440"/>
              <w:tab w:val="right" w:leader="dot" w:pos="9350"/>
            </w:tabs>
            <w:spacing w:line="360" w:lineRule="auto"/>
            <w:rPr>
              <w:rFonts w:ascii="Arial" w:hAnsi="Arial" w:cs="Arial"/>
              <w:b/>
              <w:bCs/>
              <w:noProof/>
            </w:rPr>
          </w:pPr>
          <w:hyperlink w:anchor="_Toc223389132" w:history="1">
            <w:r w:rsidRPr="00CC5F04">
              <w:rPr>
                <w:rStyle w:val="Hyperlink"/>
                <w:rFonts w:ascii="Arial" w:hAnsi="Arial" w:cs="Arial"/>
                <w:b/>
                <w:bCs/>
                <w:noProof/>
              </w:rPr>
              <w:t>2.4.2.</w:t>
            </w:r>
            <w:r w:rsidRPr="00CC5F04">
              <w:rPr>
                <w:rFonts w:ascii="Arial" w:hAnsi="Arial" w:cs="Arial"/>
                <w:b/>
                <w:bCs/>
                <w:noProof/>
              </w:rPr>
              <w:tab/>
            </w:r>
            <w:r w:rsidRPr="00CC5F04">
              <w:rPr>
                <w:rStyle w:val="Hyperlink"/>
                <w:rFonts w:ascii="Arial" w:hAnsi="Arial" w:cs="Arial"/>
                <w:b/>
                <w:bCs/>
                <w:noProof/>
              </w:rPr>
              <w:t>Sustainability</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_Toc223389132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7</w:t>
            </w:r>
            <w:r w:rsidRPr="00CC5F04">
              <w:rPr>
                <w:rFonts w:ascii="Arial" w:hAnsi="Arial" w:cs="Arial"/>
                <w:b/>
                <w:bCs/>
                <w:noProof/>
                <w:webHidden/>
              </w:rPr>
              <w:fldChar w:fldCharType="end"/>
            </w:r>
          </w:hyperlink>
        </w:p>
        <w:p w14:paraId="270309CF" w14:textId="7854553F" w:rsidR="00E53890" w:rsidRPr="00CC5F04" w:rsidRDefault="00E53890" w:rsidP="000F6BF5">
          <w:pPr>
            <w:pStyle w:val="TOC3"/>
            <w:tabs>
              <w:tab w:val="left" w:pos="1440"/>
              <w:tab w:val="right" w:leader="dot" w:pos="9350"/>
            </w:tabs>
            <w:spacing w:line="360" w:lineRule="auto"/>
            <w:rPr>
              <w:rFonts w:ascii="Arial" w:hAnsi="Arial" w:cs="Arial"/>
              <w:b/>
              <w:bCs/>
              <w:noProof/>
            </w:rPr>
          </w:pPr>
          <w:hyperlink w:anchor="_Toc223389133" w:history="1">
            <w:r w:rsidRPr="00CC5F04">
              <w:rPr>
                <w:rStyle w:val="Hyperlink"/>
                <w:rFonts w:ascii="Arial" w:hAnsi="Arial" w:cs="Arial"/>
                <w:b/>
                <w:bCs/>
                <w:noProof/>
              </w:rPr>
              <w:t>2.4.3.</w:t>
            </w:r>
            <w:r w:rsidRPr="00CC5F04">
              <w:rPr>
                <w:rFonts w:ascii="Arial" w:hAnsi="Arial" w:cs="Arial"/>
                <w:b/>
                <w:bCs/>
                <w:noProof/>
              </w:rPr>
              <w:tab/>
            </w:r>
            <w:r w:rsidRPr="00CC5F04">
              <w:rPr>
                <w:rStyle w:val="Hyperlink"/>
                <w:rFonts w:ascii="Arial" w:hAnsi="Arial" w:cs="Arial"/>
                <w:b/>
                <w:bCs/>
                <w:noProof/>
              </w:rPr>
              <w:t>Accessibility</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_Toc223389133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7</w:t>
            </w:r>
            <w:r w:rsidRPr="00CC5F04">
              <w:rPr>
                <w:rFonts w:ascii="Arial" w:hAnsi="Arial" w:cs="Arial"/>
                <w:b/>
                <w:bCs/>
                <w:noProof/>
                <w:webHidden/>
              </w:rPr>
              <w:fldChar w:fldCharType="end"/>
            </w:r>
          </w:hyperlink>
        </w:p>
        <w:p w14:paraId="3A9C0551" w14:textId="0A612810"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34" w:history="1">
            <w:r w:rsidRPr="00CC5F04">
              <w:rPr>
                <w:rStyle w:val="Hyperlink"/>
                <w:rFonts w:ascii="Arial" w:hAnsi="Arial" w:cs="Arial"/>
                <w:b/>
                <w:bCs/>
                <w:noProof/>
              </w:rPr>
              <w:t>2.5.</w:t>
            </w:r>
            <w:r w:rsidRPr="00CC5F04">
              <w:rPr>
                <w:rFonts w:ascii="Arial" w:hAnsi="Arial" w:cs="Arial"/>
                <w:b/>
                <w:bCs/>
                <w:noProof/>
              </w:rPr>
              <w:tab/>
            </w:r>
            <w:r w:rsidRPr="00CC5F04">
              <w:rPr>
                <w:rStyle w:val="Hyperlink"/>
                <w:rFonts w:ascii="Arial" w:hAnsi="Arial" w:cs="Arial"/>
                <w:b/>
                <w:bCs/>
                <w:noProof/>
              </w:rPr>
              <w:t>Challenges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_Toc223389134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7</w:t>
            </w:r>
            <w:r w:rsidRPr="00CC5F04">
              <w:rPr>
                <w:rFonts w:ascii="Arial" w:hAnsi="Arial" w:cs="Arial"/>
                <w:b/>
                <w:bCs/>
                <w:noProof/>
                <w:webHidden/>
              </w:rPr>
              <w:fldChar w:fldCharType="end"/>
            </w:r>
          </w:hyperlink>
        </w:p>
        <w:p w14:paraId="0E84DA55" w14:textId="5FD7568F"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35" w:history="1">
            <w:r w:rsidRPr="00CC5F04">
              <w:rPr>
                <w:rStyle w:val="Hyperlink"/>
                <w:rFonts w:ascii="Arial" w:hAnsi="Arial" w:cs="Arial"/>
                <w:b/>
                <w:bCs/>
                <w:noProof/>
              </w:rPr>
              <w:t>2.6.</w:t>
            </w:r>
            <w:r w:rsidRPr="00CC5F04">
              <w:rPr>
                <w:rFonts w:ascii="Arial" w:hAnsi="Arial" w:cs="Arial"/>
                <w:b/>
                <w:bCs/>
                <w:noProof/>
              </w:rPr>
              <w:tab/>
            </w:r>
            <w:r w:rsidRPr="00CC5F04">
              <w:rPr>
                <w:rStyle w:val="Hyperlink"/>
                <w:rFonts w:ascii="Arial" w:hAnsi="Arial" w:cs="Arial"/>
                <w:b/>
                <w:bCs/>
                <w:noProof/>
              </w:rPr>
              <w:t>Recommendations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_Toc223389135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7</w:t>
            </w:r>
            <w:r w:rsidRPr="00CC5F04">
              <w:rPr>
                <w:rFonts w:ascii="Arial" w:hAnsi="Arial" w:cs="Arial"/>
                <w:b/>
                <w:bCs/>
                <w:noProof/>
                <w:webHidden/>
              </w:rPr>
              <w:fldChar w:fldCharType="end"/>
            </w:r>
          </w:hyperlink>
        </w:p>
        <w:p w14:paraId="19B8A38E" w14:textId="13B13190" w:rsidR="00E53890" w:rsidRPr="00CC5F04" w:rsidRDefault="00E53890" w:rsidP="000F6BF5">
          <w:pPr>
            <w:pStyle w:val="TOC1"/>
            <w:tabs>
              <w:tab w:val="left" w:pos="480"/>
              <w:tab w:val="right" w:leader="dot" w:pos="9350"/>
            </w:tabs>
            <w:spacing w:line="360" w:lineRule="auto"/>
            <w:rPr>
              <w:rFonts w:ascii="Arial" w:hAnsi="Arial" w:cs="Arial"/>
              <w:b/>
              <w:bCs/>
              <w:noProof/>
            </w:rPr>
          </w:pPr>
          <w:hyperlink w:anchor="_Toc223389136" w:history="1">
            <w:r w:rsidRPr="00CC5F04">
              <w:rPr>
                <w:rStyle w:val="Hyperlink"/>
                <w:rFonts w:ascii="Arial" w:hAnsi="Arial" w:cs="Arial"/>
                <w:b/>
                <w:bCs/>
                <w:noProof/>
              </w:rPr>
              <w:t>3.</w:t>
            </w:r>
            <w:r w:rsidRPr="00CC5F04">
              <w:rPr>
                <w:rFonts w:ascii="Arial" w:hAnsi="Arial" w:cs="Arial"/>
                <w:b/>
                <w:bCs/>
                <w:noProof/>
              </w:rPr>
              <w:tab/>
            </w:r>
            <w:r w:rsidRPr="00CC5F04">
              <w:rPr>
                <w:rStyle w:val="Hyperlink"/>
                <w:rFonts w:ascii="Arial" w:hAnsi="Arial" w:cs="Arial"/>
                <w:b/>
                <w:bCs/>
                <w:noProof/>
              </w:rPr>
              <w:t>Section 2: SDG 10 Reduced Inequalities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_Toc223389136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8</w:t>
            </w:r>
            <w:r w:rsidRPr="00CC5F04">
              <w:rPr>
                <w:rFonts w:ascii="Arial" w:hAnsi="Arial" w:cs="Arial"/>
                <w:b/>
                <w:bCs/>
                <w:noProof/>
                <w:webHidden/>
              </w:rPr>
              <w:fldChar w:fldCharType="end"/>
            </w:r>
          </w:hyperlink>
        </w:p>
        <w:p w14:paraId="5B674CA9" w14:textId="7BC60637"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37" w:history="1">
            <w:r w:rsidRPr="00CC5F04">
              <w:rPr>
                <w:rStyle w:val="Hyperlink"/>
                <w:rFonts w:ascii="Arial" w:hAnsi="Arial" w:cs="Arial"/>
                <w:b/>
                <w:bCs/>
                <w:noProof/>
              </w:rPr>
              <w:t>3.1.</w:t>
            </w:r>
            <w:r w:rsidRPr="00CC5F04">
              <w:rPr>
                <w:rFonts w:ascii="Arial" w:hAnsi="Arial" w:cs="Arial"/>
                <w:b/>
                <w:bCs/>
                <w:noProof/>
              </w:rPr>
              <w:tab/>
            </w:r>
            <w:r w:rsidRPr="00CC5F04">
              <w:rPr>
                <w:rStyle w:val="Hyperlink"/>
                <w:rFonts w:ascii="Arial" w:hAnsi="Arial" w:cs="Arial"/>
                <w:b/>
                <w:bCs/>
                <w:noProof/>
              </w:rPr>
              <w:t>Overview of SDG 10</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_Toc223389137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8</w:t>
            </w:r>
            <w:r w:rsidRPr="00CC5F04">
              <w:rPr>
                <w:rFonts w:ascii="Arial" w:hAnsi="Arial" w:cs="Arial"/>
                <w:b/>
                <w:bCs/>
                <w:noProof/>
                <w:webHidden/>
              </w:rPr>
              <w:fldChar w:fldCharType="end"/>
            </w:r>
          </w:hyperlink>
        </w:p>
        <w:p w14:paraId="24F4D393" w14:textId="53B76D8E"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38" w:history="1">
            <w:r w:rsidRPr="00CC5F04">
              <w:rPr>
                <w:rStyle w:val="Hyperlink"/>
                <w:rFonts w:ascii="Arial" w:hAnsi="Arial" w:cs="Arial"/>
                <w:b/>
                <w:bCs/>
                <w:noProof/>
              </w:rPr>
              <w:t>3.2.</w:t>
            </w:r>
            <w:r w:rsidRPr="00CC5F04">
              <w:rPr>
                <w:rFonts w:ascii="Arial" w:hAnsi="Arial" w:cs="Arial"/>
                <w:b/>
                <w:bCs/>
                <w:noProof/>
              </w:rPr>
              <w:tab/>
            </w:r>
            <w:r w:rsidRPr="00CC5F04">
              <w:rPr>
                <w:rStyle w:val="Hyperlink"/>
                <w:rFonts w:ascii="Arial" w:hAnsi="Arial" w:cs="Arial"/>
                <w:b/>
                <w:bCs/>
                <w:noProof/>
              </w:rPr>
              <w:t>Global, National and Local Policies and Initiatives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_Toc223389138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8</w:t>
            </w:r>
            <w:r w:rsidRPr="00CC5F04">
              <w:rPr>
                <w:rFonts w:ascii="Arial" w:hAnsi="Arial" w:cs="Arial"/>
                <w:b/>
                <w:bCs/>
                <w:noProof/>
                <w:webHidden/>
              </w:rPr>
              <w:fldChar w:fldCharType="end"/>
            </w:r>
          </w:hyperlink>
        </w:p>
        <w:p w14:paraId="5F65829F" w14:textId="5D702EA9"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39" w:history="1">
            <w:r w:rsidRPr="00CC5F04">
              <w:rPr>
                <w:rStyle w:val="Hyperlink"/>
                <w:rFonts w:ascii="Arial" w:hAnsi="Arial" w:cs="Arial"/>
                <w:b/>
                <w:bCs/>
                <w:noProof/>
              </w:rPr>
              <w:t>3.3.</w:t>
            </w:r>
            <w:r w:rsidRPr="00CC5F04">
              <w:rPr>
                <w:rFonts w:ascii="Arial" w:hAnsi="Arial" w:cs="Arial"/>
                <w:b/>
                <w:bCs/>
                <w:noProof/>
              </w:rPr>
              <w:tab/>
            </w:r>
            <w:r w:rsidRPr="00CC5F04">
              <w:rPr>
                <w:rStyle w:val="Hyperlink"/>
                <w:rFonts w:ascii="Arial" w:hAnsi="Arial" w:cs="Arial"/>
                <w:b/>
                <w:bCs/>
                <w:noProof/>
              </w:rPr>
              <w:t>Theoretical Model: Social Cognitive Theory</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_Toc223389139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9</w:t>
            </w:r>
            <w:r w:rsidRPr="00CC5F04">
              <w:rPr>
                <w:rFonts w:ascii="Arial" w:hAnsi="Arial" w:cs="Arial"/>
                <w:b/>
                <w:bCs/>
                <w:noProof/>
                <w:webHidden/>
              </w:rPr>
              <w:fldChar w:fldCharType="end"/>
            </w:r>
          </w:hyperlink>
        </w:p>
        <w:p w14:paraId="5450EDE5" w14:textId="41EA3040" w:rsidR="00E53890" w:rsidRPr="00CC5F04" w:rsidRDefault="00E53890" w:rsidP="000F6BF5">
          <w:pPr>
            <w:pStyle w:val="TOC2"/>
            <w:tabs>
              <w:tab w:val="left" w:pos="960"/>
              <w:tab w:val="right" w:leader="dot" w:pos="9350"/>
            </w:tabs>
            <w:spacing w:line="360" w:lineRule="auto"/>
            <w:rPr>
              <w:rFonts w:ascii="Arial" w:hAnsi="Arial" w:cs="Arial"/>
              <w:b/>
              <w:bCs/>
              <w:noProof/>
            </w:rPr>
          </w:pPr>
          <w:hyperlink w:anchor="_Toc223389140" w:history="1">
            <w:r w:rsidRPr="00CC5F04">
              <w:rPr>
                <w:rStyle w:val="Hyperlink"/>
                <w:rFonts w:ascii="Arial" w:hAnsi="Arial" w:cs="Arial"/>
                <w:b/>
                <w:bCs/>
                <w:noProof/>
              </w:rPr>
              <w:t>3.4.</w:t>
            </w:r>
            <w:r w:rsidRPr="00CC5F04">
              <w:rPr>
                <w:rFonts w:ascii="Arial" w:hAnsi="Arial" w:cs="Arial"/>
                <w:b/>
                <w:bCs/>
                <w:noProof/>
              </w:rPr>
              <w:tab/>
            </w:r>
            <w:r w:rsidRPr="00CC5F04">
              <w:rPr>
                <w:rStyle w:val="Hyperlink"/>
                <w:rFonts w:ascii="Arial" w:hAnsi="Arial" w:cs="Arial"/>
                <w:b/>
                <w:bCs/>
                <w:noProof/>
              </w:rPr>
              <w:t>Critical Evaluation of Effectiveness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_Toc223389140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10</w:t>
            </w:r>
            <w:r w:rsidRPr="00CC5F04">
              <w:rPr>
                <w:rFonts w:ascii="Arial" w:hAnsi="Arial" w:cs="Arial"/>
                <w:b/>
                <w:bCs/>
                <w:noProof/>
                <w:webHidden/>
              </w:rPr>
              <w:fldChar w:fldCharType="end"/>
            </w:r>
          </w:hyperlink>
        </w:p>
        <w:p w14:paraId="3FC345C1" w14:textId="1B938E90" w:rsidR="00E53890" w:rsidRPr="00CC5F04" w:rsidRDefault="00E53890" w:rsidP="000F6BF5">
          <w:pPr>
            <w:pStyle w:val="TOC3"/>
            <w:tabs>
              <w:tab w:val="left" w:pos="1440"/>
              <w:tab w:val="right" w:leader="dot" w:pos="9350"/>
            </w:tabs>
            <w:spacing w:line="360" w:lineRule="auto"/>
            <w:rPr>
              <w:rFonts w:ascii="Arial" w:hAnsi="Arial" w:cs="Arial"/>
              <w:b/>
              <w:bCs/>
              <w:noProof/>
            </w:rPr>
          </w:pPr>
          <w:hyperlink w:anchor="_Toc223389141" w:history="1">
            <w:r w:rsidRPr="00CC5F04">
              <w:rPr>
                <w:rStyle w:val="Hyperlink"/>
                <w:rFonts w:ascii="Arial" w:hAnsi="Arial" w:cs="Arial"/>
                <w:b/>
                <w:bCs/>
                <w:noProof/>
              </w:rPr>
              <w:t>3.4.1.</w:t>
            </w:r>
            <w:r w:rsidRPr="00CC5F04">
              <w:rPr>
                <w:rFonts w:ascii="Arial" w:hAnsi="Arial" w:cs="Arial"/>
                <w:b/>
                <w:bCs/>
                <w:noProof/>
              </w:rPr>
              <w:tab/>
            </w:r>
            <w:r w:rsidRPr="00CC5F04">
              <w:rPr>
                <w:rStyle w:val="Hyperlink"/>
                <w:rFonts w:ascii="Arial" w:hAnsi="Arial" w:cs="Arial"/>
                <w:b/>
                <w:bCs/>
                <w:noProof/>
              </w:rPr>
              <w:t>Impact on Health Outcomes: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_Toc223389141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10</w:t>
            </w:r>
            <w:r w:rsidRPr="00CC5F04">
              <w:rPr>
                <w:rFonts w:ascii="Arial" w:hAnsi="Arial" w:cs="Arial"/>
                <w:b/>
                <w:bCs/>
                <w:noProof/>
                <w:webHidden/>
              </w:rPr>
              <w:fldChar w:fldCharType="end"/>
            </w:r>
          </w:hyperlink>
        </w:p>
        <w:p w14:paraId="4157D59B" w14:textId="38960445" w:rsidR="00E53890" w:rsidRPr="00CC5F04" w:rsidRDefault="00E53890" w:rsidP="000F6BF5">
          <w:pPr>
            <w:pStyle w:val="TOC3"/>
            <w:tabs>
              <w:tab w:val="left" w:pos="1440"/>
              <w:tab w:val="right" w:leader="dot" w:pos="9350"/>
            </w:tabs>
            <w:spacing w:line="360" w:lineRule="auto"/>
            <w:rPr>
              <w:rFonts w:ascii="Arial" w:hAnsi="Arial" w:cs="Arial"/>
              <w:b/>
              <w:bCs/>
              <w:noProof/>
            </w:rPr>
          </w:pPr>
          <w:hyperlink w:anchor="_Toc223389142" w:history="1">
            <w:r w:rsidRPr="00CC5F04">
              <w:rPr>
                <w:rStyle w:val="Hyperlink"/>
                <w:rFonts w:ascii="Arial" w:hAnsi="Arial" w:cs="Arial"/>
                <w:b/>
                <w:bCs/>
                <w:noProof/>
              </w:rPr>
              <w:t>3.4.2.</w:t>
            </w:r>
            <w:r w:rsidRPr="00CC5F04">
              <w:rPr>
                <w:rFonts w:ascii="Arial" w:hAnsi="Arial" w:cs="Arial"/>
                <w:b/>
                <w:bCs/>
                <w:noProof/>
              </w:rPr>
              <w:tab/>
            </w:r>
            <w:r w:rsidRPr="00CC5F04">
              <w:rPr>
                <w:rStyle w:val="Hyperlink"/>
                <w:rFonts w:ascii="Arial" w:hAnsi="Arial" w:cs="Arial"/>
                <w:b/>
                <w:bCs/>
                <w:noProof/>
              </w:rPr>
              <w:t>Sustainability:</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_Toc223389142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10</w:t>
            </w:r>
            <w:r w:rsidRPr="00CC5F04">
              <w:rPr>
                <w:rFonts w:ascii="Arial" w:hAnsi="Arial" w:cs="Arial"/>
                <w:b/>
                <w:bCs/>
                <w:noProof/>
                <w:webHidden/>
              </w:rPr>
              <w:fldChar w:fldCharType="end"/>
            </w:r>
          </w:hyperlink>
        </w:p>
        <w:p w14:paraId="61AA62A3" w14:textId="0AF7514C" w:rsidR="00E53890" w:rsidRPr="00CC5F04" w:rsidRDefault="00E53890" w:rsidP="000F6BF5">
          <w:pPr>
            <w:pStyle w:val="TOC3"/>
            <w:tabs>
              <w:tab w:val="left" w:pos="1440"/>
              <w:tab w:val="right" w:leader="dot" w:pos="9350"/>
            </w:tabs>
            <w:spacing w:line="360" w:lineRule="auto"/>
            <w:rPr>
              <w:rFonts w:ascii="Arial" w:hAnsi="Arial" w:cs="Arial"/>
              <w:b/>
              <w:bCs/>
              <w:noProof/>
            </w:rPr>
          </w:pPr>
          <w:hyperlink w:anchor="_Toc223389143" w:history="1">
            <w:r w:rsidRPr="00CC5F04">
              <w:rPr>
                <w:rStyle w:val="Hyperlink"/>
                <w:rFonts w:ascii="Arial" w:hAnsi="Arial" w:cs="Arial"/>
                <w:b/>
                <w:bCs/>
                <w:noProof/>
              </w:rPr>
              <w:t>3.4.3.</w:t>
            </w:r>
            <w:r w:rsidRPr="00CC5F04">
              <w:rPr>
                <w:rFonts w:ascii="Arial" w:hAnsi="Arial" w:cs="Arial"/>
                <w:b/>
                <w:bCs/>
                <w:noProof/>
              </w:rPr>
              <w:tab/>
            </w:r>
            <w:r w:rsidRPr="00CC5F04">
              <w:rPr>
                <w:rStyle w:val="Hyperlink"/>
                <w:rFonts w:ascii="Arial" w:hAnsi="Arial" w:cs="Arial"/>
                <w:b/>
                <w:bCs/>
                <w:noProof/>
              </w:rPr>
              <w:t>Accessibility</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_Toc223389143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10</w:t>
            </w:r>
            <w:r w:rsidRPr="00CC5F04">
              <w:rPr>
                <w:rFonts w:ascii="Arial" w:hAnsi="Arial" w:cs="Arial"/>
                <w:b/>
                <w:bCs/>
                <w:noProof/>
                <w:webHidden/>
              </w:rPr>
              <w:fldChar w:fldCharType="end"/>
            </w:r>
          </w:hyperlink>
        </w:p>
        <w:p w14:paraId="6097046B" w14:textId="49CBD783" w:rsidR="00E53890" w:rsidRPr="00CC5F04" w:rsidRDefault="00E53890" w:rsidP="000F6BF5">
          <w:pPr>
            <w:pStyle w:val="TOC3"/>
            <w:tabs>
              <w:tab w:val="left" w:pos="1440"/>
              <w:tab w:val="right" w:leader="dot" w:pos="9350"/>
            </w:tabs>
            <w:spacing w:line="360" w:lineRule="auto"/>
            <w:rPr>
              <w:rFonts w:ascii="Arial" w:hAnsi="Arial" w:cs="Arial"/>
              <w:b/>
              <w:bCs/>
              <w:noProof/>
            </w:rPr>
          </w:pPr>
          <w:hyperlink w:anchor="_Toc223389144" w:history="1">
            <w:r w:rsidRPr="00CC5F04">
              <w:rPr>
                <w:rStyle w:val="Hyperlink"/>
                <w:rFonts w:ascii="Arial" w:hAnsi="Arial" w:cs="Arial"/>
                <w:b/>
                <w:bCs/>
                <w:noProof/>
              </w:rPr>
              <w:t>3.4.4.</w:t>
            </w:r>
            <w:r w:rsidRPr="00CC5F04">
              <w:rPr>
                <w:rFonts w:ascii="Arial" w:hAnsi="Arial" w:cs="Arial"/>
                <w:b/>
                <w:bCs/>
                <w:noProof/>
              </w:rPr>
              <w:tab/>
            </w:r>
            <w:r w:rsidRPr="00CC5F04">
              <w:rPr>
                <w:rStyle w:val="Hyperlink"/>
                <w:rFonts w:ascii="Arial" w:hAnsi="Arial" w:cs="Arial"/>
                <w:b/>
                <w:bCs/>
                <w:noProof/>
              </w:rPr>
              <w:t>Global Effectiveness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_Toc223389144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10</w:t>
            </w:r>
            <w:r w:rsidRPr="00CC5F04">
              <w:rPr>
                <w:rFonts w:ascii="Arial" w:hAnsi="Arial" w:cs="Arial"/>
                <w:b/>
                <w:bCs/>
                <w:noProof/>
                <w:webHidden/>
              </w:rPr>
              <w:fldChar w:fldCharType="end"/>
            </w:r>
          </w:hyperlink>
        </w:p>
        <w:p w14:paraId="1C916AB8" w14:textId="7D596E70" w:rsidR="00E53890" w:rsidRPr="00CC5F04" w:rsidRDefault="00E53890" w:rsidP="008D7A07">
          <w:pPr>
            <w:pStyle w:val="TOC2"/>
            <w:tabs>
              <w:tab w:val="left" w:pos="960"/>
              <w:tab w:val="right" w:leader="dot" w:pos="9350"/>
            </w:tabs>
            <w:spacing w:line="276" w:lineRule="auto"/>
            <w:rPr>
              <w:rFonts w:ascii="Arial" w:hAnsi="Arial" w:cs="Arial"/>
              <w:b/>
              <w:bCs/>
              <w:noProof/>
            </w:rPr>
          </w:pPr>
          <w:hyperlink w:anchor="_Toc223389145" w:history="1">
            <w:r w:rsidRPr="00CC5F04">
              <w:rPr>
                <w:rStyle w:val="Hyperlink"/>
                <w:rFonts w:ascii="Arial" w:hAnsi="Arial" w:cs="Arial"/>
                <w:b/>
                <w:bCs/>
                <w:noProof/>
              </w:rPr>
              <w:t>3.5.</w:t>
            </w:r>
            <w:r w:rsidRPr="00CC5F04">
              <w:rPr>
                <w:rFonts w:ascii="Arial" w:hAnsi="Arial" w:cs="Arial"/>
                <w:b/>
                <w:bCs/>
                <w:noProof/>
              </w:rPr>
              <w:tab/>
            </w:r>
            <w:r w:rsidRPr="00CC5F04">
              <w:rPr>
                <w:rStyle w:val="Hyperlink"/>
                <w:rFonts w:ascii="Arial" w:hAnsi="Arial" w:cs="Arial"/>
                <w:b/>
                <w:bCs/>
                <w:noProof/>
              </w:rPr>
              <w:t>Recommendations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_Toc223389145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10</w:t>
            </w:r>
            <w:r w:rsidRPr="00CC5F04">
              <w:rPr>
                <w:rFonts w:ascii="Arial" w:hAnsi="Arial" w:cs="Arial"/>
                <w:b/>
                <w:bCs/>
                <w:noProof/>
                <w:webHidden/>
              </w:rPr>
              <w:fldChar w:fldCharType="end"/>
            </w:r>
          </w:hyperlink>
        </w:p>
        <w:p w14:paraId="11B7D343" w14:textId="567C3F5F" w:rsidR="00E53890" w:rsidRPr="00CC5F04" w:rsidRDefault="00E53890" w:rsidP="008D7A07">
          <w:pPr>
            <w:pStyle w:val="TOC1"/>
            <w:tabs>
              <w:tab w:val="left" w:pos="480"/>
              <w:tab w:val="right" w:leader="dot" w:pos="9350"/>
            </w:tabs>
            <w:spacing w:line="276" w:lineRule="auto"/>
            <w:rPr>
              <w:rFonts w:ascii="Arial" w:hAnsi="Arial" w:cs="Arial"/>
              <w:b/>
              <w:bCs/>
              <w:noProof/>
            </w:rPr>
          </w:pPr>
          <w:hyperlink w:anchor="_Toc223389146" w:history="1">
            <w:r w:rsidRPr="00CC5F04">
              <w:rPr>
                <w:rStyle w:val="Hyperlink"/>
                <w:rFonts w:ascii="Arial" w:hAnsi="Arial" w:cs="Arial"/>
                <w:b/>
                <w:bCs/>
                <w:noProof/>
              </w:rPr>
              <w:t>4.</w:t>
            </w:r>
            <w:r w:rsidRPr="00CC5F04">
              <w:rPr>
                <w:rFonts w:ascii="Arial" w:hAnsi="Arial" w:cs="Arial"/>
                <w:b/>
                <w:bCs/>
                <w:noProof/>
              </w:rPr>
              <w:tab/>
            </w:r>
            <w:r w:rsidRPr="00CC5F04">
              <w:rPr>
                <w:rStyle w:val="Hyperlink"/>
                <w:rFonts w:ascii="Arial" w:hAnsi="Arial" w:cs="Arial"/>
                <w:b/>
                <w:bCs/>
                <w:noProof/>
              </w:rPr>
              <w:t>Conclusion</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_Toc223389146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11</w:t>
            </w:r>
            <w:r w:rsidRPr="00CC5F04">
              <w:rPr>
                <w:rFonts w:ascii="Arial" w:hAnsi="Arial" w:cs="Arial"/>
                <w:b/>
                <w:bCs/>
                <w:noProof/>
                <w:webHidden/>
              </w:rPr>
              <w:fldChar w:fldCharType="end"/>
            </w:r>
          </w:hyperlink>
        </w:p>
        <w:p w14:paraId="54307094" w14:textId="5A90FDC7" w:rsidR="00E53890" w:rsidRPr="00CC5F04" w:rsidRDefault="00E53890" w:rsidP="008D7A07">
          <w:pPr>
            <w:pStyle w:val="TOC1"/>
            <w:tabs>
              <w:tab w:val="right" w:leader="dot" w:pos="9350"/>
            </w:tabs>
            <w:spacing w:line="276" w:lineRule="auto"/>
            <w:rPr>
              <w:rFonts w:ascii="Arial" w:hAnsi="Arial" w:cs="Arial"/>
              <w:b/>
              <w:bCs/>
              <w:noProof/>
            </w:rPr>
          </w:pPr>
          <w:hyperlink w:anchor="_Toc223389147" w:history="1">
            <w:r w:rsidRPr="00CC5F04">
              <w:rPr>
                <w:rStyle w:val="Hyperlink"/>
                <w:rFonts w:ascii="Arial" w:hAnsi="Arial" w:cs="Arial"/>
                <w:b/>
                <w:bCs/>
                <w:noProof/>
              </w:rPr>
              <w:t>References</w:t>
            </w:r>
            <w:r w:rsidRPr="00CC5F04">
              <w:rPr>
                <w:rFonts w:ascii="Arial" w:hAnsi="Arial" w:cs="Arial"/>
                <w:b/>
                <w:bCs/>
                <w:noProof/>
                <w:webHidden/>
              </w:rPr>
              <w:tab/>
            </w:r>
            <w:r w:rsidRPr="00CC5F04">
              <w:rPr>
                <w:rFonts w:ascii="Arial" w:hAnsi="Arial" w:cs="Arial"/>
                <w:b/>
                <w:bCs/>
                <w:noProof/>
                <w:webHidden/>
              </w:rPr>
              <w:fldChar w:fldCharType="begin"/>
            </w:r>
            <w:r w:rsidRPr="00CC5F04">
              <w:rPr>
                <w:rFonts w:ascii="Arial" w:hAnsi="Arial" w:cs="Arial"/>
                <w:b/>
                <w:bCs/>
                <w:noProof/>
                <w:webHidden/>
              </w:rPr>
              <w:instrText xml:space="preserve"> PAGEREF _Toc223389147 \h </w:instrText>
            </w:r>
            <w:r w:rsidRPr="00CC5F04">
              <w:rPr>
                <w:rFonts w:ascii="Arial" w:hAnsi="Arial" w:cs="Arial"/>
                <w:b/>
                <w:bCs/>
                <w:noProof/>
                <w:webHidden/>
              </w:rPr>
            </w:r>
            <w:r w:rsidRPr="00CC5F04">
              <w:rPr>
                <w:rFonts w:ascii="Arial" w:hAnsi="Arial" w:cs="Arial"/>
                <w:b/>
                <w:bCs/>
                <w:noProof/>
                <w:webHidden/>
              </w:rPr>
              <w:fldChar w:fldCharType="separate"/>
            </w:r>
            <w:r w:rsidR="00CC5F04" w:rsidRPr="00CC5F04">
              <w:rPr>
                <w:rFonts w:ascii="Arial" w:hAnsi="Arial" w:cs="Arial"/>
                <w:b/>
                <w:bCs/>
                <w:noProof/>
                <w:webHidden/>
              </w:rPr>
              <w:t>12</w:t>
            </w:r>
            <w:r w:rsidRPr="00CC5F04">
              <w:rPr>
                <w:rFonts w:ascii="Arial" w:hAnsi="Arial" w:cs="Arial"/>
                <w:b/>
                <w:bCs/>
                <w:noProof/>
                <w:webHidden/>
              </w:rPr>
              <w:fldChar w:fldCharType="end"/>
            </w:r>
          </w:hyperlink>
        </w:p>
        <w:p w14:paraId="6CE32D9E" w14:textId="4E355D92" w:rsidR="00E94F04" w:rsidRDefault="00E53890" w:rsidP="008D7A07">
          <w:pPr>
            <w:spacing w:line="360" w:lineRule="auto"/>
            <w:rPr>
              <w:rFonts w:asciiTheme="minorBidi" w:hAnsiTheme="minorBidi"/>
              <w:b/>
              <w:bCs/>
              <w:noProof/>
            </w:rPr>
          </w:pPr>
          <w:r w:rsidRPr="00CC5F04">
            <w:rPr>
              <w:rFonts w:ascii="Arial" w:hAnsi="Arial" w:cs="Arial"/>
              <w:b/>
              <w:bCs/>
              <w:noProof/>
            </w:rPr>
            <w:fldChar w:fldCharType="end"/>
          </w:r>
        </w:p>
        <w:p w14:paraId="6710A153" w14:textId="72817E9C" w:rsidR="00E53890" w:rsidRPr="00E038AB" w:rsidRDefault="00CD2D0D" w:rsidP="00E94F04">
          <w:pPr>
            <w:spacing w:line="240" w:lineRule="auto"/>
            <w:rPr>
              <w:rFonts w:asciiTheme="minorBidi" w:hAnsiTheme="minorBidi"/>
            </w:rPr>
          </w:pPr>
        </w:p>
      </w:sdtContent>
    </w:sdt>
    <w:p w14:paraId="3D990F3E" w14:textId="41324D1F" w:rsidR="00CD6406" w:rsidRPr="00505F11" w:rsidRDefault="00CD6406" w:rsidP="005C4D50">
      <w:pPr>
        <w:pStyle w:val="Heading1"/>
        <w:numPr>
          <w:ilvl w:val="0"/>
          <w:numId w:val="1"/>
        </w:numPr>
        <w:spacing w:line="360" w:lineRule="auto"/>
        <w:jc w:val="both"/>
        <w:rPr>
          <w:rFonts w:ascii="Arial" w:hAnsi="Arial" w:cs="Arial"/>
          <w:b/>
          <w:bCs/>
          <w:sz w:val="24"/>
        </w:rPr>
      </w:pPr>
      <w:bookmarkStart w:id="0" w:name="_Toc223389125"/>
      <w:r w:rsidRPr="00505F11">
        <w:rPr>
          <w:rFonts w:ascii="Arial" w:hAnsi="Arial" w:cs="Arial"/>
          <w:b/>
          <w:bCs/>
          <w:sz w:val="24"/>
        </w:rPr>
        <w:lastRenderedPageBreak/>
        <w:t>Introduction</w:t>
      </w:r>
      <w:bookmarkEnd w:id="0"/>
    </w:p>
    <w:p w14:paraId="406882FD" w14:textId="073B150A" w:rsidR="00B66AE5" w:rsidRPr="00505F11" w:rsidRDefault="000B11A4" w:rsidP="00505F11">
      <w:pPr>
        <w:spacing w:line="360" w:lineRule="auto"/>
        <w:jc w:val="both"/>
        <w:rPr>
          <w:rFonts w:ascii="Arial" w:hAnsi="Arial" w:cs="Arial"/>
          <w:sz w:val="22"/>
          <w:szCs w:val="22"/>
        </w:rPr>
      </w:pPr>
      <w:r w:rsidRPr="00505F11">
        <w:rPr>
          <w:rFonts w:ascii="Arial" w:hAnsi="Arial" w:cs="Arial"/>
          <w:sz w:val="22"/>
          <w:szCs w:val="22"/>
        </w:rPr>
        <w:t xml:space="preserve">Health, wellbeing and sustainability form the priorities of the contemporary global and national policy. Since the adoption of the 2030 Agenda of Sustainable Development, the United Nations has made a health a human right and a state of sustainable development (United Nations, 2015). Among others, SDG 3 (Good Health and Wellbeing) is health-focused, and SDG 10 (Reduced Inequalities) addresses the structural </w:t>
      </w:r>
      <w:r w:rsidR="00505F11">
        <w:rPr>
          <w:rFonts w:ascii="Arial" w:hAnsi="Arial" w:cs="Arial"/>
          <w:sz w:val="22"/>
          <w:szCs w:val="22"/>
        </w:rPr>
        <w:t>determinants that</w:t>
      </w:r>
      <w:r w:rsidRPr="00505F11">
        <w:rPr>
          <w:rFonts w:ascii="Arial" w:hAnsi="Arial" w:cs="Arial"/>
          <w:sz w:val="22"/>
          <w:szCs w:val="22"/>
        </w:rPr>
        <w:t xml:space="preserve"> impact the health outcomes. These are linked goals in which health must be improved through social, </w:t>
      </w:r>
      <w:r w:rsidR="009F2AD8" w:rsidRPr="00505F11">
        <w:rPr>
          <w:rFonts w:ascii="Arial" w:hAnsi="Arial" w:cs="Arial"/>
          <w:sz w:val="22"/>
          <w:szCs w:val="22"/>
        </w:rPr>
        <w:t>economic</w:t>
      </w:r>
      <w:r w:rsidRPr="00505F11">
        <w:rPr>
          <w:rFonts w:ascii="Arial" w:hAnsi="Arial" w:cs="Arial"/>
          <w:sz w:val="22"/>
          <w:szCs w:val="22"/>
        </w:rPr>
        <w:t xml:space="preserve"> and environmental inequality</w:t>
      </w:r>
      <w:r w:rsidR="00B2036D" w:rsidRPr="00505F11">
        <w:rPr>
          <w:rFonts w:ascii="Arial" w:hAnsi="Arial" w:cs="Arial"/>
          <w:sz w:val="22"/>
          <w:szCs w:val="22"/>
        </w:rPr>
        <w:t xml:space="preserve"> </w:t>
      </w:r>
      <w:r w:rsidR="003E4155" w:rsidRPr="00505F11">
        <w:rPr>
          <w:rFonts w:ascii="Arial" w:hAnsi="Arial" w:cs="Arial"/>
          <w:sz w:val="22"/>
          <w:szCs w:val="22"/>
        </w:rPr>
        <w:t>(</w:t>
      </w:r>
      <w:r w:rsidR="00625B9E" w:rsidRPr="00505F11">
        <w:rPr>
          <w:rFonts w:ascii="Arial" w:hAnsi="Arial" w:cs="Arial"/>
          <w:sz w:val="22"/>
          <w:szCs w:val="22"/>
        </w:rPr>
        <w:t>United Nations, 202</w:t>
      </w:r>
      <w:r w:rsidR="00396545" w:rsidRPr="00505F11">
        <w:rPr>
          <w:rFonts w:ascii="Arial" w:hAnsi="Arial" w:cs="Arial"/>
          <w:sz w:val="22"/>
          <w:szCs w:val="22"/>
        </w:rPr>
        <w:t>2</w:t>
      </w:r>
      <w:r w:rsidR="003E4155" w:rsidRPr="00505F11">
        <w:rPr>
          <w:rFonts w:ascii="Arial" w:hAnsi="Arial" w:cs="Arial"/>
          <w:sz w:val="22"/>
          <w:szCs w:val="22"/>
        </w:rPr>
        <w:t xml:space="preserve">). </w:t>
      </w:r>
    </w:p>
    <w:p w14:paraId="60DDE6D9" w14:textId="695A1870" w:rsidR="00996406" w:rsidRPr="00505F11" w:rsidRDefault="00F264BA" w:rsidP="00505F11">
      <w:pPr>
        <w:spacing w:line="360" w:lineRule="auto"/>
        <w:jc w:val="center"/>
        <w:rPr>
          <w:rFonts w:ascii="Arial" w:hAnsi="Arial" w:cs="Arial"/>
          <w:sz w:val="22"/>
          <w:szCs w:val="22"/>
        </w:rPr>
      </w:pPr>
      <w:r w:rsidRPr="00505F11">
        <w:rPr>
          <w:rFonts w:ascii="Arial" w:hAnsi="Arial" w:cs="Arial"/>
          <w:noProof/>
          <w:sz w:val="22"/>
          <w:szCs w:val="22"/>
        </w:rPr>
        <w:drawing>
          <wp:inline distT="0" distB="0" distL="0" distR="0" wp14:anchorId="61389B8F" wp14:editId="3AC4BBEA">
            <wp:extent cx="4496739" cy="2786440"/>
            <wp:effectExtent l="0" t="0" r="0" b="0"/>
            <wp:docPr id="630232010" name="Picture 1" descr="17goals17days: Progress made on Global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7goals17days: Progress made on Global Go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8240" cy="2793567"/>
                    </a:xfrm>
                    <a:prstGeom prst="rect">
                      <a:avLst/>
                    </a:prstGeom>
                    <a:noFill/>
                    <a:ln>
                      <a:noFill/>
                    </a:ln>
                  </pic:spPr>
                </pic:pic>
              </a:graphicData>
            </a:graphic>
          </wp:inline>
        </w:drawing>
      </w:r>
    </w:p>
    <w:p w14:paraId="205C7A6C" w14:textId="6B69279C" w:rsidR="00F264BA" w:rsidRPr="00CC5F04" w:rsidRDefault="00996406" w:rsidP="00505F11">
      <w:pPr>
        <w:pStyle w:val="Caption"/>
        <w:spacing w:line="360" w:lineRule="auto"/>
        <w:jc w:val="center"/>
        <w:rPr>
          <w:rFonts w:ascii="Arial" w:hAnsi="Arial" w:cs="Arial"/>
          <w:b/>
          <w:bCs/>
          <w:sz w:val="24"/>
          <w:szCs w:val="24"/>
        </w:rPr>
      </w:pPr>
      <w:r w:rsidRPr="00CC5F04">
        <w:rPr>
          <w:rFonts w:ascii="Arial" w:hAnsi="Arial" w:cs="Arial"/>
          <w:b/>
          <w:bCs/>
          <w:sz w:val="24"/>
          <w:szCs w:val="24"/>
        </w:rPr>
        <w:t xml:space="preserve">Figure </w:t>
      </w:r>
      <w:r w:rsidRPr="00CC5F04">
        <w:rPr>
          <w:rFonts w:ascii="Arial" w:hAnsi="Arial" w:cs="Arial"/>
          <w:b/>
          <w:bCs/>
          <w:sz w:val="24"/>
          <w:szCs w:val="24"/>
        </w:rPr>
        <w:fldChar w:fldCharType="begin"/>
      </w:r>
      <w:r w:rsidRPr="00CC5F04">
        <w:rPr>
          <w:rFonts w:ascii="Arial" w:hAnsi="Arial" w:cs="Arial"/>
          <w:b/>
          <w:bCs/>
          <w:sz w:val="24"/>
          <w:szCs w:val="24"/>
        </w:rPr>
        <w:instrText xml:space="preserve"> SEQ Figure \* ARABIC </w:instrText>
      </w:r>
      <w:r w:rsidRPr="00CC5F04">
        <w:rPr>
          <w:rFonts w:ascii="Arial" w:hAnsi="Arial" w:cs="Arial"/>
          <w:b/>
          <w:bCs/>
          <w:sz w:val="24"/>
          <w:szCs w:val="24"/>
        </w:rPr>
        <w:fldChar w:fldCharType="separate"/>
      </w:r>
      <w:r w:rsidR="00E2760E" w:rsidRPr="00CC5F04">
        <w:rPr>
          <w:rFonts w:ascii="Arial" w:hAnsi="Arial" w:cs="Arial"/>
          <w:b/>
          <w:bCs/>
          <w:noProof/>
          <w:sz w:val="24"/>
          <w:szCs w:val="24"/>
        </w:rPr>
        <w:t>1</w:t>
      </w:r>
      <w:r w:rsidRPr="00CC5F04">
        <w:rPr>
          <w:rFonts w:ascii="Arial" w:hAnsi="Arial" w:cs="Arial"/>
          <w:b/>
          <w:bCs/>
          <w:sz w:val="24"/>
          <w:szCs w:val="24"/>
        </w:rPr>
        <w:fldChar w:fldCharType="end"/>
      </w:r>
      <w:r w:rsidRPr="00CC5F04">
        <w:rPr>
          <w:rFonts w:ascii="Arial" w:hAnsi="Arial" w:cs="Arial"/>
          <w:b/>
          <w:bCs/>
          <w:sz w:val="24"/>
          <w:szCs w:val="24"/>
        </w:rPr>
        <w:t xml:space="preserve"> 17 SDGs (United Nations, 20</w:t>
      </w:r>
      <w:r w:rsidR="00396545" w:rsidRPr="00CC5F04">
        <w:rPr>
          <w:rFonts w:ascii="Arial" w:hAnsi="Arial" w:cs="Arial"/>
          <w:b/>
          <w:bCs/>
          <w:sz w:val="24"/>
          <w:szCs w:val="24"/>
        </w:rPr>
        <w:t>22</w:t>
      </w:r>
      <w:r w:rsidRPr="00CC5F04">
        <w:rPr>
          <w:rFonts w:ascii="Arial" w:hAnsi="Arial" w:cs="Arial"/>
          <w:b/>
          <w:bCs/>
          <w:sz w:val="24"/>
          <w:szCs w:val="24"/>
        </w:rPr>
        <w:t>)</w:t>
      </w:r>
    </w:p>
    <w:p w14:paraId="242FD925" w14:textId="0FB085FC" w:rsidR="00996406" w:rsidRDefault="001F7BB5" w:rsidP="00505F11">
      <w:pPr>
        <w:spacing w:line="360" w:lineRule="auto"/>
        <w:rPr>
          <w:rFonts w:ascii="Arial" w:hAnsi="Arial" w:cs="Arial"/>
          <w:sz w:val="22"/>
          <w:szCs w:val="22"/>
        </w:rPr>
      </w:pPr>
      <w:r w:rsidRPr="00505F11">
        <w:rPr>
          <w:rFonts w:ascii="Arial" w:hAnsi="Arial" w:cs="Arial"/>
          <w:sz w:val="22"/>
          <w:szCs w:val="22"/>
        </w:rPr>
        <w:t>In the UK</w:t>
      </w:r>
      <w:r w:rsidR="00505F11">
        <w:rPr>
          <w:rFonts w:ascii="Arial" w:hAnsi="Arial" w:cs="Arial"/>
          <w:sz w:val="22"/>
          <w:szCs w:val="22"/>
        </w:rPr>
        <w:t>,</w:t>
      </w:r>
      <w:r w:rsidRPr="00505F11">
        <w:rPr>
          <w:rFonts w:ascii="Arial" w:hAnsi="Arial" w:cs="Arial"/>
          <w:sz w:val="22"/>
          <w:szCs w:val="22"/>
        </w:rPr>
        <w:t xml:space="preserve"> there are pressures on the sustainability of health and social care systems, including an ageing population</w:t>
      </w:r>
      <w:r w:rsidR="00505F11">
        <w:rPr>
          <w:rFonts w:ascii="Arial" w:hAnsi="Arial" w:cs="Arial"/>
          <w:sz w:val="22"/>
          <w:szCs w:val="22"/>
        </w:rPr>
        <w:t>, rising rates of non-communicable diseases (NCDs), digital transformation,</w:t>
      </w:r>
      <w:r w:rsidRPr="00505F11">
        <w:rPr>
          <w:rFonts w:ascii="Arial" w:hAnsi="Arial" w:cs="Arial"/>
          <w:sz w:val="22"/>
          <w:szCs w:val="22"/>
        </w:rPr>
        <w:t xml:space="preserve"> and financial constraints. Global governance structures, led by World Health </w:t>
      </w:r>
      <w:r w:rsidR="00505F11">
        <w:rPr>
          <w:rFonts w:ascii="Arial" w:hAnsi="Arial" w:cs="Arial"/>
          <w:sz w:val="22"/>
          <w:szCs w:val="22"/>
        </w:rPr>
        <w:t>Organisation</w:t>
      </w:r>
      <w:r w:rsidRPr="00505F11">
        <w:rPr>
          <w:rFonts w:ascii="Arial" w:hAnsi="Arial" w:cs="Arial"/>
          <w:sz w:val="22"/>
          <w:szCs w:val="22"/>
        </w:rPr>
        <w:t xml:space="preserve">, as well as national structures, such as </w:t>
      </w:r>
      <w:r w:rsidR="00505F11">
        <w:rPr>
          <w:rFonts w:ascii="Arial" w:hAnsi="Arial" w:cs="Arial"/>
          <w:sz w:val="22"/>
          <w:szCs w:val="22"/>
        </w:rPr>
        <w:t xml:space="preserve">the </w:t>
      </w:r>
      <w:r w:rsidRPr="00505F11">
        <w:rPr>
          <w:rFonts w:ascii="Arial" w:hAnsi="Arial" w:cs="Arial"/>
          <w:sz w:val="22"/>
          <w:szCs w:val="22"/>
        </w:rPr>
        <w:t xml:space="preserve">National Health Service, influence responses to these challenges (Gostin, Friedman and Finch, 2023). This report takes a critical look at SDG 3 and SDG 10, analysing </w:t>
      </w:r>
      <w:r w:rsidR="00505F11">
        <w:rPr>
          <w:rFonts w:ascii="Arial" w:hAnsi="Arial" w:cs="Arial"/>
          <w:sz w:val="22"/>
          <w:szCs w:val="22"/>
        </w:rPr>
        <w:t xml:space="preserve">the </w:t>
      </w:r>
      <w:r w:rsidRPr="00505F11">
        <w:rPr>
          <w:rFonts w:ascii="Arial" w:hAnsi="Arial" w:cs="Arial"/>
          <w:sz w:val="22"/>
          <w:szCs w:val="22"/>
        </w:rPr>
        <w:t xml:space="preserve">impact they have on the health and wellbeing of citizens at global, national and local </w:t>
      </w:r>
      <w:r w:rsidR="00505F11">
        <w:rPr>
          <w:rFonts w:ascii="Arial" w:hAnsi="Arial" w:cs="Arial"/>
          <w:sz w:val="22"/>
          <w:szCs w:val="22"/>
        </w:rPr>
        <w:t>levels</w:t>
      </w:r>
      <w:r w:rsidRPr="00505F11">
        <w:rPr>
          <w:rFonts w:ascii="Arial" w:hAnsi="Arial" w:cs="Arial"/>
          <w:sz w:val="22"/>
          <w:szCs w:val="22"/>
        </w:rPr>
        <w:t xml:space="preserve">. It </w:t>
      </w:r>
      <w:r w:rsidR="00191004">
        <w:rPr>
          <w:rFonts w:ascii="Arial" w:hAnsi="Arial" w:cs="Arial"/>
          <w:sz w:val="22"/>
          <w:szCs w:val="22"/>
        </w:rPr>
        <w:t>assesses the effectiveness, sustainability, and accessibility of related initiatives and offers</w:t>
      </w:r>
      <w:r w:rsidRPr="00505F11">
        <w:rPr>
          <w:rFonts w:ascii="Arial" w:hAnsi="Arial" w:cs="Arial"/>
          <w:sz w:val="22"/>
          <w:szCs w:val="22"/>
        </w:rPr>
        <w:t xml:space="preserve"> practical recommendations for improvement</w:t>
      </w:r>
      <w:r w:rsidR="0083430E" w:rsidRPr="00505F11">
        <w:rPr>
          <w:rFonts w:ascii="Arial" w:hAnsi="Arial" w:cs="Arial"/>
          <w:sz w:val="22"/>
          <w:szCs w:val="22"/>
        </w:rPr>
        <w:t>.</w:t>
      </w:r>
    </w:p>
    <w:p w14:paraId="22EBA186" w14:textId="77777777" w:rsidR="00505F11" w:rsidRPr="00505F11" w:rsidRDefault="00505F11" w:rsidP="00505F11">
      <w:pPr>
        <w:spacing w:line="360" w:lineRule="auto"/>
        <w:rPr>
          <w:rFonts w:ascii="Arial" w:hAnsi="Arial" w:cs="Arial"/>
          <w:sz w:val="22"/>
          <w:szCs w:val="22"/>
        </w:rPr>
      </w:pPr>
    </w:p>
    <w:p w14:paraId="032CC71B" w14:textId="22EB6201" w:rsidR="00996406" w:rsidRPr="00505F11" w:rsidRDefault="00996406" w:rsidP="00505F11">
      <w:pPr>
        <w:pStyle w:val="Heading1"/>
        <w:numPr>
          <w:ilvl w:val="0"/>
          <w:numId w:val="1"/>
        </w:numPr>
        <w:spacing w:line="360" w:lineRule="auto"/>
        <w:rPr>
          <w:rFonts w:ascii="Arial" w:hAnsi="Arial" w:cs="Arial"/>
          <w:b/>
          <w:bCs/>
          <w:sz w:val="24"/>
        </w:rPr>
      </w:pPr>
      <w:bookmarkStart w:id="1" w:name="_Toc223389126"/>
      <w:r w:rsidRPr="00505F11">
        <w:rPr>
          <w:rFonts w:ascii="Arial" w:hAnsi="Arial" w:cs="Arial"/>
          <w:b/>
          <w:bCs/>
          <w:sz w:val="24"/>
        </w:rPr>
        <w:t xml:space="preserve">Section 1: SDG </w:t>
      </w:r>
      <w:r w:rsidR="004B709F" w:rsidRPr="00505F11">
        <w:rPr>
          <w:rFonts w:ascii="Arial" w:hAnsi="Arial" w:cs="Arial"/>
          <w:b/>
          <w:bCs/>
          <w:sz w:val="24"/>
        </w:rPr>
        <w:t>3 (</w:t>
      </w:r>
      <w:r w:rsidRPr="00505F11">
        <w:rPr>
          <w:rFonts w:ascii="Arial" w:hAnsi="Arial" w:cs="Arial"/>
          <w:b/>
          <w:bCs/>
          <w:sz w:val="24"/>
        </w:rPr>
        <w:t>Good Health and Wellbeing</w:t>
      </w:r>
      <w:bookmarkEnd w:id="1"/>
      <w:r w:rsidR="00E418A9" w:rsidRPr="00505F11">
        <w:rPr>
          <w:rFonts w:ascii="Arial" w:hAnsi="Arial" w:cs="Arial"/>
          <w:b/>
          <w:bCs/>
          <w:sz w:val="24"/>
        </w:rPr>
        <w:t>)</w:t>
      </w:r>
    </w:p>
    <w:p w14:paraId="7A6749AC" w14:textId="6DDA2460" w:rsidR="000B4068" w:rsidRPr="00505F11" w:rsidRDefault="000B4068" w:rsidP="00505F11">
      <w:pPr>
        <w:pStyle w:val="Heading2"/>
        <w:numPr>
          <w:ilvl w:val="1"/>
          <w:numId w:val="1"/>
        </w:numPr>
        <w:spacing w:line="360" w:lineRule="auto"/>
        <w:rPr>
          <w:rFonts w:ascii="Arial" w:hAnsi="Arial" w:cs="Arial"/>
          <w:b/>
          <w:bCs/>
          <w:sz w:val="24"/>
          <w:szCs w:val="24"/>
        </w:rPr>
      </w:pPr>
      <w:bookmarkStart w:id="2" w:name="_Toc223389127"/>
      <w:r w:rsidRPr="00505F11">
        <w:rPr>
          <w:rFonts w:ascii="Arial" w:hAnsi="Arial" w:cs="Arial"/>
          <w:b/>
          <w:bCs/>
          <w:sz w:val="24"/>
          <w:szCs w:val="24"/>
        </w:rPr>
        <w:lastRenderedPageBreak/>
        <w:t>Overview of SDG 3</w:t>
      </w:r>
      <w:bookmarkEnd w:id="2"/>
    </w:p>
    <w:p w14:paraId="71918396" w14:textId="1154E944" w:rsidR="000B4068" w:rsidRPr="00505F11" w:rsidRDefault="000B4068" w:rsidP="00505F11">
      <w:pPr>
        <w:spacing w:line="360" w:lineRule="auto"/>
        <w:rPr>
          <w:rFonts w:ascii="Arial" w:hAnsi="Arial" w:cs="Arial"/>
          <w:sz w:val="22"/>
          <w:szCs w:val="22"/>
        </w:rPr>
      </w:pPr>
      <w:r w:rsidRPr="00505F11">
        <w:rPr>
          <w:rFonts w:ascii="Arial" w:hAnsi="Arial" w:cs="Arial"/>
          <w:sz w:val="22"/>
          <w:szCs w:val="22"/>
        </w:rPr>
        <w:t xml:space="preserve">SDG 3 aims to “ensure healthy lives and promote wellbeing for all at all </w:t>
      </w:r>
      <w:r w:rsidR="00687EF3" w:rsidRPr="00505F11">
        <w:rPr>
          <w:rFonts w:ascii="Arial" w:hAnsi="Arial" w:cs="Arial"/>
          <w:sz w:val="22"/>
          <w:szCs w:val="22"/>
        </w:rPr>
        <w:t>ages” (</w:t>
      </w:r>
      <w:r w:rsidR="00A16239" w:rsidRPr="00505F11">
        <w:rPr>
          <w:rFonts w:ascii="Arial" w:hAnsi="Arial" w:cs="Arial"/>
          <w:sz w:val="22"/>
          <w:szCs w:val="22"/>
        </w:rPr>
        <w:t>United Nations, 2026</w:t>
      </w:r>
      <w:r w:rsidR="00B031E9" w:rsidRPr="00505F11">
        <w:rPr>
          <w:rFonts w:ascii="Arial" w:hAnsi="Arial" w:cs="Arial"/>
          <w:sz w:val="22"/>
          <w:szCs w:val="22"/>
        </w:rPr>
        <w:t xml:space="preserve">). </w:t>
      </w:r>
      <w:r w:rsidR="00334FF3" w:rsidRPr="00505F11">
        <w:rPr>
          <w:rFonts w:ascii="Arial" w:hAnsi="Arial" w:cs="Arial"/>
          <w:sz w:val="22"/>
          <w:szCs w:val="22"/>
        </w:rPr>
        <w:t xml:space="preserve">Created by the UN in 2015 as one of the 2030 </w:t>
      </w:r>
      <w:r w:rsidR="00191004">
        <w:rPr>
          <w:rFonts w:ascii="Arial" w:hAnsi="Arial" w:cs="Arial"/>
          <w:sz w:val="22"/>
          <w:szCs w:val="22"/>
        </w:rPr>
        <w:t xml:space="preserve">Agenda's SDGs, SDG 3 encompasses </w:t>
      </w:r>
      <w:r w:rsidR="00334FF3" w:rsidRPr="00505F11">
        <w:rPr>
          <w:rFonts w:ascii="Arial" w:hAnsi="Arial" w:cs="Arial"/>
          <w:sz w:val="22"/>
          <w:szCs w:val="22"/>
        </w:rPr>
        <w:t>maternal and child mortality, communicable diseases, non-communicable diseases (NCDs), mental health, substance misuse, road safety, and Universal Health Coverage (UHC). It recogni</w:t>
      </w:r>
      <w:r w:rsidR="007230F4" w:rsidRPr="00505F11">
        <w:rPr>
          <w:rFonts w:ascii="Arial" w:hAnsi="Arial" w:cs="Arial"/>
          <w:sz w:val="22"/>
          <w:szCs w:val="22"/>
        </w:rPr>
        <w:t>s</w:t>
      </w:r>
      <w:r w:rsidR="00334FF3" w:rsidRPr="00505F11">
        <w:rPr>
          <w:rFonts w:ascii="Arial" w:hAnsi="Arial" w:cs="Arial"/>
          <w:sz w:val="22"/>
          <w:szCs w:val="22"/>
        </w:rPr>
        <w:t xml:space="preserve">es health as a fundamental </w:t>
      </w:r>
      <w:r w:rsidR="00191004">
        <w:rPr>
          <w:rFonts w:ascii="Arial" w:hAnsi="Arial" w:cs="Arial"/>
          <w:sz w:val="22"/>
          <w:szCs w:val="22"/>
        </w:rPr>
        <w:t>human right and focuses on prevention, equity,</w:t>
      </w:r>
      <w:r w:rsidR="00334FF3" w:rsidRPr="00505F11">
        <w:rPr>
          <w:rFonts w:ascii="Arial" w:hAnsi="Arial" w:cs="Arial"/>
          <w:sz w:val="22"/>
          <w:szCs w:val="22"/>
        </w:rPr>
        <w:t xml:space="preserve"> and sustainability</w:t>
      </w:r>
      <w:r w:rsidRPr="00505F11">
        <w:rPr>
          <w:rFonts w:ascii="Arial" w:hAnsi="Arial" w:cs="Arial"/>
          <w:sz w:val="22"/>
          <w:szCs w:val="22"/>
        </w:rPr>
        <w:t>.</w:t>
      </w:r>
    </w:p>
    <w:p w14:paraId="020384E8" w14:textId="77777777" w:rsidR="00B14BFD" w:rsidRPr="00505F11" w:rsidRDefault="00B14BFD" w:rsidP="00505F11">
      <w:pPr>
        <w:keepNext/>
        <w:spacing w:line="360" w:lineRule="auto"/>
        <w:jc w:val="center"/>
        <w:rPr>
          <w:rFonts w:ascii="Arial" w:hAnsi="Arial" w:cs="Arial"/>
          <w:b/>
          <w:bCs/>
          <w:sz w:val="22"/>
          <w:szCs w:val="22"/>
        </w:rPr>
      </w:pPr>
      <w:r w:rsidRPr="00505F11">
        <w:rPr>
          <w:rFonts w:ascii="Arial" w:hAnsi="Arial" w:cs="Arial"/>
          <w:b/>
          <w:bCs/>
          <w:noProof/>
          <w:sz w:val="22"/>
          <w:szCs w:val="22"/>
        </w:rPr>
        <w:drawing>
          <wp:inline distT="0" distB="0" distL="0" distR="0" wp14:anchorId="65A7E037" wp14:editId="52A70B22">
            <wp:extent cx="2147570" cy="2147570"/>
            <wp:effectExtent l="0" t="0" r="5080" b="5080"/>
            <wp:docPr id="1382399447" name="Picture 2" descr="Sustainable Development Goals (SDG 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Development Goals (SDG 3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7570" cy="2147570"/>
                    </a:xfrm>
                    <a:prstGeom prst="rect">
                      <a:avLst/>
                    </a:prstGeom>
                    <a:noFill/>
                    <a:ln>
                      <a:noFill/>
                    </a:ln>
                  </pic:spPr>
                </pic:pic>
              </a:graphicData>
            </a:graphic>
          </wp:inline>
        </w:drawing>
      </w:r>
    </w:p>
    <w:p w14:paraId="5DE3EACA" w14:textId="34FB2E8B" w:rsidR="00B14BFD" w:rsidRPr="00CC5F04" w:rsidRDefault="00B14BFD" w:rsidP="00505F11">
      <w:pPr>
        <w:pStyle w:val="Caption"/>
        <w:spacing w:line="360" w:lineRule="auto"/>
        <w:jc w:val="center"/>
        <w:rPr>
          <w:rFonts w:ascii="Arial" w:hAnsi="Arial" w:cs="Arial"/>
          <w:b/>
          <w:bCs/>
          <w:sz w:val="24"/>
          <w:szCs w:val="24"/>
        </w:rPr>
      </w:pPr>
      <w:r w:rsidRPr="00CC5F04">
        <w:rPr>
          <w:rFonts w:ascii="Arial" w:hAnsi="Arial" w:cs="Arial"/>
          <w:b/>
          <w:bCs/>
          <w:sz w:val="24"/>
          <w:szCs w:val="24"/>
        </w:rPr>
        <w:t xml:space="preserve">Figure </w:t>
      </w:r>
      <w:r w:rsidRPr="00CC5F04">
        <w:rPr>
          <w:rFonts w:ascii="Arial" w:hAnsi="Arial" w:cs="Arial"/>
          <w:b/>
          <w:bCs/>
          <w:sz w:val="24"/>
          <w:szCs w:val="24"/>
        </w:rPr>
        <w:fldChar w:fldCharType="begin"/>
      </w:r>
      <w:r w:rsidRPr="00CC5F04">
        <w:rPr>
          <w:rFonts w:ascii="Arial" w:hAnsi="Arial" w:cs="Arial"/>
          <w:b/>
          <w:bCs/>
          <w:sz w:val="24"/>
          <w:szCs w:val="24"/>
        </w:rPr>
        <w:instrText xml:space="preserve"> SEQ Figure \* ARABIC </w:instrText>
      </w:r>
      <w:r w:rsidRPr="00CC5F04">
        <w:rPr>
          <w:rFonts w:ascii="Arial" w:hAnsi="Arial" w:cs="Arial"/>
          <w:b/>
          <w:bCs/>
          <w:sz w:val="24"/>
          <w:szCs w:val="24"/>
        </w:rPr>
        <w:fldChar w:fldCharType="separate"/>
      </w:r>
      <w:r w:rsidR="00E2760E" w:rsidRPr="00CC5F04">
        <w:rPr>
          <w:rFonts w:ascii="Arial" w:hAnsi="Arial" w:cs="Arial"/>
          <w:b/>
          <w:bCs/>
          <w:noProof/>
          <w:sz w:val="24"/>
          <w:szCs w:val="24"/>
        </w:rPr>
        <w:t>2</w:t>
      </w:r>
      <w:r w:rsidRPr="00CC5F04">
        <w:rPr>
          <w:rFonts w:ascii="Arial" w:hAnsi="Arial" w:cs="Arial"/>
          <w:b/>
          <w:bCs/>
          <w:sz w:val="24"/>
          <w:szCs w:val="24"/>
        </w:rPr>
        <w:fldChar w:fldCharType="end"/>
      </w:r>
      <w:r w:rsidRPr="00CC5F04">
        <w:rPr>
          <w:rFonts w:ascii="Arial" w:hAnsi="Arial" w:cs="Arial"/>
          <w:b/>
          <w:bCs/>
          <w:sz w:val="24"/>
          <w:szCs w:val="24"/>
        </w:rPr>
        <w:t xml:space="preserve"> SDG 3 (United Nations 20</w:t>
      </w:r>
      <w:r w:rsidR="00A16239" w:rsidRPr="00CC5F04">
        <w:rPr>
          <w:rFonts w:ascii="Arial" w:hAnsi="Arial" w:cs="Arial"/>
          <w:b/>
          <w:bCs/>
          <w:sz w:val="24"/>
          <w:szCs w:val="24"/>
        </w:rPr>
        <w:t>26</w:t>
      </w:r>
      <w:r w:rsidRPr="00CC5F04">
        <w:rPr>
          <w:rFonts w:ascii="Arial" w:hAnsi="Arial" w:cs="Arial"/>
          <w:b/>
          <w:bCs/>
          <w:sz w:val="24"/>
          <w:szCs w:val="24"/>
        </w:rPr>
        <w:t>)</w:t>
      </w:r>
    </w:p>
    <w:p w14:paraId="60AC20EE" w14:textId="0BD05F10" w:rsidR="00A971F9" w:rsidRPr="00505F11" w:rsidRDefault="00A971F9" w:rsidP="00505F11">
      <w:pPr>
        <w:spacing w:line="360" w:lineRule="auto"/>
        <w:rPr>
          <w:rFonts w:ascii="Arial" w:hAnsi="Arial" w:cs="Arial"/>
          <w:sz w:val="22"/>
          <w:szCs w:val="22"/>
        </w:rPr>
      </w:pPr>
      <w:r w:rsidRPr="00505F11">
        <w:rPr>
          <w:rFonts w:ascii="Arial" w:hAnsi="Arial" w:cs="Arial"/>
          <w:sz w:val="22"/>
          <w:szCs w:val="22"/>
        </w:rPr>
        <w:t xml:space="preserve">Globally, SDG 3 is coordinated through </w:t>
      </w:r>
      <w:r w:rsidR="00191004">
        <w:rPr>
          <w:rFonts w:ascii="Arial" w:hAnsi="Arial" w:cs="Arial"/>
          <w:sz w:val="22"/>
          <w:szCs w:val="22"/>
        </w:rPr>
        <w:t>health governance structures led by the World Health Organisation</w:t>
      </w:r>
      <w:r w:rsidRPr="00505F11">
        <w:rPr>
          <w:rFonts w:ascii="Arial" w:hAnsi="Arial" w:cs="Arial"/>
          <w:sz w:val="22"/>
          <w:szCs w:val="22"/>
        </w:rPr>
        <w:t xml:space="preserve">. </w:t>
      </w:r>
      <w:r w:rsidR="00191004">
        <w:rPr>
          <w:rFonts w:ascii="Arial" w:hAnsi="Arial" w:cs="Arial"/>
          <w:sz w:val="22"/>
          <w:szCs w:val="22"/>
        </w:rPr>
        <w:t>The WHO establishes international health regulations, provides technical advice to countries, supports disease surveillance, and coordinates emergency responses (World Health Organisation</w:t>
      </w:r>
      <w:r w:rsidRPr="00505F11">
        <w:rPr>
          <w:rFonts w:ascii="Arial" w:hAnsi="Arial" w:cs="Arial"/>
          <w:sz w:val="22"/>
          <w:szCs w:val="22"/>
        </w:rPr>
        <w:t xml:space="preserve">, 2023a). Partnerships </w:t>
      </w:r>
      <w:r w:rsidR="007A3DF3" w:rsidRPr="00505F11">
        <w:rPr>
          <w:rFonts w:ascii="Arial" w:hAnsi="Arial" w:cs="Arial"/>
          <w:sz w:val="22"/>
          <w:szCs w:val="22"/>
        </w:rPr>
        <w:t xml:space="preserve">like </w:t>
      </w:r>
      <w:r w:rsidR="00505F11">
        <w:rPr>
          <w:rFonts w:ascii="Arial" w:hAnsi="Arial" w:cs="Arial"/>
          <w:sz w:val="22"/>
          <w:szCs w:val="22"/>
        </w:rPr>
        <w:t>the Global Fund are helping to overcome HIV, tuberculosis, and malaria, showing</w:t>
      </w:r>
      <w:r w:rsidRPr="00505F11">
        <w:rPr>
          <w:rFonts w:ascii="Arial" w:hAnsi="Arial" w:cs="Arial"/>
          <w:sz w:val="22"/>
          <w:szCs w:val="22"/>
        </w:rPr>
        <w:t xml:space="preserve"> that investing in health enhances economic productivity and global security (The Global Fund, 2025). </w:t>
      </w:r>
    </w:p>
    <w:p w14:paraId="2B1C6835" w14:textId="3EA54EFC" w:rsidR="000B4068" w:rsidRPr="00505F11" w:rsidRDefault="00A971F9" w:rsidP="00505F11">
      <w:pPr>
        <w:spacing w:line="360" w:lineRule="auto"/>
        <w:rPr>
          <w:rFonts w:ascii="Arial" w:hAnsi="Arial" w:cs="Arial"/>
          <w:sz w:val="22"/>
          <w:szCs w:val="22"/>
        </w:rPr>
      </w:pPr>
      <w:r w:rsidRPr="00505F11">
        <w:rPr>
          <w:rFonts w:ascii="Arial" w:hAnsi="Arial" w:cs="Arial"/>
          <w:sz w:val="22"/>
          <w:szCs w:val="22"/>
        </w:rPr>
        <w:t xml:space="preserve">One of the global health challenges in the context of SDG 3 is the </w:t>
      </w:r>
      <w:r w:rsidR="00505F11">
        <w:rPr>
          <w:rFonts w:ascii="Arial" w:hAnsi="Arial" w:cs="Arial"/>
          <w:sz w:val="22"/>
          <w:szCs w:val="22"/>
        </w:rPr>
        <w:t>rise in NCDs, which account for more than 70% of deaths worldwide (World Health Organisation</w:t>
      </w:r>
      <w:r w:rsidRPr="00505F11">
        <w:rPr>
          <w:rFonts w:ascii="Arial" w:hAnsi="Arial" w:cs="Arial"/>
          <w:sz w:val="22"/>
          <w:szCs w:val="22"/>
        </w:rPr>
        <w:t>, 2023b). These diseases have a strong association with behavioural and environmental risk factors</w:t>
      </w:r>
      <w:r w:rsidR="00505F11">
        <w:rPr>
          <w:rFonts w:ascii="Arial" w:hAnsi="Arial" w:cs="Arial"/>
          <w:sz w:val="22"/>
          <w:szCs w:val="22"/>
        </w:rPr>
        <w:t>,</w:t>
      </w:r>
      <w:r w:rsidRPr="00505F11">
        <w:rPr>
          <w:rFonts w:ascii="Arial" w:hAnsi="Arial" w:cs="Arial"/>
          <w:sz w:val="22"/>
          <w:szCs w:val="22"/>
        </w:rPr>
        <w:t xml:space="preserve"> including tobacco use, poor diet, alcohol consumption and physical inactivity. Mental health </w:t>
      </w:r>
      <w:r w:rsidR="00505F11">
        <w:rPr>
          <w:rFonts w:ascii="Arial" w:hAnsi="Arial" w:cs="Arial"/>
          <w:sz w:val="22"/>
          <w:szCs w:val="22"/>
        </w:rPr>
        <w:t>crises</w:t>
      </w:r>
      <w:r w:rsidRPr="00505F11">
        <w:rPr>
          <w:rFonts w:ascii="Arial" w:hAnsi="Arial" w:cs="Arial"/>
          <w:sz w:val="22"/>
          <w:szCs w:val="22"/>
        </w:rPr>
        <w:t xml:space="preserve"> and ageing populations put extra strain on health systems around the world</w:t>
      </w:r>
      <w:r w:rsidR="000B4068" w:rsidRPr="00505F11">
        <w:rPr>
          <w:rFonts w:ascii="Arial" w:hAnsi="Arial" w:cs="Arial"/>
          <w:sz w:val="22"/>
          <w:szCs w:val="22"/>
        </w:rPr>
        <w:t>.</w:t>
      </w:r>
    </w:p>
    <w:p w14:paraId="1BDC1AB4" w14:textId="28CFCB1D" w:rsidR="00996406" w:rsidRPr="00CC5F04" w:rsidRDefault="00D032AC" w:rsidP="00505F11">
      <w:pPr>
        <w:pStyle w:val="Heading2"/>
        <w:numPr>
          <w:ilvl w:val="1"/>
          <w:numId w:val="1"/>
        </w:numPr>
        <w:spacing w:line="360" w:lineRule="auto"/>
        <w:rPr>
          <w:rFonts w:ascii="Arial" w:hAnsi="Arial" w:cs="Arial"/>
          <w:b/>
          <w:bCs/>
          <w:sz w:val="24"/>
          <w:szCs w:val="24"/>
        </w:rPr>
      </w:pPr>
      <w:bookmarkStart w:id="3" w:name="_Toc223389128"/>
      <w:r w:rsidRPr="00CC5F04">
        <w:rPr>
          <w:rFonts w:ascii="Arial" w:hAnsi="Arial" w:cs="Arial"/>
          <w:b/>
          <w:bCs/>
          <w:sz w:val="24"/>
          <w:szCs w:val="24"/>
        </w:rPr>
        <w:t>National and Local Policies in the UK</w:t>
      </w:r>
      <w:bookmarkEnd w:id="3"/>
    </w:p>
    <w:p w14:paraId="38732E78" w14:textId="43C395FF" w:rsidR="00D23F41" w:rsidRPr="00505F11" w:rsidRDefault="006957D8" w:rsidP="00505F11">
      <w:pPr>
        <w:spacing w:line="360" w:lineRule="auto"/>
        <w:rPr>
          <w:rFonts w:ascii="Arial" w:hAnsi="Arial" w:cs="Arial"/>
          <w:sz w:val="22"/>
          <w:szCs w:val="22"/>
        </w:rPr>
      </w:pPr>
      <w:r w:rsidRPr="00505F11">
        <w:rPr>
          <w:rFonts w:ascii="Arial" w:hAnsi="Arial" w:cs="Arial"/>
          <w:sz w:val="22"/>
          <w:szCs w:val="22"/>
        </w:rPr>
        <w:t xml:space="preserve">The implementation of SDG 3 in </w:t>
      </w:r>
      <w:r w:rsidR="00505F11">
        <w:rPr>
          <w:rFonts w:ascii="Arial" w:hAnsi="Arial" w:cs="Arial"/>
          <w:sz w:val="22"/>
          <w:szCs w:val="22"/>
        </w:rPr>
        <w:t xml:space="preserve">the </w:t>
      </w:r>
      <w:r w:rsidRPr="00505F11">
        <w:rPr>
          <w:rFonts w:ascii="Arial" w:hAnsi="Arial" w:cs="Arial"/>
          <w:sz w:val="22"/>
          <w:szCs w:val="22"/>
        </w:rPr>
        <w:t xml:space="preserve">UK is through </w:t>
      </w:r>
      <w:r w:rsidR="00505F11">
        <w:rPr>
          <w:rFonts w:ascii="Arial" w:hAnsi="Arial" w:cs="Arial"/>
          <w:sz w:val="22"/>
          <w:szCs w:val="22"/>
        </w:rPr>
        <w:t xml:space="preserve">the </w:t>
      </w:r>
      <w:r w:rsidRPr="00505F11">
        <w:rPr>
          <w:rFonts w:ascii="Arial" w:hAnsi="Arial" w:cs="Arial"/>
          <w:sz w:val="22"/>
          <w:szCs w:val="22"/>
        </w:rPr>
        <w:t xml:space="preserve">National Health </w:t>
      </w:r>
      <w:r w:rsidR="00191004">
        <w:rPr>
          <w:rFonts w:ascii="Arial" w:hAnsi="Arial" w:cs="Arial"/>
          <w:sz w:val="22"/>
          <w:szCs w:val="22"/>
        </w:rPr>
        <w:t>Service</w:t>
      </w:r>
      <w:r w:rsidRPr="00505F11">
        <w:rPr>
          <w:rFonts w:ascii="Arial" w:hAnsi="Arial" w:cs="Arial"/>
          <w:sz w:val="22"/>
          <w:szCs w:val="22"/>
        </w:rPr>
        <w:t xml:space="preserve"> (NHS)</w:t>
      </w:r>
      <w:r w:rsidR="00191004">
        <w:rPr>
          <w:rFonts w:ascii="Arial" w:hAnsi="Arial" w:cs="Arial"/>
          <w:sz w:val="22"/>
          <w:szCs w:val="22"/>
        </w:rPr>
        <w:t>, which</w:t>
      </w:r>
      <w:r w:rsidRPr="00505F11">
        <w:rPr>
          <w:rFonts w:ascii="Arial" w:hAnsi="Arial" w:cs="Arial"/>
          <w:sz w:val="22"/>
          <w:szCs w:val="22"/>
        </w:rPr>
        <w:t xml:space="preserve"> </w:t>
      </w:r>
      <w:r w:rsidR="00CC5F04">
        <w:rPr>
          <w:rFonts w:ascii="Arial" w:hAnsi="Arial" w:cs="Arial"/>
          <w:sz w:val="22"/>
          <w:szCs w:val="22"/>
        </w:rPr>
        <w:t>provides free universal healthcare at the point of care</w:t>
      </w:r>
      <w:r w:rsidRPr="00505F11">
        <w:rPr>
          <w:rFonts w:ascii="Arial" w:hAnsi="Arial" w:cs="Arial"/>
          <w:sz w:val="22"/>
          <w:szCs w:val="22"/>
        </w:rPr>
        <w:t xml:space="preserve">. NHS Long Term Plan (2019) is a plan </w:t>
      </w:r>
      <w:r w:rsidRPr="00505F11">
        <w:rPr>
          <w:rFonts w:ascii="Arial" w:hAnsi="Arial" w:cs="Arial"/>
          <w:sz w:val="22"/>
          <w:szCs w:val="22"/>
        </w:rPr>
        <w:lastRenderedPageBreak/>
        <w:t xml:space="preserve">addressing the priorities of prevention, mental health care, digital transformation, and integrated care systems (ICS). These reforms </w:t>
      </w:r>
      <w:r w:rsidR="00191004">
        <w:rPr>
          <w:rFonts w:ascii="Arial" w:hAnsi="Arial" w:cs="Arial"/>
          <w:sz w:val="22"/>
          <w:szCs w:val="22"/>
        </w:rPr>
        <w:t>help improve access, reduce fragmentation across health and social care, and enhance</w:t>
      </w:r>
      <w:r w:rsidRPr="00505F11">
        <w:rPr>
          <w:rFonts w:ascii="Arial" w:hAnsi="Arial" w:cs="Arial"/>
          <w:sz w:val="22"/>
          <w:szCs w:val="22"/>
        </w:rPr>
        <w:t xml:space="preserve"> long</w:t>
      </w:r>
      <w:r w:rsidR="00CC5F04">
        <w:rPr>
          <w:rFonts w:ascii="Arial" w:hAnsi="Arial" w:cs="Arial"/>
          <w:sz w:val="22"/>
          <w:szCs w:val="22"/>
        </w:rPr>
        <w:t xml:space="preserve"> T</w:t>
      </w:r>
      <w:r w:rsidRPr="00505F11">
        <w:rPr>
          <w:rFonts w:ascii="Arial" w:hAnsi="Arial" w:cs="Arial"/>
          <w:sz w:val="22"/>
          <w:szCs w:val="22"/>
        </w:rPr>
        <w:t>erm sustainability</w:t>
      </w:r>
      <w:r w:rsidR="00D23F41" w:rsidRPr="00505F11">
        <w:rPr>
          <w:rFonts w:ascii="Arial" w:hAnsi="Arial" w:cs="Arial"/>
          <w:sz w:val="22"/>
          <w:szCs w:val="22"/>
        </w:rPr>
        <w:t xml:space="preserve">. </w:t>
      </w:r>
    </w:p>
    <w:p w14:paraId="0333BA34" w14:textId="555AC5A9" w:rsidR="00D23F41" w:rsidRPr="00505F11" w:rsidRDefault="00423AFF" w:rsidP="00505F11">
      <w:pPr>
        <w:spacing w:line="360" w:lineRule="auto"/>
        <w:rPr>
          <w:rFonts w:ascii="Arial" w:hAnsi="Arial" w:cs="Arial"/>
          <w:sz w:val="22"/>
          <w:szCs w:val="22"/>
        </w:rPr>
      </w:pPr>
      <w:r w:rsidRPr="00505F11">
        <w:rPr>
          <w:rFonts w:ascii="Arial" w:hAnsi="Arial" w:cs="Arial"/>
          <w:sz w:val="22"/>
          <w:szCs w:val="22"/>
        </w:rPr>
        <w:t xml:space="preserve">At a national level, </w:t>
      </w:r>
      <w:r w:rsidR="00191004">
        <w:rPr>
          <w:rFonts w:ascii="Arial" w:hAnsi="Arial" w:cs="Arial"/>
          <w:sz w:val="22"/>
          <w:szCs w:val="22"/>
        </w:rPr>
        <w:t>initiatives such as the NHS Health Check Programme target adults aged 40-74 to assess cardiovascular risk factors and promote lifestyle changes</w:t>
      </w:r>
      <w:r w:rsidRPr="00505F11">
        <w:rPr>
          <w:rFonts w:ascii="Arial" w:hAnsi="Arial" w:cs="Arial"/>
          <w:sz w:val="22"/>
          <w:szCs w:val="22"/>
        </w:rPr>
        <w:t xml:space="preserve">. </w:t>
      </w:r>
      <w:r w:rsidR="00146ED3" w:rsidRPr="00505F11">
        <w:rPr>
          <w:rFonts w:ascii="Arial" w:hAnsi="Arial" w:cs="Arial"/>
          <w:sz w:val="22"/>
          <w:szCs w:val="22"/>
        </w:rPr>
        <w:t xml:space="preserve">The NHS Diabetes Prevention Programme aims to reduce the risk of Type 2 diabetes through </w:t>
      </w:r>
      <w:r w:rsidR="001D3A4B" w:rsidRPr="00505F11">
        <w:rPr>
          <w:rFonts w:ascii="Arial" w:hAnsi="Arial" w:cs="Arial"/>
          <w:sz w:val="22"/>
          <w:szCs w:val="22"/>
        </w:rPr>
        <w:t>behavioural</w:t>
      </w:r>
      <w:r w:rsidR="00146ED3" w:rsidRPr="00505F11">
        <w:rPr>
          <w:rFonts w:ascii="Arial" w:hAnsi="Arial" w:cs="Arial"/>
          <w:sz w:val="22"/>
          <w:szCs w:val="22"/>
        </w:rPr>
        <w:t xml:space="preserve"> support and weight management, achieving a reported </w:t>
      </w:r>
      <w:r w:rsidR="00CC5F04">
        <w:rPr>
          <w:rFonts w:ascii="Arial" w:hAnsi="Arial" w:cs="Arial"/>
          <w:sz w:val="22"/>
          <w:szCs w:val="22"/>
        </w:rPr>
        <w:t>58-71% risk reduction</w:t>
      </w:r>
      <w:r w:rsidR="00146ED3" w:rsidRPr="00505F11">
        <w:rPr>
          <w:rFonts w:ascii="Arial" w:hAnsi="Arial" w:cs="Arial"/>
          <w:sz w:val="22"/>
          <w:szCs w:val="22"/>
        </w:rPr>
        <w:t xml:space="preserve">, effectively preventing disease progression </w:t>
      </w:r>
      <w:r w:rsidRPr="00505F11">
        <w:rPr>
          <w:rFonts w:ascii="Arial" w:hAnsi="Arial" w:cs="Arial"/>
          <w:sz w:val="22"/>
          <w:szCs w:val="22"/>
        </w:rPr>
        <w:t xml:space="preserve">(NHS England, 2023). Smoking cessation campaigns </w:t>
      </w:r>
      <w:r w:rsidR="007B6AF0" w:rsidRPr="00505F11">
        <w:rPr>
          <w:rFonts w:ascii="Arial" w:hAnsi="Arial" w:cs="Arial"/>
          <w:sz w:val="22"/>
          <w:szCs w:val="22"/>
        </w:rPr>
        <w:t>like</w:t>
      </w:r>
      <w:r w:rsidRPr="00505F11">
        <w:rPr>
          <w:rFonts w:ascii="Arial" w:hAnsi="Arial" w:cs="Arial"/>
          <w:sz w:val="22"/>
          <w:szCs w:val="22"/>
        </w:rPr>
        <w:t xml:space="preserve"> Stoptober and obesity campaigns</w:t>
      </w:r>
      <w:r w:rsidR="00CC5F04">
        <w:rPr>
          <w:rFonts w:ascii="Arial" w:hAnsi="Arial" w:cs="Arial"/>
          <w:sz w:val="22"/>
          <w:szCs w:val="22"/>
        </w:rPr>
        <w:t>,</w:t>
      </w:r>
      <w:r w:rsidRPr="00505F11">
        <w:rPr>
          <w:rFonts w:ascii="Arial" w:hAnsi="Arial" w:cs="Arial"/>
          <w:sz w:val="22"/>
          <w:szCs w:val="22"/>
        </w:rPr>
        <w:t xml:space="preserve"> </w:t>
      </w:r>
      <w:r w:rsidR="009C12DB" w:rsidRPr="00505F11">
        <w:rPr>
          <w:rFonts w:ascii="Arial" w:hAnsi="Arial" w:cs="Arial"/>
          <w:sz w:val="22"/>
          <w:szCs w:val="22"/>
        </w:rPr>
        <w:t>including</w:t>
      </w:r>
      <w:r w:rsidRPr="00505F11">
        <w:rPr>
          <w:rFonts w:ascii="Arial" w:hAnsi="Arial" w:cs="Arial"/>
          <w:sz w:val="22"/>
          <w:szCs w:val="22"/>
        </w:rPr>
        <w:t xml:space="preserve"> Change4Life</w:t>
      </w:r>
      <w:r w:rsidR="00191004">
        <w:rPr>
          <w:rFonts w:ascii="Arial" w:hAnsi="Arial" w:cs="Arial"/>
          <w:sz w:val="22"/>
          <w:szCs w:val="22"/>
        </w:rPr>
        <w:t>,</w:t>
      </w:r>
      <w:r w:rsidRPr="00505F11">
        <w:rPr>
          <w:rFonts w:ascii="Arial" w:hAnsi="Arial" w:cs="Arial"/>
          <w:sz w:val="22"/>
          <w:szCs w:val="22"/>
        </w:rPr>
        <w:t xml:space="preserve"> directly relate to SDG 3 target 3.4</w:t>
      </w:r>
      <w:r w:rsidR="00191004">
        <w:rPr>
          <w:rFonts w:ascii="Arial" w:hAnsi="Arial" w:cs="Arial"/>
          <w:sz w:val="22"/>
          <w:szCs w:val="22"/>
        </w:rPr>
        <w:t>,</w:t>
      </w:r>
      <w:r w:rsidRPr="00505F11">
        <w:rPr>
          <w:rFonts w:ascii="Arial" w:hAnsi="Arial" w:cs="Arial"/>
          <w:sz w:val="22"/>
          <w:szCs w:val="22"/>
        </w:rPr>
        <w:t xml:space="preserve"> aiming to reduce premature mortality from </w:t>
      </w:r>
      <w:r w:rsidR="000F4CFB" w:rsidRPr="00505F11">
        <w:rPr>
          <w:rFonts w:ascii="Arial" w:hAnsi="Arial" w:cs="Arial"/>
          <w:sz w:val="22"/>
          <w:szCs w:val="22"/>
        </w:rPr>
        <w:t>NCDs (</w:t>
      </w:r>
      <w:r w:rsidR="00385ECF" w:rsidRPr="00505F11">
        <w:rPr>
          <w:rFonts w:ascii="Arial" w:hAnsi="Arial" w:cs="Arial"/>
          <w:sz w:val="22"/>
          <w:szCs w:val="22"/>
        </w:rPr>
        <w:t xml:space="preserve">The University of Edinburgh, 2022; </w:t>
      </w:r>
      <w:r w:rsidR="000136BB" w:rsidRPr="00505F11">
        <w:rPr>
          <w:rFonts w:ascii="Arial" w:hAnsi="Arial" w:cs="Arial"/>
          <w:sz w:val="22"/>
          <w:szCs w:val="22"/>
        </w:rPr>
        <w:t>NSMC, 2022</w:t>
      </w:r>
      <w:r w:rsidR="00D23F41" w:rsidRPr="00505F11">
        <w:rPr>
          <w:rFonts w:ascii="Arial" w:hAnsi="Arial" w:cs="Arial"/>
          <w:sz w:val="22"/>
          <w:szCs w:val="22"/>
        </w:rPr>
        <w:t xml:space="preserve">). </w:t>
      </w:r>
    </w:p>
    <w:p w14:paraId="1CDF63A6" w14:textId="77777777" w:rsidR="00393826" w:rsidRPr="00505F11" w:rsidRDefault="00794DD8" w:rsidP="00505F11">
      <w:pPr>
        <w:keepNext/>
        <w:spacing w:line="360" w:lineRule="auto"/>
        <w:jc w:val="center"/>
        <w:rPr>
          <w:rFonts w:ascii="Arial" w:hAnsi="Arial" w:cs="Arial"/>
          <w:b/>
          <w:bCs/>
          <w:sz w:val="22"/>
          <w:szCs w:val="22"/>
        </w:rPr>
      </w:pPr>
      <w:r w:rsidRPr="00505F11">
        <w:rPr>
          <w:rFonts w:ascii="Arial" w:hAnsi="Arial" w:cs="Arial"/>
          <w:b/>
          <w:bCs/>
          <w:noProof/>
          <w:sz w:val="22"/>
          <w:szCs w:val="22"/>
        </w:rPr>
        <w:drawing>
          <wp:inline distT="0" distB="0" distL="0" distR="0" wp14:anchorId="1C50AB5C" wp14:editId="00DAD713">
            <wp:extent cx="3349756" cy="2369953"/>
            <wp:effectExtent l="0" t="0" r="3175" b="0"/>
            <wp:docPr id="11" name="Picture 10">
              <a:extLst xmlns:a="http://schemas.openxmlformats.org/drawingml/2006/main">
                <a:ext uri="{FF2B5EF4-FFF2-40B4-BE49-F238E27FC236}">
                  <a16:creationId xmlns:a16="http://schemas.microsoft.com/office/drawing/2014/main" id="{02B36751-7E4B-22A5-46EA-94977D0BD7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02B36751-7E4B-22A5-46EA-94977D0BD79F}"/>
                        </a:ext>
                      </a:extLst>
                    </pic:cNvPr>
                    <pic:cNvPicPr>
                      <a:picLocks noChangeAspect="1"/>
                    </pic:cNvPicPr>
                  </pic:nvPicPr>
                  <pic:blipFill>
                    <a:blip r:embed="rId10"/>
                    <a:stretch>
                      <a:fillRect/>
                    </a:stretch>
                  </pic:blipFill>
                  <pic:spPr>
                    <a:xfrm>
                      <a:off x="0" y="0"/>
                      <a:ext cx="3352433" cy="2371847"/>
                    </a:xfrm>
                    <a:prstGeom prst="rect">
                      <a:avLst/>
                    </a:prstGeom>
                  </pic:spPr>
                </pic:pic>
              </a:graphicData>
            </a:graphic>
          </wp:inline>
        </w:drawing>
      </w:r>
    </w:p>
    <w:p w14:paraId="4EA00FF1" w14:textId="63134827" w:rsidR="00794DD8" w:rsidRPr="00CC5F04" w:rsidRDefault="00393826" w:rsidP="00505F11">
      <w:pPr>
        <w:pStyle w:val="Caption"/>
        <w:spacing w:line="360" w:lineRule="auto"/>
        <w:jc w:val="center"/>
        <w:rPr>
          <w:rFonts w:ascii="Arial" w:hAnsi="Arial" w:cs="Arial"/>
          <w:b/>
          <w:bCs/>
          <w:sz w:val="24"/>
          <w:szCs w:val="24"/>
        </w:rPr>
      </w:pPr>
      <w:r w:rsidRPr="00CC5F04">
        <w:rPr>
          <w:rFonts w:ascii="Arial" w:hAnsi="Arial" w:cs="Arial"/>
          <w:b/>
          <w:bCs/>
          <w:sz w:val="24"/>
          <w:szCs w:val="24"/>
        </w:rPr>
        <w:t xml:space="preserve">Figure </w:t>
      </w:r>
      <w:r w:rsidRPr="00CC5F04">
        <w:rPr>
          <w:rFonts w:ascii="Arial" w:hAnsi="Arial" w:cs="Arial"/>
          <w:b/>
          <w:bCs/>
          <w:sz w:val="24"/>
          <w:szCs w:val="24"/>
        </w:rPr>
        <w:fldChar w:fldCharType="begin"/>
      </w:r>
      <w:r w:rsidRPr="00CC5F04">
        <w:rPr>
          <w:rFonts w:ascii="Arial" w:hAnsi="Arial" w:cs="Arial"/>
          <w:b/>
          <w:bCs/>
          <w:sz w:val="24"/>
          <w:szCs w:val="24"/>
        </w:rPr>
        <w:instrText xml:space="preserve"> SEQ Figure \* ARABIC </w:instrText>
      </w:r>
      <w:r w:rsidRPr="00CC5F04">
        <w:rPr>
          <w:rFonts w:ascii="Arial" w:hAnsi="Arial" w:cs="Arial"/>
          <w:b/>
          <w:bCs/>
          <w:sz w:val="24"/>
          <w:szCs w:val="24"/>
        </w:rPr>
        <w:fldChar w:fldCharType="separate"/>
      </w:r>
      <w:r w:rsidR="00E2760E" w:rsidRPr="00CC5F04">
        <w:rPr>
          <w:rFonts w:ascii="Arial" w:hAnsi="Arial" w:cs="Arial"/>
          <w:b/>
          <w:bCs/>
          <w:noProof/>
          <w:sz w:val="24"/>
          <w:szCs w:val="24"/>
        </w:rPr>
        <w:t>3</w:t>
      </w:r>
      <w:r w:rsidRPr="00CC5F04">
        <w:rPr>
          <w:rFonts w:ascii="Arial" w:hAnsi="Arial" w:cs="Arial"/>
          <w:b/>
          <w:bCs/>
          <w:sz w:val="24"/>
          <w:szCs w:val="24"/>
        </w:rPr>
        <w:fldChar w:fldCharType="end"/>
      </w:r>
      <w:r w:rsidRPr="00CC5F04">
        <w:rPr>
          <w:rFonts w:ascii="Arial" w:hAnsi="Arial" w:cs="Arial"/>
          <w:b/>
          <w:bCs/>
          <w:sz w:val="24"/>
          <w:szCs w:val="24"/>
        </w:rPr>
        <w:t xml:space="preserve"> Change 4life Campaign (NSMC, 2022)</w:t>
      </w:r>
    </w:p>
    <w:p w14:paraId="6C6586F9" w14:textId="10D8AF03" w:rsidR="00D032AC" w:rsidRPr="00505F11" w:rsidRDefault="00223530" w:rsidP="00505F11">
      <w:pPr>
        <w:spacing w:line="360" w:lineRule="auto"/>
        <w:rPr>
          <w:rFonts w:ascii="Arial" w:hAnsi="Arial" w:cs="Arial"/>
          <w:sz w:val="22"/>
          <w:szCs w:val="22"/>
        </w:rPr>
      </w:pPr>
      <w:r w:rsidRPr="00505F11">
        <w:rPr>
          <w:rFonts w:ascii="Arial" w:hAnsi="Arial" w:cs="Arial"/>
          <w:sz w:val="22"/>
          <w:szCs w:val="22"/>
        </w:rPr>
        <w:t>Locally</w:t>
      </w:r>
      <w:r w:rsidR="00A84371" w:rsidRPr="00505F11">
        <w:rPr>
          <w:rFonts w:ascii="Arial" w:hAnsi="Arial" w:cs="Arial"/>
          <w:sz w:val="22"/>
          <w:szCs w:val="22"/>
        </w:rPr>
        <w:t>, councils offer community fitness programmes, social prescribing initiatives</w:t>
      </w:r>
      <w:r w:rsidR="00CC5F04">
        <w:rPr>
          <w:rFonts w:ascii="Arial" w:hAnsi="Arial" w:cs="Arial"/>
          <w:sz w:val="22"/>
          <w:szCs w:val="22"/>
        </w:rPr>
        <w:t>, and targeted efforts for</w:t>
      </w:r>
      <w:r w:rsidR="00A84371" w:rsidRPr="00505F11">
        <w:rPr>
          <w:rFonts w:ascii="Arial" w:hAnsi="Arial" w:cs="Arial"/>
          <w:sz w:val="22"/>
          <w:szCs w:val="22"/>
        </w:rPr>
        <w:t xml:space="preserve"> high-risk groups. These programmes </w:t>
      </w:r>
      <w:r w:rsidR="00191004">
        <w:rPr>
          <w:rFonts w:ascii="Arial" w:hAnsi="Arial" w:cs="Arial"/>
          <w:sz w:val="22"/>
          <w:szCs w:val="22"/>
        </w:rPr>
        <w:t>address the preventive component of SDG 3 and aim to reduce local health inequalities</w:t>
      </w:r>
      <w:r w:rsidR="00D23F41" w:rsidRPr="00505F11">
        <w:rPr>
          <w:rFonts w:ascii="Arial" w:hAnsi="Arial" w:cs="Arial"/>
          <w:sz w:val="22"/>
          <w:szCs w:val="22"/>
        </w:rPr>
        <w:t>.</w:t>
      </w:r>
    </w:p>
    <w:p w14:paraId="4942A398" w14:textId="5F2D1CF4" w:rsidR="00203ED4" w:rsidRPr="00CC5F04" w:rsidRDefault="00203ED4" w:rsidP="00505F11">
      <w:pPr>
        <w:pStyle w:val="Heading2"/>
        <w:numPr>
          <w:ilvl w:val="1"/>
          <w:numId w:val="1"/>
        </w:numPr>
        <w:spacing w:line="360" w:lineRule="auto"/>
        <w:rPr>
          <w:rFonts w:ascii="Arial" w:hAnsi="Arial" w:cs="Arial"/>
          <w:b/>
          <w:bCs/>
          <w:sz w:val="24"/>
          <w:szCs w:val="24"/>
        </w:rPr>
      </w:pPr>
      <w:bookmarkStart w:id="4" w:name="_Toc223389129"/>
      <w:r w:rsidRPr="00CC5F04">
        <w:rPr>
          <w:rFonts w:ascii="Arial" w:hAnsi="Arial" w:cs="Arial"/>
          <w:b/>
          <w:bCs/>
          <w:sz w:val="24"/>
          <w:szCs w:val="24"/>
        </w:rPr>
        <w:t>Application of Theory: Health Belief Model</w:t>
      </w:r>
      <w:bookmarkEnd w:id="4"/>
    </w:p>
    <w:p w14:paraId="227B39BC" w14:textId="0CE1F962" w:rsidR="00DD1F33" w:rsidRPr="00505F11" w:rsidRDefault="00DD1F33" w:rsidP="00505F11">
      <w:pPr>
        <w:spacing w:line="360" w:lineRule="auto"/>
        <w:rPr>
          <w:rFonts w:ascii="Arial" w:hAnsi="Arial" w:cs="Arial"/>
          <w:sz w:val="22"/>
          <w:szCs w:val="22"/>
        </w:rPr>
      </w:pPr>
      <w:r w:rsidRPr="00505F11">
        <w:rPr>
          <w:rFonts w:ascii="Arial" w:hAnsi="Arial" w:cs="Arial"/>
          <w:sz w:val="22"/>
          <w:szCs w:val="22"/>
        </w:rPr>
        <w:t xml:space="preserve">The Health Belief Model (HBM) provides a useful framework for analysing SDG 3 initiatives. The model identifies that individuals </w:t>
      </w:r>
      <w:r w:rsidR="00CC5F04">
        <w:rPr>
          <w:rFonts w:ascii="Arial" w:hAnsi="Arial" w:cs="Arial"/>
          <w:sz w:val="22"/>
          <w:szCs w:val="22"/>
        </w:rPr>
        <w:t>are more likely to adopt healthy behaviours if they perceive themselves to be at risk (susceptibility), believe the consequences are serious (severity), recognise the benefits of action, perceive few</w:t>
      </w:r>
      <w:r w:rsidR="00104703" w:rsidRPr="00505F11">
        <w:rPr>
          <w:rFonts w:ascii="Arial" w:hAnsi="Arial" w:cs="Arial"/>
          <w:sz w:val="22"/>
          <w:szCs w:val="22"/>
        </w:rPr>
        <w:t xml:space="preserve"> barriers, and feel confident (self-</w:t>
      </w:r>
      <w:r w:rsidR="0068005B" w:rsidRPr="00505F11">
        <w:rPr>
          <w:rFonts w:ascii="Arial" w:hAnsi="Arial" w:cs="Arial"/>
          <w:sz w:val="22"/>
          <w:szCs w:val="22"/>
        </w:rPr>
        <w:t>efficacy) (</w:t>
      </w:r>
      <w:r w:rsidRPr="00505F11">
        <w:rPr>
          <w:rFonts w:ascii="Arial" w:hAnsi="Arial" w:cs="Arial"/>
          <w:sz w:val="22"/>
          <w:szCs w:val="22"/>
        </w:rPr>
        <w:t>Glanz, Rimer and Viswanath, 2008).</w:t>
      </w:r>
    </w:p>
    <w:p w14:paraId="588E4828" w14:textId="77777777" w:rsidR="00A11E0C" w:rsidRPr="00505F11" w:rsidRDefault="00EE40D9" w:rsidP="00505F11">
      <w:pPr>
        <w:keepNext/>
        <w:spacing w:line="360" w:lineRule="auto"/>
        <w:rPr>
          <w:rFonts w:ascii="Arial" w:hAnsi="Arial" w:cs="Arial"/>
          <w:sz w:val="22"/>
          <w:szCs w:val="22"/>
        </w:rPr>
      </w:pPr>
      <w:r w:rsidRPr="00505F11">
        <w:rPr>
          <w:rFonts w:ascii="Arial" w:hAnsi="Arial" w:cs="Arial"/>
          <w:noProof/>
          <w:sz w:val="22"/>
          <w:szCs w:val="22"/>
        </w:rPr>
        <w:lastRenderedPageBreak/>
        <w:drawing>
          <wp:inline distT="0" distB="0" distL="0" distR="0" wp14:anchorId="576B9275" wp14:editId="0B118A96">
            <wp:extent cx="5571460" cy="2160726"/>
            <wp:effectExtent l="0" t="0" r="0" b="0"/>
            <wp:docPr id="4" name="Picture 3" descr="Health Belief Model - an overview | ScienceDirect Topics">
              <a:extLst xmlns:a="http://schemas.openxmlformats.org/drawingml/2006/main">
                <a:ext uri="{FF2B5EF4-FFF2-40B4-BE49-F238E27FC236}">
                  <a16:creationId xmlns:a16="http://schemas.microsoft.com/office/drawing/2014/main" id="{AE3B36E9-DEFB-C840-7E94-99892D2A9F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Health Belief Model - an overview | ScienceDirect Topics">
                      <a:extLst>
                        <a:ext uri="{FF2B5EF4-FFF2-40B4-BE49-F238E27FC236}">
                          <a16:creationId xmlns:a16="http://schemas.microsoft.com/office/drawing/2014/main" id="{AE3B36E9-DEFB-C840-7E94-99892D2A9FD5}"/>
                        </a:ext>
                      </a:extLst>
                    </pic:cNvPr>
                    <pic:cNvPicPr>
                      <a:picLocks noChangeAspect="1"/>
                    </pic:cNvPicPr>
                  </pic:nvPicPr>
                  <pic:blipFill>
                    <a:blip r:embed="rId11"/>
                    <a:stretch>
                      <a:fillRect/>
                    </a:stretch>
                  </pic:blipFill>
                  <pic:spPr>
                    <a:xfrm>
                      <a:off x="0" y="0"/>
                      <a:ext cx="5574436" cy="2161880"/>
                    </a:xfrm>
                    <a:prstGeom prst="rect">
                      <a:avLst/>
                    </a:prstGeom>
                  </pic:spPr>
                </pic:pic>
              </a:graphicData>
            </a:graphic>
          </wp:inline>
        </w:drawing>
      </w:r>
    </w:p>
    <w:p w14:paraId="58F76AF9" w14:textId="3A3FE4EE" w:rsidR="00EE40D9" w:rsidRPr="00CC5F04" w:rsidRDefault="00A11E0C" w:rsidP="00505F11">
      <w:pPr>
        <w:pStyle w:val="Caption"/>
        <w:spacing w:line="360" w:lineRule="auto"/>
        <w:jc w:val="center"/>
        <w:rPr>
          <w:rFonts w:ascii="Arial" w:hAnsi="Arial" w:cs="Arial"/>
          <w:b/>
          <w:bCs/>
          <w:sz w:val="24"/>
          <w:szCs w:val="24"/>
        </w:rPr>
      </w:pPr>
      <w:r w:rsidRPr="00CC5F04">
        <w:rPr>
          <w:rFonts w:ascii="Arial" w:hAnsi="Arial" w:cs="Arial"/>
          <w:b/>
          <w:bCs/>
          <w:sz w:val="24"/>
          <w:szCs w:val="24"/>
        </w:rPr>
        <w:t xml:space="preserve">Figure </w:t>
      </w:r>
      <w:r w:rsidRPr="00CC5F04">
        <w:rPr>
          <w:rFonts w:ascii="Arial" w:hAnsi="Arial" w:cs="Arial"/>
          <w:b/>
          <w:bCs/>
          <w:sz w:val="24"/>
          <w:szCs w:val="24"/>
        </w:rPr>
        <w:fldChar w:fldCharType="begin"/>
      </w:r>
      <w:r w:rsidRPr="00CC5F04">
        <w:rPr>
          <w:rFonts w:ascii="Arial" w:hAnsi="Arial" w:cs="Arial"/>
          <w:b/>
          <w:bCs/>
          <w:sz w:val="24"/>
          <w:szCs w:val="24"/>
        </w:rPr>
        <w:instrText xml:space="preserve"> SEQ Figure \* ARABIC </w:instrText>
      </w:r>
      <w:r w:rsidRPr="00CC5F04">
        <w:rPr>
          <w:rFonts w:ascii="Arial" w:hAnsi="Arial" w:cs="Arial"/>
          <w:b/>
          <w:bCs/>
          <w:sz w:val="24"/>
          <w:szCs w:val="24"/>
        </w:rPr>
        <w:fldChar w:fldCharType="separate"/>
      </w:r>
      <w:r w:rsidR="00E2760E" w:rsidRPr="00CC5F04">
        <w:rPr>
          <w:rFonts w:ascii="Arial" w:hAnsi="Arial" w:cs="Arial"/>
          <w:b/>
          <w:bCs/>
          <w:noProof/>
          <w:sz w:val="24"/>
          <w:szCs w:val="24"/>
        </w:rPr>
        <w:t>5</w:t>
      </w:r>
      <w:r w:rsidRPr="00CC5F04">
        <w:rPr>
          <w:rFonts w:ascii="Arial" w:hAnsi="Arial" w:cs="Arial"/>
          <w:b/>
          <w:bCs/>
          <w:sz w:val="24"/>
          <w:szCs w:val="24"/>
        </w:rPr>
        <w:fldChar w:fldCharType="end"/>
      </w:r>
      <w:r w:rsidRPr="00CC5F04">
        <w:rPr>
          <w:rFonts w:ascii="Arial" w:hAnsi="Arial" w:cs="Arial"/>
          <w:b/>
          <w:bCs/>
          <w:sz w:val="24"/>
          <w:szCs w:val="24"/>
        </w:rPr>
        <w:t xml:space="preserve"> HBM Model (Glanz, Rimer and Viswanath, 2008)</w:t>
      </w:r>
    </w:p>
    <w:p w14:paraId="41E5123A" w14:textId="657A96AF" w:rsidR="00213A93" w:rsidRPr="00505F11" w:rsidRDefault="00F10AD6" w:rsidP="00505F11">
      <w:pPr>
        <w:spacing w:line="360" w:lineRule="auto"/>
        <w:rPr>
          <w:rFonts w:ascii="Arial" w:hAnsi="Arial" w:cs="Arial"/>
          <w:sz w:val="22"/>
          <w:szCs w:val="22"/>
        </w:rPr>
      </w:pPr>
      <w:r w:rsidRPr="00505F11">
        <w:rPr>
          <w:rFonts w:ascii="Arial" w:hAnsi="Arial" w:cs="Arial"/>
          <w:sz w:val="22"/>
          <w:szCs w:val="22"/>
        </w:rPr>
        <w:t xml:space="preserve">For example, </w:t>
      </w:r>
      <w:r w:rsidR="00191004">
        <w:rPr>
          <w:rFonts w:ascii="Arial" w:hAnsi="Arial" w:cs="Arial"/>
          <w:sz w:val="22"/>
          <w:szCs w:val="22"/>
        </w:rPr>
        <w:t xml:space="preserve">the </w:t>
      </w:r>
      <w:r w:rsidRPr="00505F11">
        <w:rPr>
          <w:rFonts w:ascii="Arial" w:hAnsi="Arial" w:cs="Arial"/>
          <w:sz w:val="22"/>
          <w:szCs w:val="22"/>
        </w:rPr>
        <w:t>NHS Health Check Programme increases perceived susceptibility by calculating an individual’s cardiovascular risk score</w:t>
      </w:r>
      <w:r w:rsidR="00213A93" w:rsidRPr="00505F11">
        <w:rPr>
          <w:rFonts w:ascii="Arial" w:hAnsi="Arial" w:cs="Arial"/>
          <w:sz w:val="22"/>
          <w:szCs w:val="22"/>
        </w:rPr>
        <w:t xml:space="preserve">. It conveys </w:t>
      </w:r>
      <w:r w:rsidRPr="00505F11">
        <w:rPr>
          <w:rFonts w:ascii="Arial" w:hAnsi="Arial" w:cs="Arial"/>
          <w:sz w:val="22"/>
          <w:szCs w:val="22"/>
        </w:rPr>
        <w:t xml:space="preserve">severity </w:t>
      </w:r>
      <w:r w:rsidR="00191004">
        <w:rPr>
          <w:rFonts w:ascii="Arial" w:hAnsi="Arial" w:cs="Arial"/>
          <w:sz w:val="22"/>
          <w:szCs w:val="22"/>
        </w:rPr>
        <w:t>by explaining risks such as</w:t>
      </w:r>
      <w:r w:rsidR="00213A93" w:rsidRPr="00505F11">
        <w:rPr>
          <w:rFonts w:ascii="Arial" w:hAnsi="Arial" w:cs="Arial"/>
          <w:sz w:val="22"/>
          <w:szCs w:val="22"/>
        </w:rPr>
        <w:t xml:space="preserve"> heart disease or stroke. The advantages of lifestyle change are highlighted, and the perceived barriers are diminished by referring to support services. </w:t>
      </w:r>
      <w:r w:rsidR="00337866" w:rsidRPr="00505F11">
        <w:rPr>
          <w:rFonts w:ascii="Arial" w:hAnsi="Arial" w:cs="Arial"/>
          <w:sz w:val="22"/>
          <w:szCs w:val="22"/>
        </w:rPr>
        <w:t>Similarly</w:t>
      </w:r>
      <w:r w:rsidR="00213A93" w:rsidRPr="00505F11">
        <w:rPr>
          <w:rFonts w:ascii="Arial" w:hAnsi="Arial" w:cs="Arial"/>
          <w:sz w:val="22"/>
          <w:szCs w:val="22"/>
        </w:rPr>
        <w:t>, Change4Life helps to build self-efficacy by encouraging small steps to be taken instead of an overwhelming change in lifestyle (NSMC, 2020).</w:t>
      </w:r>
    </w:p>
    <w:p w14:paraId="79C2DFF6" w14:textId="3CC94A6F" w:rsidR="00213A93" w:rsidRPr="00505F11" w:rsidRDefault="00F07D9E" w:rsidP="00505F11">
      <w:pPr>
        <w:spacing w:line="360" w:lineRule="auto"/>
        <w:rPr>
          <w:rFonts w:ascii="Arial" w:hAnsi="Arial" w:cs="Arial"/>
          <w:sz w:val="22"/>
          <w:szCs w:val="22"/>
        </w:rPr>
      </w:pPr>
      <w:r w:rsidRPr="00505F11">
        <w:rPr>
          <w:rFonts w:ascii="Arial" w:hAnsi="Arial" w:cs="Arial"/>
          <w:sz w:val="22"/>
          <w:szCs w:val="22"/>
        </w:rPr>
        <w:t xml:space="preserve">While HBM accounts for changes in individual behaviour, it has shortcomings, such as presupposing rational choice and inadequately addressing structural factors like poverty, housing insecurity, and food </w:t>
      </w:r>
      <w:r w:rsidR="00213A93" w:rsidRPr="00505F11">
        <w:rPr>
          <w:rFonts w:ascii="Arial" w:hAnsi="Arial" w:cs="Arial"/>
          <w:sz w:val="22"/>
          <w:szCs w:val="22"/>
        </w:rPr>
        <w:t xml:space="preserve">(Green et al., 2020). </w:t>
      </w:r>
      <w:r w:rsidR="00191004">
        <w:rPr>
          <w:rFonts w:ascii="Arial" w:hAnsi="Arial" w:cs="Arial"/>
          <w:sz w:val="22"/>
          <w:szCs w:val="22"/>
        </w:rPr>
        <w:t xml:space="preserve">People in poor neighbourhoods might be aware of the risk but still be unable to do anything about the </w:t>
      </w:r>
      <w:r w:rsidR="00213A93" w:rsidRPr="00505F11">
        <w:rPr>
          <w:rFonts w:ascii="Arial" w:hAnsi="Arial" w:cs="Arial"/>
          <w:sz w:val="22"/>
          <w:szCs w:val="22"/>
        </w:rPr>
        <w:t xml:space="preserve">behaviour. Hence, focusing </w:t>
      </w:r>
      <w:r w:rsidR="00CC5F04">
        <w:rPr>
          <w:rFonts w:ascii="Arial" w:hAnsi="Arial" w:cs="Arial"/>
          <w:sz w:val="22"/>
          <w:szCs w:val="22"/>
        </w:rPr>
        <w:t>solely on purely behavioural models without considering social determinants can undermine</w:t>
      </w:r>
      <w:r w:rsidR="00213A93" w:rsidRPr="00505F11">
        <w:rPr>
          <w:rFonts w:ascii="Arial" w:hAnsi="Arial" w:cs="Arial"/>
          <w:sz w:val="22"/>
          <w:szCs w:val="22"/>
        </w:rPr>
        <w:t xml:space="preserve"> </w:t>
      </w:r>
      <w:r w:rsidR="00191004">
        <w:rPr>
          <w:rFonts w:ascii="Arial" w:hAnsi="Arial" w:cs="Arial"/>
          <w:sz w:val="22"/>
          <w:szCs w:val="22"/>
        </w:rPr>
        <w:t xml:space="preserve">the </w:t>
      </w:r>
      <w:r w:rsidR="00213A93" w:rsidRPr="00505F11">
        <w:rPr>
          <w:rFonts w:ascii="Arial" w:hAnsi="Arial" w:cs="Arial"/>
          <w:sz w:val="22"/>
          <w:szCs w:val="22"/>
        </w:rPr>
        <w:t>effectiveness of SDG 3.</w:t>
      </w:r>
    </w:p>
    <w:p w14:paraId="743EBB6F" w14:textId="028B6CC9" w:rsidR="00B3260D" w:rsidRPr="00CC5F04" w:rsidRDefault="00934937" w:rsidP="00505F11">
      <w:pPr>
        <w:pStyle w:val="Heading2"/>
        <w:numPr>
          <w:ilvl w:val="1"/>
          <w:numId w:val="1"/>
        </w:numPr>
        <w:spacing w:line="360" w:lineRule="auto"/>
        <w:rPr>
          <w:rFonts w:ascii="Arial" w:hAnsi="Arial" w:cs="Arial"/>
          <w:b/>
          <w:bCs/>
          <w:sz w:val="24"/>
          <w:szCs w:val="24"/>
        </w:rPr>
      </w:pPr>
      <w:bookmarkStart w:id="5" w:name="_Toc223389130"/>
      <w:r w:rsidRPr="00CC5F04">
        <w:rPr>
          <w:rFonts w:ascii="Arial" w:hAnsi="Arial" w:cs="Arial"/>
          <w:b/>
          <w:bCs/>
          <w:sz w:val="24"/>
          <w:szCs w:val="24"/>
        </w:rPr>
        <w:t>Evaluation of Effectiveness</w:t>
      </w:r>
      <w:bookmarkEnd w:id="5"/>
    </w:p>
    <w:p w14:paraId="3010189B" w14:textId="66C50821" w:rsidR="001D4CA9" w:rsidRPr="00CC5F04" w:rsidRDefault="001D4CA9" w:rsidP="00505F11">
      <w:pPr>
        <w:pStyle w:val="Heading3"/>
        <w:numPr>
          <w:ilvl w:val="2"/>
          <w:numId w:val="1"/>
        </w:numPr>
        <w:spacing w:line="360" w:lineRule="auto"/>
        <w:rPr>
          <w:rFonts w:ascii="Arial" w:hAnsi="Arial" w:cs="Arial"/>
          <w:b/>
          <w:bCs/>
          <w:i/>
          <w:iCs/>
          <w:szCs w:val="24"/>
        </w:rPr>
      </w:pPr>
      <w:bookmarkStart w:id="6" w:name="_Toc223389131"/>
      <w:r w:rsidRPr="00CC5F04">
        <w:rPr>
          <w:rFonts w:ascii="Arial" w:hAnsi="Arial" w:cs="Arial"/>
          <w:b/>
          <w:bCs/>
          <w:i/>
          <w:iCs/>
          <w:szCs w:val="24"/>
        </w:rPr>
        <w:t>Impact on Health</w:t>
      </w:r>
      <w:bookmarkEnd w:id="6"/>
    </w:p>
    <w:p w14:paraId="00545E94" w14:textId="29DF67A2" w:rsidR="001D4CA9" w:rsidRPr="00505F11" w:rsidRDefault="00C43010" w:rsidP="00505F11">
      <w:pPr>
        <w:spacing w:line="360" w:lineRule="auto"/>
        <w:rPr>
          <w:rFonts w:ascii="Arial" w:hAnsi="Arial" w:cs="Arial"/>
          <w:sz w:val="22"/>
          <w:szCs w:val="22"/>
        </w:rPr>
      </w:pPr>
      <w:r w:rsidRPr="00505F11">
        <w:rPr>
          <w:rFonts w:ascii="Arial" w:hAnsi="Arial" w:cs="Arial"/>
          <w:sz w:val="22"/>
          <w:szCs w:val="22"/>
        </w:rPr>
        <w:t xml:space="preserve">There is evidence of positive results.  </w:t>
      </w:r>
      <w:r w:rsidR="00CC5F04">
        <w:rPr>
          <w:rFonts w:ascii="Arial" w:hAnsi="Arial" w:cs="Arial"/>
          <w:sz w:val="22"/>
          <w:szCs w:val="22"/>
        </w:rPr>
        <w:t xml:space="preserve">The </w:t>
      </w:r>
      <w:r w:rsidRPr="00505F11">
        <w:rPr>
          <w:rFonts w:ascii="Arial" w:hAnsi="Arial" w:cs="Arial"/>
          <w:sz w:val="22"/>
          <w:szCs w:val="22"/>
        </w:rPr>
        <w:t xml:space="preserve">NHS Diabetes Prevention Programme found </w:t>
      </w:r>
      <w:r w:rsidR="00CC5F04">
        <w:rPr>
          <w:rFonts w:ascii="Arial" w:hAnsi="Arial" w:cs="Arial"/>
          <w:sz w:val="22"/>
          <w:szCs w:val="22"/>
        </w:rPr>
        <w:t>major reductions in the risk of diabetes among participants</w:t>
      </w:r>
      <w:r w:rsidRPr="00505F11">
        <w:rPr>
          <w:rFonts w:ascii="Arial" w:hAnsi="Arial" w:cs="Arial"/>
          <w:sz w:val="22"/>
          <w:szCs w:val="22"/>
        </w:rPr>
        <w:t xml:space="preserve"> (NHS, England, 2023). NHS Health Checks help </w:t>
      </w:r>
      <w:r w:rsidR="00191004">
        <w:rPr>
          <w:rFonts w:ascii="Arial" w:hAnsi="Arial" w:cs="Arial"/>
          <w:sz w:val="22"/>
          <w:szCs w:val="22"/>
        </w:rPr>
        <w:t xml:space="preserve">detect </w:t>
      </w:r>
      <w:r w:rsidR="00CC5F04">
        <w:rPr>
          <w:rFonts w:ascii="Arial" w:hAnsi="Arial" w:cs="Arial"/>
          <w:sz w:val="22"/>
          <w:szCs w:val="22"/>
        </w:rPr>
        <w:t>hypertension and diabetes earlier, reducing long-term</w:t>
      </w:r>
      <w:r w:rsidRPr="00505F11">
        <w:rPr>
          <w:rFonts w:ascii="Arial" w:hAnsi="Arial" w:cs="Arial"/>
          <w:sz w:val="22"/>
          <w:szCs w:val="22"/>
        </w:rPr>
        <w:t xml:space="preserve"> hospital admissions. Smoking cessation campaigns have </w:t>
      </w:r>
      <w:r w:rsidR="00191004">
        <w:rPr>
          <w:rFonts w:ascii="Arial" w:hAnsi="Arial" w:cs="Arial"/>
          <w:sz w:val="22"/>
          <w:szCs w:val="22"/>
        </w:rPr>
        <w:t>helped</w:t>
      </w:r>
      <w:r w:rsidRPr="00505F11">
        <w:rPr>
          <w:rFonts w:ascii="Arial" w:hAnsi="Arial" w:cs="Arial"/>
          <w:sz w:val="22"/>
          <w:szCs w:val="22"/>
        </w:rPr>
        <w:t xml:space="preserve"> reduce the national prevalence of smoking significantly. However, uptake </w:t>
      </w:r>
      <w:r w:rsidR="00191004">
        <w:rPr>
          <w:rFonts w:ascii="Arial" w:hAnsi="Arial" w:cs="Arial"/>
          <w:sz w:val="22"/>
          <w:szCs w:val="22"/>
        </w:rPr>
        <w:t>remains inequitable</w:t>
      </w:r>
      <w:r w:rsidRPr="00505F11">
        <w:rPr>
          <w:rFonts w:ascii="Arial" w:hAnsi="Arial" w:cs="Arial"/>
          <w:sz w:val="22"/>
          <w:szCs w:val="22"/>
        </w:rPr>
        <w:t>. Deprived communities, ethnic minorities and digitally excluded groups are less likely to access preventative services, limited equity and overall impact</w:t>
      </w:r>
      <w:r w:rsidR="001D4CA9" w:rsidRPr="00505F11">
        <w:rPr>
          <w:rFonts w:ascii="Arial" w:hAnsi="Arial" w:cs="Arial"/>
          <w:sz w:val="22"/>
          <w:szCs w:val="22"/>
        </w:rPr>
        <w:t>.</w:t>
      </w:r>
    </w:p>
    <w:p w14:paraId="3FBCF5B5" w14:textId="46474D8F" w:rsidR="001D4CA9" w:rsidRPr="00CC5F04" w:rsidRDefault="001D4CA9" w:rsidP="00505F11">
      <w:pPr>
        <w:pStyle w:val="Heading3"/>
        <w:numPr>
          <w:ilvl w:val="2"/>
          <w:numId w:val="1"/>
        </w:numPr>
        <w:spacing w:line="360" w:lineRule="auto"/>
        <w:rPr>
          <w:rFonts w:ascii="Arial" w:hAnsi="Arial" w:cs="Arial"/>
          <w:b/>
          <w:bCs/>
          <w:i/>
          <w:iCs/>
          <w:szCs w:val="24"/>
        </w:rPr>
      </w:pPr>
      <w:bookmarkStart w:id="7" w:name="_Toc223389132"/>
      <w:r w:rsidRPr="00CC5F04">
        <w:rPr>
          <w:rFonts w:ascii="Arial" w:hAnsi="Arial" w:cs="Arial"/>
          <w:b/>
          <w:bCs/>
          <w:i/>
          <w:iCs/>
          <w:szCs w:val="24"/>
        </w:rPr>
        <w:lastRenderedPageBreak/>
        <w:t>Sustainability</w:t>
      </w:r>
      <w:bookmarkEnd w:id="7"/>
    </w:p>
    <w:p w14:paraId="407D4686" w14:textId="2D7A45FB" w:rsidR="001D4CA9" w:rsidRPr="00505F11" w:rsidRDefault="00C722E3" w:rsidP="00505F11">
      <w:pPr>
        <w:spacing w:line="360" w:lineRule="auto"/>
        <w:rPr>
          <w:rFonts w:ascii="Arial" w:hAnsi="Arial" w:cs="Arial"/>
          <w:sz w:val="22"/>
          <w:szCs w:val="22"/>
        </w:rPr>
      </w:pPr>
      <w:r w:rsidRPr="00505F11">
        <w:rPr>
          <w:rFonts w:ascii="Arial" w:hAnsi="Arial" w:cs="Arial"/>
          <w:sz w:val="22"/>
          <w:szCs w:val="22"/>
        </w:rPr>
        <w:t xml:space="preserve">Preventive care is economical in the long term because it </w:t>
      </w:r>
      <w:r w:rsidR="00191004">
        <w:rPr>
          <w:rFonts w:ascii="Arial" w:hAnsi="Arial" w:cs="Arial"/>
          <w:sz w:val="22"/>
          <w:szCs w:val="22"/>
        </w:rPr>
        <w:t xml:space="preserve">reduces the need for </w:t>
      </w:r>
      <w:r w:rsidRPr="00505F11">
        <w:rPr>
          <w:rFonts w:ascii="Arial" w:hAnsi="Arial" w:cs="Arial"/>
          <w:sz w:val="22"/>
          <w:szCs w:val="22"/>
        </w:rPr>
        <w:t xml:space="preserve">expensive hospital care. Digital innovations such as telehealth and AI diagnosis can enhance efficiency and reduce unnecessary travel and carbon footprint (Das and Chandra, 2023). However, the </w:t>
      </w:r>
      <w:r w:rsidR="00191004">
        <w:rPr>
          <w:rFonts w:ascii="Arial" w:hAnsi="Arial" w:cs="Arial"/>
          <w:sz w:val="22"/>
          <w:szCs w:val="22"/>
        </w:rPr>
        <w:t>costs of implementing and training the labour force led to immediate financial strain</w:t>
      </w:r>
      <w:r w:rsidRPr="00505F11">
        <w:rPr>
          <w:rFonts w:ascii="Arial" w:hAnsi="Arial" w:cs="Arial"/>
          <w:sz w:val="22"/>
          <w:szCs w:val="22"/>
        </w:rPr>
        <w:t>.</w:t>
      </w:r>
    </w:p>
    <w:p w14:paraId="21076789" w14:textId="38773D0B" w:rsidR="001D4CA9" w:rsidRPr="00CC5F04" w:rsidRDefault="001D4CA9" w:rsidP="00505F11">
      <w:pPr>
        <w:pStyle w:val="Heading3"/>
        <w:numPr>
          <w:ilvl w:val="2"/>
          <w:numId w:val="1"/>
        </w:numPr>
        <w:spacing w:line="360" w:lineRule="auto"/>
        <w:rPr>
          <w:rFonts w:ascii="Arial" w:hAnsi="Arial" w:cs="Arial"/>
          <w:b/>
          <w:bCs/>
          <w:i/>
          <w:iCs/>
          <w:szCs w:val="24"/>
        </w:rPr>
      </w:pPr>
      <w:bookmarkStart w:id="8" w:name="_Toc223389133"/>
      <w:r w:rsidRPr="00CC5F04">
        <w:rPr>
          <w:rFonts w:ascii="Arial" w:hAnsi="Arial" w:cs="Arial"/>
          <w:b/>
          <w:bCs/>
          <w:i/>
          <w:iCs/>
          <w:szCs w:val="24"/>
        </w:rPr>
        <w:t>Accessibility</w:t>
      </w:r>
      <w:bookmarkEnd w:id="8"/>
    </w:p>
    <w:p w14:paraId="341BB8FA" w14:textId="136B3A11" w:rsidR="001D4CA9" w:rsidRPr="00505F11" w:rsidRDefault="00B1568C" w:rsidP="00505F11">
      <w:pPr>
        <w:spacing w:line="360" w:lineRule="auto"/>
        <w:rPr>
          <w:rFonts w:ascii="Arial" w:hAnsi="Arial" w:cs="Arial"/>
          <w:sz w:val="22"/>
          <w:szCs w:val="22"/>
        </w:rPr>
      </w:pPr>
      <w:r w:rsidRPr="00505F11">
        <w:rPr>
          <w:rFonts w:ascii="Arial" w:hAnsi="Arial" w:cs="Arial"/>
          <w:sz w:val="22"/>
          <w:szCs w:val="22"/>
        </w:rPr>
        <w:t xml:space="preserve">Telehealth improves </w:t>
      </w:r>
      <w:r w:rsidR="00191004">
        <w:rPr>
          <w:rFonts w:ascii="Arial" w:hAnsi="Arial" w:cs="Arial"/>
          <w:sz w:val="22"/>
          <w:szCs w:val="22"/>
        </w:rPr>
        <w:t xml:space="preserve">monitoring and access to care for </w:t>
      </w:r>
      <w:r w:rsidRPr="00505F11">
        <w:rPr>
          <w:rFonts w:ascii="Arial" w:hAnsi="Arial" w:cs="Arial"/>
          <w:sz w:val="22"/>
          <w:szCs w:val="22"/>
        </w:rPr>
        <w:t>chronic diseases in rural settings. Nevertheless, the problem of digital exclusion</w:t>
      </w:r>
      <w:r w:rsidR="00191004">
        <w:rPr>
          <w:rFonts w:ascii="Arial" w:hAnsi="Arial" w:cs="Arial"/>
          <w:sz w:val="22"/>
          <w:szCs w:val="22"/>
        </w:rPr>
        <w:t>,</w:t>
      </w:r>
      <w:r w:rsidRPr="00505F11">
        <w:rPr>
          <w:rFonts w:ascii="Arial" w:hAnsi="Arial" w:cs="Arial"/>
          <w:sz w:val="22"/>
          <w:szCs w:val="22"/>
        </w:rPr>
        <w:t xml:space="preserve"> particularly among older adults and low-income earners</w:t>
      </w:r>
      <w:r w:rsidR="00191004">
        <w:rPr>
          <w:rFonts w:ascii="Arial" w:hAnsi="Arial" w:cs="Arial"/>
          <w:sz w:val="22"/>
          <w:szCs w:val="22"/>
        </w:rPr>
        <w:t>,</w:t>
      </w:r>
      <w:r w:rsidRPr="00505F11">
        <w:rPr>
          <w:rFonts w:ascii="Arial" w:hAnsi="Arial" w:cs="Arial"/>
          <w:sz w:val="22"/>
          <w:szCs w:val="22"/>
        </w:rPr>
        <w:t xml:space="preserve"> can </w:t>
      </w:r>
      <w:r w:rsidR="00CC5F04">
        <w:rPr>
          <w:rFonts w:ascii="Arial" w:hAnsi="Arial" w:cs="Arial"/>
          <w:sz w:val="22"/>
          <w:szCs w:val="22"/>
        </w:rPr>
        <w:t>exacerbate</w:t>
      </w:r>
      <w:r w:rsidRPr="00505F11">
        <w:rPr>
          <w:rFonts w:ascii="Arial" w:hAnsi="Arial" w:cs="Arial"/>
          <w:sz w:val="22"/>
          <w:szCs w:val="22"/>
        </w:rPr>
        <w:t xml:space="preserve"> disparities. Ofcom </w:t>
      </w:r>
      <w:r w:rsidR="00191004">
        <w:rPr>
          <w:rFonts w:ascii="Arial" w:hAnsi="Arial" w:cs="Arial"/>
          <w:sz w:val="22"/>
          <w:szCs w:val="22"/>
        </w:rPr>
        <w:t>highlights the unequal distribution of digital resources and devices, and they are not implemented in a uniform way</w:t>
      </w:r>
      <w:r w:rsidRPr="00505F11">
        <w:rPr>
          <w:rFonts w:ascii="Arial" w:hAnsi="Arial" w:cs="Arial"/>
          <w:sz w:val="22"/>
          <w:szCs w:val="22"/>
        </w:rPr>
        <w:t xml:space="preserve"> </w:t>
      </w:r>
      <w:r w:rsidR="00361391" w:rsidRPr="00505F11">
        <w:rPr>
          <w:rFonts w:ascii="Arial" w:hAnsi="Arial" w:cs="Arial"/>
          <w:sz w:val="22"/>
          <w:szCs w:val="22"/>
        </w:rPr>
        <w:t>(</w:t>
      </w:r>
      <w:r w:rsidR="00B771DD" w:rsidRPr="00505F11">
        <w:rPr>
          <w:rFonts w:ascii="Arial" w:hAnsi="Arial" w:cs="Arial"/>
          <w:sz w:val="22"/>
          <w:szCs w:val="22"/>
        </w:rPr>
        <w:t>Ofcom, 2022</w:t>
      </w:r>
      <w:r w:rsidR="00361391" w:rsidRPr="00505F11">
        <w:rPr>
          <w:rFonts w:ascii="Arial" w:hAnsi="Arial" w:cs="Arial"/>
          <w:sz w:val="22"/>
          <w:szCs w:val="22"/>
        </w:rPr>
        <w:t>)</w:t>
      </w:r>
      <w:r w:rsidR="001D4CA9" w:rsidRPr="00505F11">
        <w:rPr>
          <w:rFonts w:ascii="Arial" w:hAnsi="Arial" w:cs="Arial"/>
          <w:sz w:val="22"/>
          <w:szCs w:val="22"/>
        </w:rPr>
        <w:t>.</w:t>
      </w:r>
    </w:p>
    <w:p w14:paraId="0BFE989F" w14:textId="527785D8" w:rsidR="00934937" w:rsidRPr="00CC5F04" w:rsidRDefault="006F26E0" w:rsidP="00505F11">
      <w:pPr>
        <w:pStyle w:val="Heading2"/>
        <w:numPr>
          <w:ilvl w:val="1"/>
          <w:numId w:val="1"/>
        </w:numPr>
        <w:spacing w:line="360" w:lineRule="auto"/>
        <w:rPr>
          <w:rFonts w:ascii="Arial" w:hAnsi="Arial" w:cs="Arial"/>
          <w:b/>
          <w:bCs/>
          <w:sz w:val="24"/>
          <w:szCs w:val="24"/>
        </w:rPr>
      </w:pPr>
      <w:bookmarkStart w:id="9" w:name="_Toc223389134"/>
      <w:r w:rsidRPr="00CC5F04">
        <w:rPr>
          <w:rFonts w:ascii="Arial" w:hAnsi="Arial" w:cs="Arial"/>
          <w:b/>
          <w:bCs/>
          <w:sz w:val="24"/>
          <w:szCs w:val="24"/>
        </w:rPr>
        <w:t>Challenges</w:t>
      </w:r>
      <w:bookmarkEnd w:id="9"/>
    </w:p>
    <w:p w14:paraId="223D2EF1" w14:textId="1A221130" w:rsidR="00A9118A" w:rsidRPr="00505F11" w:rsidRDefault="008D05AD" w:rsidP="00505F11">
      <w:pPr>
        <w:spacing w:line="360" w:lineRule="auto"/>
        <w:rPr>
          <w:rFonts w:ascii="Arial" w:hAnsi="Arial" w:cs="Arial"/>
          <w:sz w:val="22"/>
          <w:szCs w:val="22"/>
        </w:rPr>
      </w:pPr>
      <w:r w:rsidRPr="00505F11">
        <w:rPr>
          <w:rFonts w:ascii="Arial" w:hAnsi="Arial" w:cs="Arial"/>
          <w:sz w:val="22"/>
          <w:szCs w:val="22"/>
        </w:rPr>
        <w:t xml:space="preserve">The barriers include limitations of funding by </w:t>
      </w:r>
      <w:r w:rsidR="00191004">
        <w:rPr>
          <w:rFonts w:ascii="Arial" w:hAnsi="Arial" w:cs="Arial"/>
          <w:sz w:val="22"/>
          <w:szCs w:val="22"/>
        </w:rPr>
        <w:t xml:space="preserve">the </w:t>
      </w:r>
      <w:r w:rsidRPr="00505F11">
        <w:rPr>
          <w:rFonts w:ascii="Arial" w:hAnsi="Arial" w:cs="Arial"/>
          <w:sz w:val="22"/>
          <w:szCs w:val="22"/>
        </w:rPr>
        <w:t xml:space="preserve">NHS, limited workforce, lack of a holistic health-social care integration, privacy of the data and the reluctance to adopt changes in technology (World Health Organisation, 2018).  Systems are further strained by outbreaks of infectious </w:t>
      </w:r>
      <w:r w:rsidR="00CC5F04">
        <w:rPr>
          <w:rFonts w:ascii="Arial" w:hAnsi="Arial" w:cs="Arial"/>
          <w:sz w:val="22"/>
          <w:szCs w:val="22"/>
        </w:rPr>
        <w:t>diseases and antimicrobial-resistant infections worldwide</w:t>
      </w:r>
      <w:r w:rsidRPr="00505F11">
        <w:rPr>
          <w:rFonts w:ascii="Arial" w:hAnsi="Arial" w:cs="Arial"/>
          <w:sz w:val="22"/>
          <w:szCs w:val="22"/>
        </w:rPr>
        <w:t xml:space="preserve">. </w:t>
      </w:r>
      <w:r w:rsidR="00191004">
        <w:rPr>
          <w:rFonts w:ascii="Arial" w:hAnsi="Arial" w:cs="Arial"/>
          <w:sz w:val="22"/>
          <w:szCs w:val="22"/>
        </w:rPr>
        <w:t>COVID-19</w:t>
      </w:r>
      <w:r w:rsidRPr="00505F11">
        <w:rPr>
          <w:rFonts w:ascii="Arial" w:hAnsi="Arial" w:cs="Arial"/>
          <w:sz w:val="22"/>
          <w:szCs w:val="22"/>
        </w:rPr>
        <w:t xml:space="preserve"> is the manifestation of inequality as a multiplier of vulnerability and supports the necessity of resilient governance and surveillance</w:t>
      </w:r>
      <w:r w:rsidR="00536A52" w:rsidRPr="00505F11">
        <w:rPr>
          <w:rFonts w:ascii="Arial" w:hAnsi="Arial" w:cs="Arial"/>
          <w:sz w:val="22"/>
          <w:szCs w:val="22"/>
        </w:rPr>
        <w:t>.</w:t>
      </w:r>
    </w:p>
    <w:p w14:paraId="09C03EA3" w14:textId="61D87D17" w:rsidR="00DE125A" w:rsidRPr="00CC5F04" w:rsidRDefault="006F26E0" w:rsidP="00505F11">
      <w:pPr>
        <w:pStyle w:val="Heading2"/>
        <w:numPr>
          <w:ilvl w:val="1"/>
          <w:numId w:val="1"/>
        </w:numPr>
        <w:spacing w:line="360" w:lineRule="auto"/>
        <w:rPr>
          <w:rFonts w:ascii="Arial" w:hAnsi="Arial" w:cs="Arial"/>
          <w:b/>
          <w:bCs/>
          <w:sz w:val="24"/>
          <w:szCs w:val="24"/>
        </w:rPr>
      </w:pPr>
      <w:bookmarkStart w:id="10" w:name="_Toc223389135"/>
      <w:r w:rsidRPr="00CC5F04">
        <w:rPr>
          <w:rFonts w:ascii="Arial" w:hAnsi="Arial" w:cs="Arial"/>
          <w:b/>
          <w:bCs/>
          <w:sz w:val="24"/>
          <w:szCs w:val="24"/>
        </w:rPr>
        <w:t>Recommendations</w:t>
      </w:r>
      <w:bookmarkEnd w:id="10"/>
    </w:p>
    <w:p w14:paraId="182B91F8" w14:textId="4A8843E9" w:rsidR="003B4F34" w:rsidRPr="00505F11" w:rsidRDefault="003B4F34" w:rsidP="00505F11">
      <w:pPr>
        <w:pStyle w:val="ListParagraph"/>
        <w:numPr>
          <w:ilvl w:val="0"/>
          <w:numId w:val="2"/>
        </w:numPr>
        <w:spacing w:line="360" w:lineRule="auto"/>
        <w:rPr>
          <w:rFonts w:ascii="Arial" w:hAnsi="Arial" w:cs="Arial"/>
          <w:sz w:val="22"/>
          <w:szCs w:val="22"/>
        </w:rPr>
      </w:pPr>
      <w:r w:rsidRPr="00505F11">
        <w:rPr>
          <w:rFonts w:ascii="Arial" w:hAnsi="Arial" w:cs="Arial"/>
          <w:sz w:val="22"/>
          <w:szCs w:val="22"/>
        </w:rPr>
        <w:t xml:space="preserve">Intensify </w:t>
      </w:r>
      <w:r w:rsidR="00191004">
        <w:rPr>
          <w:rFonts w:ascii="Arial" w:hAnsi="Arial" w:cs="Arial"/>
          <w:sz w:val="22"/>
          <w:szCs w:val="22"/>
        </w:rPr>
        <w:t>community-based</w:t>
      </w:r>
      <w:r w:rsidRPr="00505F11">
        <w:rPr>
          <w:rFonts w:ascii="Arial" w:hAnsi="Arial" w:cs="Arial"/>
          <w:sz w:val="22"/>
          <w:szCs w:val="22"/>
        </w:rPr>
        <w:t xml:space="preserve"> outreach activities in deprived communities by employing community health workers to enhance Health Check uptake.</w:t>
      </w:r>
    </w:p>
    <w:p w14:paraId="5A8BA1A5" w14:textId="64F09FAB" w:rsidR="003B4F34" w:rsidRPr="00505F11" w:rsidRDefault="00CE5C90" w:rsidP="00505F11">
      <w:pPr>
        <w:pStyle w:val="ListParagraph"/>
        <w:numPr>
          <w:ilvl w:val="0"/>
          <w:numId w:val="2"/>
        </w:numPr>
        <w:spacing w:line="360" w:lineRule="auto"/>
        <w:rPr>
          <w:rFonts w:ascii="Arial" w:hAnsi="Arial" w:cs="Arial"/>
          <w:sz w:val="22"/>
          <w:szCs w:val="22"/>
        </w:rPr>
      </w:pPr>
      <w:r w:rsidRPr="00505F11">
        <w:rPr>
          <w:rFonts w:ascii="Arial" w:hAnsi="Arial" w:cs="Arial"/>
          <w:sz w:val="22"/>
          <w:szCs w:val="22"/>
        </w:rPr>
        <w:t>Invest</w:t>
      </w:r>
      <w:r w:rsidR="003B4F34" w:rsidRPr="00505F11">
        <w:rPr>
          <w:rFonts w:ascii="Arial" w:hAnsi="Arial" w:cs="Arial"/>
          <w:sz w:val="22"/>
          <w:szCs w:val="22"/>
        </w:rPr>
        <w:t xml:space="preserve"> in digital inclusion, which offers subsidised devices and digital literacy to vulnerable populations (</w:t>
      </w:r>
      <w:proofErr w:type="spellStart"/>
      <w:r w:rsidR="003B4F34" w:rsidRPr="00505F11">
        <w:rPr>
          <w:rFonts w:ascii="Arial" w:hAnsi="Arial" w:cs="Arial"/>
          <w:sz w:val="22"/>
          <w:szCs w:val="22"/>
        </w:rPr>
        <w:t>Deganis</w:t>
      </w:r>
      <w:proofErr w:type="spellEnd"/>
      <w:r w:rsidR="003B4F34" w:rsidRPr="00505F11">
        <w:rPr>
          <w:rFonts w:ascii="Arial" w:hAnsi="Arial" w:cs="Arial"/>
          <w:sz w:val="22"/>
          <w:szCs w:val="22"/>
        </w:rPr>
        <w:t xml:space="preserve"> et al., 2021).</w:t>
      </w:r>
    </w:p>
    <w:p w14:paraId="39C52CE1" w14:textId="5BE22F76" w:rsidR="003B4F34" w:rsidRPr="00505F11" w:rsidRDefault="003B4F34" w:rsidP="00505F11">
      <w:pPr>
        <w:pStyle w:val="ListParagraph"/>
        <w:numPr>
          <w:ilvl w:val="0"/>
          <w:numId w:val="2"/>
        </w:numPr>
        <w:spacing w:line="360" w:lineRule="auto"/>
        <w:rPr>
          <w:rFonts w:ascii="Arial" w:hAnsi="Arial" w:cs="Arial"/>
          <w:sz w:val="22"/>
          <w:szCs w:val="22"/>
        </w:rPr>
      </w:pPr>
      <w:r w:rsidRPr="00505F11">
        <w:rPr>
          <w:rFonts w:ascii="Arial" w:hAnsi="Arial" w:cs="Arial"/>
          <w:sz w:val="22"/>
          <w:szCs w:val="22"/>
        </w:rPr>
        <w:t>Enhance Integrated Care Systems through shared budgets and accountability mechanisms to enhance coordination.</w:t>
      </w:r>
    </w:p>
    <w:p w14:paraId="5C5789D4" w14:textId="765C3550" w:rsidR="003B4F34" w:rsidRPr="00505F11" w:rsidRDefault="003B4F34" w:rsidP="00505F11">
      <w:pPr>
        <w:pStyle w:val="ListParagraph"/>
        <w:numPr>
          <w:ilvl w:val="0"/>
          <w:numId w:val="2"/>
        </w:numPr>
        <w:spacing w:line="360" w:lineRule="auto"/>
        <w:rPr>
          <w:rFonts w:ascii="Arial" w:hAnsi="Arial" w:cs="Arial"/>
          <w:sz w:val="22"/>
          <w:szCs w:val="22"/>
        </w:rPr>
      </w:pPr>
      <w:r w:rsidRPr="00505F11">
        <w:rPr>
          <w:rFonts w:ascii="Arial" w:hAnsi="Arial" w:cs="Arial"/>
          <w:sz w:val="22"/>
          <w:szCs w:val="22"/>
        </w:rPr>
        <w:t xml:space="preserve">Improve digital and culturally competent care training of </w:t>
      </w:r>
      <w:r w:rsidR="00191004">
        <w:rPr>
          <w:rFonts w:ascii="Arial" w:hAnsi="Arial" w:cs="Arial"/>
          <w:sz w:val="22"/>
          <w:szCs w:val="22"/>
        </w:rPr>
        <w:t xml:space="preserve">the </w:t>
      </w:r>
      <w:r w:rsidRPr="00505F11">
        <w:rPr>
          <w:rFonts w:ascii="Arial" w:hAnsi="Arial" w:cs="Arial"/>
          <w:sz w:val="22"/>
          <w:szCs w:val="22"/>
        </w:rPr>
        <w:t>workforce.</w:t>
      </w:r>
    </w:p>
    <w:p w14:paraId="54CC86EF" w14:textId="67F79334" w:rsidR="00DE125A" w:rsidRDefault="003B4F34" w:rsidP="00505F11">
      <w:pPr>
        <w:pStyle w:val="ListParagraph"/>
        <w:numPr>
          <w:ilvl w:val="0"/>
          <w:numId w:val="2"/>
        </w:numPr>
        <w:spacing w:line="360" w:lineRule="auto"/>
        <w:rPr>
          <w:rFonts w:ascii="Arial" w:hAnsi="Arial" w:cs="Arial"/>
          <w:sz w:val="22"/>
          <w:szCs w:val="22"/>
        </w:rPr>
      </w:pPr>
      <w:r w:rsidRPr="00505F11">
        <w:rPr>
          <w:rFonts w:ascii="Arial" w:hAnsi="Arial" w:cs="Arial"/>
          <w:sz w:val="22"/>
          <w:szCs w:val="22"/>
        </w:rPr>
        <w:t>Integrate sustainability indicators (carbon audits, waste reduction goals) in NHS commissioning processes.</w:t>
      </w:r>
    </w:p>
    <w:p w14:paraId="5D0B035B" w14:textId="77777777" w:rsidR="00CC5F04" w:rsidRPr="00505F11" w:rsidRDefault="00CC5F04" w:rsidP="00505F11">
      <w:pPr>
        <w:pStyle w:val="ListParagraph"/>
        <w:numPr>
          <w:ilvl w:val="0"/>
          <w:numId w:val="2"/>
        </w:numPr>
        <w:spacing w:line="360" w:lineRule="auto"/>
        <w:rPr>
          <w:rFonts w:ascii="Arial" w:hAnsi="Arial" w:cs="Arial"/>
          <w:sz w:val="22"/>
          <w:szCs w:val="22"/>
        </w:rPr>
      </w:pPr>
    </w:p>
    <w:p w14:paraId="43C3F5B9" w14:textId="3A5D22A6" w:rsidR="00DE125A" w:rsidRPr="00CC5F04" w:rsidRDefault="00DE125A" w:rsidP="00505F11">
      <w:pPr>
        <w:pStyle w:val="Heading1"/>
        <w:numPr>
          <w:ilvl w:val="0"/>
          <w:numId w:val="1"/>
        </w:numPr>
        <w:spacing w:line="360" w:lineRule="auto"/>
        <w:rPr>
          <w:rFonts w:ascii="Arial" w:hAnsi="Arial" w:cs="Arial"/>
          <w:b/>
          <w:bCs/>
          <w:sz w:val="24"/>
        </w:rPr>
      </w:pPr>
      <w:bookmarkStart w:id="11" w:name="_Toc223389136"/>
      <w:r w:rsidRPr="00CC5F04">
        <w:rPr>
          <w:rFonts w:ascii="Arial" w:hAnsi="Arial" w:cs="Arial"/>
          <w:b/>
          <w:bCs/>
          <w:sz w:val="24"/>
        </w:rPr>
        <w:t>Section 2: SDG 10</w:t>
      </w:r>
      <w:r w:rsidR="007617A1" w:rsidRPr="00CC5F04">
        <w:rPr>
          <w:rFonts w:ascii="Arial" w:hAnsi="Arial" w:cs="Arial"/>
          <w:b/>
          <w:bCs/>
          <w:sz w:val="24"/>
        </w:rPr>
        <w:t xml:space="preserve"> </w:t>
      </w:r>
      <w:r w:rsidRPr="00CC5F04">
        <w:rPr>
          <w:rFonts w:ascii="Arial" w:hAnsi="Arial" w:cs="Arial"/>
          <w:b/>
          <w:bCs/>
          <w:sz w:val="24"/>
        </w:rPr>
        <w:t>Reduced Inequalities</w:t>
      </w:r>
      <w:bookmarkEnd w:id="11"/>
    </w:p>
    <w:p w14:paraId="6706D9B8" w14:textId="1882682F" w:rsidR="00EB0D75" w:rsidRPr="00CC5F04" w:rsidRDefault="00EB0D75" w:rsidP="00505F11">
      <w:pPr>
        <w:pStyle w:val="Heading2"/>
        <w:numPr>
          <w:ilvl w:val="1"/>
          <w:numId w:val="1"/>
        </w:numPr>
        <w:spacing w:line="360" w:lineRule="auto"/>
        <w:rPr>
          <w:rFonts w:ascii="Arial" w:hAnsi="Arial" w:cs="Arial"/>
          <w:b/>
          <w:bCs/>
          <w:sz w:val="24"/>
          <w:szCs w:val="24"/>
        </w:rPr>
      </w:pPr>
      <w:bookmarkStart w:id="12" w:name="_Toc223389137"/>
      <w:r w:rsidRPr="00CC5F04">
        <w:rPr>
          <w:rFonts w:ascii="Arial" w:hAnsi="Arial" w:cs="Arial"/>
          <w:b/>
          <w:bCs/>
          <w:sz w:val="24"/>
          <w:szCs w:val="24"/>
        </w:rPr>
        <w:lastRenderedPageBreak/>
        <w:t>Overview of SDG 10</w:t>
      </w:r>
      <w:bookmarkEnd w:id="12"/>
    </w:p>
    <w:p w14:paraId="406EE9A0" w14:textId="5B6C7F7C" w:rsidR="007A4CF7" w:rsidRPr="00505F11" w:rsidRDefault="007A4CF7" w:rsidP="00505F11">
      <w:pPr>
        <w:spacing w:line="360" w:lineRule="auto"/>
        <w:rPr>
          <w:rFonts w:ascii="Arial" w:hAnsi="Arial" w:cs="Arial"/>
          <w:sz w:val="22"/>
          <w:szCs w:val="22"/>
        </w:rPr>
      </w:pPr>
      <w:r w:rsidRPr="00505F11">
        <w:rPr>
          <w:rFonts w:ascii="Arial" w:hAnsi="Arial" w:cs="Arial"/>
          <w:sz w:val="22"/>
          <w:szCs w:val="22"/>
        </w:rPr>
        <w:t xml:space="preserve">The </w:t>
      </w:r>
      <w:r w:rsidR="0055424A" w:rsidRPr="00505F11">
        <w:rPr>
          <w:rFonts w:ascii="Arial" w:hAnsi="Arial" w:cs="Arial"/>
          <w:sz w:val="22"/>
          <w:szCs w:val="22"/>
        </w:rPr>
        <w:t>UN</w:t>
      </w:r>
      <w:r w:rsidRPr="00505F11">
        <w:rPr>
          <w:rFonts w:ascii="Arial" w:hAnsi="Arial" w:cs="Arial"/>
          <w:sz w:val="22"/>
          <w:szCs w:val="22"/>
        </w:rPr>
        <w:t xml:space="preserve"> Sustainable Development Goal 10 (SDG 10) </w:t>
      </w:r>
      <w:r w:rsidR="00CC5F04">
        <w:rPr>
          <w:rFonts w:ascii="Arial" w:hAnsi="Arial" w:cs="Arial"/>
          <w:sz w:val="22"/>
          <w:szCs w:val="22"/>
        </w:rPr>
        <w:t>aims to reduce inequality within</w:t>
      </w:r>
      <w:r w:rsidRPr="00505F11">
        <w:rPr>
          <w:rFonts w:ascii="Arial" w:hAnsi="Arial" w:cs="Arial"/>
          <w:sz w:val="22"/>
          <w:szCs w:val="22"/>
        </w:rPr>
        <w:t xml:space="preserve"> and between nations (United Nations, 2025). Although it is commonly discussed in economic terms, inequality is intricately linked to health outcomes, access to services, and life expectancy. Unavoidable and unfair differences in wellbeing are caused by income disparity, discrimination, social exclusion and unequal access to education, housing and healthcare. </w:t>
      </w:r>
    </w:p>
    <w:p w14:paraId="002E788D" w14:textId="06B2B94F" w:rsidR="00EB0D75" w:rsidRPr="00505F11" w:rsidRDefault="007A4CF7" w:rsidP="00505F11">
      <w:pPr>
        <w:spacing w:line="360" w:lineRule="auto"/>
        <w:rPr>
          <w:rFonts w:ascii="Arial" w:hAnsi="Arial" w:cs="Arial"/>
          <w:sz w:val="22"/>
          <w:szCs w:val="22"/>
        </w:rPr>
      </w:pPr>
      <w:r w:rsidRPr="00505F11">
        <w:rPr>
          <w:rFonts w:ascii="Arial" w:hAnsi="Arial" w:cs="Arial"/>
          <w:sz w:val="22"/>
          <w:szCs w:val="22"/>
        </w:rPr>
        <w:t>SDG 10 is linked to SDG 3 since social determinants of health</w:t>
      </w:r>
      <w:r w:rsidR="00CC5F04">
        <w:rPr>
          <w:rFonts w:ascii="Arial" w:hAnsi="Arial" w:cs="Arial"/>
          <w:sz w:val="22"/>
          <w:szCs w:val="22"/>
        </w:rPr>
        <w:t>,</w:t>
      </w:r>
      <w:r w:rsidRPr="00505F11">
        <w:rPr>
          <w:rFonts w:ascii="Arial" w:hAnsi="Arial" w:cs="Arial"/>
          <w:sz w:val="22"/>
          <w:szCs w:val="22"/>
        </w:rPr>
        <w:t xml:space="preserve"> including poverty, job status, and housing</w:t>
      </w:r>
      <w:r w:rsidR="00CC5F04">
        <w:rPr>
          <w:rFonts w:ascii="Arial" w:hAnsi="Arial" w:cs="Arial"/>
          <w:sz w:val="22"/>
          <w:szCs w:val="22"/>
        </w:rPr>
        <w:t>,</w:t>
      </w:r>
      <w:r w:rsidRPr="00505F11">
        <w:rPr>
          <w:rFonts w:ascii="Arial" w:hAnsi="Arial" w:cs="Arial"/>
          <w:sz w:val="22"/>
          <w:szCs w:val="22"/>
        </w:rPr>
        <w:t xml:space="preserve"> are major causes of health disparities (Bhandari, 2024). According to </w:t>
      </w:r>
      <w:r w:rsidR="00CC5F04">
        <w:rPr>
          <w:rFonts w:ascii="Arial" w:hAnsi="Arial" w:cs="Arial"/>
          <w:sz w:val="22"/>
          <w:szCs w:val="22"/>
        </w:rPr>
        <w:t xml:space="preserve">the </w:t>
      </w:r>
      <w:r w:rsidR="00E37D4A" w:rsidRPr="00505F11">
        <w:rPr>
          <w:rFonts w:ascii="Arial" w:hAnsi="Arial" w:cs="Arial"/>
          <w:sz w:val="22"/>
          <w:szCs w:val="22"/>
        </w:rPr>
        <w:t>WHO</w:t>
      </w:r>
      <w:r w:rsidRPr="00505F11">
        <w:rPr>
          <w:rFonts w:ascii="Arial" w:hAnsi="Arial" w:cs="Arial"/>
          <w:sz w:val="22"/>
          <w:szCs w:val="22"/>
        </w:rPr>
        <w:t xml:space="preserve">, individuals </w:t>
      </w:r>
      <w:r w:rsidR="00CC5F04">
        <w:rPr>
          <w:rFonts w:ascii="Arial" w:hAnsi="Arial" w:cs="Arial"/>
          <w:sz w:val="22"/>
          <w:szCs w:val="22"/>
        </w:rPr>
        <w:t>belonging</w:t>
      </w:r>
      <w:r w:rsidRPr="00505F11">
        <w:rPr>
          <w:rFonts w:ascii="Arial" w:hAnsi="Arial" w:cs="Arial"/>
          <w:sz w:val="22"/>
          <w:szCs w:val="22"/>
        </w:rPr>
        <w:t xml:space="preserve"> to the lower socioeconomic categories have a greater prevalence of non-communicable diseases (NCDs), lower life expectancy, and lower access to preventive care. Thus, to reach health equity, structural intervention outside </w:t>
      </w:r>
      <w:r w:rsidR="00CC5F04">
        <w:rPr>
          <w:rFonts w:ascii="Arial" w:hAnsi="Arial" w:cs="Arial"/>
          <w:sz w:val="22"/>
          <w:szCs w:val="22"/>
        </w:rPr>
        <w:t xml:space="preserve">the </w:t>
      </w:r>
      <w:r w:rsidRPr="00505F11">
        <w:rPr>
          <w:rFonts w:ascii="Arial" w:hAnsi="Arial" w:cs="Arial"/>
          <w:sz w:val="22"/>
          <w:szCs w:val="22"/>
        </w:rPr>
        <w:t>healthcare system is needed</w:t>
      </w:r>
      <w:r w:rsidR="00EB0D75" w:rsidRPr="00505F11">
        <w:rPr>
          <w:rFonts w:ascii="Arial" w:hAnsi="Arial" w:cs="Arial"/>
          <w:sz w:val="22"/>
          <w:szCs w:val="22"/>
        </w:rPr>
        <w:t>.</w:t>
      </w:r>
    </w:p>
    <w:p w14:paraId="0C1A01B3" w14:textId="284E7ECD" w:rsidR="00CA4AFA" w:rsidRPr="00CC5F04" w:rsidRDefault="00CA4AFA" w:rsidP="00505F11">
      <w:pPr>
        <w:pStyle w:val="Heading2"/>
        <w:numPr>
          <w:ilvl w:val="1"/>
          <w:numId w:val="1"/>
        </w:numPr>
        <w:spacing w:line="360" w:lineRule="auto"/>
        <w:rPr>
          <w:rFonts w:ascii="Arial" w:hAnsi="Arial" w:cs="Arial"/>
          <w:b/>
          <w:bCs/>
          <w:sz w:val="24"/>
          <w:szCs w:val="24"/>
        </w:rPr>
      </w:pPr>
      <w:bookmarkStart w:id="13" w:name="_Toc223389138"/>
      <w:r w:rsidRPr="00CC5F04">
        <w:rPr>
          <w:rFonts w:ascii="Arial" w:hAnsi="Arial" w:cs="Arial"/>
          <w:b/>
          <w:bCs/>
          <w:sz w:val="24"/>
          <w:szCs w:val="24"/>
        </w:rPr>
        <w:t>Global, National and Local Policies and Initiatives</w:t>
      </w:r>
      <w:bookmarkEnd w:id="13"/>
    </w:p>
    <w:p w14:paraId="13516F12" w14:textId="649503C2" w:rsidR="00F767F2" w:rsidRPr="00505F11" w:rsidRDefault="00F767F2" w:rsidP="00505F11">
      <w:pPr>
        <w:spacing w:line="360" w:lineRule="auto"/>
        <w:rPr>
          <w:rFonts w:ascii="Arial" w:hAnsi="Arial" w:cs="Arial"/>
          <w:sz w:val="22"/>
          <w:szCs w:val="22"/>
        </w:rPr>
      </w:pPr>
      <w:r w:rsidRPr="00505F11">
        <w:rPr>
          <w:rFonts w:ascii="Arial" w:hAnsi="Arial" w:cs="Arial"/>
          <w:sz w:val="22"/>
          <w:szCs w:val="22"/>
        </w:rPr>
        <w:t xml:space="preserve">The international governance systems are necessary to address inequality. The World Health Organisation also recommends Universal Health Coverage (UHC) as one of the tools to mitigate financial burdens and increase equitable access to services (World Health </w:t>
      </w:r>
      <w:r w:rsidR="00CC5F04">
        <w:rPr>
          <w:rFonts w:ascii="Arial" w:hAnsi="Arial" w:cs="Arial"/>
          <w:sz w:val="22"/>
          <w:szCs w:val="22"/>
        </w:rPr>
        <w:t>Organisation</w:t>
      </w:r>
      <w:r w:rsidRPr="00505F11">
        <w:rPr>
          <w:rFonts w:ascii="Arial" w:hAnsi="Arial" w:cs="Arial"/>
          <w:sz w:val="22"/>
          <w:szCs w:val="22"/>
        </w:rPr>
        <w:t xml:space="preserve">, 2021; The King's Fund, 2020). Similarly, </w:t>
      </w:r>
      <w:r w:rsidR="00CC5F04">
        <w:rPr>
          <w:rFonts w:ascii="Arial" w:hAnsi="Arial" w:cs="Arial"/>
          <w:sz w:val="22"/>
          <w:szCs w:val="22"/>
        </w:rPr>
        <w:t xml:space="preserve">the </w:t>
      </w:r>
      <w:r w:rsidRPr="00505F11">
        <w:rPr>
          <w:rFonts w:ascii="Arial" w:hAnsi="Arial" w:cs="Arial"/>
          <w:sz w:val="22"/>
          <w:szCs w:val="22"/>
        </w:rPr>
        <w:t xml:space="preserve">World Bank funds poverty alleviation and social security programmes because it values the economic factors behind health disparities (Ruger, 2005). </w:t>
      </w:r>
    </w:p>
    <w:p w14:paraId="6FA5B5AE" w14:textId="734950E1" w:rsidR="00CA4AFA" w:rsidRPr="00505F11" w:rsidRDefault="00F767F2" w:rsidP="00505F11">
      <w:pPr>
        <w:spacing w:line="360" w:lineRule="auto"/>
        <w:rPr>
          <w:rFonts w:ascii="Arial" w:hAnsi="Arial" w:cs="Arial"/>
          <w:sz w:val="22"/>
          <w:szCs w:val="22"/>
        </w:rPr>
      </w:pPr>
      <w:r w:rsidRPr="00505F11">
        <w:rPr>
          <w:rFonts w:ascii="Arial" w:hAnsi="Arial" w:cs="Arial"/>
          <w:sz w:val="22"/>
          <w:szCs w:val="22"/>
        </w:rPr>
        <w:t>The Global Fund to Fight AIDS, Tuberculosis</w:t>
      </w:r>
      <w:r w:rsidR="00191004">
        <w:rPr>
          <w:rFonts w:ascii="Arial" w:hAnsi="Arial" w:cs="Arial"/>
          <w:sz w:val="22"/>
          <w:szCs w:val="22"/>
        </w:rPr>
        <w:t>,</w:t>
      </w:r>
      <w:r w:rsidRPr="00505F11">
        <w:rPr>
          <w:rFonts w:ascii="Arial" w:hAnsi="Arial" w:cs="Arial"/>
          <w:sz w:val="22"/>
          <w:szCs w:val="22"/>
        </w:rPr>
        <w:t xml:space="preserve"> and Malaria is a project to support over 100 countries </w:t>
      </w:r>
      <w:r w:rsidR="00CC5F04">
        <w:rPr>
          <w:rFonts w:ascii="Arial" w:hAnsi="Arial" w:cs="Arial"/>
          <w:sz w:val="22"/>
          <w:szCs w:val="22"/>
        </w:rPr>
        <w:t>in dealing</w:t>
      </w:r>
      <w:r w:rsidRPr="00505F11">
        <w:rPr>
          <w:rFonts w:ascii="Arial" w:hAnsi="Arial" w:cs="Arial"/>
          <w:sz w:val="22"/>
          <w:szCs w:val="22"/>
        </w:rPr>
        <w:t xml:space="preserve"> with infectious diseases that disproportionately affect the low-income populations (The Global Fund, 2025). It reduces cross-border health disparity by investing in prevention, treatment and system fortification to achieve economic stability</w:t>
      </w:r>
      <w:r w:rsidR="00CA4AFA" w:rsidRPr="00505F11">
        <w:rPr>
          <w:rFonts w:ascii="Arial" w:hAnsi="Arial" w:cs="Arial"/>
          <w:sz w:val="22"/>
          <w:szCs w:val="22"/>
        </w:rPr>
        <w:t>.</w:t>
      </w:r>
      <w:r w:rsidRPr="00505F11">
        <w:rPr>
          <w:rFonts w:ascii="Arial" w:hAnsi="Arial" w:cs="Arial"/>
          <w:sz w:val="22"/>
          <w:szCs w:val="22"/>
        </w:rPr>
        <w:t xml:space="preserve"> </w:t>
      </w:r>
      <w:r w:rsidR="002A4F5D" w:rsidRPr="00505F11">
        <w:rPr>
          <w:rFonts w:ascii="Arial" w:hAnsi="Arial" w:cs="Arial"/>
          <w:sz w:val="22"/>
          <w:szCs w:val="22"/>
        </w:rPr>
        <w:t xml:space="preserve">However, international projects are limited. Funding is based on </w:t>
      </w:r>
      <w:r w:rsidR="00CC5F04">
        <w:rPr>
          <w:rFonts w:ascii="Arial" w:hAnsi="Arial" w:cs="Arial"/>
          <w:sz w:val="22"/>
          <w:szCs w:val="22"/>
        </w:rPr>
        <w:t>donors' priorities and may compromise long term</w:t>
      </w:r>
      <w:r w:rsidR="002A4F5D" w:rsidRPr="00505F11">
        <w:rPr>
          <w:rFonts w:ascii="Arial" w:hAnsi="Arial" w:cs="Arial"/>
          <w:sz w:val="22"/>
          <w:szCs w:val="22"/>
        </w:rPr>
        <w:t xml:space="preserve"> sustainability. Moreover, international aid can lead to a lack of ownership of </w:t>
      </w:r>
      <w:r w:rsidR="00CC5F04">
        <w:rPr>
          <w:rFonts w:ascii="Arial" w:hAnsi="Arial" w:cs="Arial"/>
          <w:sz w:val="22"/>
          <w:szCs w:val="22"/>
        </w:rPr>
        <w:t xml:space="preserve">the </w:t>
      </w:r>
      <w:r w:rsidR="002A4F5D" w:rsidRPr="00505F11">
        <w:rPr>
          <w:rFonts w:ascii="Arial" w:hAnsi="Arial" w:cs="Arial"/>
          <w:sz w:val="22"/>
          <w:szCs w:val="22"/>
        </w:rPr>
        <w:t>system by low-income countries.</w:t>
      </w:r>
    </w:p>
    <w:p w14:paraId="301D1D3F" w14:textId="39A3FABF" w:rsidR="00B31A09" w:rsidRPr="00505F11" w:rsidRDefault="00CA4AFA" w:rsidP="00505F11">
      <w:pPr>
        <w:spacing w:line="360" w:lineRule="auto"/>
        <w:rPr>
          <w:rFonts w:ascii="Arial" w:hAnsi="Arial" w:cs="Arial"/>
          <w:sz w:val="22"/>
          <w:szCs w:val="22"/>
        </w:rPr>
      </w:pPr>
      <w:r w:rsidRPr="00CC5F04">
        <w:rPr>
          <w:rFonts w:ascii="Arial" w:hAnsi="Arial" w:cs="Arial"/>
          <w:b/>
          <w:bCs/>
        </w:rPr>
        <w:t>National Level (UK):</w:t>
      </w:r>
      <w:r w:rsidRPr="00505F11">
        <w:rPr>
          <w:rFonts w:ascii="Arial" w:hAnsi="Arial" w:cs="Arial"/>
          <w:b/>
          <w:bCs/>
          <w:sz w:val="22"/>
          <w:szCs w:val="22"/>
        </w:rPr>
        <w:t xml:space="preserve"> </w:t>
      </w:r>
      <w:r w:rsidR="00B31A09" w:rsidRPr="00505F11">
        <w:rPr>
          <w:rFonts w:ascii="Arial" w:hAnsi="Arial" w:cs="Arial"/>
          <w:sz w:val="22"/>
          <w:szCs w:val="22"/>
        </w:rPr>
        <w:t xml:space="preserve">In </w:t>
      </w:r>
      <w:r w:rsidR="00191004">
        <w:rPr>
          <w:rFonts w:ascii="Arial" w:hAnsi="Arial" w:cs="Arial"/>
          <w:sz w:val="22"/>
          <w:szCs w:val="22"/>
        </w:rPr>
        <w:t xml:space="preserve">the </w:t>
      </w:r>
      <w:r w:rsidR="00B31A09" w:rsidRPr="00505F11">
        <w:rPr>
          <w:rFonts w:ascii="Arial" w:hAnsi="Arial" w:cs="Arial"/>
          <w:sz w:val="22"/>
          <w:szCs w:val="22"/>
        </w:rPr>
        <w:t xml:space="preserve">UK, inequality reduction is </w:t>
      </w:r>
      <w:r w:rsidR="00191004">
        <w:rPr>
          <w:rFonts w:ascii="Arial" w:hAnsi="Arial" w:cs="Arial"/>
          <w:sz w:val="22"/>
          <w:szCs w:val="22"/>
        </w:rPr>
        <w:t>institutionalised</w:t>
      </w:r>
      <w:r w:rsidR="00B31A09" w:rsidRPr="00505F11">
        <w:rPr>
          <w:rFonts w:ascii="Arial" w:hAnsi="Arial" w:cs="Arial"/>
          <w:sz w:val="22"/>
          <w:szCs w:val="22"/>
        </w:rPr>
        <w:t xml:space="preserve"> in </w:t>
      </w:r>
      <w:r w:rsidR="00CC5F04">
        <w:rPr>
          <w:rFonts w:ascii="Arial" w:hAnsi="Arial" w:cs="Arial"/>
          <w:sz w:val="22"/>
          <w:szCs w:val="22"/>
        </w:rPr>
        <w:t xml:space="preserve">law, such as the Equality Act 2010, which protects people by prohibiting </w:t>
      </w:r>
      <w:r w:rsidR="00B31A09" w:rsidRPr="00505F11">
        <w:rPr>
          <w:rFonts w:ascii="Arial" w:hAnsi="Arial" w:cs="Arial"/>
          <w:sz w:val="22"/>
          <w:szCs w:val="22"/>
        </w:rPr>
        <w:t>discrimination. The Health and Care Act 2022 strengthened ICS and aimed to simplify the integration of health and social care and eradicate regional inequalities (</w:t>
      </w:r>
      <w:proofErr w:type="spellStart"/>
      <w:r w:rsidR="00B31A09" w:rsidRPr="00505F11">
        <w:rPr>
          <w:rFonts w:ascii="Arial" w:hAnsi="Arial" w:cs="Arial"/>
          <w:sz w:val="22"/>
          <w:szCs w:val="22"/>
        </w:rPr>
        <w:t>Kandwal</w:t>
      </w:r>
      <w:proofErr w:type="spellEnd"/>
      <w:r w:rsidR="00B31A09" w:rsidRPr="00505F11">
        <w:rPr>
          <w:rFonts w:ascii="Arial" w:hAnsi="Arial" w:cs="Arial"/>
          <w:sz w:val="22"/>
          <w:szCs w:val="22"/>
        </w:rPr>
        <w:t xml:space="preserve"> et al., 2024). In </w:t>
      </w:r>
      <w:r w:rsidR="00191004">
        <w:rPr>
          <w:rFonts w:ascii="Arial" w:hAnsi="Arial" w:cs="Arial"/>
          <w:sz w:val="22"/>
          <w:szCs w:val="22"/>
        </w:rPr>
        <w:t xml:space="preserve">the </w:t>
      </w:r>
      <w:r w:rsidR="00B31A09" w:rsidRPr="00505F11">
        <w:rPr>
          <w:rFonts w:ascii="Arial" w:hAnsi="Arial" w:cs="Arial"/>
          <w:sz w:val="22"/>
          <w:szCs w:val="22"/>
        </w:rPr>
        <w:t xml:space="preserve">NHS England Long Term Plan, preventive care, digital shift, and health disparities, particularly </w:t>
      </w:r>
      <w:r w:rsidR="00191004">
        <w:rPr>
          <w:rFonts w:ascii="Arial" w:hAnsi="Arial" w:cs="Arial"/>
          <w:sz w:val="22"/>
          <w:szCs w:val="22"/>
        </w:rPr>
        <w:t xml:space="preserve">in </w:t>
      </w:r>
      <w:r w:rsidR="00B31A09" w:rsidRPr="00505F11">
        <w:rPr>
          <w:rFonts w:ascii="Arial" w:hAnsi="Arial" w:cs="Arial"/>
          <w:sz w:val="22"/>
          <w:szCs w:val="22"/>
        </w:rPr>
        <w:t>deprived communities</w:t>
      </w:r>
      <w:r w:rsidR="00191004">
        <w:rPr>
          <w:rFonts w:ascii="Arial" w:hAnsi="Arial" w:cs="Arial"/>
          <w:sz w:val="22"/>
          <w:szCs w:val="22"/>
        </w:rPr>
        <w:t>,</w:t>
      </w:r>
      <w:r w:rsidR="00B31A09" w:rsidRPr="00505F11">
        <w:rPr>
          <w:rFonts w:ascii="Arial" w:hAnsi="Arial" w:cs="Arial"/>
          <w:sz w:val="22"/>
          <w:szCs w:val="22"/>
        </w:rPr>
        <w:t xml:space="preserve"> </w:t>
      </w:r>
      <w:r w:rsidR="00642DAC" w:rsidRPr="00505F11">
        <w:rPr>
          <w:rFonts w:ascii="Arial" w:hAnsi="Arial" w:cs="Arial"/>
          <w:sz w:val="22"/>
          <w:szCs w:val="22"/>
        </w:rPr>
        <w:t>were</w:t>
      </w:r>
      <w:r w:rsidR="00B31A09" w:rsidRPr="00505F11">
        <w:rPr>
          <w:rFonts w:ascii="Arial" w:hAnsi="Arial" w:cs="Arial"/>
          <w:sz w:val="22"/>
          <w:szCs w:val="22"/>
        </w:rPr>
        <w:t xml:space="preserve"> </w:t>
      </w:r>
      <w:r w:rsidR="00191004">
        <w:rPr>
          <w:rFonts w:ascii="Arial" w:hAnsi="Arial" w:cs="Arial"/>
          <w:sz w:val="22"/>
          <w:szCs w:val="22"/>
        </w:rPr>
        <w:t>prioritised</w:t>
      </w:r>
      <w:r w:rsidR="00B31A09" w:rsidRPr="00505F11">
        <w:rPr>
          <w:rFonts w:ascii="Arial" w:hAnsi="Arial" w:cs="Arial"/>
          <w:sz w:val="22"/>
          <w:szCs w:val="22"/>
        </w:rPr>
        <w:t xml:space="preserve">. Programmes like Core20PLUS5 specifically target </w:t>
      </w:r>
      <w:r w:rsidR="00191004">
        <w:rPr>
          <w:rFonts w:ascii="Arial" w:hAnsi="Arial" w:cs="Arial"/>
          <w:sz w:val="22"/>
          <w:szCs w:val="22"/>
        </w:rPr>
        <w:t xml:space="preserve">the </w:t>
      </w:r>
      <w:r w:rsidR="00B31A09" w:rsidRPr="00505F11">
        <w:rPr>
          <w:rFonts w:ascii="Arial" w:hAnsi="Arial" w:cs="Arial"/>
          <w:sz w:val="22"/>
          <w:szCs w:val="22"/>
        </w:rPr>
        <w:t xml:space="preserve">most deprived 20% of </w:t>
      </w:r>
      <w:r w:rsidR="00191004">
        <w:rPr>
          <w:rFonts w:ascii="Arial" w:hAnsi="Arial" w:cs="Arial"/>
          <w:sz w:val="22"/>
          <w:szCs w:val="22"/>
        </w:rPr>
        <w:t xml:space="preserve">the </w:t>
      </w:r>
      <w:r w:rsidR="00B31A09" w:rsidRPr="00505F11">
        <w:rPr>
          <w:rFonts w:ascii="Arial" w:hAnsi="Arial" w:cs="Arial"/>
          <w:sz w:val="22"/>
          <w:szCs w:val="22"/>
        </w:rPr>
        <w:t>population (NHS England, 2021).</w:t>
      </w:r>
    </w:p>
    <w:p w14:paraId="0EB10179" w14:textId="4CB5E311" w:rsidR="00CA4AFA" w:rsidRPr="00505F11" w:rsidRDefault="00AA7F1F" w:rsidP="00505F11">
      <w:pPr>
        <w:spacing w:line="360" w:lineRule="auto"/>
        <w:rPr>
          <w:rFonts w:ascii="Arial" w:hAnsi="Arial" w:cs="Arial"/>
          <w:sz w:val="22"/>
          <w:szCs w:val="22"/>
        </w:rPr>
      </w:pPr>
      <w:r w:rsidRPr="00505F11">
        <w:rPr>
          <w:rFonts w:ascii="Arial" w:hAnsi="Arial" w:cs="Arial"/>
          <w:sz w:val="22"/>
          <w:szCs w:val="22"/>
        </w:rPr>
        <w:lastRenderedPageBreak/>
        <w:t xml:space="preserve">Local strategies </w:t>
      </w:r>
      <w:r w:rsidR="009C10AC" w:rsidRPr="00505F11">
        <w:rPr>
          <w:rFonts w:ascii="Arial" w:hAnsi="Arial" w:cs="Arial"/>
          <w:sz w:val="22"/>
          <w:szCs w:val="22"/>
        </w:rPr>
        <w:t>like</w:t>
      </w:r>
      <w:r w:rsidRPr="00505F11">
        <w:rPr>
          <w:rFonts w:ascii="Arial" w:hAnsi="Arial" w:cs="Arial"/>
          <w:sz w:val="22"/>
          <w:szCs w:val="22"/>
        </w:rPr>
        <w:t xml:space="preserve"> social prescribing, smoking cessation services, and NHS Health Checks are trying to reduce </w:t>
      </w:r>
      <w:r w:rsidR="00CC5F04">
        <w:rPr>
          <w:rFonts w:ascii="Arial" w:hAnsi="Arial" w:cs="Arial"/>
          <w:sz w:val="22"/>
          <w:szCs w:val="22"/>
        </w:rPr>
        <w:t>behavioural</w:t>
      </w:r>
      <w:r w:rsidRPr="00505F11">
        <w:rPr>
          <w:rFonts w:ascii="Arial" w:hAnsi="Arial" w:cs="Arial"/>
          <w:sz w:val="22"/>
          <w:szCs w:val="22"/>
        </w:rPr>
        <w:t xml:space="preserve"> risk factors and environmental ones in disadvantaged localities (</w:t>
      </w:r>
      <w:proofErr w:type="spellStart"/>
      <w:r w:rsidRPr="00505F11">
        <w:rPr>
          <w:rFonts w:ascii="Arial" w:hAnsi="Arial" w:cs="Arial"/>
          <w:sz w:val="22"/>
          <w:szCs w:val="22"/>
        </w:rPr>
        <w:t>Mabhala</w:t>
      </w:r>
      <w:proofErr w:type="spellEnd"/>
      <w:r w:rsidRPr="00505F11">
        <w:rPr>
          <w:rFonts w:ascii="Arial" w:hAnsi="Arial" w:cs="Arial"/>
          <w:sz w:val="22"/>
          <w:szCs w:val="22"/>
        </w:rPr>
        <w:t>, 2025). Despite this, there are still some gaps. The disparity in life expectancy between wealthy and underprivileged areas remains, and the growth of digital healthcare poses the risk of increasing exclusion rates among older populations and low-income families that cannot access digital devices</w:t>
      </w:r>
      <w:r w:rsidR="00CA4AFA" w:rsidRPr="00505F11">
        <w:rPr>
          <w:rFonts w:ascii="Arial" w:hAnsi="Arial" w:cs="Arial"/>
          <w:sz w:val="22"/>
          <w:szCs w:val="22"/>
        </w:rPr>
        <w:t>.</w:t>
      </w:r>
    </w:p>
    <w:p w14:paraId="5739F2E9" w14:textId="28187CF4" w:rsidR="0080383B" w:rsidRPr="00CC5F04" w:rsidRDefault="00245FD1" w:rsidP="00505F11">
      <w:pPr>
        <w:pStyle w:val="Heading2"/>
        <w:numPr>
          <w:ilvl w:val="1"/>
          <w:numId w:val="1"/>
        </w:numPr>
        <w:spacing w:line="360" w:lineRule="auto"/>
        <w:rPr>
          <w:rFonts w:ascii="Arial" w:hAnsi="Arial" w:cs="Arial"/>
          <w:b/>
          <w:bCs/>
          <w:sz w:val="24"/>
          <w:szCs w:val="24"/>
        </w:rPr>
      </w:pPr>
      <w:bookmarkStart w:id="14" w:name="_Toc223389139"/>
      <w:r w:rsidRPr="00CC5F04">
        <w:rPr>
          <w:rFonts w:ascii="Arial" w:hAnsi="Arial" w:cs="Arial"/>
          <w:b/>
          <w:bCs/>
          <w:sz w:val="24"/>
          <w:szCs w:val="24"/>
        </w:rPr>
        <w:t>Theoretical</w:t>
      </w:r>
      <w:r w:rsidR="00E4417A" w:rsidRPr="00CC5F04">
        <w:rPr>
          <w:rFonts w:ascii="Arial" w:hAnsi="Arial" w:cs="Arial"/>
          <w:b/>
          <w:bCs/>
          <w:sz w:val="24"/>
          <w:szCs w:val="24"/>
        </w:rPr>
        <w:t xml:space="preserve"> Model: Social </w:t>
      </w:r>
      <w:r w:rsidRPr="00CC5F04">
        <w:rPr>
          <w:rFonts w:ascii="Arial" w:hAnsi="Arial" w:cs="Arial"/>
          <w:b/>
          <w:bCs/>
          <w:sz w:val="24"/>
          <w:szCs w:val="24"/>
        </w:rPr>
        <w:t>Cognitive Theory</w:t>
      </w:r>
      <w:bookmarkEnd w:id="14"/>
    </w:p>
    <w:p w14:paraId="0EB4150D" w14:textId="1A09A4A8" w:rsidR="009869A6" w:rsidRPr="00505F11" w:rsidRDefault="000236E7" w:rsidP="00505F11">
      <w:pPr>
        <w:spacing w:line="360" w:lineRule="auto"/>
        <w:rPr>
          <w:rFonts w:ascii="Arial" w:hAnsi="Arial" w:cs="Arial"/>
          <w:sz w:val="22"/>
          <w:szCs w:val="22"/>
        </w:rPr>
      </w:pPr>
      <w:r w:rsidRPr="00505F11">
        <w:rPr>
          <w:rFonts w:ascii="Arial" w:hAnsi="Arial" w:cs="Arial"/>
          <w:sz w:val="22"/>
          <w:szCs w:val="22"/>
        </w:rPr>
        <w:t xml:space="preserve">Albert Bandura developed the Social Cognitive Theory that can be used to analyse SDG 10 in practice critically. SCT </w:t>
      </w:r>
      <w:r w:rsidR="00CC5F04">
        <w:rPr>
          <w:rFonts w:ascii="Arial" w:hAnsi="Arial" w:cs="Arial"/>
          <w:sz w:val="22"/>
          <w:szCs w:val="22"/>
        </w:rPr>
        <w:t>emphasises</w:t>
      </w:r>
      <w:r w:rsidRPr="00505F11">
        <w:rPr>
          <w:rFonts w:ascii="Arial" w:hAnsi="Arial" w:cs="Arial"/>
          <w:sz w:val="22"/>
          <w:szCs w:val="22"/>
        </w:rPr>
        <w:t xml:space="preserve"> the importance of reciprocal determinism</w:t>
      </w:r>
      <w:r w:rsidR="00191004">
        <w:rPr>
          <w:rFonts w:ascii="Arial" w:hAnsi="Arial" w:cs="Arial"/>
          <w:sz w:val="22"/>
          <w:szCs w:val="22"/>
        </w:rPr>
        <w:t>,</w:t>
      </w:r>
      <w:r w:rsidRPr="00505F11">
        <w:rPr>
          <w:rFonts w:ascii="Arial" w:hAnsi="Arial" w:cs="Arial"/>
          <w:sz w:val="22"/>
          <w:szCs w:val="22"/>
        </w:rPr>
        <w:t xml:space="preserve"> which means that interaction between cognitive and environmental factors and behaviour is dynamic (Nickerson, 2024). Some of the fundamental aspects are observational learning, self-efficacy and reinforcement. The theory further hypothesises that social modelling and positive settings </w:t>
      </w:r>
      <w:r w:rsidR="00CC5F04">
        <w:rPr>
          <w:rFonts w:ascii="Arial" w:hAnsi="Arial" w:cs="Arial"/>
          <w:sz w:val="22"/>
          <w:szCs w:val="22"/>
        </w:rPr>
        <w:t>affect health behaviours (e.g., smoking cessation or exercise) in the context of</w:t>
      </w:r>
      <w:r w:rsidRPr="00505F11">
        <w:rPr>
          <w:rFonts w:ascii="Arial" w:hAnsi="Arial" w:cs="Arial"/>
          <w:sz w:val="22"/>
          <w:szCs w:val="22"/>
        </w:rPr>
        <w:t xml:space="preserve"> inequality reduction. To illustrate, any of the community-based initiatives in disadvantaged areas that </w:t>
      </w:r>
      <w:r w:rsidR="00191004">
        <w:rPr>
          <w:rFonts w:ascii="Arial" w:hAnsi="Arial" w:cs="Arial"/>
          <w:sz w:val="22"/>
          <w:szCs w:val="22"/>
        </w:rPr>
        <w:t>emphasise</w:t>
      </w:r>
      <w:r w:rsidRPr="00505F11">
        <w:rPr>
          <w:rFonts w:ascii="Arial" w:hAnsi="Arial" w:cs="Arial"/>
          <w:sz w:val="22"/>
          <w:szCs w:val="22"/>
        </w:rPr>
        <w:t xml:space="preserve"> common peer role models can strengthen the belief among people that they can change (self-efficacy)</w:t>
      </w:r>
      <w:r w:rsidR="00245FD1" w:rsidRPr="00505F11">
        <w:rPr>
          <w:rFonts w:ascii="Arial" w:hAnsi="Arial" w:cs="Arial"/>
          <w:sz w:val="22"/>
          <w:szCs w:val="22"/>
        </w:rPr>
        <w:t xml:space="preserve">. </w:t>
      </w:r>
    </w:p>
    <w:p w14:paraId="41802F29" w14:textId="77777777" w:rsidR="00E2760E" w:rsidRPr="00505F11" w:rsidRDefault="00E2760E" w:rsidP="00505F11">
      <w:pPr>
        <w:keepNext/>
        <w:spacing w:line="360" w:lineRule="auto"/>
        <w:jc w:val="center"/>
        <w:rPr>
          <w:rFonts w:ascii="Arial" w:hAnsi="Arial" w:cs="Arial"/>
          <w:sz w:val="22"/>
          <w:szCs w:val="22"/>
        </w:rPr>
      </w:pPr>
      <w:r w:rsidRPr="00505F11">
        <w:rPr>
          <w:rFonts w:ascii="Arial" w:hAnsi="Arial" w:cs="Arial"/>
          <w:noProof/>
          <w:sz w:val="22"/>
          <w:szCs w:val="22"/>
        </w:rPr>
        <w:drawing>
          <wp:inline distT="0" distB="0" distL="0" distR="0" wp14:anchorId="51FDAEE0" wp14:editId="2A096283">
            <wp:extent cx="4688958" cy="2731719"/>
            <wp:effectExtent l="0" t="0" r="0" b="0"/>
            <wp:docPr id="3" name="Picture 2">
              <a:extLst xmlns:a="http://schemas.openxmlformats.org/drawingml/2006/main">
                <a:ext uri="{FF2B5EF4-FFF2-40B4-BE49-F238E27FC236}">
                  <a16:creationId xmlns:a16="http://schemas.microsoft.com/office/drawing/2014/main" id="{32FE82A3-548F-3100-0D56-C8863450A3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2FE82A3-548F-3100-0D56-C8863450A371}"/>
                        </a:ext>
                      </a:extLst>
                    </pic:cNvPr>
                    <pic:cNvPicPr>
                      <a:picLocks noChangeAspect="1"/>
                    </pic:cNvPicPr>
                  </pic:nvPicPr>
                  <pic:blipFill>
                    <a:blip r:embed="rId12"/>
                    <a:srcRect t="5404" b="4324"/>
                    <a:stretch/>
                  </pic:blipFill>
                  <pic:spPr>
                    <a:xfrm>
                      <a:off x="0" y="0"/>
                      <a:ext cx="4696947" cy="2736373"/>
                    </a:xfrm>
                    <a:prstGeom prst="rect">
                      <a:avLst/>
                    </a:prstGeom>
                  </pic:spPr>
                </pic:pic>
              </a:graphicData>
            </a:graphic>
          </wp:inline>
        </w:drawing>
      </w:r>
    </w:p>
    <w:p w14:paraId="57A67A31" w14:textId="4FC7640E" w:rsidR="00E2760E" w:rsidRPr="00CC5F04" w:rsidRDefault="00E2760E" w:rsidP="00505F11">
      <w:pPr>
        <w:pStyle w:val="Caption"/>
        <w:spacing w:line="360" w:lineRule="auto"/>
        <w:jc w:val="center"/>
        <w:rPr>
          <w:rFonts w:ascii="Arial" w:hAnsi="Arial" w:cs="Arial"/>
          <w:b/>
          <w:bCs/>
          <w:sz w:val="24"/>
          <w:szCs w:val="24"/>
        </w:rPr>
      </w:pPr>
      <w:r w:rsidRPr="00CC5F04">
        <w:rPr>
          <w:rFonts w:ascii="Arial" w:hAnsi="Arial" w:cs="Arial"/>
          <w:b/>
          <w:bCs/>
          <w:sz w:val="24"/>
          <w:szCs w:val="24"/>
        </w:rPr>
        <w:t xml:space="preserve">Figure </w:t>
      </w:r>
      <w:r w:rsidRPr="00CC5F04">
        <w:rPr>
          <w:rFonts w:ascii="Arial" w:hAnsi="Arial" w:cs="Arial"/>
          <w:b/>
          <w:bCs/>
          <w:sz w:val="24"/>
          <w:szCs w:val="24"/>
        </w:rPr>
        <w:fldChar w:fldCharType="begin"/>
      </w:r>
      <w:r w:rsidRPr="00CC5F04">
        <w:rPr>
          <w:rFonts w:ascii="Arial" w:hAnsi="Arial" w:cs="Arial"/>
          <w:b/>
          <w:bCs/>
          <w:sz w:val="24"/>
          <w:szCs w:val="24"/>
        </w:rPr>
        <w:instrText xml:space="preserve"> SEQ Figure \* ARABIC </w:instrText>
      </w:r>
      <w:r w:rsidRPr="00CC5F04">
        <w:rPr>
          <w:rFonts w:ascii="Arial" w:hAnsi="Arial" w:cs="Arial"/>
          <w:b/>
          <w:bCs/>
          <w:sz w:val="24"/>
          <w:szCs w:val="24"/>
        </w:rPr>
        <w:fldChar w:fldCharType="separate"/>
      </w:r>
      <w:r w:rsidRPr="00CC5F04">
        <w:rPr>
          <w:rFonts w:ascii="Arial" w:hAnsi="Arial" w:cs="Arial"/>
          <w:b/>
          <w:bCs/>
          <w:noProof/>
          <w:sz w:val="24"/>
          <w:szCs w:val="24"/>
        </w:rPr>
        <w:t>6</w:t>
      </w:r>
      <w:r w:rsidRPr="00CC5F04">
        <w:rPr>
          <w:rFonts w:ascii="Arial" w:hAnsi="Arial" w:cs="Arial"/>
          <w:b/>
          <w:bCs/>
          <w:sz w:val="24"/>
          <w:szCs w:val="24"/>
        </w:rPr>
        <w:fldChar w:fldCharType="end"/>
      </w:r>
      <w:r w:rsidRPr="00CC5F04">
        <w:rPr>
          <w:rFonts w:ascii="Arial" w:hAnsi="Arial" w:cs="Arial"/>
          <w:b/>
          <w:bCs/>
          <w:sz w:val="24"/>
          <w:szCs w:val="24"/>
        </w:rPr>
        <w:t xml:space="preserve"> Social Cognitive Theory (Nickerson, 2024)</w:t>
      </w:r>
    </w:p>
    <w:p w14:paraId="52057F1B" w14:textId="618F3C40" w:rsidR="00245FD1" w:rsidRPr="00505F11" w:rsidRDefault="004112C1" w:rsidP="00505F11">
      <w:pPr>
        <w:spacing w:line="360" w:lineRule="auto"/>
        <w:rPr>
          <w:rFonts w:ascii="Arial" w:hAnsi="Arial" w:cs="Arial"/>
          <w:sz w:val="22"/>
          <w:szCs w:val="22"/>
        </w:rPr>
      </w:pPr>
      <w:r w:rsidRPr="00505F11">
        <w:rPr>
          <w:rFonts w:ascii="Arial" w:hAnsi="Arial" w:cs="Arial"/>
          <w:sz w:val="22"/>
          <w:szCs w:val="22"/>
        </w:rPr>
        <w:t>Likewise, social prescribing initiatives allow individuals involved in the programmes to observe others engaging in gardening or exercising groups</w:t>
      </w:r>
      <w:r w:rsidR="00CC5F04">
        <w:rPr>
          <w:rFonts w:ascii="Arial" w:hAnsi="Arial" w:cs="Arial"/>
          <w:sz w:val="22"/>
          <w:szCs w:val="22"/>
        </w:rPr>
        <w:t>. In contrast, constant</w:t>
      </w:r>
      <w:r w:rsidRPr="00505F11">
        <w:rPr>
          <w:rFonts w:ascii="Arial" w:hAnsi="Arial" w:cs="Arial"/>
          <w:sz w:val="22"/>
          <w:szCs w:val="22"/>
        </w:rPr>
        <w:t xml:space="preserve"> social reinforcement is a means of going about the continuation of behaviour change. Nonetheless, SCT is flawed in its </w:t>
      </w:r>
      <w:r w:rsidRPr="00505F11">
        <w:rPr>
          <w:rFonts w:ascii="Arial" w:hAnsi="Arial" w:cs="Arial"/>
          <w:sz w:val="22"/>
          <w:szCs w:val="22"/>
        </w:rPr>
        <w:lastRenderedPageBreak/>
        <w:t>approach to the problem of structural inequality because it may emphasise individual accountability at the expense of structural obstacles like poverty or insecure housing (Mailey et al., 2019). Hence, it works best alongside larger</w:t>
      </w:r>
      <w:r w:rsidR="00191004">
        <w:rPr>
          <w:rFonts w:ascii="Arial" w:hAnsi="Arial" w:cs="Arial"/>
          <w:sz w:val="22"/>
          <w:szCs w:val="22"/>
        </w:rPr>
        <w:t>, more structural,</w:t>
      </w:r>
      <w:r w:rsidRPr="00505F11">
        <w:rPr>
          <w:rFonts w:ascii="Arial" w:hAnsi="Arial" w:cs="Arial"/>
          <w:sz w:val="22"/>
          <w:szCs w:val="22"/>
        </w:rPr>
        <w:t xml:space="preserve"> and ecological solutions</w:t>
      </w:r>
      <w:r w:rsidR="00245FD1" w:rsidRPr="00505F11">
        <w:rPr>
          <w:rFonts w:ascii="Arial" w:hAnsi="Arial" w:cs="Arial"/>
          <w:sz w:val="22"/>
          <w:szCs w:val="22"/>
        </w:rPr>
        <w:t>.</w:t>
      </w:r>
    </w:p>
    <w:p w14:paraId="787BD80D" w14:textId="3C9E0549" w:rsidR="00D2031B" w:rsidRPr="00505F11" w:rsidRDefault="00D2031B" w:rsidP="00505F11">
      <w:pPr>
        <w:pStyle w:val="Heading2"/>
        <w:numPr>
          <w:ilvl w:val="1"/>
          <w:numId w:val="1"/>
        </w:numPr>
        <w:spacing w:line="360" w:lineRule="auto"/>
        <w:rPr>
          <w:rFonts w:ascii="Arial" w:hAnsi="Arial" w:cs="Arial"/>
          <w:b/>
          <w:bCs/>
          <w:sz w:val="22"/>
          <w:szCs w:val="22"/>
        </w:rPr>
      </w:pPr>
      <w:bookmarkStart w:id="15" w:name="_Toc223389140"/>
      <w:r w:rsidRPr="00505F11">
        <w:rPr>
          <w:rFonts w:ascii="Arial" w:hAnsi="Arial" w:cs="Arial"/>
          <w:b/>
          <w:bCs/>
          <w:sz w:val="22"/>
          <w:szCs w:val="22"/>
        </w:rPr>
        <w:t>Critical Evaluation of Effectiveness</w:t>
      </w:r>
      <w:bookmarkEnd w:id="15"/>
    </w:p>
    <w:p w14:paraId="6124D4AB" w14:textId="574442C8" w:rsidR="001F4BD3" w:rsidRPr="00CC5F04" w:rsidRDefault="001F4BD3" w:rsidP="00505F11">
      <w:pPr>
        <w:pStyle w:val="Heading3"/>
        <w:numPr>
          <w:ilvl w:val="2"/>
          <w:numId w:val="1"/>
        </w:numPr>
        <w:spacing w:line="360" w:lineRule="auto"/>
        <w:rPr>
          <w:rFonts w:ascii="Arial" w:hAnsi="Arial" w:cs="Arial"/>
          <w:b/>
          <w:bCs/>
          <w:i/>
          <w:iCs/>
          <w:szCs w:val="24"/>
        </w:rPr>
      </w:pPr>
      <w:bookmarkStart w:id="16" w:name="_Toc223389141"/>
      <w:r w:rsidRPr="00CC5F04">
        <w:rPr>
          <w:rFonts w:ascii="Arial" w:hAnsi="Arial" w:cs="Arial"/>
          <w:b/>
          <w:bCs/>
          <w:i/>
          <w:iCs/>
          <w:szCs w:val="24"/>
        </w:rPr>
        <w:t>Impact on Health Outcomes</w:t>
      </w:r>
      <w:bookmarkEnd w:id="16"/>
    </w:p>
    <w:p w14:paraId="52F17C9F" w14:textId="10B5369F" w:rsidR="001F4BD3" w:rsidRPr="00505F11" w:rsidRDefault="008F4006" w:rsidP="00505F11">
      <w:pPr>
        <w:spacing w:line="360" w:lineRule="auto"/>
        <w:rPr>
          <w:rFonts w:ascii="Arial" w:hAnsi="Arial" w:cs="Arial"/>
          <w:sz w:val="22"/>
          <w:szCs w:val="22"/>
        </w:rPr>
      </w:pPr>
      <w:r w:rsidRPr="00505F11">
        <w:rPr>
          <w:rFonts w:ascii="Arial" w:hAnsi="Arial" w:cs="Arial"/>
          <w:sz w:val="22"/>
          <w:szCs w:val="22"/>
        </w:rPr>
        <w:t>Specific UK initiatives</w:t>
      </w:r>
      <w:r w:rsidR="00191004">
        <w:rPr>
          <w:rFonts w:ascii="Arial" w:hAnsi="Arial" w:cs="Arial"/>
          <w:sz w:val="22"/>
          <w:szCs w:val="22"/>
        </w:rPr>
        <w:t xml:space="preserve">, such as Core20PLUS5, have contributed to increased uptake and early diagnosis among </w:t>
      </w:r>
      <w:r w:rsidRPr="00505F11">
        <w:rPr>
          <w:rFonts w:ascii="Arial" w:hAnsi="Arial" w:cs="Arial"/>
          <w:sz w:val="22"/>
          <w:szCs w:val="22"/>
        </w:rPr>
        <w:t xml:space="preserve">high-risk groups (NHS England, 2021). However, assessment data indicate </w:t>
      </w:r>
      <w:r w:rsidR="00191004">
        <w:rPr>
          <w:rFonts w:ascii="Arial" w:hAnsi="Arial" w:cs="Arial"/>
          <w:sz w:val="22"/>
          <w:szCs w:val="22"/>
        </w:rPr>
        <w:t xml:space="preserve">both positive and negative </w:t>
      </w:r>
      <w:proofErr w:type="gramStart"/>
      <w:r w:rsidR="00191004">
        <w:rPr>
          <w:rFonts w:ascii="Arial" w:hAnsi="Arial" w:cs="Arial"/>
          <w:sz w:val="22"/>
          <w:szCs w:val="22"/>
        </w:rPr>
        <w:t>long</w:t>
      </w:r>
      <w:r w:rsidR="00CC5F04">
        <w:rPr>
          <w:rFonts w:ascii="Arial" w:hAnsi="Arial" w:cs="Arial"/>
          <w:sz w:val="22"/>
          <w:szCs w:val="22"/>
        </w:rPr>
        <w:t xml:space="preserve"> </w:t>
      </w:r>
      <w:r w:rsidR="00191004">
        <w:rPr>
          <w:rFonts w:ascii="Arial" w:hAnsi="Arial" w:cs="Arial"/>
          <w:sz w:val="22"/>
          <w:szCs w:val="22"/>
        </w:rPr>
        <w:t>term</w:t>
      </w:r>
      <w:proofErr w:type="gramEnd"/>
      <w:r w:rsidR="00191004">
        <w:rPr>
          <w:rFonts w:ascii="Arial" w:hAnsi="Arial" w:cs="Arial"/>
          <w:sz w:val="22"/>
          <w:szCs w:val="22"/>
        </w:rPr>
        <w:t xml:space="preserve"> effects on bridging life expectancy gaps</w:t>
      </w:r>
      <w:r w:rsidR="001F4BD3" w:rsidRPr="00505F11">
        <w:rPr>
          <w:rFonts w:ascii="Arial" w:hAnsi="Arial" w:cs="Arial"/>
          <w:sz w:val="22"/>
          <w:szCs w:val="22"/>
        </w:rPr>
        <w:t>.</w:t>
      </w:r>
    </w:p>
    <w:p w14:paraId="1546C1D9" w14:textId="092B526E" w:rsidR="001F4BD3" w:rsidRPr="00CC5F04" w:rsidRDefault="001F4BD3" w:rsidP="00505F11">
      <w:pPr>
        <w:pStyle w:val="Heading3"/>
        <w:numPr>
          <w:ilvl w:val="2"/>
          <w:numId w:val="1"/>
        </w:numPr>
        <w:spacing w:line="360" w:lineRule="auto"/>
        <w:rPr>
          <w:rFonts w:ascii="Arial" w:hAnsi="Arial" w:cs="Arial"/>
          <w:b/>
          <w:bCs/>
          <w:i/>
          <w:iCs/>
          <w:szCs w:val="24"/>
        </w:rPr>
      </w:pPr>
      <w:bookmarkStart w:id="17" w:name="_Toc223389142"/>
      <w:r w:rsidRPr="00CC5F04">
        <w:rPr>
          <w:rFonts w:ascii="Arial" w:hAnsi="Arial" w:cs="Arial"/>
          <w:b/>
          <w:bCs/>
          <w:i/>
          <w:iCs/>
          <w:szCs w:val="24"/>
        </w:rPr>
        <w:t>Sustainability:</w:t>
      </w:r>
      <w:bookmarkEnd w:id="17"/>
    </w:p>
    <w:p w14:paraId="1F8A78C3" w14:textId="1E59C0A0" w:rsidR="001F4BD3" w:rsidRPr="00505F11" w:rsidRDefault="00191004" w:rsidP="00505F11">
      <w:pPr>
        <w:spacing w:line="360" w:lineRule="auto"/>
        <w:rPr>
          <w:rFonts w:ascii="Arial" w:hAnsi="Arial" w:cs="Arial"/>
          <w:sz w:val="22"/>
          <w:szCs w:val="22"/>
        </w:rPr>
      </w:pPr>
      <w:r>
        <w:rPr>
          <w:rFonts w:ascii="Arial" w:hAnsi="Arial" w:cs="Arial"/>
          <w:sz w:val="22"/>
          <w:szCs w:val="22"/>
        </w:rPr>
        <w:t>Preventive initiatives are cost effective, but limited NHS funding</w:t>
      </w:r>
      <w:r w:rsidR="00D549E4" w:rsidRPr="00505F11">
        <w:rPr>
          <w:rFonts w:ascii="Arial" w:hAnsi="Arial" w:cs="Arial"/>
          <w:sz w:val="22"/>
          <w:szCs w:val="22"/>
        </w:rPr>
        <w:t xml:space="preserve"> restricts their expansion. The threat of economic pressures is that they tend to change prevention to acute care</w:t>
      </w:r>
      <w:r w:rsidR="001F4BD3" w:rsidRPr="00505F11">
        <w:rPr>
          <w:rFonts w:ascii="Arial" w:hAnsi="Arial" w:cs="Arial"/>
          <w:sz w:val="22"/>
          <w:szCs w:val="22"/>
        </w:rPr>
        <w:t>.</w:t>
      </w:r>
    </w:p>
    <w:p w14:paraId="1E47A1EA" w14:textId="5BA928FF" w:rsidR="001F4BD3" w:rsidRPr="00CC5F04" w:rsidRDefault="001F4BD3" w:rsidP="00505F11">
      <w:pPr>
        <w:pStyle w:val="Heading3"/>
        <w:numPr>
          <w:ilvl w:val="2"/>
          <w:numId w:val="1"/>
        </w:numPr>
        <w:spacing w:line="360" w:lineRule="auto"/>
        <w:rPr>
          <w:rFonts w:ascii="Arial" w:hAnsi="Arial" w:cs="Arial"/>
          <w:b/>
          <w:bCs/>
          <w:i/>
          <w:iCs/>
          <w:szCs w:val="24"/>
        </w:rPr>
      </w:pPr>
      <w:bookmarkStart w:id="18" w:name="_Toc223389143"/>
      <w:r w:rsidRPr="00CC5F04">
        <w:rPr>
          <w:rFonts w:ascii="Arial" w:hAnsi="Arial" w:cs="Arial"/>
          <w:b/>
          <w:bCs/>
          <w:i/>
          <w:iCs/>
          <w:szCs w:val="24"/>
        </w:rPr>
        <w:t>Accessibility</w:t>
      </w:r>
      <w:bookmarkEnd w:id="18"/>
    </w:p>
    <w:p w14:paraId="5CBFA048" w14:textId="7B2BFEC4" w:rsidR="001F4BD3" w:rsidRPr="00505F11" w:rsidRDefault="00FD6B1F" w:rsidP="00505F11">
      <w:pPr>
        <w:spacing w:line="360" w:lineRule="auto"/>
        <w:rPr>
          <w:rFonts w:ascii="Arial" w:hAnsi="Arial" w:cs="Arial"/>
          <w:sz w:val="22"/>
          <w:szCs w:val="22"/>
        </w:rPr>
      </w:pPr>
      <w:r w:rsidRPr="00505F11">
        <w:rPr>
          <w:rFonts w:ascii="Arial" w:hAnsi="Arial" w:cs="Arial"/>
          <w:sz w:val="22"/>
          <w:szCs w:val="22"/>
        </w:rPr>
        <w:t xml:space="preserve">The use of telehealth enhances rural access but causes digital exclusion </w:t>
      </w:r>
      <w:r w:rsidR="00505F11">
        <w:rPr>
          <w:rFonts w:ascii="Arial" w:hAnsi="Arial" w:cs="Arial"/>
          <w:sz w:val="22"/>
          <w:szCs w:val="22"/>
        </w:rPr>
        <w:t>among</w:t>
      </w:r>
      <w:r w:rsidRPr="00505F11">
        <w:rPr>
          <w:rFonts w:ascii="Arial" w:hAnsi="Arial" w:cs="Arial"/>
          <w:sz w:val="22"/>
          <w:szCs w:val="22"/>
        </w:rPr>
        <w:t xml:space="preserve"> vulnerable groups. According to Ofcom reports, older and deprived people are less digitally literate, which may further increase inequality </w:t>
      </w:r>
      <w:r w:rsidR="00F673D3" w:rsidRPr="00505F11">
        <w:rPr>
          <w:rFonts w:ascii="Arial" w:hAnsi="Arial" w:cs="Arial"/>
          <w:sz w:val="22"/>
          <w:szCs w:val="22"/>
        </w:rPr>
        <w:t>(Ofcom, 2022)</w:t>
      </w:r>
      <w:r w:rsidR="001F4BD3" w:rsidRPr="00505F11">
        <w:rPr>
          <w:rFonts w:ascii="Arial" w:hAnsi="Arial" w:cs="Arial"/>
          <w:sz w:val="22"/>
          <w:szCs w:val="22"/>
        </w:rPr>
        <w:t>.</w:t>
      </w:r>
    </w:p>
    <w:p w14:paraId="3E74D946" w14:textId="039699C1" w:rsidR="001F4BD3" w:rsidRPr="00CC5F04" w:rsidRDefault="001F4BD3" w:rsidP="00505F11">
      <w:pPr>
        <w:pStyle w:val="Heading3"/>
        <w:numPr>
          <w:ilvl w:val="2"/>
          <w:numId w:val="1"/>
        </w:numPr>
        <w:spacing w:line="360" w:lineRule="auto"/>
        <w:rPr>
          <w:rFonts w:ascii="Arial" w:hAnsi="Arial" w:cs="Arial"/>
          <w:b/>
          <w:bCs/>
          <w:i/>
          <w:iCs/>
          <w:szCs w:val="24"/>
        </w:rPr>
      </w:pPr>
      <w:bookmarkStart w:id="19" w:name="_Toc223389144"/>
      <w:r w:rsidRPr="00CC5F04">
        <w:rPr>
          <w:rFonts w:ascii="Arial" w:hAnsi="Arial" w:cs="Arial"/>
          <w:b/>
          <w:bCs/>
          <w:i/>
          <w:iCs/>
          <w:szCs w:val="24"/>
        </w:rPr>
        <w:t>Global Effectiveness</w:t>
      </w:r>
      <w:bookmarkEnd w:id="19"/>
    </w:p>
    <w:p w14:paraId="71D43410" w14:textId="2C28591F" w:rsidR="001F4BD3" w:rsidRPr="00505F11" w:rsidRDefault="00505F11" w:rsidP="00505F11">
      <w:pPr>
        <w:spacing w:line="360" w:lineRule="auto"/>
        <w:rPr>
          <w:rFonts w:ascii="Arial" w:hAnsi="Arial" w:cs="Arial"/>
          <w:sz w:val="22"/>
          <w:szCs w:val="22"/>
        </w:rPr>
      </w:pPr>
      <w:r>
        <w:rPr>
          <w:rFonts w:ascii="Arial" w:hAnsi="Arial" w:cs="Arial"/>
          <w:sz w:val="22"/>
          <w:szCs w:val="22"/>
        </w:rPr>
        <w:t xml:space="preserve">The millions of lives </w:t>
      </w:r>
      <w:r w:rsidR="00191004">
        <w:rPr>
          <w:rFonts w:ascii="Arial" w:hAnsi="Arial" w:cs="Arial"/>
          <w:sz w:val="22"/>
          <w:szCs w:val="22"/>
        </w:rPr>
        <w:t>the Global Fund has reported saving</w:t>
      </w:r>
      <w:r w:rsidR="00E96EA4" w:rsidRPr="00505F11">
        <w:rPr>
          <w:rFonts w:ascii="Arial" w:hAnsi="Arial" w:cs="Arial"/>
          <w:sz w:val="22"/>
          <w:szCs w:val="22"/>
        </w:rPr>
        <w:t xml:space="preserve">. However, </w:t>
      </w:r>
      <w:r>
        <w:rPr>
          <w:rFonts w:ascii="Arial" w:hAnsi="Arial" w:cs="Arial"/>
          <w:sz w:val="22"/>
          <w:szCs w:val="22"/>
        </w:rPr>
        <w:t>infectious disease programmes do not directly address</w:t>
      </w:r>
      <w:r w:rsidR="00E96EA4" w:rsidRPr="00505F11">
        <w:rPr>
          <w:rFonts w:ascii="Arial" w:hAnsi="Arial" w:cs="Arial"/>
          <w:sz w:val="22"/>
          <w:szCs w:val="22"/>
        </w:rPr>
        <w:t xml:space="preserve"> the underlying drivers of social inequality, such as education or employment systems (</w:t>
      </w:r>
      <w:proofErr w:type="spellStart"/>
      <w:r w:rsidR="00E96EA4" w:rsidRPr="00505F11">
        <w:rPr>
          <w:rFonts w:ascii="Arial" w:hAnsi="Arial" w:cs="Arial"/>
          <w:sz w:val="22"/>
          <w:szCs w:val="22"/>
        </w:rPr>
        <w:t>Mamelund</w:t>
      </w:r>
      <w:proofErr w:type="spellEnd"/>
      <w:r w:rsidR="00E96EA4" w:rsidRPr="00505F11">
        <w:rPr>
          <w:rFonts w:ascii="Arial" w:hAnsi="Arial" w:cs="Arial"/>
          <w:sz w:val="22"/>
          <w:szCs w:val="22"/>
        </w:rPr>
        <w:t xml:space="preserve"> and Dimka, 2021). Overall, there is an increase, yet an imbalance in the structure is </w:t>
      </w:r>
      <w:r w:rsidR="008C76CC" w:rsidRPr="00505F11">
        <w:rPr>
          <w:rFonts w:ascii="Arial" w:hAnsi="Arial" w:cs="Arial"/>
          <w:sz w:val="22"/>
          <w:szCs w:val="22"/>
        </w:rPr>
        <w:t>deeply rooted</w:t>
      </w:r>
      <w:r w:rsidR="00E96EA4" w:rsidRPr="00505F11">
        <w:rPr>
          <w:rFonts w:ascii="Arial" w:hAnsi="Arial" w:cs="Arial"/>
          <w:sz w:val="22"/>
          <w:szCs w:val="22"/>
        </w:rPr>
        <w:t xml:space="preserve"> in the economy and political regimes</w:t>
      </w:r>
      <w:r w:rsidR="001F4BD3" w:rsidRPr="00505F11">
        <w:rPr>
          <w:rFonts w:ascii="Arial" w:hAnsi="Arial" w:cs="Arial"/>
          <w:sz w:val="22"/>
          <w:szCs w:val="22"/>
        </w:rPr>
        <w:t>.</w:t>
      </w:r>
    </w:p>
    <w:p w14:paraId="67447721" w14:textId="0F6A0BE6" w:rsidR="005D1C51" w:rsidRPr="00CC5F04" w:rsidRDefault="005D1C51" w:rsidP="00505F11">
      <w:pPr>
        <w:pStyle w:val="Heading2"/>
        <w:numPr>
          <w:ilvl w:val="1"/>
          <w:numId w:val="1"/>
        </w:numPr>
        <w:spacing w:line="360" w:lineRule="auto"/>
        <w:rPr>
          <w:rFonts w:ascii="Arial" w:hAnsi="Arial" w:cs="Arial"/>
          <w:b/>
          <w:bCs/>
          <w:sz w:val="24"/>
          <w:szCs w:val="24"/>
        </w:rPr>
      </w:pPr>
      <w:bookmarkStart w:id="20" w:name="_Toc223389145"/>
      <w:r w:rsidRPr="00CC5F04">
        <w:rPr>
          <w:rFonts w:ascii="Arial" w:hAnsi="Arial" w:cs="Arial"/>
          <w:b/>
          <w:bCs/>
          <w:sz w:val="24"/>
          <w:szCs w:val="24"/>
        </w:rPr>
        <w:t>Recommendations</w:t>
      </w:r>
      <w:bookmarkEnd w:id="20"/>
    </w:p>
    <w:p w14:paraId="5AD25AA1" w14:textId="27F9F217" w:rsidR="00E356D2" w:rsidRPr="00505F11" w:rsidRDefault="00E356D2" w:rsidP="00505F11">
      <w:pPr>
        <w:pStyle w:val="ListParagraph"/>
        <w:numPr>
          <w:ilvl w:val="0"/>
          <w:numId w:val="4"/>
        </w:numPr>
        <w:spacing w:line="360" w:lineRule="auto"/>
        <w:rPr>
          <w:rFonts w:ascii="Arial" w:hAnsi="Arial" w:cs="Arial"/>
          <w:sz w:val="22"/>
          <w:szCs w:val="22"/>
        </w:rPr>
      </w:pPr>
      <w:r w:rsidRPr="00505F11">
        <w:rPr>
          <w:rFonts w:ascii="Arial" w:hAnsi="Arial" w:cs="Arial"/>
          <w:sz w:val="22"/>
          <w:szCs w:val="22"/>
        </w:rPr>
        <w:t>Offer subsidised internet connectivity and digital literacy education to low-income households to make access to telehealth services equitable.</w:t>
      </w:r>
    </w:p>
    <w:p w14:paraId="52EBB791" w14:textId="51C9C983" w:rsidR="00E356D2" w:rsidRPr="00505F11" w:rsidRDefault="00E356D2" w:rsidP="00505F11">
      <w:pPr>
        <w:pStyle w:val="ListParagraph"/>
        <w:numPr>
          <w:ilvl w:val="0"/>
          <w:numId w:val="4"/>
        </w:numPr>
        <w:spacing w:line="360" w:lineRule="auto"/>
        <w:rPr>
          <w:rFonts w:ascii="Arial" w:hAnsi="Arial" w:cs="Arial"/>
          <w:sz w:val="22"/>
          <w:szCs w:val="22"/>
        </w:rPr>
      </w:pPr>
      <w:r w:rsidRPr="00505F11">
        <w:rPr>
          <w:rFonts w:ascii="Arial" w:hAnsi="Arial" w:cs="Arial"/>
          <w:sz w:val="22"/>
          <w:szCs w:val="22"/>
        </w:rPr>
        <w:t>Integrate Health in All Policies strategies within the housing, education, and employment sectors to reach the underlying causes of inequality (Saunders, McHale and Hamelmann, 2017).</w:t>
      </w:r>
    </w:p>
    <w:p w14:paraId="37EE10CA" w14:textId="6FDD4F2F" w:rsidR="00E356D2" w:rsidRPr="00505F11" w:rsidRDefault="00E356D2" w:rsidP="00505F11">
      <w:pPr>
        <w:pStyle w:val="ListParagraph"/>
        <w:numPr>
          <w:ilvl w:val="0"/>
          <w:numId w:val="4"/>
        </w:numPr>
        <w:spacing w:line="360" w:lineRule="auto"/>
        <w:rPr>
          <w:rFonts w:ascii="Arial" w:hAnsi="Arial" w:cs="Arial"/>
          <w:sz w:val="22"/>
          <w:szCs w:val="22"/>
        </w:rPr>
      </w:pPr>
      <w:r w:rsidRPr="00505F11">
        <w:rPr>
          <w:rFonts w:ascii="Arial" w:hAnsi="Arial" w:cs="Arial"/>
          <w:sz w:val="22"/>
          <w:szCs w:val="22"/>
        </w:rPr>
        <w:t xml:space="preserve">Ring-fencing of community-based prevention in poorer communities to guarantee sustainability. </w:t>
      </w:r>
    </w:p>
    <w:p w14:paraId="4306EA6D" w14:textId="03157BBA" w:rsidR="00E356D2" w:rsidRPr="00505F11" w:rsidRDefault="00E356D2" w:rsidP="00505F11">
      <w:pPr>
        <w:pStyle w:val="ListParagraph"/>
        <w:numPr>
          <w:ilvl w:val="0"/>
          <w:numId w:val="4"/>
        </w:numPr>
        <w:spacing w:line="360" w:lineRule="auto"/>
        <w:rPr>
          <w:rFonts w:ascii="Arial" w:hAnsi="Arial" w:cs="Arial"/>
          <w:sz w:val="22"/>
          <w:szCs w:val="22"/>
        </w:rPr>
      </w:pPr>
      <w:r w:rsidRPr="00505F11">
        <w:rPr>
          <w:rFonts w:ascii="Arial" w:hAnsi="Arial" w:cs="Arial"/>
          <w:sz w:val="22"/>
          <w:szCs w:val="22"/>
        </w:rPr>
        <w:t>Engage service users in programme design to increase cultural relevance and trust and improve engagement and minimise systemic barriers (</w:t>
      </w:r>
      <w:proofErr w:type="spellStart"/>
      <w:r w:rsidRPr="00505F11">
        <w:rPr>
          <w:rFonts w:ascii="Arial" w:hAnsi="Arial" w:cs="Arial"/>
          <w:sz w:val="22"/>
          <w:szCs w:val="22"/>
        </w:rPr>
        <w:t>Ocloo</w:t>
      </w:r>
      <w:proofErr w:type="spellEnd"/>
      <w:r w:rsidRPr="00505F11">
        <w:rPr>
          <w:rFonts w:ascii="Arial" w:hAnsi="Arial" w:cs="Arial"/>
          <w:sz w:val="22"/>
          <w:szCs w:val="22"/>
        </w:rPr>
        <w:t xml:space="preserve"> et al., 2021).</w:t>
      </w:r>
    </w:p>
    <w:p w14:paraId="6F910079" w14:textId="0E56E9DB" w:rsidR="005D1C51" w:rsidRPr="00505F11" w:rsidRDefault="00E356D2" w:rsidP="00505F11">
      <w:pPr>
        <w:pStyle w:val="ListParagraph"/>
        <w:numPr>
          <w:ilvl w:val="0"/>
          <w:numId w:val="4"/>
        </w:numPr>
        <w:spacing w:line="360" w:lineRule="auto"/>
        <w:rPr>
          <w:rFonts w:ascii="Arial" w:hAnsi="Arial" w:cs="Arial"/>
          <w:sz w:val="22"/>
          <w:szCs w:val="22"/>
        </w:rPr>
      </w:pPr>
      <w:r w:rsidRPr="00505F11">
        <w:rPr>
          <w:rFonts w:ascii="Arial" w:hAnsi="Arial" w:cs="Arial"/>
          <w:sz w:val="22"/>
          <w:szCs w:val="22"/>
        </w:rPr>
        <w:lastRenderedPageBreak/>
        <w:t>Enhance data exchange among local authorities and health services to detect the high-risk population at earlier stages and trace the trends of inequality</w:t>
      </w:r>
      <w:r w:rsidR="005D1C51" w:rsidRPr="00505F11">
        <w:rPr>
          <w:rFonts w:ascii="Arial" w:hAnsi="Arial" w:cs="Arial"/>
          <w:sz w:val="22"/>
          <w:szCs w:val="22"/>
        </w:rPr>
        <w:t>.</w:t>
      </w:r>
    </w:p>
    <w:p w14:paraId="3EED5303" w14:textId="0BDF2E6F" w:rsidR="005D1C51" w:rsidRPr="00CC5F04" w:rsidRDefault="005D1C51" w:rsidP="00505F11">
      <w:pPr>
        <w:pStyle w:val="Heading1"/>
        <w:numPr>
          <w:ilvl w:val="0"/>
          <w:numId w:val="1"/>
        </w:numPr>
        <w:spacing w:line="360" w:lineRule="auto"/>
        <w:rPr>
          <w:rFonts w:ascii="Arial" w:hAnsi="Arial" w:cs="Arial"/>
          <w:b/>
          <w:bCs/>
          <w:sz w:val="24"/>
        </w:rPr>
      </w:pPr>
      <w:bookmarkStart w:id="21" w:name="_Toc223389146"/>
      <w:r w:rsidRPr="00CC5F04">
        <w:rPr>
          <w:rFonts w:ascii="Arial" w:hAnsi="Arial" w:cs="Arial"/>
          <w:b/>
          <w:bCs/>
          <w:sz w:val="24"/>
        </w:rPr>
        <w:t>Conclusion</w:t>
      </w:r>
      <w:bookmarkEnd w:id="21"/>
      <w:r w:rsidRPr="00CC5F04">
        <w:rPr>
          <w:rFonts w:ascii="Arial" w:hAnsi="Arial" w:cs="Arial"/>
          <w:b/>
          <w:bCs/>
          <w:sz w:val="24"/>
        </w:rPr>
        <w:t xml:space="preserve"> </w:t>
      </w:r>
    </w:p>
    <w:p w14:paraId="7D24E584" w14:textId="257014D8" w:rsidR="00DA2E2D" w:rsidRPr="00505F11" w:rsidRDefault="00DA2E2D" w:rsidP="00505F11">
      <w:pPr>
        <w:spacing w:line="360" w:lineRule="auto"/>
        <w:rPr>
          <w:rFonts w:ascii="Arial" w:hAnsi="Arial" w:cs="Arial"/>
          <w:sz w:val="22"/>
          <w:szCs w:val="22"/>
        </w:rPr>
      </w:pPr>
      <w:r w:rsidRPr="00505F11">
        <w:rPr>
          <w:rFonts w:ascii="Arial" w:hAnsi="Arial" w:cs="Arial"/>
          <w:sz w:val="22"/>
          <w:szCs w:val="22"/>
        </w:rPr>
        <w:t xml:space="preserve">This report has critically argued </w:t>
      </w:r>
      <w:r w:rsidR="00505F11">
        <w:rPr>
          <w:rFonts w:ascii="Arial" w:hAnsi="Arial" w:cs="Arial"/>
          <w:sz w:val="22"/>
          <w:szCs w:val="22"/>
        </w:rPr>
        <w:t>that SDG 3 and SDG 10 affect health outcomes at the global, national,</w:t>
      </w:r>
      <w:r w:rsidRPr="00505F11">
        <w:rPr>
          <w:rFonts w:ascii="Arial" w:hAnsi="Arial" w:cs="Arial"/>
          <w:sz w:val="22"/>
          <w:szCs w:val="22"/>
        </w:rPr>
        <w:t xml:space="preserve"> and local levels. The argument establishes that whereas SDG 3 directly addresses the prevention of disease, universal health coverage, and wellbeing promotion, the goal cannot be fulfilled without addressing </w:t>
      </w:r>
      <w:r w:rsidR="00191004">
        <w:rPr>
          <w:rFonts w:ascii="Arial" w:hAnsi="Arial" w:cs="Arial"/>
          <w:sz w:val="22"/>
          <w:szCs w:val="22"/>
        </w:rPr>
        <w:t xml:space="preserve">the </w:t>
      </w:r>
      <w:r w:rsidRPr="00505F11">
        <w:rPr>
          <w:rFonts w:ascii="Arial" w:hAnsi="Arial" w:cs="Arial"/>
          <w:sz w:val="22"/>
          <w:szCs w:val="22"/>
        </w:rPr>
        <w:t xml:space="preserve">structural inequalities of SDG 10. No healthcare provision is determined solely </w:t>
      </w:r>
      <w:r w:rsidR="00505F11">
        <w:rPr>
          <w:rFonts w:ascii="Arial" w:hAnsi="Arial" w:cs="Arial"/>
          <w:sz w:val="22"/>
          <w:szCs w:val="22"/>
        </w:rPr>
        <w:t>by health outcomes, but by wider social, economic,</w:t>
      </w:r>
      <w:r w:rsidRPr="00505F11">
        <w:rPr>
          <w:rFonts w:ascii="Arial" w:hAnsi="Arial" w:cs="Arial"/>
          <w:sz w:val="22"/>
          <w:szCs w:val="22"/>
        </w:rPr>
        <w:t xml:space="preserve"> and environmental determinants, including income, housing, education, and digital access. </w:t>
      </w:r>
    </w:p>
    <w:p w14:paraId="65D9669F" w14:textId="47775D43" w:rsidR="00DC7861" w:rsidRPr="00505F11" w:rsidRDefault="002C60B2" w:rsidP="00505F11">
      <w:pPr>
        <w:spacing w:line="360" w:lineRule="auto"/>
        <w:rPr>
          <w:rFonts w:ascii="Arial" w:hAnsi="Arial" w:cs="Arial"/>
          <w:sz w:val="22"/>
          <w:szCs w:val="22"/>
        </w:rPr>
      </w:pPr>
      <w:r w:rsidRPr="00505F11">
        <w:rPr>
          <w:rFonts w:ascii="Arial" w:hAnsi="Arial" w:cs="Arial"/>
          <w:sz w:val="22"/>
          <w:szCs w:val="22"/>
        </w:rPr>
        <w:t xml:space="preserve">Global governance, particularly </w:t>
      </w:r>
      <w:r w:rsidR="00505F11">
        <w:rPr>
          <w:rFonts w:ascii="Arial" w:hAnsi="Arial" w:cs="Arial"/>
          <w:sz w:val="22"/>
          <w:szCs w:val="22"/>
        </w:rPr>
        <w:t>under the WHO, is very important for coordination, whereas UK systems like the National Health Service translate these objectives into prevention programmes and</w:t>
      </w:r>
      <w:r w:rsidRPr="00505F11">
        <w:rPr>
          <w:rFonts w:ascii="Arial" w:hAnsi="Arial" w:cs="Arial"/>
          <w:sz w:val="22"/>
          <w:szCs w:val="22"/>
        </w:rPr>
        <w:t xml:space="preserve"> integrated care reforms. Though programmes </w:t>
      </w:r>
      <w:r w:rsidR="00A04676" w:rsidRPr="00505F11">
        <w:rPr>
          <w:rFonts w:ascii="Arial" w:hAnsi="Arial" w:cs="Arial"/>
          <w:sz w:val="22"/>
          <w:szCs w:val="22"/>
        </w:rPr>
        <w:t>like</w:t>
      </w:r>
      <w:r w:rsidRPr="00505F11">
        <w:rPr>
          <w:rFonts w:ascii="Arial" w:hAnsi="Arial" w:cs="Arial"/>
          <w:sz w:val="22"/>
          <w:szCs w:val="22"/>
        </w:rPr>
        <w:t xml:space="preserve"> NHS Health Checks, digital health growth</w:t>
      </w:r>
      <w:r w:rsidR="00505F11">
        <w:rPr>
          <w:rFonts w:ascii="Arial" w:hAnsi="Arial" w:cs="Arial"/>
          <w:sz w:val="22"/>
          <w:szCs w:val="22"/>
        </w:rPr>
        <w:t>, and community-based interventions show quantifiable benefits, systemic inequalities, labour pressures, and financial constraints limit their impact</w:t>
      </w:r>
      <w:r w:rsidRPr="00505F11">
        <w:rPr>
          <w:rFonts w:ascii="Arial" w:hAnsi="Arial" w:cs="Arial"/>
          <w:sz w:val="22"/>
          <w:szCs w:val="22"/>
        </w:rPr>
        <w:t xml:space="preserve">. Finally, sustainable health improvement requires a whole-system approach. Structural reform should be aligned with behavioural interventions, make </w:t>
      </w:r>
      <w:r w:rsidR="00505F11">
        <w:rPr>
          <w:rFonts w:ascii="Arial" w:hAnsi="Arial" w:cs="Arial"/>
          <w:sz w:val="22"/>
          <w:szCs w:val="22"/>
        </w:rPr>
        <w:t>investments in prevention, and promote equity across</w:t>
      </w:r>
      <w:r w:rsidRPr="00505F11">
        <w:rPr>
          <w:rFonts w:ascii="Arial" w:hAnsi="Arial" w:cs="Arial"/>
          <w:sz w:val="22"/>
          <w:szCs w:val="22"/>
        </w:rPr>
        <w:t xml:space="preserve"> all policies to include and strengthen health systems</w:t>
      </w:r>
      <w:r w:rsidR="00A04676" w:rsidRPr="00505F11">
        <w:rPr>
          <w:rFonts w:ascii="Arial" w:hAnsi="Arial" w:cs="Arial"/>
          <w:sz w:val="22"/>
          <w:szCs w:val="22"/>
        </w:rPr>
        <w:t>.</w:t>
      </w:r>
    </w:p>
    <w:p w14:paraId="72DEEF0F" w14:textId="77777777" w:rsidR="00A93F05" w:rsidRPr="00505F11" w:rsidRDefault="00A93F05" w:rsidP="00505F11">
      <w:pPr>
        <w:spacing w:line="360" w:lineRule="auto"/>
        <w:rPr>
          <w:rFonts w:ascii="Arial" w:hAnsi="Arial" w:cs="Arial"/>
          <w:sz w:val="22"/>
          <w:szCs w:val="22"/>
        </w:rPr>
      </w:pPr>
    </w:p>
    <w:p w14:paraId="4872C5DA" w14:textId="77777777" w:rsidR="00A93F05" w:rsidRPr="00505F11" w:rsidRDefault="00A93F05" w:rsidP="00505F11">
      <w:pPr>
        <w:spacing w:line="360" w:lineRule="auto"/>
        <w:rPr>
          <w:rFonts w:ascii="Arial" w:hAnsi="Arial" w:cs="Arial"/>
          <w:sz w:val="22"/>
          <w:szCs w:val="22"/>
        </w:rPr>
      </w:pPr>
    </w:p>
    <w:p w14:paraId="529E8310" w14:textId="77777777" w:rsidR="00A93F05" w:rsidRPr="00505F11" w:rsidRDefault="00A93F05" w:rsidP="00505F11">
      <w:pPr>
        <w:spacing w:line="360" w:lineRule="auto"/>
        <w:rPr>
          <w:rFonts w:ascii="Arial" w:hAnsi="Arial" w:cs="Arial"/>
          <w:sz w:val="22"/>
          <w:szCs w:val="22"/>
        </w:rPr>
      </w:pPr>
    </w:p>
    <w:p w14:paraId="42BDF095" w14:textId="77777777" w:rsidR="009F7039" w:rsidRDefault="009F7039" w:rsidP="00505F11">
      <w:pPr>
        <w:spacing w:line="360" w:lineRule="auto"/>
        <w:rPr>
          <w:rFonts w:ascii="Arial" w:hAnsi="Arial" w:cs="Arial"/>
          <w:sz w:val="22"/>
          <w:szCs w:val="22"/>
        </w:rPr>
      </w:pPr>
    </w:p>
    <w:p w14:paraId="464C9568" w14:textId="77777777" w:rsidR="00CC5F04" w:rsidRDefault="00CC5F04" w:rsidP="00505F11">
      <w:pPr>
        <w:spacing w:line="360" w:lineRule="auto"/>
        <w:rPr>
          <w:rFonts w:ascii="Arial" w:hAnsi="Arial" w:cs="Arial"/>
          <w:sz w:val="22"/>
          <w:szCs w:val="22"/>
        </w:rPr>
      </w:pPr>
    </w:p>
    <w:p w14:paraId="1625DDA4" w14:textId="77777777" w:rsidR="00CC5F04" w:rsidRDefault="00CC5F04" w:rsidP="00505F11">
      <w:pPr>
        <w:spacing w:line="360" w:lineRule="auto"/>
        <w:rPr>
          <w:rFonts w:ascii="Arial" w:hAnsi="Arial" w:cs="Arial"/>
          <w:sz w:val="22"/>
          <w:szCs w:val="22"/>
        </w:rPr>
      </w:pPr>
    </w:p>
    <w:p w14:paraId="3C4F0305" w14:textId="77777777" w:rsidR="00CC5F04" w:rsidRDefault="00CC5F04" w:rsidP="00505F11">
      <w:pPr>
        <w:spacing w:line="360" w:lineRule="auto"/>
        <w:rPr>
          <w:rFonts w:ascii="Arial" w:hAnsi="Arial" w:cs="Arial"/>
          <w:sz w:val="22"/>
          <w:szCs w:val="22"/>
        </w:rPr>
      </w:pPr>
    </w:p>
    <w:p w14:paraId="5D35AF6C" w14:textId="77777777" w:rsidR="00CC5F04" w:rsidRDefault="00CC5F04" w:rsidP="00505F11">
      <w:pPr>
        <w:spacing w:line="360" w:lineRule="auto"/>
        <w:rPr>
          <w:rFonts w:ascii="Arial" w:hAnsi="Arial" w:cs="Arial"/>
          <w:sz w:val="22"/>
          <w:szCs w:val="22"/>
        </w:rPr>
      </w:pPr>
    </w:p>
    <w:p w14:paraId="273FAB95" w14:textId="77777777" w:rsidR="00CC5F04" w:rsidRPr="00505F11" w:rsidRDefault="00CC5F04" w:rsidP="00505F11">
      <w:pPr>
        <w:spacing w:line="360" w:lineRule="auto"/>
        <w:rPr>
          <w:rFonts w:ascii="Arial" w:hAnsi="Arial" w:cs="Arial"/>
          <w:sz w:val="22"/>
          <w:szCs w:val="22"/>
        </w:rPr>
      </w:pPr>
    </w:p>
    <w:p w14:paraId="5E3E4431" w14:textId="77777777" w:rsidR="009F7039" w:rsidRPr="00505F11" w:rsidRDefault="009F7039" w:rsidP="00505F11">
      <w:pPr>
        <w:spacing w:line="360" w:lineRule="auto"/>
        <w:rPr>
          <w:rFonts w:ascii="Arial" w:hAnsi="Arial" w:cs="Arial"/>
          <w:sz w:val="22"/>
          <w:szCs w:val="22"/>
        </w:rPr>
      </w:pPr>
    </w:p>
    <w:p w14:paraId="25DCB928" w14:textId="77777777" w:rsidR="00502D2A" w:rsidRPr="00505F11" w:rsidRDefault="00502D2A" w:rsidP="00505F11">
      <w:pPr>
        <w:spacing w:line="360" w:lineRule="auto"/>
        <w:rPr>
          <w:rFonts w:ascii="Arial" w:hAnsi="Arial" w:cs="Arial"/>
          <w:sz w:val="22"/>
          <w:szCs w:val="22"/>
        </w:rPr>
      </w:pPr>
    </w:p>
    <w:p w14:paraId="2E5C30B7" w14:textId="7C86A639" w:rsidR="00E53890" w:rsidRPr="00CC5F04" w:rsidRDefault="00291CB8" w:rsidP="00505F11">
      <w:pPr>
        <w:pStyle w:val="Heading1"/>
        <w:spacing w:line="360" w:lineRule="auto"/>
        <w:rPr>
          <w:rFonts w:ascii="Arial" w:hAnsi="Arial" w:cs="Arial"/>
          <w:b/>
          <w:bCs/>
          <w:sz w:val="24"/>
        </w:rPr>
      </w:pPr>
      <w:bookmarkStart w:id="22" w:name="_Toc223389147"/>
      <w:r w:rsidRPr="00CC5F04">
        <w:rPr>
          <w:rFonts w:ascii="Arial" w:hAnsi="Arial" w:cs="Arial"/>
          <w:b/>
          <w:bCs/>
          <w:sz w:val="24"/>
        </w:rPr>
        <w:lastRenderedPageBreak/>
        <w:t>References</w:t>
      </w:r>
      <w:bookmarkEnd w:id="22"/>
    </w:p>
    <w:p w14:paraId="21C59A4C" w14:textId="2C88EFFA"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Bhandari, M.P. (2024) What is next for the </w:t>
      </w:r>
      <w:r w:rsidR="00CC5F04">
        <w:rPr>
          <w:rFonts w:ascii="Arial" w:hAnsi="Arial" w:cs="Arial"/>
          <w:sz w:val="22"/>
          <w:szCs w:val="22"/>
        </w:rPr>
        <w:t>Sustainable Development Goals? What</w:t>
      </w:r>
      <w:r w:rsidRPr="00505F11">
        <w:rPr>
          <w:rFonts w:ascii="Arial" w:hAnsi="Arial" w:cs="Arial"/>
          <w:sz w:val="22"/>
          <w:szCs w:val="22"/>
        </w:rPr>
        <w:t xml:space="preserve"> are the challenges concerning SDG 10—reduced </w:t>
      </w:r>
      <w:r w:rsidR="00DC6260" w:rsidRPr="00505F11">
        <w:rPr>
          <w:rFonts w:ascii="Arial" w:hAnsi="Arial" w:cs="Arial"/>
          <w:sz w:val="22"/>
          <w:szCs w:val="22"/>
        </w:rPr>
        <w:t>inequalities?</w:t>
      </w:r>
      <w:r w:rsidRPr="00505F11">
        <w:rPr>
          <w:rFonts w:ascii="Arial" w:hAnsi="Arial" w:cs="Arial"/>
          <w:sz w:val="22"/>
          <w:szCs w:val="22"/>
        </w:rPr>
        <w:t> </w:t>
      </w:r>
      <w:r w:rsidRPr="00505F11">
        <w:rPr>
          <w:rFonts w:ascii="Arial" w:hAnsi="Arial" w:cs="Arial"/>
          <w:i/>
          <w:iCs/>
          <w:sz w:val="22"/>
          <w:szCs w:val="22"/>
        </w:rPr>
        <w:t>Sustainable Earth Reviews</w:t>
      </w:r>
      <w:r w:rsidRPr="00505F11">
        <w:rPr>
          <w:rFonts w:ascii="Arial" w:hAnsi="Arial" w:cs="Arial"/>
          <w:sz w:val="22"/>
          <w:szCs w:val="22"/>
        </w:rPr>
        <w:t>, </w:t>
      </w:r>
      <w:r w:rsidRPr="00505F11">
        <w:rPr>
          <w:rFonts w:ascii="Arial" w:hAnsi="Arial" w:cs="Arial"/>
          <w:i/>
          <w:iCs/>
          <w:sz w:val="22"/>
          <w:szCs w:val="22"/>
        </w:rPr>
        <w:t>7</w:t>
      </w:r>
      <w:r w:rsidRPr="00505F11">
        <w:rPr>
          <w:rFonts w:ascii="Arial" w:hAnsi="Arial" w:cs="Arial"/>
          <w:sz w:val="22"/>
          <w:szCs w:val="22"/>
        </w:rPr>
        <w:t>(1), p.23.</w:t>
      </w:r>
    </w:p>
    <w:p w14:paraId="34BD29D4" w14:textId="77777777"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Das, K.P. and Chandra, J. (2023) A survey on artificial intelligence for reducing the climate footprint in healthcare. </w:t>
      </w:r>
      <w:r w:rsidRPr="00505F11">
        <w:rPr>
          <w:rFonts w:ascii="Arial" w:hAnsi="Arial" w:cs="Arial"/>
          <w:i/>
          <w:iCs/>
          <w:sz w:val="22"/>
          <w:szCs w:val="22"/>
        </w:rPr>
        <w:t>Energy Nexus</w:t>
      </w:r>
      <w:r w:rsidRPr="00505F11">
        <w:rPr>
          <w:rFonts w:ascii="Arial" w:hAnsi="Arial" w:cs="Arial"/>
          <w:sz w:val="22"/>
          <w:szCs w:val="22"/>
        </w:rPr>
        <w:t>, </w:t>
      </w:r>
      <w:r w:rsidRPr="00505F11">
        <w:rPr>
          <w:rFonts w:ascii="Arial" w:hAnsi="Arial" w:cs="Arial"/>
          <w:i/>
          <w:iCs/>
          <w:sz w:val="22"/>
          <w:szCs w:val="22"/>
        </w:rPr>
        <w:t>9</w:t>
      </w:r>
      <w:r w:rsidRPr="00505F11">
        <w:rPr>
          <w:rFonts w:ascii="Arial" w:hAnsi="Arial" w:cs="Arial"/>
          <w:sz w:val="22"/>
          <w:szCs w:val="22"/>
        </w:rPr>
        <w:t>, p.100167.</w:t>
      </w:r>
    </w:p>
    <w:p w14:paraId="57FA8A26" w14:textId="77777777" w:rsidR="00E53890" w:rsidRPr="00505F11" w:rsidRDefault="00E53890" w:rsidP="00505F11">
      <w:pPr>
        <w:spacing w:line="360" w:lineRule="auto"/>
        <w:rPr>
          <w:rFonts w:ascii="Arial" w:hAnsi="Arial" w:cs="Arial"/>
          <w:sz w:val="22"/>
          <w:szCs w:val="22"/>
        </w:rPr>
      </w:pPr>
      <w:proofErr w:type="spellStart"/>
      <w:r w:rsidRPr="00505F11">
        <w:rPr>
          <w:rFonts w:ascii="Arial" w:hAnsi="Arial" w:cs="Arial"/>
          <w:sz w:val="22"/>
          <w:szCs w:val="22"/>
        </w:rPr>
        <w:t>Deganis</w:t>
      </w:r>
      <w:proofErr w:type="spellEnd"/>
      <w:r w:rsidRPr="00505F11">
        <w:rPr>
          <w:rFonts w:ascii="Arial" w:hAnsi="Arial" w:cs="Arial"/>
          <w:sz w:val="22"/>
          <w:szCs w:val="22"/>
        </w:rPr>
        <w:t xml:space="preserve">, I., </w:t>
      </w:r>
      <w:proofErr w:type="spellStart"/>
      <w:r w:rsidRPr="00505F11">
        <w:rPr>
          <w:rFonts w:ascii="Arial" w:hAnsi="Arial" w:cs="Arial"/>
          <w:sz w:val="22"/>
          <w:szCs w:val="22"/>
        </w:rPr>
        <w:t>Haghian</w:t>
      </w:r>
      <w:proofErr w:type="spellEnd"/>
      <w:r w:rsidRPr="00505F11">
        <w:rPr>
          <w:rFonts w:ascii="Arial" w:hAnsi="Arial" w:cs="Arial"/>
          <w:sz w:val="22"/>
          <w:szCs w:val="22"/>
        </w:rPr>
        <w:t xml:space="preserve">, P.Z., </w:t>
      </w:r>
      <w:proofErr w:type="spellStart"/>
      <w:r w:rsidRPr="00505F11">
        <w:rPr>
          <w:rFonts w:ascii="Arial" w:hAnsi="Arial" w:cs="Arial"/>
          <w:sz w:val="22"/>
          <w:szCs w:val="22"/>
        </w:rPr>
        <w:t>Tagashira</w:t>
      </w:r>
      <w:proofErr w:type="spellEnd"/>
      <w:r w:rsidRPr="00505F11">
        <w:rPr>
          <w:rFonts w:ascii="Arial" w:hAnsi="Arial" w:cs="Arial"/>
          <w:sz w:val="22"/>
          <w:szCs w:val="22"/>
        </w:rPr>
        <w:t>, M. and Alberti, A. (2021) Leveraging digital technologies for social inclusion. </w:t>
      </w:r>
      <w:r w:rsidRPr="00505F11">
        <w:rPr>
          <w:rFonts w:ascii="Arial" w:hAnsi="Arial" w:cs="Arial"/>
          <w:i/>
          <w:iCs/>
          <w:sz w:val="22"/>
          <w:szCs w:val="22"/>
        </w:rPr>
        <w:t>United Nations Department of Economic and Social Affairs</w:t>
      </w:r>
      <w:r w:rsidRPr="00505F11">
        <w:rPr>
          <w:rFonts w:ascii="Arial" w:hAnsi="Arial" w:cs="Arial"/>
          <w:sz w:val="22"/>
          <w:szCs w:val="22"/>
        </w:rPr>
        <w:t>, pp.1-6.</w:t>
      </w:r>
    </w:p>
    <w:p w14:paraId="4192AF5E" w14:textId="77777777"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Gostin, L.O., Friedman, E.A. and Finch, A. (2023). The global health architecture: governance and international institutions to advance population health worldwide. </w:t>
      </w:r>
      <w:r w:rsidRPr="00505F11">
        <w:rPr>
          <w:rFonts w:ascii="Arial" w:hAnsi="Arial" w:cs="Arial"/>
          <w:i/>
          <w:iCs/>
          <w:sz w:val="22"/>
          <w:szCs w:val="22"/>
        </w:rPr>
        <w:t>The Milbank Quarterly</w:t>
      </w:r>
      <w:r w:rsidRPr="00505F11">
        <w:rPr>
          <w:rFonts w:ascii="Arial" w:hAnsi="Arial" w:cs="Arial"/>
          <w:sz w:val="22"/>
          <w:szCs w:val="22"/>
        </w:rPr>
        <w:t>, </w:t>
      </w:r>
      <w:r w:rsidRPr="00505F11">
        <w:rPr>
          <w:rFonts w:ascii="Arial" w:hAnsi="Arial" w:cs="Arial"/>
          <w:i/>
          <w:iCs/>
          <w:sz w:val="22"/>
          <w:szCs w:val="22"/>
        </w:rPr>
        <w:t>101</w:t>
      </w:r>
      <w:r w:rsidRPr="00505F11">
        <w:rPr>
          <w:rFonts w:ascii="Arial" w:hAnsi="Arial" w:cs="Arial"/>
          <w:sz w:val="22"/>
          <w:szCs w:val="22"/>
        </w:rPr>
        <w:t>(</w:t>
      </w:r>
      <w:proofErr w:type="spellStart"/>
      <w:r w:rsidRPr="00505F11">
        <w:rPr>
          <w:rFonts w:ascii="Arial" w:hAnsi="Arial" w:cs="Arial"/>
          <w:sz w:val="22"/>
          <w:szCs w:val="22"/>
        </w:rPr>
        <w:t>Suppl</w:t>
      </w:r>
      <w:proofErr w:type="spellEnd"/>
      <w:r w:rsidRPr="00505F11">
        <w:rPr>
          <w:rFonts w:ascii="Arial" w:hAnsi="Arial" w:cs="Arial"/>
          <w:sz w:val="22"/>
          <w:szCs w:val="22"/>
        </w:rPr>
        <w:t xml:space="preserve"> 1), p.734.</w:t>
      </w:r>
    </w:p>
    <w:p w14:paraId="335E81A4" w14:textId="77777777"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Green, E.C., Murphy, E.M. and Gryboski, K. (2020) The health belief model. </w:t>
      </w:r>
      <w:r w:rsidRPr="00505F11">
        <w:rPr>
          <w:rFonts w:ascii="Arial" w:hAnsi="Arial" w:cs="Arial"/>
          <w:i/>
          <w:iCs/>
          <w:sz w:val="22"/>
          <w:szCs w:val="22"/>
        </w:rPr>
        <w:t xml:space="preserve">The Wiley </w:t>
      </w:r>
      <w:proofErr w:type="spellStart"/>
      <w:r w:rsidRPr="00505F11">
        <w:rPr>
          <w:rFonts w:ascii="Arial" w:hAnsi="Arial" w:cs="Arial"/>
          <w:i/>
          <w:iCs/>
          <w:sz w:val="22"/>
          <w:szCs w:val="22"/>
        </w:rPr>
        <w:t>encyclopedia</w:t>
      </w:r>
      <w:proofErr w:type="spellEnd"/>
      <w:r w:rsidRPr="00505F11">
        <w:rPr>
          <w:rFonts w:ascii="Arial" w:hAnsi="Arial" w:cs="Arial"/>
          <w:i/>
          <w:iCs/>
          <w:sz w:val="22"/>
          <w:szCs w:val="22"/>
        </w:rPr>
        <w:t xml:space="preserve"> of health psychology</w:t>
      </w:r>
      <w:r w:rsidRPr="00505F11">
        <w:rPr>
          <w:rFonts w:ascii="Arial" w:hAnsi="Arial" w:cs="Arial"/>
          <w:sz w:val="22"/>
          <w:szCs w:val="22"/>
        </w:rPr>
        <w:t>, pp.211-214.</w:t>
      </w:r>
    </w:p>
    <w:p w14:paraId="4BA037E9" w14:textId="77777777" w:rsidR="00E53890" w:rsidRPr="00505F11" w:rsidRDefault="00E53890" w:rsidP="00505F11">
      <w:pPr>
        <w:spacing w:line="360" w:lineRule="auto"/>
        <w:rPr>
          <w:rFonts w:ascii="Arial" w:hAnsi="Arial" w:cs="Arial"/>
          <w:sz w:val="22"/>
          <w:szCs w:val="22"/>
        </w:rPr>
      </w:pPr>
      <w:proofErr w:type="spellStart"/>
      <w:r w:rsidRPr="00505F11">
        <w:rPr>
          <w:rFonts w:ascii="Arial" w:hAnsi="Arial" w:cs="Arial"/>
          <w:sz w:val="22"/>
          <w:szCs w:val="22"/>
        </w:rPr>
        <w:t>Kandwal</w:t>
      </w:r>
      <w:proofErr w:type="spellEnd"/>
      <w:r w:rsidRPr="00505F11">
        <w:rPr>
          <w:rFonts w:ascii="Arial" w:hAnsi="Arial" w:cs="Arial"/>
          <w:sz w:val="22"/>
          <w:szCs w:val="22"/>
        </w:rPr>
        <w:t>, N.P., Nautiyal, A. and Juyal, S.A. (2024) December. Promoting Health and Well-being through Integrative Wellness Practices: Pathways to Sustainable Development Goal 3. In </w:t>
      </w:r>
      <w:r w:rsidRPr="00505F11">
        <w:rPr>
          <w:rFonts w:ascii="Arial" w:hAnsi="Arial" w:cs="Arial"/>
          <w:i/>
          <w:iCs/>
          <w:sz w:val="22"/>
          <w:szCs w:val="22"/>
        </w:rPr>
        <w:t>5th International Conference on the Role of Innovation, Entrepreneurship and Management for Sustainable Development (ICRIEMSD-2024)</w:t>
      </w:r>
      <w:r w:rsidRPr="00505F11">
        <w:rPr>
          <w:rFonts w:ascii="Arial" w:hAnsi="Arial" w:cs="Arial"/>
          <w:sz w:val="22"/>
          <w:szCs w:val="22"/>
        </w:rPr>
        <w:t> (pp. 362-375). Atlantis Press.</w:t>
      </w:r>
    </w:p>
    <w:p w14:paraId="5C8DBC7C" w14:textId="77777777" w:rsidR="00E53890" w:rsidRPr="00505F11" w:rsidRDefault="00E53890" w:rsidP="00505F11">
      <w:pPr>
        <w:spacing w:line="360" w:lineRule="auto"/>
        <w:rPr>
          <w:rFonts w:ascii="Arial" w:hAnsi="Arial" w:cs="Arial"/>
          <w:sz w:val="22"/>
          <w:szCs w:val="22"/>
        </w:rPr>
      </w:pPr>
      <w:proofErr w:type="spellStart"/>
      <w:r w:rsidRPr="00505F11">
        <w:rPr>
          <w:rFonts w:ascii="Arial" w:hAnsi="Arial" w:cs="Arial"/>
          <w:sz w:val="22"/>
          <w:szCs w:val="22"/>
        </w:rPr>
        <w:t>Mabhala</w:t>
      </w:r>
      <w:proofErr w:type="spellEnd"/>
      <w:r w:rsidRPr="00505F11">
        <w:rPr>
          <w:rFonts w:ascii="Arial" w:hAnsi="Arial" w:cs="Arial"/>
          <w:sz w:val="22"/>
          <w:szCs w:val="22"/>
        </w:rPr>
        <w:t xml:space="preserve">, M., </w:t>
      </w:r>
      <w:proofErr w:type="spellStart"/>
      <w:r w:rsidRPr="00505F11">
        <w:rPr>
          <w:rFonts w:ascii="Arial" w:hAnsi="Arial" w:cs="Arial"/>
          <w:sz w:val="22"/>
          <w:szCs w:val="22"/>
        </w:rPr>
        <w:t>Esealuka</w:t>
      </w:r>
      <w:proofErr w:type="spellEnd"/>
      <w:r w:rsidRPr="00505F11">
        <w:rPr>
          <w:rFonts w:ascii="Arial" w:hAnsi="Arial" w:cs="Arial"/>
          <w:sz w:val="22"/>
          <w:szCs w:val="22"/>
        </w:rPr>
        <w:t xml:space="preserve">, W.A., Yohannes, A., </w:t>
      </w:r>
      <w:proofErr w:type="spellStart"/>
      <w:r w:rsidRPr="00505F11">
        <w:rPr>
          <w:rFonts w:ascii="Arial" w:hAnsi="Arial" w:cs="Arial"/>
          <w:sz w:val="22"/>
          <w:szCs w:val="22"/>
        </w:rPr>
        <w:t>Nwufo</w:t>
      </w:r>
      <w:proofErr w:type="spellEnd"/>
      <w:r w:rsidRPr="00505F11">
        <w:rPr>
          <w:rFonts w:ascii="Arial" w:hAnsi="Arial" w:cs="Arial"/>
          <w:sz w:val="22"/>
          <w:szCs w:val="22"/>
        </w:rPr>
        <w:t>, A.N., Paulus, L., Tefera, M. and Keeling, J. (2025) Exploring the social context of smoking behaviours: insights from stop-smoking advisors in deprived communities in Northwest of England UK. </w:t>
      </w:r>
      <w:r w:rsidRPr="00505F11">
        <w:rPr>
          <w:rFonts w:ascii="Arial" w:hAnsi="Arial" w:cs="Arial"/>
          <w:i/>
          <w:iCs/>
          <w:sz w:val="22"/>
          <w:szCs w:val="22"/>
        </w:rPr>
        <w:t>BMC Public Health</w:t>
      </w:r>
      <w:r w:rsidRPr="00505F11">
        <w:rPr>
          <w:rFonts w:ascii="Arial" w:hAnsi="Arial" w:cs="Arial"/>
          <w:sz w:val="22"/>
          <w:szCs w:val="22"/>
        </w:rPr>
        <w:t>, </w:t>
      </w:r>
      <w:r w:rsidRPr="00505F11">
        <w:rPr>
          <w:rFonts w:ascii="Arial" w:hAnsi="Arial" w:cs="Arial"/>
          <w:i/>
          <w:iCs/>
          <w:sz w:val="22"/>
          <w:szCs w:val="22"/>
        </w:rPr>
        <w:t>25</w:t>
      </w:r>
      <w:r w:rsidRPr="00505F11">
        <w:rPr>
          <w:rFonts w:ascii="Arial" w:hAnsi="Arial" w:cs="Arial"/>
          <w:sz w:val="22"/>
          <w:szCs w:val="22"/>
        </w:rPr>
        <w:t>(1), p.1914.</w:t>
      </w:r>
    </w:p>
    <w:p w14:paraId="4484CEE4" w14:textId="66ECDB9C"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Mailey, E.L., Phillips, S.M., Dlugonski, D. and Conroy, D.E. (2016) Overcoming barriers to exercise among parents: a social cognitive theory perspective. </w:t>
      </w:r>
      <w:r w:rsidRPr="00505F11">
        <w:rPr>
          <w:rFonts w:ascii="Arial" w:hAnsi="Arial" w:cs="Arial"/>
          <w:i/>
          <w:iCs/>
          <w:sz w:val="22"/>
          <w:szCs w:val="22"/>
        </w:rPr>
        <w:t xml:space="preserve">Journal of </w:t>
      </w:r>
      <w:r w:rsidR="00505F11">
        <w:rPr>
          <w:rFonts w:ascii="Arial" w:hAnsi="Arial" w:cs="Arial"/>
          <w:i/>
          <w:iCs/>
          <w:sz w:val="22"/>
          <w:szCs w:val="22"/>
        </w:rPr>
        <w:t>Behavioural Medicine</w:t>
      </w:r>
      <w:r w:rsidRPr="00505F11">
        <w:rPr>
          <w:rFonts w:ascii="Arial" w:hAnsi="Arial" w:cs="Arial"/>
          <w:sz w:val="22"/>
          <w:szCs w:val="22"/>
        </w:rPr>
        <w:t>, </w:t>
      </w:r>
      <w:r w:rsidRPr="00505F11">
        <w:rPr>
          <w:rFonts w:ascii="Arial" w:hAnsi="Arial" w:cs="Arial"/>
          <w:i/>
          <w:iCs/>
          <w:sz w:val="22"/>
          <w:szCs w:val="22"/>
        </w:rPr>
        <w:t>39</w:t>
      </w:r>
      <w:r w:rsidRPr="00505F11">
        <w:rPr>
          <w:rFonts w:ascii="Arial" w:hAnsi="Arial" w:cs="Arial"/>
          <w:sz w:val="22"/>
          <w:szCs w:val="22"/>
        </w:rPr>
        <w:t>(4), pp.599-609.</w:t>
      </w:r>
    </w:p>
    <w:p w14:paraId="3601E59C" w14:textId="77777777" w:rsidR="00E53890" w:rsidRPr="00505F11" w:rsidRDefault="00E53890" w:rsidP="00505F11">
      <w:pPr>
        <w:spacing w:line="360" w:lineRule="auto"/>
        <w:rPr>
          <w:rFonts w:ascii="Arial" w:hAnsi="Arial" w:cs="Arial"/>
          <w:sz w:val="22"/>
          <w:szCs w:val="22"/>
        </w:rPr>
      </w:pPr>
      <w:proofErr w:type="spellStart"/>
      <w:r w:rsidRPr="00505F11">
        <w:rPr>
          <w:rFonts w:ascii="Arial" w:hAnsi="Arial" w:cs="Arial"/>
          <w:sz w:val="22"/>
          <w:szCs w:val="22"/>
        </w:rPr>
        <w:t>Mamelund</w:t>
      </w:r>
      <w:proofErr w:type="spellEnd"/>
      <w:r w:rsidRPr="00505F11">
        <w:rPr>
          <w:rFonts w:ascii="Arial" w:hAnsi="Arial" w:cs="Arial"/>
          <w:sz w:val="22"/>
          <w:szCs w:val="22"/>
        </w:rPr>
        <w:t>, S.E. and Dimka, J. (2021) Social inequalities in infectious diseases. </w:t>
      </w:r>
      <w:r w:rsidRPr="00505F11">
        <w:rPr>
          <w:rFonts w:ascii="Arial" w:hAnsi="Arial" w:cs="Arial"/>
          <w:i/>
          <w:iCs/>
          <w:sz w:val="22"/>
          <w:szCs w:val="22"/>
        </w:rPr>
        <w:t>Scandinavian Journal of Public Health</w:t>
      </w:r>
      <w:r w:rsidRPr="00505F11">
        <w:rPr>
          <w:rFonts w:ascii="Arial" w:hAnsi="Arial" w:cs="Arial"/>
          <w:sz w:val="22"/>
          <w:szCs w:val="22"/>
        </w:rPr>
        <w:t>, </w:t>
      </w:r>
      <w:r w:rsidRPr="00505F11">
        <w:rPr>
          <w:rFonts w:ascii="Arial" w:hAnsi="Arial" w:cs="Arial"/>
          <w:i/>
          <w:iCs/>
          <w:sz w:val="22"/>
          <w:szCs w:val="22"/>
        </w:rPr>
        <w:t>49</w:t>
      </w:r>
      <w:r w:rsidRPr="00505F11">
        <w:rPr>
          <w:rFonts w:ascii="Arial" w:hAnsi="Arial" w:cs="Arial"/>
          <w:sz w:val="22"/>
          <w:szCs w:val="22"/>
        </w:rPr>
        <w:t>(7), pp.675-680.</w:t>
      </w:r>
    </w:p>
    <w:p w14:paraId="01D250EA" w14:textId="3E09466E"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NHS England (2019) </w:t>
      </w:r>
      <w:r w:rsidRPr="00505F11">
        <w:rPr>
          <w:rFonts w:ascii="Arial" w:hAnsi="Arial" w:cs="Arial"/>
          <w:i/>
          <w:iCs/>
          <w:sz w:val="22"/>
          <w:szCs w:val="22"/>
        </w:rPr>
        <w:t>The NHS Long Term Plan: Overview and summary</w:t>
      </w:r>
      <w:r w:rsidRPr="00505F11">
        <w:rPr>
          <w:rFonts w:ascii="Arial" w:hAnsi="Arial" w:cs="Arial"/>
          <w:sz w:val="22"/>
          <w:szCs w:val="22"/>
        </w:rPr>
        <w:t xml:space="preserve">. Available at: </w:t>
      </w:r>
      <w:hyperlink r:id="rId13" w:history="1">
        <w:r w:rsidRPr="00505F11">
          <w:rPr>
            <w:rStyle w:val="Hyperlink"/>
            <w:rFonts w:ascii="Arial" w:hAnsi="Arial" w:cs="Arial"/>
            <w:sz w:val="22"/>
            <w:szCs w:val="22"/>
          </w:rPr>
          <w:t>https://www.longtermplan.nhs.uk/online-version/overview-and-summary/</w:t>
        </w:r>
      </w:hyperlink>
      <w:r w:rsidRPr="00505F11">
        <w:rPr>
          <w:rFonts w:ascii="Arial" w:hAnsi="Arial" w:cs="Arial"/>
          <w:sz w:val="22"/>
          <w:szCs w:val="22"/>
        </w:rPr>
        <w:t xml:space="preserve"> </w:t>
      </w:r>
    </w:p>
    <w:p w14:paraId="7C76E02B" w14:textId="5A119E58" w:rsidR="00E53890" w:rsidRPr="00505F11" w:rsidRDefault="00E53890" w:rsidP="00505F11">
      <w:pPr>
        <w:pStyle w:val="NormalWeb"/>
        <w:spacing w:before="0" w:beforeAutospacing="0" w:after="240" w:afterAutospacing="0" w:line="360" w:lineRule="auto"/>
        <w:rPr>
          <w:rFonts w:ascii="Arial" w:hAnsi="Arial" w:cs="Arial"/>
          <w:sz w:val="22"/>
          <w:szCs w:val="22"/>
        </w:rPr>
      </w:pPr>
      <w:r w:rsidRPr="00505F11">
        <w:rPr>
          <w:rFonts w:ascii="Arial" w:hAnsi="Arial" w:cs="Arial"/>
          <w:sz w:val="22"/>
          <w:szCs w:val="22"/>
        </w:rPr>
        <w:t xml:space="preserve">NHS England (2021). </w:t>
      </w:r>
      <w:r w:rsidRPr="00505F11">
        <w:rPr>
          <w:rFonts w:ascii="Arial" w:hAnsi="Arial" w:cs="Arial"/>
          <w:i/>
          <w:iCs/>
          <w:sz w:val="22"/>
          <w:szCs w:val="22"/>
        </w:rPr>
        <w:t>Core20PLUS5 an Approach to Reducing Health Inequalities</w:t>
      </w:r>
      <w:r w:rsidRPr="00505F11">
        <w:rPr>
          <w:rFonts w:ascii="Arial" w:hAnsi="Arial" w:cs="Arial"/>
          <w:sz w:val="22"/>
          <w:szCs w:val="22"/>
        </w:rPr>
        <w:t xml:space="preserve">. Available at: </w:t>
      </w:r>
      <w:hyperlink r:id="rId14" w:history="1">
        <w:r w:rsidRPr="00505F11">
          <w:rPr>
            <w:rStyle w:val="Hyperlink"/>
            <w:rFonts w:ascii="Arial" w:hAnsi="Arial" w:cs="Arial"/>
            <w:sz w:val="22"/>
            <w:szCs w:val="22"/>
          </w:rPr>
          <w:t>https://www.england.nhs.uk/about/equality/equality-hub/national-healthcare-inequalities-improvement-programme/core20plus5/</w:t>
        </w:r>
      </w:hyperlink>
      <w:r w:rsidRPr="00505F11">
        <w:rPr>
          <w:rFonts w:ascii="Arial" w:hAnsi="Arial" w:cs="Arial"/>
          <w:sz w:val="22"/>
          <w:szCs w:val="22"/>
        </w:rPr>
        <w:t xml:space="preserve">. </w:t>
      </w:r>
    </w:p>
    <w:p w14:paraId="7782D68B" w14:textId="6C556B29"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lastRenderedPageBreak/>
        <w:t xml:space="preserve">NHS England (2023). </w:t>
      </w:r>
      <w:r w:rsidRPr="00505F11">
        <w:rPr>
          <w:rFonts w:ascii="Arial" w:hAnsi="Arial" w:cs="Arial"/>
          <w:i/>
          <w:iCs/>
          <w:sz w:val="22"/>
          <w:szCs w:val="22"/>
        </w:rPr>
        <w:t>NHS Diabetes Prevention Programme (NHS DPP)</w:t>
      </w:r>
      <w:r w:rsidRPr="00505F11">
        <w:rPr>
          <w:rFonts w:ascii="Arial" w:hAnsi="Arial" w:cs="Arial"/>
          <w:sz w:val="22"/>
          <w:szCs w:val="22"/>
        </w:rPr>
        <w:t xml:space="preserve">. Available at: </w:t>
      </w:r>
      <w:hyperlink r:id="rId15" w:history="1">
        <w:r w:rsidRPr="00505F11">
          <w:rPr>
            <w:rStyle w:val="Hyperlink"/>
            <w:rFonts w:ascii="Arial" w:hAnsi="Arial" w:cs="Arial"/>
            <w:sz w:val="22"/>
            <w:szCs w:val="22"/>
          </w:rPr>
          <w:t>https://www.england.nhs.uk/diabetes/diabetes-prevention/</w:t>
        </w:r>
      </w:hyperlink>
      <w:r w:rsidRPr="00505F11">
        <w:rPr>
          <w:rFonts w:ascii="Arial" w:hAnsi="Arial" w:cs="Arial"/>
          <w:sz w:val="22"/>
          <w:szCs w:val="22"/>
        </w:rPr>
        <w:t xml:space="preserve">. </w:t>
      </w:r>
    </w:p>
    <w:p w14:paraId="716D8C40" w14:textId="44B4E128"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Nickerson, C. (2024). </w:t>
      </w:r>
      <w:r w:rsidRPr="00505F11">
        <w:rPr>
          <w:rFonts w:ascii="Arial" w:hAnsi="Arial" w:cs="Arial"/>
          <w:i/>
          <w:iCs/>
          <w:sz w:val="22"/>
          <w:szCs w:val="22"/>
        </w:rPr>
        <w:t>Albert Bandura’s Social Cognitive Theory</w:t>
      </w:r>
      <w:r w:rsidRPr="00505F11">
        <w:rPr>
          <w:rFonts w:ascii="Arial" w:hAnsi="Arial" w:cs="Arial"/>
          <w:sz w:val="22"/>
          <w:szCs w:val="22"/>
        </w:rPr>
        <w:t xml:space="preserve">. Simply Psychology. Available at: </w:t>
      </w:r>
      <w:hyperlink r:id="rId16" w:history="1">
        <w:r w:rsidRPr="00505F11">
          <w:rPr>
            <w:rStyle w:val="Hyperlink"/>
            <w:rFonts w:ascii="Arial" w:hAnsi="Arial" w:cs="Arial"/>
            <w:sz w:val="22"/>
            <w:szCs w:val="22"/>
          </w:rPr>
          <w:t>https://www.simplypsychology.org/social-cognitive-theory.html</w:t>
        </w:r>
      </w:hyperlink>
      <w:r w:rsidRPr="00505F11">
        <w:rPr>
          <w:rFonts w:ascii="Arial" w:hAnsi="Arial" w:cs="Arial"/>
          <w:sz w:val="22"/>
          <w:szCs w:val="22"/>
        </w:rPr>
        <w:t xml:space="preserve"> </w:t>
      </w:r>
    </w:p>
    <w:p w14:paraId="12AA79E6" w14:textId="32C9A357"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NSMC (2020). </w:t>
      </w:r>
      <w:r w:rsidRPr="00505F11">
        <w:rPr>
          <w:rFonts w:ascii="Arial" w:hAnsi="Arial" w:cs="Arial"/>
          <w:i/>
          <w:iCs/>
          <w:sz w:val="22"/>
          <w:szCs w:val="22"/>
        </w:rPr>
        <w:t>Change4</w:t>
      </w:r>
      <w:proofErr w:type="gramStart"/>
      <w:r w:rsidRPr="00505F11">
        <w:rPr>
          <w:rFonts w:ascii="Arial" w:hAnsi="Arial" w:cs="Arial"/>
          <w:i/>
          <w:iCs/>
          <w:sz w:val="22"/>
          <w:szCs w:val="22"/>
        </w:rPr>
        <w:t xml:space="preserve">Life </w:t>
      </w:r>
      <w:r w:rsidRPr="00505F11">
        <w:rPr>
          <w:rFonts w:ascii="Arial" w:hAnsi="Arial" w:cs="Arial"/>
          <w:sz w:val="22"/>
          <w:szCs w:val="22"/>
        </w:rPr>
        <w:t>.Available</w:t>
      </w:r>
      <w:proofErr w:type="gramEnd"/>
      <w:r w:rsidRPr="00505F11">
        <w:rPr>
          <w:rFonts w:ascii="Arial" w:hAnsi="Arial" w:cs="Arial"/>
          <w:sz w:val="22"/>
          <w:szCs w:val="22"/>
        </w:rPr>
        <w:t xml:space="preserve"> at: </w:t>
      </w:r>
      <w:hyperlink r:id="rId17" w:history="1">
        <w:r w:rsidRPr="00505F11">
          <w:rPr>
            <w:rStyle w:val="Hyperlink"/>
            <w:rFonts w:ascii="Arial" w:hAnsi="Arial" w:cs="Arial"/>
            <w:sz w:val="22"/>
            <w:szCs w:val="22"/>
          </w:rPr>
          <w:t>https://www.thensmc.com/resources/showcase/change4life</w:t>
        </w:r>
      </w:hyperlink>
      <w:r w:rsidRPr="00505F11">
        <w:rPr>
          <w:rFonts w:ascii="Arial" w:hAnsi="Arial" w:cs="Arial"/>
          <w:sz w:val="22"/>
          <w:szCs w:val="22"/>
        </w:rPr>
        <w:t xml:space="preserve">. </w:t>
      </w:r>
    </w:p>
    <w:p w14:paraId="31132FC4" w14:textId="77777777" w:rsidR="00E53890" w:rsidRPr="00505F11" w:rsidRDefault="00E53890" w:rsidP="00505F11">
      <w:pPr>
        <w:spacing w:line="360" w:lineRule="auto"/>
        <w:rPr>
          <w:rFonts w:ascii="Arial" w:hAnsi="Arial" w:cs="Arial"/>
          <w:sz w:val="22"/>
          <w:szCs w:val="22"/>
        </w:rPr>
      </w:pPr>
      <w:proofErr w:type="spellStart"/>
      <w:r w:rsidRPr="00505F11">
        <w:rPr>
          <w:rFonts w:ascii="Arial" w:hAnsi="Arial" w:cs="Arial"/>
          <w:sz w:val="22"/>
          <w:szCs w:val="22"/>
        </w:rPr>
        <w:t>Ocloo</w:t>
      </w:r>
      <w:proofErr w:type="spellEnd"/>
      <w:r w:rsidRPr="00505F11">
        <w:rPr>
          <w:rFonts w:ascii="Arial" w:hAnsi="Arial" w:cs="Arial"/>
          <w:sz w:val="22"/>
          <w:szCs w:val="22"/>
        </w:rPr>
        <w:t>, J., Garfield, S., Franklin, B.D. and Dawson, S. (2021). Exploring the theory, barriers and enablers for patient and public involvement across health, social care and patient safety: a systematic review of reviews. </w:t>
      </w:r>
      <w:r w:rsidRPr="00505F11">
        <w:rPr>
          <w:rFonts w:ascii="Arial" w:hAnsi="Arial" w:cs="Arial"/>
          <w:i/>
          <w:iCs/>
          <w:sz w:val="22"/>
          <w:szCs w:val="22"/>
        </w:rPr>
        <w:t>Health research policy and systems</w:t>
      </w:r>
      <w:r w:rsidRPr="00505F11">
        <w:rPr>
          <w:rFonts w:ascii="Arial" w:hAnsi="Arial" w:cs="Arial"/>
          <w:sz w:val="22"/>
          <w:szCs w:val="22"/>
        </w:rPr>
        <w:t>, </w:t>
      </w:r>
      <w:r w:rsidRPr="00505F11">
        <w:rPr>
          <w:rFonts w:ascii="Arial" w:hAnsi="Arial" w:cs="Arial"/>
          <w:i/>
          <w:iCs/>
          <w:sz w:val="22"/>
          <w:szCs w:val="22"/>
        </w:rPr>
        <w:t>19</w:t>
      </w:r>
      <w:r w:rsidRPr="00505F11">
        <w:rPr>
          <w:rFonts w:ascii="Arial" w:hAnsi="Arial" w:cs="Arial"/>
          <w:sz w:val="22"/>
          <w:szCs w:val="22"/>
        </w:rPr>
        <w:t>(1), p.8.</w:t>
      </w:r>
    </w:p>
    <w:p w14:paraId="481C496B" w14:textId="37711E82"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Ofcom (2022). </w:t>
      </w:r>
      <w:r w:rsidRPr="00505F11">
        <w:rPr>
          <w:rFonts w:ascii="Arial" w:hAnsi="Arial" w:cs="Arial"/>
          <w:i/>
          <w:iCs/>
          <w:sz w:val="22"/>
          <w:szCs w:val="22"/>
        </w:rPr>
        <w:t>Digital exclusion A review of Ofcom’s research on digital exclusion among adults in the UK Digital exclusion review -Welsh overview Contents</w:t>
      </w:r>
      <w:r w:rsidRPr="00505F11">
        <w:rPr>
          <w:rFonts w:ascii="Arial" w:hAnsi="Arial" w:cs="Arial"/>
          <w:sz w:val="22"/>
          <w:szCs w:val="22"/>
        </w:rPr>
        <w:t xml:space="preserve">. Available at: </w:t>
      </w:r>
      <w:hyperlink r:id="rId18" w:history="1">
        <w:r w:rsidRPr="00505F11">
          <w:rPr>
            <w:rStyle w:val="Hyperlink"/>
            <w:rFonts w:ascii="Arial" w:hAnsi="Arial" w:cs="Arial"/>
            <w:sz w:val="22"/>
            <w:szCs w:val="22"/>
          </w:rPr>
          <w:t>https://www.ofcom.org.uk/siteassets/resources/documents/research-and-data/media-literacy-research/adults/adults-media-use-and-attitudes-2022/digital-exclusion-review-2022.pdf?v=327651</w:t>
        </w:r>
      </w:hyperlink>
      <w:r w:rsidRPr="00505F11">
        <w:rPr>
          <w:rFonts w:ascii="Arial" w:hAnsi="Arial" w:cs="Arial"/>
          <w:sz w:val="22"/>
          <w:szCs w:val="22"/>
        </w:rPr>
        <w:t xml:space="preserve">. </w:t>
      </w:r>
    </w:p>
    <w:p w14:paraId="00397833" w14:textId="2E0CBC3D"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Ruger, J.P. (2005) ‘The changing role of the World Bank in global health’, </w:t>
      </w:r>
      <w:r w:rsidRPr="00505F11">
        <w:rPr>
          <w:rFonts w:ascii="Arial" w:hAnsi="Arial" w:cs="Arial"/>
          <w:i/>
          <w:iCs/>
          <w:sz w:val="22"/>
          <w:szCs w:val="22"/>
        </w:rPr>
        <w:t>American Journal of Public Health</w:t>
      </w:r>
      <w:r w:rsidRPr="00505F11">
        <w:rPr>
          <w:rFonts w:ascii="Arial" w:hAnsi="Arial" w:cs="Arial"/>
          <w:sz w:val="22"/>
          <w:szCs w:val="22"/>
        </w:rPr>
        <w:t xml:space="preserve">, 95(1), pp. 60–70. Available at: </w:t>
      </w:r>
      <w:hyperlink r:id="rId19" w:history="1">
        <w:r w:rsidRPr="00505F11">
          <w:rPr>
            <w:rStyle w:val="Hyperlink"/>
            <w:rFonts w:ascii="Arial" w:hAnsi="Arial" w:cs="Arial"/>
            <w:sz w:val="22"/>
            <w:szCs w:val="22"/>
          </w:rPr>
          <w:t>https://ajph.aphapublications.org</w:t>
        </w:r>
      </w:hyperlink>
      <w:r w:rsidRPr="00505F11">
        <w:rPr>
          <w:rFonts w:ascii="Arial" w:hAnsi="Arial" w:cs="Arial"/>
          <w:sz w:val="22"/>
          <w:szCs w:val="22"/>
        </w:rPr>
        <w:t xml:space="preserve">   </w:t>
      </w:r>
    </w:p>
    <w:p w14:paraId="37C4E657" w14:textId="77777777"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Saunders, M., McHale, P. and Hamelmann, C. (2017) Key policies for addressing the social determinants of health and health inequities.</w:t>
      </w:r>
    </w:p>
    <w:p w14:paraId="3F9041AB" w14:textId="12D24A87" w:rsidR="00D206BB"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The Global Fund (2025) </w:t>
      </w:r>
      <w:r w:rsidRPr="00505F11">
        <w:rPr>
          <w:rFonts w:ascii="Arial" w:hAnsi="Arial" w:cs="Arial"/>
          <w:i/>
          <w:iCs/>
          <w:sz w:val="22"/>
          <w:szCs w:val="22"/>
        </w:rPr>
        <w:t>Partnerships</w:t>
      </w:r>
      <w:r w:rsidRPr="00505F11">
        <w:rPr>
          <w:rFonts w:ascii="Arial" w:hAnsi="Arial" w:cs="Arial"/>
          <w:sz w:val="22"/>
          <w:szCs w:val="22"/>
        </w:rPr>
        <w:t xml:space="preserve"> Available at: </w:t>
      </w:r>
      <w:hyperlink r:id="rId20" w:history="1">
        <w:r w:rsidRPr="00505F11">
          <w:rPr>
            <w:rStyle w:val="Hyperlink"/>
            <w:rFonts w:ascii="Arial" w:hAnsi="Arial" w:cs="Arial"/>
            <w:sz w:val="22"/>
            <w:szCs w:val="22"/>
          </w:rPr>
          <w:t>https://www.theglobalfund.org/en/about-the-global-fund/partnerships/</w:t>
        </w:r>
      </w:hyperlink>
      <w:r w:rsidRPr="00505F11">
        <w:rPr>
          <w:rFonts w:ascii="Arial" w:hAnsi="Arial" w:cs="Arial"/>
          <w:sz w:val="22"/>
          <w:szCs w:val="22"/>
        </w:rPr>
        <w:t xml:space="preserve">  </w:t>
      </w:r>
    </w:p>
    <w:p w14:paraId="08E96D27" w14:textId="19EC702D"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The Global Fund (2025) </w:t>
      </w:r>
      <w:r w:rsidRPr="00505F11">
        <w:rPr>
          <w:rFonts w:ascii="Arial" w:hAnsi="Arial" w:cs="Arial"/>
          <w:i/>
          <w:iCs/>
          <w:sz w:val="22"/>
          <w:szCs w:val="22"/>
        </w:rPr>
        <w:t>Partnerships</w:t>
      </w:r>
      <w:r w:rsidRPr="00505F11">
        <w:rPr>
          <w:rFonts w:ascii="Arial" w:hAnsi="Arial" w:cs="Arial"/>
          <w:sz w:val="22"/>
          <w:szCs w:val="22"/>
        </w:rPr>
        <w:t xml:space="preserve"> Available at: </w:t>
      </w:r>
      <w:hyperlink r:id="rId21" w:history="1">
        <w:r w:rsidRPr="00505F11">
          <w:rPr>
            <w:rStyle w:val="Hyperlink"/>
            <w:rFonts w:ascii="Arial" w:hAnsi="Arial" w:cs="Arial"/>
            <w:sz w:val="22"/>
            <w:szCs w:val="22"/>
          </w:rPr>
          <w:t>https://www.theglobalfund.org/en/about-the-global-fund/partnerships/</w:t>
        </w:r>
      </w:hyperlink>
      <w:r w:rsidRPr="00505F11">
        <w:rPr>
          <w:rFonts w:ascii="Arial" w:hAnsi="Arial" w:cs="Arial"/>
          <w:sz w:val="22"/>
          <w:szCs w:val="22"/>
        </w:rPr>
        <w:t xml:space="preserve">  </w:t>
      </w:r>
    </w:p>
    <w:p w14:paraId="7E0D30A1" w14:textId="1E983768"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The King’s Fund (2020) </w:t>
      </w:r>
      <w:r w:rsidRPr="00505F11">
        <w:rPr>
          <w:rFonts w:ascii="Arial" w:hAnsi="Arial" w:cs="Arial"/>
          <w:i/>
          <w:iCs/>
          <w:sz w:val="22"/>
          <w:szCs w:val="22"/>
        </w:rPr>
        <w:t xml:space="preserve">The road to renewal: five priorities for health and care </w:t>
      </w:r>
      <w:r w:rsidRPr="00505F11">
        <w:rPr>
          <w:rFonts w:ascii="Arial" w:hAnsi="Arial" w:cs="Arial"/>
          <w:sz w:val="22"/>
          <w:szCs w:val="22"/>
        </w:rPr>
        <w:t xml:space="preserve">Available at: </w:t>
      </w:r>
      <w:hyperlink r:id="rId22" w:history="1">
        <w:r w:rsidRPr="00505F11">
          <w:rPr>
            <w:rStyle w:val="Hyperlink"/>
            <w:rFonts w:ascii="Arial" w:hAnsi="Arial" w:cs="Arial"/>
            <w:sz w:val="22"/>
            <w:szCs w:val="22"/>
          </w:rPr>
          <w:t>https://www.kingsfund.org.uk/insight-and-analysis/long-reads/covid-19-road-renewal-health-and-care</w:t>
        </w:r>
      </w:hyperlink>
      <w:r w:rsidRPr="00505F11">
        <w:rPr>
          <w:rFonts w:ascii="Arial" w:hAnsi="Arial" w:cs="Arial"/>
          <w:sz w:val="22"/>
          <w:szCs w:val="22"/>
        </w:rPr>
        <w:t xml:space="preserve">  </w:t>
      </w:r>
    </w:p>
    <w:p w14:paraId="5B0F8AEB" w14:textId="74FD9AA4"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The University of Edinburgh (2022). </w:t>
      </w:r>
      <w:r w:rsidRPr="00505F11">
        <w:rPr>
          <w:rFonts w:ascii="Arial" w:hAnsi="Arial" w:cs="Arial"/>
          <w:i/>
          <w:iCs/>
          <w:sz w:val="22"/>
          <w:szCs w:val="22"/>
        </w:rPr>
        <w:t>Ten Years of Stoptober | SPECTRUM Consortium</w:t>
      </w:r>
      <w:r w:rsidRPr="00505F11">
        <w:rPr>
          <w:rFonts w:ascii="Arial" w:hAnsi="Arial" w:cs="Arial"/>
          <w:sz w:val="22"/>
          <w:szCs w:val="22"/>
        </w:rPr>
        <w:t xml:space="preserve">. Available at: </w:t>
      </w:r>
      <w:hyperlink r:id="rId23" w:history="1">
        <w:r w:rsidRPr="00505F11">
          <w:rPr>
            <w:rStyle w:val="Hyperlink"/>
            <w:rFonts w:ascii="Arial" w:hAnsi="Arial" w:cs="Arial"/>
            <w:sz w:val="22"/>
            <w:szCs w:val="22"/>
          </w:rPr>
          <w:t>https://spectrum.ed.ac.uk/news-insights-and-events/insights/ten-years-stoptober</w:t>
        </w:r>
      </w:hyperlink>
      <w:r w:rsidRPr="00505F11">
        <w:rPr>
          <w:rFonts w:ascii="Arial" w:hAnsi="Arial" w:cs="Arial"/>
          <w:sz w:val="22"/>
          <w:szCs w:val="22"/>
        </w:rPr>
        <w:t xml:space="preserve">. </w:t>
      </w:r>
    </w:p>
    <w:p w14:paraId="7E515214" w14:textId="7220F255" w:rsidR="00E53890" w:rsidRPr="00505F11" w:rsidRDefault="00E53890" w:rsidP="00505F11">
      <w:pPr>
        <w:pStyle w:val="NormalWeb"/>
        <w:spacing w:before="0" w:beforeAutospacing="0" w:after="240" w:afterAutospacing="0" w:line="360" w:lineRule="auto"/>
        <w:rPr>
          <w:rFonts w:ascii="Arial" w:hAnsi="Arial" w:cs="Arial"/>
          <w:sz w:val="22"/>
          <w:szCs w:val="22"/>
        </w:rPr>
      </w:pPr>
      <w:r w:rsidRPr="00505F11">
        <w:rPr>
          <w:rFonts w:ascii="Arial" w:hAnsi="Arial" w:cs="Arial"/>
          <w:sz w:val="22"/>
          <w:szCs w:val="22"/>
        </w:rPr>
        <w:t xml:space="preserve">United Nations (2015). </w:t>
      </w:r>
      <w:r w:rsidRPr="00505F11">
        <w:rPr>
          <w:rFonts w:ascii="Arial" w:hAnsi="Arial" w:cs="Arial"/>
          <w:i/>
          <w:iCs/>
          <w:sz w:val="22"/>
          <w:szCs w:val="22"/>
        </w:rPr>
        <w:t>Transforming our world: The 2030 Agenda for Sustainable Development</w:t>
      </w:r>
      <w:r w:rsidRPr="00505F11">
        <w:rPr>
          <w:rFonts w:ascii="Arial" w:hAnsi="Arial" w:cs="Arial"/>
          <w:sz w:val="22"/>
          <w:szCs w:val="22"/>
        </w:rPr>
        <w:t xml:space="preserve">. Available at: </w:t>
      </w:r>
      <w:hyperlink r:id="rId24" w:history="1">
        <w:r w:rsidRPr="00505F11">
          <w:rPr>
            <w:rStyle w:val="Hyperlink"/>
            <w:rFonts w:ascii="Arial" w:hAnsi="Arial" w:cs="Arial"/>
            <w:sz w:val="22"/>
            <w:szCs w:val="22"/>
          </w:rPr>
          <w:t>https://sdgs.un.org/2030agenda</w:t>
        </w:r>
      </w:hyperlink>
      <w:r w:rsidRPr="00505F11">
        <w:rPr>
          <w:rFonts w:ascii="Arial" w:hAnsi="Arial" w:cs="Arial"/>
          <w:sz w:val="22"/>
          <w:szCs w:val="22"/>
        </w:rPr>
        <w:t xml:space="preserve"> </w:t>
      </w:r>
    </w:p>
    <w:p w14:paraId="10C6BB03" w14:textId="2B8B01B0" w:rsidR="00E53890" w:rsidRPr="00505F11" w:rsidRDefault="00E53890" w:rsidP="00505F11">
      <w:pPr>
        <w:pStyle w:val="NormalWeb"/>
        <w:spacing w:before="0" w:beforeAutospacing="0" w:after="240" w:afterAutospacing="0" w:line="360" w:lineRule="auto"/>
        <w:rPr>
          <w:rFonts w:ascii="Arial" w:hAnsi="Arial" w:cs="Arial"/>
          <w:sz w:val="22"/>
          <w:szCs w:val="22"/>
        </w:rPr>
      </w:pPr>
      <w:r w:rsidRPr="00505F11">
        <w:rPr>
          <w:rFonts w:ascii="Arial" w:hAnsi="Arial" w:cs="Arial"/>
          <w:sz w:val="22"/>
          <w:szCs w:val="22"/>
        </w:rPr>
        <w:lastRenderedPageBreak/>
        <w:t xml:space="preserve">United Nations (2025). </w:t>
      </w:r>
      <w:r w:rsidRPr="00505F11">
        <w:rPr>
          <w:rFonts w:ascii="Arial" w:hAnsi="Arial" w:cs="Arial"/>
          <w:i/>
          <w:iCs/>
          <w:sz w:val="22"/>
          <w:szCs w:val="22"/>
        </w:rPr>
        <w:t>Goal 10: Reduce Inequality within and among Countries</w:t>
      </w:r>
      <w:r w:rsidRPr="00505F11">
        <w:rPr>
          <w:rFonts w:ascii="Arial" w:hAnsi="Arial" w:cs="Arial"/>
          <w:sz w:val="22"/>
          <w:szCs w:val="22"/>
        </w:rPr>
        <w:t xml:space="preserve">. Available at: </w:t>
      </w:r>
      <w:hyperlink r:id="rId25" w:history="1">
        <w:r w:rsidRPr="00505F11">
          <w:rPr>
            <w:rStyle w:val="Hyperlink"/>
            <w:rFonts w:ascii="Arial" w:hAnsi="Arial" w:cs="Arial"/>
            <w:sz w:val="22"/>
            <w:szCs w:val="22"/>
          </w:rPr>
          <w:t>https://www.un.org/sustainabledevelopment/inequality/</w:t>
        </w:r>
      </w:hyperlink>
      <w:r w:rsidRPr="00505F11">
        <w:rPr>
          <w:rFonts w:ascii="Arial" w:hAnsi="Arial" w:cs="Arial"/>
          <w:sz w:val="22"/>
          <w:szCs w:val="22"/>
        </w:rPr>
        <w:t xml:space="preserve">. </w:t>
      </w:r>
    </w:p>
    <w:p w14:paraId="33010B60" w14:textId="39D4E9EF" w:rsidR="00E53890" w:rsidRPr="00505F11" w:rsidRDefault="00E53890" w:rsidP="00505F11">
      <w:pPr>
        <w:pStyle w:val="NormalWeb"/>
        <w:spacing w:before="0" w:beforeAutospacing="0" w:after="240" w:afterAutospacing="0" w:line="360" w:lineRule="auto"/>
        <w:rPr>
          <w:rFonts w:ascii="Arial" w:hAnsi="Arial" w:cs="Arial"/>
          <w:sz w:val="22"/>
          <w:szCs w:val="22"/>
        </w:rPr>
      </w:pPr>
      <w:r w:rsidRPr="00505F11">
        <w:rPr>
          <w:rFonts w:ascii="Arial" w:hAnsi="Arial" w:cs="Arial"/>
          <w:sz w:val="22"/>
          <w:szCs w:val="22"/>
        </w:rPr>
        <w:t xml:space="preserve">United Nations (2026). </w:t>
      </w:r>
      <w:r w:rsidRPr="00505F11">
        <w:rPr>
          <w:rFonts w:ascii="Arial" w:hAnsi="Arial" w:cs="Arial"/>
          <w:i/>
          <w:iCs/>
          <w:sz w:val="22"/>
          <w:szCs w:val="22"/>
        </w:rPr>
        <w:t>Goal 3: Ensure healthy lives and promote well-being for all at all ages</w:t>
      </w:r>
      <w:r w:rsidRPr="00505F11">
        <w:rPr>
          <w:rFonts w:ascii="Arial" w:hAnsi="Arial" w:cs="Arial"/>
          <w:sz w:val="22"/>
          <w:szCs w:val="22"/>
        </w:rPr>
        <w:t xml:space="preserve">. Available at: </w:t>
      </w:r>
      <w:hyperlink r:id="rId26" w:history="1">
        <w:r w:rsidRPr="00505F11">
          <w:rPr>
            <w:rStyle w:val="Hyperlink"/>
            <w:rFonts w:ascii="Arial" w:hAnsi="Arial" w:cs="Arial"/>
            <w:sz w:val="22"/>
            <w:szCs w:val="22"/>
          </w:rPr>
          <w:t>https://sdgs.un.org/goals/goal3</w:t>
        </w:r>
      </w:hyperlink>
      <w:r w:rsidRPr="00505F11">
        <w:rPr>
          <w:rFonts w:ascii="Arial" w:hAnsi="Arial" w:cs="Arial"/>
          <w:sz w:val="22"/>
          <w:szCs w:val="22"/>
        </w:rPr>
        <w:t xml:space="preserve">. </w:t>
      </w:r>
    </w:p>
    <w:p w14:paraId="4A1E3EF0" w14:textId="4A379BD6"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World Health </w:t>
      </w:r>
      <w:r w:rsidR="00505F11">
        <w:rPr>
          <w:rFonts w:ascii="Arial" w:hAnsi="Arial" w:cs="Arial"/>
          <w:sz w:val="22"/>
          <w:szCs w:val="22"/>
        </w:rPr>
        <w:t>Organisation</w:t>
      </w:r>
      <w:r w:rsidRPr="00505F11">
        <w:rPr>
          <w:rFonts w:ascii="Arial" w:hAnsi="Arial" w:cs="Arial"/>
          <w:sz w:val="22"/>
          <w:szCs w:val="22"/>
        </w:rPr>
        <w:t xml:space="preserve"> (2021) </w:t>
      </w:r>
      <w:r w:rsidRPr="00505F11">
        <w:rPr>
          <w:rFonts w:ascii="Arial" w:hAnsi="Arial" w:cs="Arial"/>
          <w:i/>
          <w:iCs/>
          <w:sz w:val="22"/>
          <w:szCs w:val="22"/>
        </w:rPr>
        <w:t xml:space="preserve">Health inequities and their causes. </w:t>
      </w:r>
      <w:r w:rsidRPr="00505F11">
        <w:rPr>
          <w:rFonts w:ascii="Arial" w:hAnsi="Arial" w:cs="Arial"/>
          <w:sz w:val="22"/>
          <w:szCs w:val="22"/>
        </w:rPr>
        <w:t xml:space="preserve">Available at: </w:t>
      </w:r>
      <w:hyperlink r:id="rId27" w:history="1">
        <w:r w:rsidRPr="00505F11">
          <w:rPr>
            <w:rStyle w:val="Hyperlink"/>
            <w:rFonts w:ascii="Arial" w:hAnsi="Arial" w:cs="Arial"/>
            <w:sz w:val="22"/>
            <w:szCs w:val="22"/>
          </w:rPr>
          <w:t>https://www.who.int/news-room/facts-in-pictures/detail/health-inequities-and-their-causes</w:t>
        </w:r>
      </w:hyperlink>
      <w:r w:rsidRPr="00505F11">
        <w:rPr>
          <w:rFonts w:ascii="Arial" w:hAnsi="Arial" w:cs="Arial"/>
          <w:sz w:val="22"/>
          <w:szCs w:val="22"/>
        </w:rPr>
        <w:t xml:space="preserve">  </w:t>
      </w:r>
    </w:p>
    <w:p w14:paraId="05614798" w14:textId="7F0247C6"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World Health </w:t>
      </w:r>
      <w:r w:rsidR="00505F11">
        <w:rPr>
          <w:rFonts w:ascii="Arial" w:hAnsi="Arial" w:cs="Arial"/>
          <w:sz w:val="22"/>
          <w:szCs w:val="22"/>
        </w:rPr>
        <w:t>Organisation</w:t>
      </w:r>
      <w:r w:rsidRPr="00505F11">
        <w:rPr>
          <w:rFonts w:ascii="Arial" w:hAnsi="Arial" w:cs="Arial"/>
          <w:sz w:val="22"/>
          <w:szCs w:val="22"/>
        </w:rPr>
        <w:t xml:space="preserve"> (2023a) </w:t>
      </w:r>
      <w:r w:rsidRPr="00505F11">
        <w:rPr>
          <w:rFonts w:ascii="Arial" w:hAnsi="Arial" w:cs="Arial"/>
          <w:i/>
          <w:iCs/>
          <w:sz w:val="22"/>
          <w:szCs w:val="22"/>
        </w:rPr>
        <w:t>What we do Available</w:t>
      </w:r>
      <w:r w:rsidRPr="00505F11">
        <w:rPr>
          <w:rFonts w:ascii="Arial" w:hAnsi="Arial" w:cs="Arial"/>
          <w:sz w:val="22"/>
          <w:szCs w:val="22"/>
        </w:rPr>
        <w:t xml:space="preserve"> at: </w:t>
      </w:r>
      <w:hyperlink r:id="rId28" w:history="1">
        <w:r w:rsidRPr="00505F11">
          <w:rPr>
            <w:rStyle w:val="Hyperlink"/>
            <w:rFonts w:ascii="Arial" w:hAnsi="Arial" w:cs="Arial"/>
            <w:sz w:val="22"/>
            <w:szCs w:val="22"/>
          </w:rPr>
          <w:t>https://www.who.int/about/what-we-do</w:t>
        </w:r>
      </w:hyperlink>
      <w:r w:rsidRPr="00505F11">
        <w:rPr>
          <w:rFonts w:ascii="Arial" w:hAnsi="Arial" w:cs="Arial"/>
          <w:sz w:val="22"/>
          <w:szCs w:val="22"/>
        </w:rPr>
        <w:t xml:space="preserve">   </w:t>
      </w:r>
    </w:p>
    <w:p w14:paraId="000453DC" w14:textId="121E0982"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World Health </w:t>
      </w:r>
      <w:r w:rsidR="00505F11">
        <w:rPr>
          <w:rFonts w:ascii="Arial" w:hAnsi="Arial" w:cs="Arial"/>
          <w:sz w:val="22"/>
          <w:szCs w:val="22"/>
        </w:rPr>
        <w:t>Organisation</w:t>
      </w:r>
      <w:r w:rsidRPr="00505F11">
        <w:rPr>
          <w:rFonts w:ascii="Arial" w:hAnsi="Arial" w:cs="Arial"/>
          <w:sz w:val="22"/>
          <w:szCs w:val="22"/>
        </w:rPr>
        <w:t xml:space="preserve"> (2023b) </w:t>
      </w:r>
      <w:r w:rsidRPr="00505F11">
        <w:rPr>
          <w:rFonts w:ascii="Arial" w:hAnsi="Arial" w:cs="Arial"/>
          <w:i/>
          <w:iCs/>
          <w:sz w:val="22"/>
          <w:szCs w:val="22"/>
        </w:rPr>
        <w:t xml:space="preserve">World Health Statistics 2023: Monitoring Health for the SDGs </w:t>
      </w:r>
      <w:r w:rsidRPr="00505F11">
        <w:rPr>
          <w:rFonts w:ascii="Arial" w:hAnsi="Arial" w:cs="Arial"/>
          <w:sz w:val="22"/>
          <w:szCs w:val="22"/>
        </w:rPr>
        <w:t xml:space="preserve">Available at: </w:t>
      </w:r>
      <w:hyperlink r:id="rId29" w:history="1">
        <w:r w:rsidRPr="00505F11">
          <w:rPr>
            <w:rStyle w:val="Hyperlink"/>
            <w:rFonts w:ascii="Arial" w:hAnsi="Arial" w:cs="Arial"/>
            <w:sz w:val="22"/>
            <w:szCs w:val="22"/>
          </w:rPr>
          <w:t>https://www.who.int/publications/i/item/9789240074323</w:t>
        </w:r>
      </w:hyperlink>
      <w:r w:rsidRPr="00505F11">
        <w:rPr>
          <w:rFonts w:ascii="Arial" w:hAnsi="Arial" w:cs="Arial"/>
          <w:sz w:val="22"/>
          <w:szCs w:val="22"/>
        </w:rPr>
        <w:t xml:space="preserve">  </w:t>
      </w:r>
    </w:p>
    <w:p w14:paraId="4111D6E5" w14:textId="674B6C2E" w:rsidR="00E53890" w:rsidRPr="00505F11" w:rsidRDefault="00E53890" w:rsidP="00505F11">
      <w:pPr>
        <w:spacing w:line="360" w:lineRule="auto"/>
        <w:rPr>
          <w:rFonts w:ascii="Arial" w:hAnsi="Arial" w:cs="Arial"/>
          <w:sz w:val="22"/>
          <w:szCs w:val="22"/>
        </w:rPr>
      </w:pPr>
      <w:r w:rsidRPr="00505F11">
        <w:rPr>
          <w:rFonts w:ascii="Arial" w:hAnsi="Arial" w:cs="Arial"/>
          <w:sz w:val="22"/>
          <w:szCs w:val="22"/>
        </w:rPr>
        <w:t xml:space="preserve">World Health </w:t>
      </w:r>
      <w:r w:rsidR="00505F11">
        <w:rPr>
          <w:rFonts w:ascii="Arial" w:hAnsi="Arial" w:cs="Arial"/>
          <w:sz w:val="22"/>
          <w:szCs w:val="22"/>
        </w:rPr>
        <w:t>Organisation</w:t>
      </w:r>
      <w:r w:rsidRPr="00505F11">
        <w:rPr>
          <w:rFonts w:ascii="Arial" w:hAnsi="Arial" w:cs="Arial"/>
          <w:sz w:val="22"/>
          <w:szCs w:val="22"/>
        </w:rPr>
        <w:t>. (2018). Continuity and coordination of care: a practice brief to support implementation of the WHO Framework on integrated people-centred health services.</w:t>
      </w:r>
    </w:p>
    <w:p w14:paraId="248032FE" w14:textId="77777777" w:rsidR="00FB124F" w:rsidRPr="00505F11" w:rsidRDefault="00FB124F" w:rsidP="00505F11">
      <w:pPr>
        <w:spacing w:line="360" w:lineRule="auto"/>
        <w:rPr>
          <w:rFonts w:ascii="Arial" w:hAnsi="Arial" w:cs="Arial"/>
          <w:sz w:val="22"/>
          <w:szCs w:val="22"/>
        </w:rPr>
      </w:pPr>
    </w:p>
    <w:p w14:paraId="47941C47" w14:textId="77777777" w:rsidR="003E167C" w:rsidRPr="00505F11" w:rsidRDefault="003E167C" w:rsidP="00505F11">
      <w:pPr>
        <w:spacing w:line="360" w:lineRule="auto"/>
        <w:rPr>
          <w:rFonts w:ascii="Arial" w:hAnsi="Arial" w:cs="Arial"/>
          <w:sz w:val="22"/>
          <w:szCs w:val="22"/>
        </w:rPr>
      </w:pPr>
    </w:p>
    <w:sectPr w:rsidR="003E167C" w:rsidRPr="00505F11" w:rsidSect="00BD75B0">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26857" w14:textId="77777777" w:rsidR="00CD2D0D" w:rsidRDefault="00CD2D0D" w:rsidP="00CD6406">
      <w:pPr>
        <w:spacing w:after="0" w:line="240" w:lineRule="auto"/>
      </w:pPr>
      <w:r>
        <w:separator/>
      </w:r>
    </w:p>
  </w:endnote>
  <w:endnote w:type="continuationSeparator" w:id="0">
    <w:p w14:paraId="497F8AA1" w14:textId="77777777" w:rsidR="00CD2D0D" w:rsidRDefault="00CD2D0D" w:rsidP="00CD6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4911247"/>
      <w:docPartObj>
        <w:docPartGallery w:val="Page Numbers (Bottom of Page)"/>
        <w:docPartUnique/>
      </w:docPartObj>
    </w:sdtPr>
    <w:sdtEndPr/>
    <w:sdtContent>
      <w:p w14:paraId="0D1AFDD6" w14:textId="0EF0E2B7" w:rsidR="00EF3E09" w:rsidRDefault="00EF3E09">
        <w:pPr>
          <w:pStyle w:val="Footer"/>
          <w:jc w:val="right"/>
        </w:pPr>
        <w:r>
          <w:fldChar w:fldCharType="begin"/>
        </w:r>
        <w:r>
          <w:instrText>PAGE   \* MERGEFORMAT</w:instrText>
        </w:r>
        <w:r>
          <w:fldChar w:fldCharType="separate"/>
        </w:r>
        <w:r>
          <w:rPr>
            <w:lang w:val="de-DE"/>
          </w:rPr>
          <w:t>2</w:t>
        </w:r>
        <w:r>
          <w:fldChar w:fldCharType="end"/>
        </w:r>
      </w:p>
    </w:sdtContent>
  </w:sdt>
  <w:p w14:paraId="6E277A2E" w14:textId="77777777" w:rsidR="00EF3E09" w:rsidRDefault="00EF3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982B7" w14:textId="77777777" w:rsidR="00CD2D0D" w:rsidRDefault="00CD2D0D" w:rsidP="00CD6406">
      <w:pPr>
        <w:spacing w:after="0" w:line="240" w:lineRule="auto"/>
      </w:pPr>
      <w:r>
        <w:separator/>
      </w:r>
    </w:p>
  </w:footnote>
  <w:footnote w:type="continuationSeparator" w:id="0">
    <w:p w14:paraId="25D0370D" w14:textId="77777777" w:rsidR="00CD2D0D" w:rsidRDefault="00CD2D0D" w:rsidP="00CD6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B72FC"/>
    <w:multiLevelType w:val="multilevel"/>
    <w:tmpl w:val="6E52C1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9822793"/>
    <w:multiLevelType w:val="multilevel"/>
    <w:tmpl w:val="C8AE5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726CD2"/>
    <w:multiLevelType w:val="hybridMultilevel"/>
    <w:tmpl w:val="C778C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C21CB2"/>
    <w:multiLevelType w:val="hybridMultilevel"/>
    <w:tmpl w:val="FE4E7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2307212">
    <w:abstractNumId w:val="0"/>
  </w:num>
  <w:num w:numId="2" w16cid:durableId="1668438598">
    <w:abstractNumId w:val="2"/>
  </w:num>
  <w:num w:numId="3" w16cid:durableId="596403549">
    <w:abstractNumId w:val="1"/>
  </w:num>
  <w:num w:numId="4" w16cid:durableId="14728222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M0NrYwMDM2MjMwNzVR0lEKTi0uzszPAykwqgUA9a5FxCwAAAA="/>
  </w:docVars>
  <w:rsids>
    <w:rsidRoot w:val="00230891"/>
    <w:rsid w:val="000136BB"/>
    <w:rsid w:val="00020D47"/>
    <w:rsid w:val="000236E7"/>
    <w:rsid w:val="00033033"/>
    <w:rsid w:val="00036AE5"/>
    <w:rsid w:val="000575AE"/>
    <w:rsid w:val="00057E0F"/>
    <w:rsid w:val="000810E5"/>
    <w:rsid w:val="000B11A4"/>
    <w:rsid w:val="000B28C7"/>
    <w:rsid w:val="000B4068"/>
    <w:rsid w:val="000F4CFB"/>
    <w:rsid w:val="000F6BF5"/>
    <w:rsid w:val="00104703"/>
    <w:rsid w:val="00105A0D"/>
    <w:rsid w:val="00134283"/>
    <w:rsid w:val="00146ED3"/>
    <w:rsid w:val="001521FB"/>
    <w:rsid w:val="00161546"/>
    <w:rsid w:val="00185D89"/>
    <w:rsid w:val="00191004"/>
    <w:rsid w:val="001B16AC"/>
    <w:rsid w:val="001B49F3"/>
    <w:rsid w:val="001D3A4B"/>
    <w:rsid w:val="001D4CA9"/>
    <w:rsid w:val="001D681E"/>
    <w:rsid w:val="001E54F9"/>
    <w:rsid w:val="001F4BD3"/>
    <w:rsid w:val="001F7BB5"/>
    <w:rsid w:val="00202971"/>
    <w:rsid w:val="00203ED4"/>
    <w:rsid w:val="00213A93"/>
    <w:rsid w:val="00223530"/>
    <w:rsid w:val="00230891"/>
    <w:rsid w:val="00243D66"/>
    <w:rsid w:val="00245FD1"/>
    <w:rsid w:val="00270474"/>
    <w:rsid w:val="0028033D"/>
    <w:rsid w:val="00291CB8"/>
    <w:rsid w:val="00294899"/>
    <w:rsid w:val="002A4F5D"/>
    <w:rsid w:val="002C60B2"/>
    <w:rsid w:val="00310E20"/>
    <w:rsid w:val="003227EF"/>
    <w:rsid w:val="00334FF3"/>
    <w:rsid w:val="00337866"/>
    <w:rsid w:val="00361391"/>
    <w:rsid w:val="003645AF"/>
    <w:rsid w:val="003655E5"/>
    <w:rsid w:val="00385ECF"/>
    <w:rsid w:val="0039280A"/>
    <w:rsid w:val="0039309F"/>
    <w:rsid w:val="00393826"/>
    <w:rsid w:val="00396545"/>
    <w:rsid w:val="00397FDB"/>
    <w:rsid w:val="003A4409"/>
    <w:rsid w:val="003A625F"/>
    <w:rsid w:val="003A75A5"/>
    <w:rsid w:val="003B4F34"/>
    <w:rsid w:val="003C351E"/>
    <w:rsid w:val="003E167C"/>
    <w:rsid w:val="003E4155"/>
    <w:rsid w:val="003F065E"/>
    <w:rsid w:val="00404300"/>
    <w:rsid w:val="004112C1"/>
    <w:rsid w:val="00413336"/>
    <w:rsid w:val="00423AFF"/>
    <w:rsid w:val="00427C96"/>
    <w:rsid w:val="004725B1"/>
    <w:rsid w:val="004800BC"/>
    <w:rsid w:val="004B5822"/>
    <w:rsid w:val="004B709F"/>
    <w:rsid w:val="004E014F"/>
    <w:rsid w:val="005028DD"/>
    <w:rsid w:val="00502D2A"/>
    <w:rsid w:val="00505F11"/>
    <w:rsid w:val="00513681"/>
    <w:rsid w:val="005162F9"/>
    <w:rsid w:val="00520926"/>
    <w:rsid w:val="00536A52"/>
    <w:rsid w:val="005379A1"/>
    <w:rsid w:val="00543611"/>
    <w:rsid w:val="00544AE6"/>
    <w:rsid w:val="005452EA"/>
    <w:rsid w:val="0055424A"/>
    <w:rsid w:val="005737A6"/>
    <w:rsid w:val="00581A6F"/>
    <w:rsid w:val="00582597"/>
    <w:rsid w:val="00587139"/>
    <w:rsid w:val="005A3D66"/>
    <w:rsid w:val="005B1EC9"/>
    <w:rsid w:val="005C1E8E"/>
    <w:rsid w:val="005C4D50"/>
    <w:rsid w:val="005C5D52"/>
    <w:rsid w:val="005C607A"/>
    <w:rsid w:val="005D1C51"/>
    <w:rsid w:val="005D3DDD"/>
    <w:rsid w:val="005F71F7"/>
    <w:rsid w:val="00610D61"/>
    <w:rsid w:val="00611270"/>
    <w:rsid w:val="00625B9E"/>
    <w:rsid w:val="00627F50"/>
    <w:rsid w:val="00631C02"/>
    <w:rsid w:val="00640C17"/>
    <w:rsid w:val="00642DAC"/>
    <w:rsid w:val="00657E05"/>
    <w:rsid w:val="0068005B"/>
    <w:rsid w:val="00687EF3"/>
    <w:rsid w:val="00690194"/>
    <w:rsid w:val="00693EFB"/>
    <w:rsid w:val="006957D8"/>
    <w:rsid w:val="006C13CF"/>
    <w:rsid w:val="006D6F8D"/>
    <w:rsid w:val="006F26E0"/>
    <w:rsid w:val="00704453"/>
    <w:rsid w:val="007051B1"/>
    <w:rsid w:val="00707F2C"/>
    <w:rsid w:val="00722DB5"/>
    <w:rsid w:val="007230F4"/>
    <w:rsid w:val="007234CE"/>
    <w:rsid w:val="00724F44"/>
    <w:rsid w:val="00752889"/>
    <w:rsid w:val="007617A1"/>
    <w:rsid w:val="00765291"/>
    <w:rsid w:val="00765FEF"/>
    <w:rsid w:val="007715FE"/>
    <w:rsid w:val="00794457"/>
    <w:rsid w:val="00794DD8"/>
    <w:rsid w:val="007A3DF3"/>
    <w:rsid w:val="007A4CF7"/>
    <w:rsid w:val="007A797C"/>
    <w:rsid w:val="007B3CCD"/>
    <w:rsid w:val="007B6AF0"/>
    <w:rsid w:val="007F376E"/>
    <w:rsid w:val="00802650"/>
    <w:rsid w:val="0080383B"/>
    <w:rsid w:val="0083430E"/>
    <w:rsid w:val="00841BC8"/>
    <w:rsid w:val="00842379"/>
    <w:rsid w:val="008513A2"/>
    <w:rsid w:val="00855CA9"/>
    <w:rsid w:val="00862D4C"/>
    <w:rsid w:val="008744F6"/>
    <w:rsid w:val="00887164"/>
    <w:rsid w:val="00891CE0"/>
    <w:rsid w:val="008A217C"/>
    <w:rsid w:val="008C07C0"/>
    <w:rsid w:val="008C4B16"/>
    <w:rsid w:val="008C76CC"/>
    <w:rsid w:val="008D01D6"/>
    <w:rsid w:val="008D05AD"/>
    <w:rsid w:val="008D241B"/>
    <w:rsid w:val="008D4E26"/>
    <w:rsid w:val="008D74C5"/>
    <w:rsid w:val="008D7A07"/>
    <w:rsid w:val="008E4694"/>
    <w:rsid w:val="008E5A17"/>
    <w:rsid w:val="008F332D"/>
    <w:rsid w:val="008F4006"/>
    <w:rsid w:val="00913F7B"/>
    <w:rsid w:val="00921C39"/>
    <w:rsid w:val="009237B6"/>
    <w:rsid w:val="00934937"/>
    <w:rsid w:val="00945252"/>
    <w:rsid w:val="00972D89"/>
    <w:rsid w:val="00980DB1"/>
    <w:rsid w:val="009869A6"/>
    <w:rsid w:val="00996406"/>
    <w:rsid w:val="009B4062"/>
    <w:rsid w:val="009C10AC"/>
    <w:rsid w:val="009C12DB"/>
    <w:rsid w:val="009C5469"/>
    <w:rsid w:val="009D7A83"/>
    <w:rsid w:val="009F2AD8"/>
    <w:rsid w:val="009F7039"/>
    <w:rsid w:val="00A04676"/>
    <w:rsid w:val="00A11E0C"/>
    <w:rsid w:val="00A16239"/>
    <w:rsid w:val="00A204E2"/>
    <w:rsid w:val="00A23BE1"/>
    <w:rsid w:val="00A5137C"/>
    <w:rsid w:val="00A620C3"/>
    <w:rsid w:val="00A74DA1"/>
    <w:rsid w:val="00A802C5"/>
    <w:rsid w:val="00A84371"/>
    <w:rsid w:val="00A9118A"/>
    <w:rsid w:val="00A93F05"/>
    <w:rsid w:val="00A971F9"/>
    <w:rsid w:val="00AA7F1F"/>
    <w:rsid w:val="00AC2E24"/>
    <w:rsid w:val="00AD1059"/>
    <w:rsid w:val="00AD2765"/>
    <w:rsid w:val="00AD4FCF"/>
    <w:rsid w:val="00AE1254"/>
    <w:rsid w:val="00AF0550"/>
    <w:rsid w:val="00AF3698"/>
    <w:rsid w:val="00B031E9"/>
    <w:rsid w:val="00B14BFD"/>
    <w:rsid w:val="00B1568C"/>
    <w:rsid w:val="00B2036D"/>
    <w:rsid w:val="00B2705E"/>
    <w:rsid w:val="00B31A09"/>
    <w:rsid w:val="00B3260D"/>
    <w:rsid w:val="00B34D19"/>
    <w:rsid w:val="00B50C10"/>
    <w:rsid w:val="00B66AE5"/>
    <w:rsid w:val="00B771DD"/>
    <w:rsid w:val="00B92543"/>
    <w:rsid w:val="00B92DB2"/>
    <w:rsid w:val="00BB57D7"/>
    <w:rsid w:val="00BB6F24"/>
    <w:rsid w:val="00BC08AA"/>
    <w:rsid w:val="00BC0C23"/>
    <w:rsid w:val="00BC0C30"/>
    <w:rsid w:val="00BD75B0"/>
    <w:rsid w:val="00BE3DA1"/>
    <w:rsid w:val="00BE737E"/>
    <w:rsid w:val="00C0000B"/>
    <w:rsid w:val="00C0155B"/>
    <w:rsid w:val="00C05D0E"/>
    <w:rsid w:val="00C10448"/>
    <w:rsid w:val="00C4273F"/>
    <w:rsid w:val="00C43010"/>
    <w:rsid w:val="00C722E3"/>
    <w:rsid w:val="00C836AB"/>
    <w:rsid w:val="00C90396"/>
    <w:rsid w:val="00CA4AFA"/>
    <w:rsid w:val="00CA7D02"/>
    <w:rsid w:val="00CB3715"/>
    <w:rsid w:val="00CC5F04"/>
    <w:rsid w:val="00CD2D0D"/>
    <w:rsid w:val="00CD3486"/>
    <w:rsid w:val="00CD6406"/>
    <w:rsid w:val="00CE5C90"/>
    <w:rsid w:val="00D032AC"/>
    <w:rsid w:val="00D0503B"/>
    <w:rsid w:val="00D2031B"/>
    <w:rsid w:val="00D206BB"/>
    <w:rsid w:val="00D212AB"/>
    <w:rsid w:val="00D23F41"/>
    <w:rsid w:val="00D46611"/>
    <w:rsid w:val="00D549E4"/>
    <w:rsid w:val="00D625CC"/>
    <w:rsid w:val="00D73FF4"/>
    <w:rsid w:val="00D9239C"/>
    <w:rsid w:val="00DA0796"/>
    <w:rsid w:val="00DA2E2D"/>
    <w:rsid w:val="00DA35FF"/>
    <w:rsid w:val="00DB1F05"/>
    <w:rsid w:val="00DC2206"/>
    <w:rsid w:val="00DC6260"/>
    <w:rsid w:val="00DC7861"/>
    <w:rsid w:val="00DC7EE9"/>
    <w:rsid w:val="00DD0394"/>
    <w:rsid w:val="00DD1F33"/>
    <w:rsid w:val="00DD2AE1"/>
    <w:rsid w:val="00DE125A"/>
    <w:rsid w:val="00DF1AD3"/>
    <w:rsid w:val="00E038AB"/>
    <w:rsid w:val="00E2760E"/>
    <w:rsid w:val="00E27E50"/>
    <w:rsid w:val="00E356D2"/>
    <w:rsid w:val="00E37D4A"/>
    <w:rsid w:val="00E418A9"/>
    <w:rsid w:val="00E4417A"/>
    <w:rsid w:val="00E50F7A"/>
    <w:rsid w:val="00E53890"/>
    <w:rsid w:val="00E5776F"/>
    <w:rsid w:val="00E730E3"/>
    <w:rsid w:val="00E94F04"/>
    <w:rsid w:val="00E96EA4"/>
    <w:rsid w:val="00EB0D75"/>
    <w:rsid w:val="00EC7188"/>
    <w:rsid w:val="00ED06F9"/>
    <w:rsid w:val="00EE0344"/>
    <w:rsid w:val="00EE40D9"/>
    <w:rsid w:val="00EF3E09"/>
    <w:rsid w:val="00EF6371"/>
    <w:rsid w:val="00F07D9E"/>
    <w:rsid w:val="00F10AD6"/>
    <w:rsid w:val="00F21133"/>
    <w:rsid w:val="00F264BA"/>
    <w:rsid w:val="00F32C3E"/>
    <w:rsid w:val="00F37EF2"/>
    <w:rsid w:val="00F5622E"/>
    <w:rsid w:val="00F63258"/>
    <w:rsid w:val="00F64572"/>
    <w:rsid w:val="00F673D3"/>
    <w:rsid w:val="00F706C7"/>
    <w:rsid w:val="00F767F2"/>
    <w:rsid w:val="00F8233B"/>
    <w:rsid w:val="00F96963"/>
    <w:rsid w:val="00FB01DC"/>
    <w:rsid w:val="00FB124F"/>
    <w:rsid w:val="00FB388F"/>
    <w:rsid w:val="00FD6B1F"/>
    <w:rsid w:val="00FF05F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968DD"/>
  <w15:chartTrackingRefBased/>
  <w15:docId w15:val="{8763AD8F-A6A3-4628-BD09-259A707D9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DDD"/>
    <w:pPr>
      <w:spacing w:line="480" w:lineRule="auto"/>
    </w:pPr>
    <w:rPr>
      <w:rFonts w:asciiTheme="majorBidi" w:hAnsiTheme="majorBidi"/>
    </w:rPr>
  </w:style>
  <w:style w:type="paragraph" w:styleId="Heading1">
    <w:name w:val="heading 1"/>
    <w:basedOn w:val="Normal"/>
    <w:next w:val="Normal"/>
    <w:link w:val="Heading1Char"/>
    <w:uiPriority w:val="9"/>
    <w:qFormat/>
    <w:rsid w:val="00855CA9"/>
    <w:pPr>
      <w:outlineLvl w:val="0"/>
    </w:pPr>
    <w:rPr>
      <w:sz w:val="32"/>
    </w:rPr>
  </w:style>
  <w:style w:type="paragraph" w:styleId="Heading2">
    <w:name w:val="heading 2"/>
    <w:basedOn w:val="Normal"/>
    <w:next w:val="Normal"/>
    <w:link w:val="Heading2Char"/>
    <w:uiPriority w:val="9"/>
    <w:unhideWhenUsed/>
    <w:qFormat/>
    <w:rsid w:val="00855CA9"/>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4E014F"/>
    <w:pPr>
      <w:keepNext/>
      <w:keepLines/>
      <w:spacing w:before="160" w:after="8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230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8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8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8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8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CA9"/>
    <w:rPr>
      <w:rFonts w:asciiTheme="majorBidi" w:hAnsiTheme="majorBidi"/>
      <w:sz w:val="32"/>
    </w:rPr>
  </w:style>
  <w:style w:type="character" w:customStyle="1" w:styleId="Heading2Char">
    <w:name w:val="Heading 2 Char"/>
    <w:basedOn w:val="DefaultParagraphFont"/>
    <w:link w:val="Heading2"/>
    <w:uiPriority w:val="9"/>
    <w:rsid w:val="00855CA9"/>
    <w:rPr>
      <w:rFonts w:asciiTheme="majorBidi" w:eastAsiaTheme="majorEastAsia" w:hAnsiTheme="majorBidi" w:cstheme="majorBidi"/>
      <w:sz w:val="28"/>
      <w:szCs w:val="32"/>
    </w:rPr>
  </w:style>
  <w:style w:type="character" w:customStyle="1" w:styleId="Heading3Char">
    <w:name w:val="Heading 3 Char"/>
    <w:basedOn w:val="DefaultParagraphFont"/>
    <w:link w:val="Heading3"/>
    <w:uiPriority w:val="9"/>
    <w:rsid w:val="004E014F"/>
    <w:rPr>
      <w:rFonts w:asciiTheme="majorBidi" w:eastAsiaTheme="majorEastAsia" w:hAnsiTheme="majorBidi" w:cstheme="majorBidi"/>
      <w:szCs w:val="28"/>
    </w:rPr>
  </w:style>
  <w:style w:type="character" w:customStyle="1" w:styleId="Heading4Char">
    <w:name w:val="Heading 4 Char"/>
    <w:basedOn w:val="DefaultParagraphFont"/>
    <w:link w:val="Heading4"/>
    <w:uiPriority w:val="9"/>
    <w:semiHidden/>
    <w:rsid w:val="00230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891"/>
    <w:rPr>
      <w:rFonts w:eastAsiaTheme="majorEastAsia" w:cstheme="majorBidi"/>
      <w:color w:val="272727" w:themeColor="text1" w:themeTint="D8"/>
    </w:rPr>
  </w:style>
  <w:style w:type="paragraph" w:styleId="Title">
    <w:name w:val="Title"/>
    <w:basedOn w:val="Normal"/>
    <w:next w:val="Normal"/>
    <w:link w:val="TitleChar"/>
    <w:uiPriority w:val="10"/>
    <w:qFormat/>
    <w:rsid w:val="00230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891"/>
    <w:pPr>
      <w:spacing w:before="160"/>
      <w:jc w:val="center"/>
    </w:pPr>
    <w:rPr>
      <w:i/>
      <w:iCs/>
      <w:color w:val="404040" w:themeColor="text1" w:themeTint="BF"/>
    </w:rPr>
  </w:style>
  <w:style w:type="character" w:customStyle="1" w:styleId="QuoteChar">
    <w:name w:val="Quote Char"/>
    <w:basedOn w:val="DefaultParagraphFont"/>
    <w:link w:val="Quote"/>
    <w:uiPriority w:val="29"/>
    <w:rsid w:val="00230891"/>
    <w:rPr>
      <w:i/>
      <w:iCs/>
      <w:color w:val="404040" w:themeColor="text1" w:themeTint="BF"/>
    </w:rPr>
  </w:style>
  <w:style w:type="paragraph" w:styleId="ListParagraph">
    <w:name w:val="List Paragraph"/>
    <w:basedOn w:val="Normal"/>
    <w:uiPriority w:val="34"/>
    <w:qFormat/>
    <w:rsid w:val="00230891"/>
    <w:pPr>
      <w:ind w:left="720"/>
      <w:contextualSpacing/>
    </w:pPr>
  </w:style>
  <w:style w:type="character" w:styleId="IntenseEmphasis">
    <w:name w:val="Intense Emphasis"/>
    <w:basedOn w:val="DefaultParagraphFont"/>
    <w:uiPriority w:val="21"/>
    <w:qFormat/>
    <w:rsid w:val="00230891"/>
    <w:rPr>
      <w:i/>
      <w:iCs/>
      <w:color w:val="0F4761" w:themeColor="accent1" w:themeShade="BF"/>
    </w:rPr>
  </w:style>
  <w:style w:type="paragraph" w:styleId="IntenseQuote">
    <w:name w:val="Intense Quote"/>
    <w:basedOn w:val="Normal"/>
    <w:next w:val="Normal"/>
    <w:link w:val="IntenseQuoteChar"/>
    <w:uiPriority w:val="30"/>
    <w:qFormat/>
    <w:rsid w:val="00230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891"/>
    <w:rPr>
      <w:i/>
      <w:iCs/>
      <w:color w:val="0F4761" w:themeColor="accent1" w:themeShade="BF"/>
    </w:rPr>
  </w:style>
  <w:style w:type="character" w:styleId="IntenseReference">
    <w:name w:val="Intense Reference"/>
    <w:basedOn w:val="DefaultParagraphFont"/>
    <w:uiPriority w:val="32"/>
    <w:qFormat/>
    <w:rsid w:val="00230891"/>
    <w:rPr>
      <w:b/>
      <w:bCs/>
      <w:smallCaps/>
      <w:color w:val="0F4761" w:themeColor="accent1" w:themeShade="BF"/>
      <w:spacing w:val="5"/>
    </w:rPr>
  </w:style>
  <w:style w:type="paragraph" w:styleId="Header">
    <w:name w:val="header"/>
    <w:basedOn w:val="Normal"/>
    <w:link w:val="HeaderChar"/>
    <w:uiPriority w:val="99"/>
    <w:unhideWhenUsed/>
    <w:rsid w:val="00CD6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406"/>
    <w:rPr>
      <w:rFonts w:asciiTheme="majorBidi" w:hAnsiTheme="majorBidi"/>
    </w:rPr>
  </w:style>
  <w:style w:type="paragraph" w:styleId="Footer">
    <w:name w:val="footer"/>
    <w:basedOn w:val="Normal"/>
    <w:link w:val="FooterChar"/>
    <w:uiPriority w:val="99"/>
    <w:unhideWhenUsed/>
    <w:rsid w:val="00CD6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406"/>
    <w:rPr>
      <w:rFonts w:asciiTheme="majorBidi" w:hAnsiTheme="majorBidi"/>
    </w:rPr>
  </w:style>
  <w:style w:type="paragraph" w:styleId="Caption">
    <w:name w:val="caption"/>
    <w:basedOn w:val="Normal"/>
    <w:next w:val="Normal"/>
    <w:uiPriority w:val="35"/>
    <w:unhideWhenUsed/>
    <w:qFormat/>
    <w:rsid w:val="00996406"/>
    <w:pPr>
      <w:spacing w:after="200" w:line="240" w:lineRule="auto"/>
    </w:pPr>
    <w:rPr>
      <w:i/>
      <w:iCs/>
      <w:color w:val="0E2841" w:themeColor="text2"/>
      <w:sz w:val="18"/>
      <w:szCs w:val="18"/>
    </w:rPr>
  </w:style>
  <w:style w:type="character" w:styleId="Emphasis">
    <w:name w:val="Emphasis"/>
    <w:basedOn w:val="DefaultParagraphFont"/>
    <w:uiPriority w:val="20"/>
    <w:qFormat/>
    <w:rsid w:val="00842379"/>
    <w:rPr>
      <w:i/>
      <w:iCs/>
    </w:rPr>
  </w:style>
  <w:style w:type="paragraph" w:styleId="NormalWeb">
    <w:name w:val="Normal (Web)"/>
    <w:basedOn w:val="Normal"/>
    <w:uiPriority w:val="99"/>
    <w:unhideWhenUsed/>
    <w:rsid w:val="0080383B"/>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customStyle="1" w:styleId="whitespace-normal">
    <w:name w:val="whitespace-normal"/>
    <w:basedOn w:val="DefaultParagraphFont"/>
    <w:rsid w:val="0080383B"/>
  </w:style>
  <w:style w:type="character" w:styleId="Strong">
    <w:name w:val="Strong"/>
    <w:basedOn w:val="DefaultParagraphFont"/>
    <w:uiPriority w:val="22"/>
    <w:qFormat/>
    <w:rsid w:val="0080383B"/>
    <w:rPr>
      <w:b/>
      <w:bCs/>
    </w:rPr>
  </w:style>
  <w:style w:type="character" w:styleId="Hyperlink">
    <w:name w:val="Hyperlink"/>
    <w:basedOn w:val="DefaultParagraphFont"/>
    <w:uiPriority w:val="99"/>
    <w:unhideWhenUsed/>
    <w:rsid w:val="00EE0344"/>
    <w:rPr>
      <w:color w:val="467886" w:themeColor="hyperlink"/>
      <w:u w:val="single"/>
    </w:rPr>
  </w:style>
  <w:style w:type="character" w:styleId="UnresolvedMention">
    <w:name w:val="Unresolved Mention"/>
    <w:basedOn w:val="DefaultParagraphFont"/>
    <w:uiPriority w:val="99"/>
    <w:semiHidden/>
    <w:unhideWhenUsed/>
    <w:rsid w:val="00EE0344"/>
    <w:rPr>
      <w:color w:val="605E5C"/>
      <w:shd w:val="clear" w:color="auto" w:fill="E1DFDD"/>
    </w:rPr>
  </w:style>
  <w:style w:type="paragraph" w:styleId="TOCHeading">
    <w:name w:val="TOC Heading"/>
    <w:basedOn w:val="Heading1"/>
    <w:next w:val="Normal"/>
    <w:uiPriority w:val="39"/>
    <w:unhideWhenUsed/>
    <w:qFormat/>
    <w:rsid w:val="00E53890"/>
    <w:pPr>
      <w:keepNext/>
      <w:keepLines/>
      <w:spacing w:before="240" w:after="0" w:line="259" w:lineRule="auto"/>
      <w:outlineLvl w:val="9"/>
    </w:pPr>
    <w:rPr>
      <w:rFonts w:asciiTheme="majorHAnsi" w:eastAsiaTheme="majorEastAsia" w:hAnsiTheme="majorHAnsi" w:cstheme="majorBidi"/>
      <w:color w:val="0F4761" w:themeColor="accent1" w:themeShade="BF"/>
      <w:szCs w:val="32"/>
      <w:lang w:val="en-US"/>
      <w14:ligatures w14:val="none"/>
    </w:rPr>
  </w:style>
  <w:style w:type="paragraph" w:styleId="TOC1">
    <w:name w:val="toc 1"/>
    <w:basedOn w:val="Normal"/>
    <w:next w:val="Normal"/>
    <w:autoRedefine/>
    <w:uiPriority w:val="39"/>
    <w:unhideWhenUsed/>
    <w:rsid w:val="00E53890"/>
    <w:pPr>
      <w:spacing w:after="100"/>
    </w:pPr>
  </w:style>
  <w:style w:type="paragraph" w:styleId="TOC2">
    <w:name w:val="toc 2"/>
    <w:basedOn w:val="Normal"/>
    <w:next w:val="Normal"/>
    <w:autoRedefine/>
    <w:uiPriority w:val="39"/>
    <w:unhideWhenUsed/>
    <w:rsid w:val="00E53890"/>
    <w:pPr>
      <w:spacing w:after="100"/>
      <w:ind w:left="240"/>
    </w:pPr>
  </w:style>
  <w:style w:type="paragraph" w:styleId="TOC3">
    <w:name w:val="toc 3"/>
    <w:basedOn w:val="Normal"/>
    <w:next w:val="Normal"/>
    <w:autoRedefine/>
    <w:uiPriority w:val="39"/>
    <w:unhideWhenUsed/>
    <w:rsid w:val="00E5389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ngtermplan.nhs.uk/online-version/overview-and-summary/" TargetMode="External"/><Relationship Id="rId18" Type="http://schemas.openxmlformats.org/officeDocument/2006/relationships/hyperlink" Target="https://www.ofcom.org.uk/siteassets/resources/documents/research-and-data/media-literacy-research/adults/adults-media-use-and-attitudes-2022/digital-exclusion-review-2022.pdf?v=327651" TargetMode="External"/><Relationship Id="rId26" Type="http://schemas.openxmlformats.org/officeDocument/2006/relationships/hyperlink" Target="https://sdgs.un.org/goals/goal3" TargetMode="External"/><Relationship Id="rId3" Type="http://schemas.openxmlformats.org/officeDocument/2006/relationships/styles" Target="styles.xml"/><Relationship Id="rId21" Type="http://schemas.openxmlformats.org/officeDocument/2006/relationships/hyperlink" Target="https://www.theglobalfund.org/en/about-the-global-fund/partnership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nsmc.com/resources/showcase/change4life" TargetMode="External"/><Relationship Id="rId25" Type="http://schemas.openxmlformats.org/officeDocument/2006/relationships/hyperlink" Target="https://www.un.org/sustainabledevelopment/inequality/" TargetMode="External"/><Relationship Id="rId2" Type="http://schemas.openxmlformats.org/officeDocument/2006/relationships/numbering" Target="numbering.xml"/><Relationship Id="rId16" Type="http://schemas.openxmlformats.org/officeDocument/2006/relationships/hyperlink" Target="https://www.simplypsychology.org/social-cognitive-theory.html" TargetMode="External"/><Relationship Id="rId20" Type="http://schemas.openxmlformats.org/officeDocument/2006/relationships/hyperlink" Target="https://www.theglobalfund.org/en/about-the-global-fund/partnerships/" TargetMode="External"/><Relationship Id="rId29" Type="http://schemas.openxmlformats.org/officeDocument/2006/relationships/hyperlink" Target="https://www.who.int/publications/i/item/97892400743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sdgs.un.org/2030agenda"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diabetes/diabetes-prevention/" TargetMode="External"/><Relationship Id="rId23" Type="http://schemas.openxmlformats.org/officeDocument/2006/relationships/hyperlink" Target="https://spectrum.ed.ac.uk/news-insights-and-events/insights/ten-years-stoptober" TargetMode="External"/><Relationship Id="rId28" Type="http://schemas.openxmlformats.org/officeDocument/2006/relationships/hyperlink" Target="https://www.who.int/about/what-we-do" TargetMode="External"/><Relationship Id="rId10" Type="http://schemas.openxmlformats.org/officeDocument/2006/relationships/image" Target="media/image3.png"/><Relationship Id="rId19" Type="http://schemas.openxmlformats.org/officeDocument/2006/relationships/hyperlink" Target="https://ajph.aphapublications.or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gland.nhs.uk/about/equality/equality-hub/national-healthcare-inequalities-improvement-programme/core20plus5/" TargetMode="External"/><Relationship Id="rId22" Type="http://schemas.openxmlformats.org/officeDocument/2006/relationships/hyperlink" Target="https://www.kingsfund.org.uk/insight-and-analysis/long-reads/covid-19-road-renewal-health-and-care" TargetMode="External"/><Relationship Id="rId27" Type="http://schemas.openxmlformats.org/officeDocument/2006/relationships/hyperlink" Target="https://www.who.int/news-room/facts-in-pictures/detail/health-inequities-and-their-cause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E79D0-FD87-47A2-A0EF-222822C17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3743</Words>
  <Characters>21340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Freeda Zeb</dc:creator>
  <cp:keywords/>
  <dc:description/>
  <cp:lastModifiedBy>Freeda Zeb</cp:lastModifiedBy>
  <cp:revision>2</cp:revision>
  <dcterms:created xsi:type="dcterms:W3CDTF">2026-03-23T08:04:00Z</dcterms:created>
  <dcterms:modified xsi:type="dcterms:W3CDTF">2026-03-23T08:04:00Z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d11c376d-5bde-4618-b28c-9a36ad7b72e9</vt:lpwstr>
  </property>
</Properties>
</file>