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7FA17B" w14:textId="53846C74" w:rsidR="00E11123" w:rsidRDefault="00E11123" w:rsidP="34E5AF60">
      <w:pPr>
        <w:ind w:right="237"/>
        <w:rPr>
          <w:color w:val="000000" w:themeColor="text1"/>
          <w:sz w:val="24"/>
          <w:szCs w:val="24"/>
        </w:rPr>
      </w:pPr>
    </w:p>
    <w:p w14:paraId="10F71D8A" w14:textId="2FBA271F" w:rsidR="34E5AF60" w:rsidRDefault="34E5AF60" w:rsidP="34E5AF60">
      <w:pPr>
        <w:ind w:right="237"/>
        <w:rPr>
          <w:color w:val="000000" w:themeColor="text1"/>
          <w:sz w:val="24"/>
          <w:szCs w:val="24"/>
        </w:rPr>
      </w:pPr>
    </w:p>
    <w:p w14:paraId="3F2BE773" w14:textId="5B11F0EE" w:rsidR="34E5AF60" w:rsidRDefault="34E5AF60" w:rsidP="34E5AF60">
      <w:pPr>
        <w:ind w:right="237"/>
        <w:rPr>
          <w:color w:val="000000" w:themeColor="text1"/>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5A01E2C9" w:rsidR="7908378C" w:rsidRDefault="7908378C" w:rsidP="33572C6E">
            <w:pPr>
              <w:ind w:right="237"/>
              <w:rPr>
                <w:b/>
                <w:bCs/>
                <w:color w:val="auto"/>
                <w:sz w:val="32"/>
                <w:szCs w:val="32"/>
              </w:rPr>
            </w:pPr>
            <w:r w:rsidRPr="33572C6E">
              <w:rPr>
                <w:b/>
                <w:bCs/>
                <w:color w:val="auto"/>
                <w:sz w:val="32"/>
                <w:szCs w:val="32"/>
              </w:rPr>
              <w:t xml:space="preserve">Learner name: </w:t>
            </w:r>
            <w:r w:rsidR="00A33D35">
              <w:rPr>
                <w:b/>
                <w:bCs/>
                <w:color w:val="auto"/>
                <w:sz w:val="32"/>
                <w:szCs w:val="32"/>
              </w:rPr>
              <w:t>Verity Wilson</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5250E183" w:rsidR="7908378C" w:rsidRDefault="00A33D35" w:rsidP="33572C6E">
            <w:pPr>
              <w:ind w:right="237"/>
              <w:rPr>
                <w:b/>
                <w:bCs/>
                <w:color w:val="auto"/>
                <w:sz w:val="32"/>
                <w:szCs w:val="32"/>
              </w:rPr>
            </w:pPr>
            <w:r>
              <w:rPr>
                <w:b/>
                <w:bCs/>
                <w:color w:val="auto"/>
                <w:sz w:val="32"/>
                <w:szCs w:val="32"/>
              </w:rPr>
              <w:t>2023985</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2ED655BA" w14:textId="77777777" w:rsidR="00E11123" w:rsidRDefault="00190913" w:rsidP="00E11123">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BMPP6001D</w:t>
      </w:r>
    </w:p>
    <w:p w14:paraId="7156A3DB" w14:textId="7EBBF074" w:rsidR="004B600B" w:rsidRPr="00E11123" w:rsidRDefault="004B600B" w:rsidP="00E11123">
      <w:pPr>
        <w:ind w:right="237"/>
        <w:rPr>
          <w:b/>
          <w:sz w:val="24"/>
          <w:szCs w:val="24"/>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55885AA0" w14:textId="4B29B7CD" w:rsidR="008B28E7" w:rsidRPr="00E11123" w:rsidRDefault="008B28E7" w:rsidP="00E11123">
      <w:pPr>
        <w:ind w:right="237"/>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69E86038" w14:textId="12C03843" w:rsidR="00E11123" w:rsidRDefault="00E11123" w:rsidP="00E11123">
      <w:pPr>
        <w:ind w:right="237"/>
        <w:jc w:val="both"/>
        <w:rPr>
          <w:rFonts w:eastAsia="Arial"/>
          <w:sz w:val="24"/>
          <w:szCs w:val="24"/>
        </w:rPr>
      </w:pPr>
    </w:p>
    <w:p w14:paraId="733B15BD" w14:textId="3CBDE4BA" w:rsidR="00E11123" w:rsidRDefault="00E11123" w:rsidP="00E11123">
      <w:pPr>
        <w:ind w:right="237"/>
        <w:jc w:val="both"/>
        <w:rPr>
          <w:rFonts w:eastAsia="Arial"/>
          <w:sz w:val="24"/>
          <w:szCs w:val="24"/>
        </w:rPr>
      </w:pPr>
    </w:p>
    <w:p w14:paraId="5BFC9128" w14:textId="0359805B" w:rsidR="00E11123" w:rsidRDefault="00E11123" w:rsidP="00E11123">
      <w:pPr>
        <w:ind w:right="237"/>
        <w:jc w:val="both"/>
        <w:rPr>
          <w:rFonts w:eastAsia="Arial"/>
          <w:sz w:val="24"/>
          <w:szCs w:val="24"/>
        </w:rPr>
      </w:pPr>
    </w:p>
    <w:p w14:paraId="56F8649D" w14:textId="294BF0FC" w:rsidR="006F15D2" w:rsidRDefault="006F15D2" w:rsidP="006F15D2">
      <w:pPr>
        <w:rPr>
          <w:rFonts w:asciiTheme="minorHAnsi" w:hAnsiTheme="minorHAnsi" w:cstheme="minorHAnsi"/>
          <w:sz w:val="24"/>
          <w:szCs w:val="24"/>
        </w:rPr>
      </w:pPr>
      <w:r>
        <w:rPr>
          <w:rFonts w:asciiTheme="minorHAnsi" w:hAnsiTheme="minorHAnsi" w:cstheme="minorHAnsi"/>
          <w:sz w:val="24"/>
          <w:szCs w:val="24"/>
        </w:rPr>
        <w:t>Vulnerability is a word that can be deemed as ambiguous with regards to its definition. The College of Policing</w:t>
      </w:r>
      <w:r w:rsidR="006A2285">
        <w:rPr>
          <w:rFonts w:asciiTheme="minorHAnsi" w:hAnsiTheme="minorHAnsi" w:cstheme="minorHAnsi"/>
          <w:sz w:val="24"/>
          <w:szCs w:val="24"/>
        </w:rPr>
        <w:t xml:space="preserve"> (2021</w:t>
      </w:r>
      <w:r w:rsidR="00D20B0C">
        <w:rPr>
          <w:rFonts w:asciiTheme="minorHAnsi" w:hAnsiTheme="minorHAnsi" w:cstheme="minorHAnsi"/>
          <w:sz w:val="24"/>
          <w:szCs w:val="24"/>
        </w:rPr>
        <w:t>) defines</w:t>
      </w:r>
      <w:r>
        <w:rPr>
          <w:rFonts w:asciiTheme="minorHAnsi" w:hAnsiTheme="minorHAnsi" w:cstheme="minorHAnsi"/>
          <w:sz w:val="24"/>
          <w:szCs w:val="24"/>
        </w:rPr>
        <w:t xml:space="preserve"> vulnerability and a person who is vulnerable, as someone who, because of their situation or circumstances, are unable to care or protect themselves or others from any harm or exploitation.  Modern day policing deals daily with members of the public who fall under the categorical definition of ‘vulnerable’. Vulnerability is considered by every Police Officer when dealing with a missing person. Policing and its response to reports of missing persons is one of the largest demands on resources (Fyfe, Stevenson &amp; </w:t>
      </w:r>
      <w:proofErr w:type="spellStart"/>
      <w:r>
        <w:rPr>
          <w:rFonts w:asciiTheme="minorHAnsi" w:hAnsiTheme="minorHAnsi" w:cstheme="minorHAnsi"/>
          <w:sz w:val="24"/>
          <w:szCs w:val="24"/>
        </w:rPr>
        <w:t>Woolnough</w:t>
      </w:r>
      <w:proofErr w:type="spellEnd"/>
      <w:r>
        <w:rPr>
          <w:rFonts w:asciiTheme="minorHAnsi" w:hAnsiTheme="minorHAnsi" w:cstheme="minorHAnsi"/>
          <w:sz w:val="24"/>
          <w:szCs w:val="24"/>
        </w:rPr>
        <w:t xml:space="preserve">, 2015, p. 409). This essay will examine an incident which I attended regarding a teenage male who was reported as missing after making significant comments in relation to his mental health. To critically evaluate and assess the incident, Gibbs Model of Reflection (1988) will be adopted and applied whilst exploring the social and legislative contexts in relation to the incident. </w:t>
      </w:r>
    </w:p>
    <w:p w14:paraId="1238C357" w14:textId="77777777" w:rsidR="006F15D2" w:rsidRDefault="006F15D2" w:rsidP="006F15D2">
      <w:pPr>
        <w:rPr>
          <w:rFonts w:asciiTheme="minorHAnsi" w:hAnsiTheme="minorHAnsi" w:cstheme="minorHAnsi"/>
          <w:sz w:val="24"/>
          <w:szCs w:val="24"/>
        </w:rPr>
      </w:pPr>
    </w:p>
    <w:p w14:paraId="26AA8E17" w14:textId="77777777" w:rsidR="006F15D2" w:rsidRDefault="006F15D2" w:rsidP="006F15D2">
      <w:pPr>
        <w:rPr>
          <w:rFonts w:asciiTheme="minorHAnsi" w:hAnsiTheme="minorHAnsi" w:cstheme="minorHAnsi"/>
          <w:sz w:val="24"/>
          <w:szCs w:val="24"/>
        </w:rPr>
      </w:pPr>
      <w:r>
        <w:rPr>
          <w:rFonts w:asciiTheme="minorHAnsi" w:hAnsiTheme="minorHAnsi" w:cstheme="minorHAnsi"/>
          <w:sz w:val="24"/>
          <w:szCs w:val="24"/>
        </w:rPr>
        <w:t xml:space="preserve">A call was received into the Force Control Room by a mother of a teenage male who was severely concerned. The male had left their home address stating that he wanted to die, and she had been unable to locate him. Due to the severity of the comments made, an emergency response was required by Police Officers to assess the risk. I initially responded to the incident and carried out the necessary enquiries. A missing person’s report was completed with the male’s mother where various questions were asked surrounding the details of the male’s disappearance and focusing on key aspects such as his mood and any comments that were made. It came to light during the initial response that the male had contacted his friends saying goodbye and that he loved them. An extensive search was conducted of the house along with the outer buildings to ensure that the male had not returned. The search allowed for evidence to be gathered to provide further indication of </w:t>
      </w:r>
      <w:r>
        <w:rPr>
          <w:rFonts w:asciiTheme="minorHAnsi" w:hAnsiTheme="minorHAnsi" w:cstheme="minorHAnsi"/>
          <w:sz w:val="24"/>
          <w:szCs w:val="24"/>
        </w:rPr>
        <w:lastRenderedPageBreak/>
        <w:t>the male’s intentions along with any locations that he may frequent. Whilst searching the male’s room, sheet music with depressive lyrics were located. The lyrics focused on heartbreak and depression and how death was the answer to all these problems. I knew that the male required help. I photographed the sheet music as evidence, I did not yet seize them. After the initial enquiries, it was time for a risk assessment to be conducted. Missing Persons and risk are assessed to choose the necessary police response and actions required.  Due to the comments made and the actions taken by the male, I graded him as ‘High Risk’. A ‘High Risk’ missing person means that there is a risk of serious harm to the individual or public, and an immediate deployment of police resources is required (College of Policing, 2022).</w:t>
      </w:r>
    </w:p>
    <w:p w14:paraId="7819C5A5" w14:textId="77777777" w:rsidR="006F15D2" w:rsidRDefault="006F15D2" w:rsidP="006F15D2">
      <w:pPr>
        <w:rPr>
          <w:rFonts w:asciiTheme="minorHAnsi" w:hAnsiTheme="minorHAnsi" w:cstheme="minorHAnsi"/>
          <w:sz w:val="24"/>
          <w:szCs w:val="24"/>
        </w:rPr>
      </w:pPr>
    </w:p>
    <w:p w14:paraId="0FC03B1D" w14:textId="54766150" w:rsidR="006F15D2" w:rsidRDefault="006F15D2" w:rsidP="006F15D2">
      <w:pPr>
        <w:rPr>
          <w:rFonts w:asciiTheme="minorHAnsi" w:hAnsiTheme="minorHAnsi" w:cstheme="minorHAnsi"/>
          <w:sz w:val="24"/>
          <w:szCs w:val="24"/>
        </w:rPr>
      </w:pPr>
      <w:r>
        <w:rPr>
          <w:rFonts w:asciiTheme="minorHAnsi" w:hAnsiTheme="minorHAnsi" w:cstheme="minorHAnsi"/>
          <w:sz w:val="24"/>
          <w:szCs w:val="24"/>
        </w:rPr>
        <w:t xml:space="preserve">Due to the grading of the male being ‘High Risk’, a wide area search needed to be conducted by local response officers along with the Roads Policing Specialist Operations (RPSO) officers. The description of the male was given over the radio and the local council were informed so that they could monitor CCTV. Once this was conducted, then other options could have </w:t>
      </w:r>
      <w:r w:rsidR="006A2285">
        <w:rPr>
          <w:rFonts w:asciiTheme="minorHAnsi" w:hAnsiTheme="minorHAnsi" w:cstheme="minorHAnsi"/>
          <w:sz w:val="24"/>
          <w:szCs w:val="24"/>
        </w:rPr>
        <w:t>been</w:t>
      </w:r>
      <w:r>
        <w:rPr>
          <w:rFonts w:asciiTheme="minorHAnsi" w:hAnsiTheme="minorHAnsi" w:cstheme="minorHAnsi"/>
          <w:sz w:val="24"/>
          <w:szCs w:val="24"/>
        </w:rPr>
        <w:t xml:space="preserve"> considered such as the allocation of a Police Search Adviser (POLSA) who specialises in missing person investigations. </w:t>
      </w:r>
    </w:p>
    <w:p w14:paraId="5CA877DD" w14:textId="77777777" w:rsidR="006F15D2" w:rsidRDefault="006F15D2" w:rsidP="006F15D2">
      <w:pPr>
        <w:rPr>
          <w:rFonts w:asciiTheme="minorHAnsi" w:hAnsiTheme="minorHAnsi" w:cstheme="minorHAnsi"/>
          <w:sz w:val="24"/>
          <w:szCs w:val="24"/>
        </w:rPr>
      </w:pPr>
    </w:p>
    <w:p w14:paraId="460B3931" w14:textId="77777777" w:rsidR="006F15D2" w:rsidRDefault="006F15D2" w:rsidP="006F15D2">
      <w:pPr>
        <w:rPr>
          <w:rFonts w:asciiTheme="minorHAnsi" w:hAnsiTheme="minorHAnsi" w:cstheme="minorHAnsi"/>
          <w:sz w:val="24"/>
          <w:szCs w:val="24"/>
        </w:rPr>
      </w:pPr>
      <w:r>
        <w:rPr>
          <w:rFonts w:asciiTheme="minorHAnsi" w:hAnsiTheme="minorHAnsi" w:cstheme="minorHAnsi"/>
          <w:sz w:val="24"/>
          <w:szCs w:val="24"/>
        </w:rPr>
        <w:t xml:space="preserve">Within an hour, the male was located by RPSO officers. The male was making his way to a wooded area where he had planned to take his own life. He was brought back to the safety of the local station so that he could be spoken to in a safe environment. As I was the Officer in Case for the investigation, I sat with the male to talk to him about the comments he had made and how he was feeling. As I was doing this, his mother was informed that he had been located and he was safe with us. At first, the male refused to open up or speak to myself. From conducting a search of his home address, I had gathered information concerning his interests and hobbies, so I brought up the topic of music. This piqued his interest whereby we discussed different genres of music and what we both liked to listen to. I could see he was more comfortable and so I decided to ask him about the lyrics I had uncovered in his bedroom. The male expressed his difficulty in having recently experienced a relationship breakdown which had worsened his depressive and suicidal thoughts. He sought to express these in lyrics which he hoped would have helped, however, he still felt suicidal. He began to get emotional whilst explaining this and then became quiet stating that he is a man who should not be crying over this. As soon as this comment was made, I knew that there were societal issues present which were preventing this male from seeking help. </w:t>
      </w:r>
    </w:p>
    <w:p w14:paraId="379DF9D3" w14:textId="77777777" w:rsidR="006F15D2" w:rsidRDefault="006F15D2" w:rsidP="006F15D2">
      <w:pPr>
        <w:rPr>
          <w:rFonts w:asciiTheme="minorHAnsi" w:hAnsiTheme="minorHAnsi" w:cstheme="minorHAnsi"/>
          <w:sz w:val="24"/>
          <w:szCs w:val="24"/>
        </w:rPr>
      </w:pPr>
    </w:p>
    <w:p w14:paraId="4285D225" w14:textId="11D2AB63" w:rsidR="006F15D2" w:rsidRDefault="006F15D2" w:rsidP="006F15D2">
      <w:pPr>
        <w:rPr>
          <w:rFonts w:asciiTheme="minorHAnsi" w:hAnsiTheme="minorHAnsi" w:cstheme="minorHAnsi"/>
          <w:sz w:val="24"/>
          <w:szCs w:val="24"/>
        </w:rPr>
      </w:pPr>
      <w:r>
        <w:rPr>
          <w:rFonts w:asciiTheme="minorHAnsi" w:hAnsiTheme="minorHAnsi" w:cstheme="minorHAnsi"/>
          <w:sz w:val="24"/>
          <w:szCs w:val="24"/>
        </w:rPr>
        <w:t>Gender theory relating to the perception of men conforming to the expectations of society is of importance with regards to this incident. Society has undoubtedly created the notions of what it means to be a man and how masculinity should be portrayed and adopted.  From birth, regardless of being intentional or not, gender stereotypes are forced and integrated upon us.  According to Kohlberg</w:t>
      </w:r>
      <w:r w:rsidR="006A2285">
        <w:rPr>
          <w:rFonts w:asciiTheme="minorHAnsi" w:hAnsiTheme="minorHAnsi" w:cstheme="minorHAnsi"/>
          <w:sz w:val="24"/>
          <w:szCs w:val="24"/>
        </w:rPr>
        <w:t xml:space="preserve"> (</w:t>
      </w:r>
      <w:r>
        <w:rPr>
          <w:rFonts w:asciiTheme="minorHAnsi" w:hAnsiTheme="minorHAnsi" w:cstheme="minorHAnsi"/>
          <w:sz w:val="24"/>
          <w:szCs w:val="24"/>
        </w:rPr>
        <w:t>1966</w:t>
      </w:r>
      <w:r w:rsidR="006A2285">
        <w:rPr>
          <w:rFonts w:asciiTheme="minorHAnsi" w:hAnsiTheme="minorHAnsi" w:cstheme="minorHAnsi"/>
          <w:sz w:val="24"/>
          <w:szCs w:val="24"/>
        </w:rPr>
        <w:t>)</w:t>
      </w:r>
      <w:r>
        <w:rPr>
          <w:rFonts w:asciiTheme="minorHAnsi" w:hAnsiTheme="minorHAnsi" w:cstheme="minorHAnsi"/>
          <w:sz w:val="24"/>
          <w:szCs w:val="24"/>
        </w:rPr>
        <w:t>, positive reinforcement is created whereby children believe that by conforming to their gender roles, they will be rewarded for doing so (Bussey &amp; Bandura, 1999, p. 677). Therefore, this encourages gender conformity.  It has also been postulated that adolescents perceive these notions of what it means to be a man or a woman as important in their day-to-day life (</w:t>
      </w:r>
      <w:proofErr w:type="spellStart"/>
      <w:r>
        <w:rPr>
          <w:rFonts w:asciiTheme="minorHAnsi" w:hAnsiTheme="minorHAnsi" w:cstheme="minorHAnsi"/>
          <w:sz w:val="24"/>
          <w:szCs w:val="24"/>
        </w:rPr>
        <w:t>Milot</w:t>
      </w:r>
      <w:proofErr w:type="spellEnd"/>
      <w:r>
        <w:rPr>
          <w:rFonts w:asciiTheme="minorHAnsi" w:hAnsiTheme="minorHAnsi" w:cstheme="minorHAnsi"/>
          <w:sz w:val="24"/>
          <w:szCs w:val="24"/>
        </w:rPr>
        <w:t xml:space="preserve">, 2014, p. 4). The core aspect to be taken from these notions is concerning the masculinity of men. Masculinity is defined as the characteristics that are traditionally thought to be typical of or suitable to men (Cambridge </w:t>
      </w:r>
      <w:r>
        <w:rPr>
          <w:rFonts w:asciiTheme="minorHAnsi" w:hAnsiTheme="minorHAnsi" w:cstheme="minorHAnsi"/>
          <w:sz w:val="24"/>
          <w:szCs w:val="24"/>
        </w:rPr>
        <w:lastRenderedPageBreak/>
        <w:t>Dictionary</w:t>
      </w:r>
      <w:r w:rsidR="006A2285">
        <w:rPr>
          <w:rFonts w:asciiTheme="minorHAnsi" w:hAnsiTheme="minorHAnsi" w:cstheme="minorHAnsi"/>
          <w:sz w:val="24"/>
          <w:szCs w:val="24"/>
        </w:rPr>
        <w:t>, 2022</w:t>
      </w:r>
      <w:r>
        <w:rPr>
          <w:rFonts w:asciiTheme="minorHAnsi" w:hAnsiTheme="minorHAnsi" w:cstheme="minorHAnsi"/>
          <w:sz w:val="24"/>
          <w:szCs w:val="24"/>
        </w:rPr>
        <w:t>). These characteristics all relate and primarily focus on the internalization of one’s emotions and the ability to maintain strong (</w:t>
      </w:r>
      <w:proofErr w:type="spellStart"/>
      <w:r>
        <w:rPr>
          <w:rFonts w:asciiTheme="minorHAnsi" w:hAnsiTheme="minorHAnsi" w:cstheme="minorHAnsi"/>
          <w:sz w:val="24"/>
          <w:szCs w:val="24"/>
        </w:rPr>
        <w:t>Biglan</w:t>
      </w:r>
      <w:proofErr w:type="spellEnd"/>
      <w:r>
        <w:rPr>
          <w:rFonts w:asciiTheme="minorHAnsi" w:hAnsiTheme="minorHAnsi" w:cstheme="minorHAnsi"/>
          <w:sz w:val="24"/>
          <w:szCs w:val="24"/>
        </w:rPr>
        <w:t xml:space="preserve"> et al, 2019, p. 1790). Thus, adopting these characteristics fails to expose any weaknesses and presents the imagery of a strong male. As a result of these perceptions existing of masculinity and the ‘ideal’ male, problems have arisen concerning men and mental health. It can be conjectured that these conformities of gender have created a stigma surrounding men and mental health. The present societal issues surrounding men and mental health, led this teenage male to believe that he could not express his feelings and that he was not entitled to. This unfortunately, led to him refusing to seek help and speak to others about his mental health in fear of being portrayed as less masculine. Bearing this in mind, I sought to rectify this and explain to the male that despite these perceptions, society is changing on a day-to-day basis, whereby it is accepted by most that men also suffer with mental health. I reassured the male that he was no less masculine for expressing his feelings and that in fact he would be showing strength by seeking help. By engaging with the male and talking to him, he became more at ease and was confiding in how he was feeling, the simple task of listening enabled him to feel supported and that he was important. From listening to the male, I established the circumstances surrounding his disappearance and his intentions and the reasoning behind his actions. This effectively allowed me, by using the National Decision Model to establish what course of action was appropriate and more suitable in this incident. </w:t>
      </w:r>
    </w:p>
    <w:p w14:paraId="22DB9BA7" w14:textId="77777777" w:rsidR="006F15D2" w:rsidRDefault="006F15D2" w:rsidP="006F15D2">
      <w:pPr>
        <w:rPr>
          <w:rFonts w:asciiTheme="minorHAnsi" w:hAnsiTheme="minorHAnsi" w:cstheme="minorHAnsi"/>
          <w:sz w:val="24"/>
          <w:szCs w:val="24"/>
        </w:rPr>
      </w:pPr>
    </w:p>
    <w:p w14:paraId="5DEF10B6" w14:textId="27018BB5" w:rsidR="006F15D2" w:rsidRDefault="006F15D2" w:rsidP="006F15D2">
      <w:pPr>
        <w:rPr>
          <w:rFonts w:asciiTheme="minorHAnsi" w:hAnsiTheme="minorHAnsi" w:cstheme="minorHAnsi"/>
          <w:sz w:val="24"/>
          <w:szCs w:val="24"/>
        </w:rPr>
      </w:pPr>
      <w:r>
        <w:rPr>
          <w:rFonts w:asciiTheme="minorHAnsi" w:hAnsiTheme="minorHAnsi" w:cstheme="minorHAnsi"/>
          <w:sz w:val="24"/>
          <w:szCs w:val="24"/>
        </w:rPr>
        <w:t>In incidents surrounding mental health, there are a variety approaches that can be taken by a Police Officer to provide support and manage the current situation</w:t>
      </w:r>
      <w:r w:rsidR="006A2285">
        <w:rPr>
          <w:rFonts w:asciiTheme="minorHAnsi" w:hAnsiTheme="minorHAnsi" w:cstheme="minorHAnsi"/>
          <w:sz w:val="24"/>
          <w:szCs w:val="24"/>
        </w:rPr>
        <w:t xml:space="preserve"> (College of Policing, 2020).</w:t>
      </w:r>
      <w:r>
        <w:rPr>
          <w:rFonts w:asciiTheme="minorHAnsi" w:hAnsiTheme="minorHAnsi" w:cstheme="minorHAnsi"/>
          <w:sz w:val="24"/>
          <w:szCs w:val="24"/>
        </w:rPr>
        <w:t xml:space="preserve"> Within the role of a Police Officer, there exists an obligation and duty to provide support to those who are most vulnerable and at risk in society. This incident required an approach to be taken in the form of enabling the male to seek the help he required. The male needed to be seen by health care professionals as he had planned to take his own life. The male could not be left to return home as there was a high risk of him causing harm to himself and he was in a vulnerable position. To liaise with the NHS and mental health services, I requested for the Approved Mental Health Professional (AMHP) to contact me. An AMPH is an individual who works alongside services such as the Police to provide help and guidance in situations surrounding mental health. The AMPH has received special training and can assess whether a person needs to be detained or not under the Mental Health Act 1983(NHS, 2019). </w:t>
      </w:r>
    </w:p>
    <w:p w14:paraId="3760F50D" w14:textId="77777777" w:rsidR="006F15D2" w:rsidRDefault="006F15D2" w:rsidP="006F15D2">
      <w:pPr>
        <w:rPr>
          <w:rFonts w:asciiTheme="minorHAnsi" w:hAnsiTheme="minorHAnsi" w:cstheme="minorHAnsi"/>
          <w:sz w:val="24"/>
          <w:szCs w:val="24"/>
        </w:rPr>
      </w:pPr>
    </w:p>
    <w:p w14:paraId="1DA5D2E2" w14:textId="77777777" w:rsidR="006F15D2" w:rsidRDefault="006F15D2" w:rsidP="006F15D2">
      <w:pPr>
        <w:rPr>
          <w:rFonts w:asciiTheme="minorHAnsi" w:hAnsiTheme="minorHAnsi" w:cstheme="minorHAnsi"/>
          <w:sz w:val="24"/>
          <w:szCs w:val="24"/>
        </w:rPr>
      </w:pPr>
      <w:r>
        <w:rPr>
          <w:rFonts w:asciiTheme="minorHAnsi" w:hAnsiTheme="minorHAnsi" w:cstheme="minorHAnsi"/>
          <w:sz w:val="24"/>
          <w:szCs w:val="24"/>
        </w:rPr>
        <w:t xml:space="preserve">The AMPH was provided the circumstances and he recommended the male attending the hospital voluntarily. As a result of this, I turned to the male and asked if he was willing to attend a hospital and be assessed on a voluntary basis. He stated that he would and that he was sure his mother would attend. With this new information, the AMPH phoned ahead to the local hospital to arrange for an assessment to take place so that the male could receive the appropriate support via the NHS. </w:t>
      </w:r>
    </w:p>
    <w:p w14:paraId="7D97F5CC" w14:textId="77777777" w:rsidR="006F15D2" w:rsidRDefault="006F15D2" w:rsidP="006F15D2">
      <w:pPr>
        <w:rPr>
          <w:rFonts w:asciiTheme="minorHAnsi" w:hAnsiTheme="minorHAnsi" w:cstheme="minorHAnsi"/>
          <w:sz w:val="24"/>
          <w:szCs w:val="24"/>
        </w:rPr>
      </w:pPr>
    </w:p>
    <w:p w14:paraId="49BDA12C" w14:textId="383A026A" w:rsidR="006F15D2" w:rsidRDefault="006F15D2" w:rsidP="006F15D2">
      <w:pPr>
        <w:rPr>
          <w:rFonts w:asciiTheme="minorHAnsi" w:hAnsiTheme="minorHAnsi" w:cstheme="minorHAnsi"/>
          <w:sz w:val="24"/>
          <w:szCs w:val="24"/>
        </w:rPr>
      </w:pPr>
      <w:r>
        <w:rPr>
          <w:rFonts w:asciiTheme="minorHAnsi" w:hAnsiTheme="minorHAnsi" w:cstheme="minorHAnsi"/>
          <w:sz w:val="24"/>
          <w:szCs w:val="24"/>
        </w:rPr>
        <w:t xml:space="preserve">If the male had refused engagement and was in a public place throughout the incident, then I would have considered the approach of detaining the male under </w:t>
      </w:r>
      <w:r w:rsidR="006A2285">
        <w:rPr>
          <w:rFonts w:asciiTheme="minorHAnsi" w:hAnsiTheme="minorHAnsi" w:cstheme="minorHAnsi"/>
          <w:sz w:val="24"/>
          <w:szCs w:val="24"/>
        </w:rPr>
        <w:t xml:space="preserve">Section </w:t>
      </w:r>
      <w:r>
        <w:rPr>
          <w:rFonts w:asciiTheme="minorHAnsi" w:hAnsiTheme="minorHAnsi" w:cstheme="minorHAnsi"/>
          <w:sz w:val="24"/>
          <w:szCs w:val="24"/>
        </w:rPr>
        <w:t xml:space="preserve">136 of the Mental Health Act 1983. This would have allowed me to have the power to transport the male to a place of safety where an assessment could occur. Often, the place of safety is a dedicated mental health suite. However, </w:t>
      </w:r>
      <w:proofErr w:type="spellStart"/>
      <w:r>
        <w:rPr>
          <w:rFonts w:asciiTheme="minorHAnsi" w:hAnsiTheme="minorHAnsi" w:cstheme="minorHAnsi"/>
          <w:sz w:val="24"/>
          <w:szCs w:val="24"/>
        </w:rPr>
        <w:t>Costen</w:t>
      </w:r>
      <w:proofErr w:type="spellEnd"/>
      <w:r>
        <w:rPr>
          <w:rFonts w:asciiTheme="minorHAnsi" w:hAnsiTheme="minorHAnsi" w:cstheme="minorHAnsi"/>
          <w:sz w:val="24"/>
          <w:szCs w:val="24"/>
        </w:rPr>
        <w:t xml:space="preserve"> and Milne (1999, p. 123) identified various issues with the process of sectioning a person under s.136.  One of these issues is that often, </w:t>
      </w:r>
      <w:r>
        <w:rPr>
          <w:rFonts w:asciiTheme="minorHAnsi" w:hAnsiTheme="minorHAnsi" w:cstheme="minorHAnsi"/>
          <w:sz w:val="24"/>
          <w:szCs w:val="24"/>
        </w:rPr>
        <w:lastRenderedPageBreak/>
        <w:t>during the assessment, there is no social worker present, this means that the aftercare in terms of support for the detainee may be overlooked (</w:t>
      </w:r>
      <w:proofErr w:type="spellStart"/>
      <w:r>
        <w:rPr>
          <w:rFonts w:asciiTheme="minorHAnsi" w:hAnsiTheme="minorHAnsi" w:cstheme="minorHAnsi"/>
          <w:sz w:val="24"/>
          <w:szCs w:val="24"/>
        </w:rPr>
        <w:t>Costen</w:t>
      </w:r>
      <w:proofErr w:type="spellEnd"/>
      <w:r>
        <w:rPr>
          <w:rFonts w:asciiTheme="minorHAnsi" w:hAnsiTheme="minorHAnsi" w:cstheme="minorHAnsi"/>
          <w:sz w:val="24"/>
          <w:szCs w:val="24"/>
        </w:rPr>
        <w:t xml:space="preserve"> and Milne, 1999 p. 123). Additionally, there are issues surrounding the initial assessment, where it is believed that when conducted out of hours, the individual is more likely to be seen by a young and inexperienced doctor which can lead to the admission being denied (</w:t>
      </w:r>
      <w:proofErr w:type="spellStart"/>
      <w:r>
        <w:rPr>
          <w:rFonts w:asciiTheme="minorHAnsi" w:hAnsiTheme="minorHAnsi" w:cstheme="minorHAnsi"/>
          <w:sz w:val="24"/>
          <w:szCs w:val="24"/>
        </w:rPr>
        <w:t>Costen</w:t>
      </w:r>
      <w:proofErr w:type="spellEnd"/>
      <w:r>
        <w:rPr>
          <w:rFonts w:asciiTheme="minorHAnsi" w:hAnsiTheme="minorHAnsi" w:cstheme="minorHAnsi"/>
          <w:sz w:val="24"/>
          <w:szCs w:val="24"/>
        </w:rPr>
        <w:t xml:space="preserve"> and Milne, 1999, p. 124). This report is outdated as it was created in 1999.  Mental health services have improved and now Public Protection Notification Reports (PPNs) are submitted after each sectioning and sent to social services. This enables a liaison to occur and for the appropriate support to be arranged when the individual is released from the place of safety.</w:t>
      </w:r>
    </w:p>
    <w:p w14:paraId="0ADCFDD0" w14:textId="77777777" w:rsidR="006F15D2" w:rsidRDefault="006F15D2" w:rsidP="006F15D2">
      <w:pPr>
        <w:rPr>
          <w:rFonts w:asciiTheme="minorHAnsi" w:hAnsiTheme="minorHAnsi" w:cstheme="minorHAnsi"/>
          <w:sz w:val="24"/>
          <w:szCs w:val="24"/>
        </w:rPr>
      </w:pPr>
    </w:p>
    <w:p w14:paraId="5B01CC75" w14:textId="51AD44E2" w:rsidR="006F15D2" w:rsidRDefault="006F15D2" w:rsidP="006F15D2">
      <w:pPr>
        <w:rPr>
          <w:rFonts w:asciiTheme="minorHAnsi" w:hAnsiTheme="minorHAnsi" w:cstheme="minorHAnsi"/>
          <w:sz w:val="24"/>
          <w:szCs w:val="24"/>
        </w:rPr>
      </w:pPr>
      <w:r>
        <w:rPr>
          <w:rFonts w:asciiTheme="minorHAnsi" w:hAnsiTheme="minorHAnsi" w:cstheme="minorHAnsi"/>
          <w:sz w:val="24"/>
          <w:szCs w:val="24"/>
        </w:rPr>
        <w:t>Due to the nature of the missing person report, a PPN was submitted to social services. Within this PPN I highlighted the view that the male had surrounding society and masculinity concerning mental health. I also emphasised the importance of the male being referred to the Child and Adolescent Mental Health Services (CAMHS) by his GP and provide the appropriate support, whether that be through Counselling or interacting with others. This referral was necessary in starting the support for the male who was vulnerable and in need of support from other services. This support would also prevent further incidents from happening like this again.</w:t>
      </w:r>
      <w:r w:rsidR="00D20B0C">
        <w:rPr>
          <w:rFonts w:asciiTheme="minorHAnsi" w:hAnsiTheme="minorHAnsi" w:cstheme="minorHAnsi"/>
          <w:sz w:val="24"/>
          <w:szCs w:val="24"/>
        </w:rPr>
        <w:t xml:space="preserve"> Therefore, by implementing the correct procedures and support, this prevented any further incidents from occurring and thus prevented repeat victimisation. </w:t>
      </w:r>
    </w:p>
    <w:p w14:paraId="6F0D91AC" w14:textId="77777777" w:rsidR="006F15D2" w:rsidRDefault="006F15D2" w:rsidP="006F15D2">
      <w:pPr>
        <w:rPr>
          <w:rFonts w:asciiTheme="minorHAnsi" w:hAnsiTheme="minorHAnsi" w:cstheme="minorHAnsi"/>
          <w:sz w:val="24"/>
          <w:szCs w:val="24"/>
        </w:rPr>
      </w:pPr>
    </w:p>
    <w:p w14:paraId="769A6646" w14:textId="51A1792D" w:rsidR="006F15D2" w:rsidRDefault="006F15D2" w:rsidP="006F15D2">
      <w:pPr>
        <w:rPr>
          <w:rFonts w:asciiTheme="minorHAnsi" w:hAnsiTheme="minorHAnsi" w:cstheme="minorHAnsi"/>
          <w:sz w:val="24"/>
          <w:szCs w:val="24"/>
        </w:rPr>
      </w:pPr>
      <w:r>
        <w:rPr>
          <w:rFonts w:asciiTheme="minorHAnsi" w:hAnsiTheme="minorHAnsi" w:cstheme="minorHAnsi"/>
          <w:sz w:val="24"/>
          <w:szCs w:val="24"/>
        </w:rPr>
        <w:t>Using Gibbs Model of Reflection</w:t>
      </w:r>
      <w:r w:rsidR="006A2285">
        <w:rPr>
          <w:rFonts w:asciiTheme="minorHAnsi" w:hAnsiTheme="minorHAnsi" w:cstheme="minorHAnsi"/>
          <w:sz w:val="24"/>
          <w:szCs w:val="24"/>
        </w:rPr>
        <w:t xml:space="preserve"> (1988)</w:t>
      </w:r>
      <w:r>
        <w:rPr>
          <w:rFonts w:asciiTheme="minorHAnsi" w:hAnsiTheme="minorHAnsi" w:cstheme="minorHAnsi"/>
          <w:sz w:val="24"/>
          <w:szCs w:val="24"/>
        </w:rPr>
        <w:t xml:space="preserve">, it is evident that an incident such as this one can have an impact on yourself. Mental health is a subject that is sensitive and difficult to talk about, and it is something that almost every single individual experience in their lifetime. At the beginning of the incident, I felt a sense of worry and major concern that the male may have potentially taken his life. Whilst this was a negative thought to have, it was something that I could not remove. However, I ensured that I acted rationally and proportionate during the incident to ensure that the investigation was conducted to a professional standard. Those who are vulnerable are more prone to harm and mental health is a factor of vulnerability. However, being able to provide the support that the male required was empowering. Further to this, it reminded me of why I became a Police Officer in the first place. Although a challenging career, it is one that at times can be rewarding. In this case, I was able to provide support to a vulnerable individual who was in need. </w:t>
      </w:r>
    </w:p>
    <w:p w14:paraId="1C526FC3" w14:textId="77777777" w:rsidR="006F15D2" w:rsidRDefault="006F15D2" w:rsidP="006F15D2">
      <w:pPr>
        <w:rPr>
          <w:rFonts w:asciiTheme="minorHAnsi" w:hAnsiTheme="minorHAnsi" w:cstheme="minorHAnsi"/>
          <w:sz w:val="24"/>
          <w:szCs w:val="24"/>
        </w:rPr>
      </w:pPr>
    </w:p>
    <w:p w14:paraId="49BEBCE4" w14:textId="0BA62F41" w:rsidR="006F15D2" w:rsidRDefault="006F15D2" w:rsidP="00D20B0C">
      <w:pPr>
        <w:rPr>
          <w:rFonts w:asciiTheme="minorHAnsi" w:hAnsiTheme="minorHAnsi" w:cstheme="minorHAnsi"/>
          <w:sz w:val="24"/>
          <w:szCs w:val="24"/>
        </w:rPr>
      </w:pPr>
      <w:r>
        <w:rPr>
          <w:rFonts w:asciiTheme="minorHAnsi" w:hAnsiTheme="minorHAnsi" w:cstheme="minorHAnsi"/>
          <w:sz w:val="24"/>
          <w:szCs w:val="24"/>
        </w:rPr>
        <w:t xml:space="preserve">In hindsight, there is nothing that I would have changed with how I responded to the incident. I acted accordingly and ensured that the right support was provided. Although mental health calls are challenging and can often be distressing, this was one that proved to be rewarding. Whilst no criminal incident occurred, these calls occur on a weekly basis. Throughout the incident, I believe I played a significant role in providing and protecting a vulnerable person from harm. My understanding of mental health and failure to accept gender conforming concerning masculinity, allowed the male to </w:t>
      </w:r>
      <w:proofErr w:type="gramStart"/>
      <w:r>
        <w:rPr>
          <w:rFonts w:asciiTheme="minorHAnsi" w:hAnsiTheme="minorHAnsi" w:cstheme="minorHAnsi"/>
          <w:sz w:val="24"/>
          <w:szCs w:val="24"/>
        </w:rPr>
        <w:t>open up</w:t>
      </w:r>
      <w:proofErr w:type="gramEnd"/>
      <w:r>
        <w:rPr>
          <w:rFonts w:asciiTheme="minorHAnsi" w:hAnsiTheme="minorHAnsi" w:cstheme="minorHAnsi"/>
          <w:sz w:val="24"/>
          <w:szCs w:val="24"/>
        </w:rPr>
        <w:t xml:space="preserve"> and feel supported and listened to. Through my response to the incident, the male received the necessary support for his mental health. By providing support there have been no further incidents with the male concerning his mental health. </w:t>
      </w:r>
    </w:p>
    <w:p w14:paraId="016F855E" w14:textId="2E5C15D5" w:rsidR="00D20B0C" w:rsidRDefault="00D20B0C" w:rsidP="00D20B0C">
      <w:pPr>
        <w:rPr>
          <w:rFonts w:asciiTheme="minorHAnsi" w:hAnsiTheme="minorHAnsi" w:cstheme="minorHAnsi"/>
          <w:sz w:val="24"/>
          <w:szCs w:val="24"/>
        </w:rPr>
      </w:pPr>
    </w:p>
    <w:p w14:paraId="1DBE4614" w14:textId="5A1F9C65" w:rsidR="00D20B0C" w:rsidRPr="00D20B0C" w:rsidRDefault="00D20B0C" w:rsidP="00D20B0C">
      <w:pPr>
        <w:rPr>
          <w:rFonts w:asciiTheme="minorHAnsi" w:hAnsiTheme="minorHAnsi" w:cstheme="minorHAnsi"/>
          <w:sz w:val="24"/>
          <w:szCs w:val="24"/>
        </w:rPr>
      </w:pPr>
      <w:r>
        <w:rPr>
          <w:rFonts w:asciiTheme="minorHAnsi" w:hAnsiTheme="minorHAnsi" w:cstheme="minorHAnsi"/>
          <w:sz w:val="24"/>
          <w:szCs w:val="24"/>
        </w:rPr>
        <w:t>Word Count: 2214</w:t>
      </w:r>
    </w:p>
    <w:p w14:paraId="73350CB6" w14:textId="55358E50" w:rsidR="006F15D2" w:rsidRDefault="006F15D2" w:rsidP="5CE196A1">
      <w:pPr>
        <w:ind w:right="237"/>
        <w:jc w:val="both"/>
        <w:rPr>
          <w:color w:val="000000" w:themeColor="text1"/>
          <w:sz w:val="24"/>
          <w:szCs w:val="24"/>
        </w:rPr>
      </w:pPr>
    </w:p>
    <w:p w14:paraId="48211E59" w14:textId="77777777" w:rsidR="006F15D2" w:rsidRDefault="006F15D2" w:rsidP="5CE196A1">
      <w:pPr>
        <w:ind w:right="237"/>
        <w:jc w:val="both"/>
        <w:rPr>
          <w:color w:val="000000" w:themeColor="text1"/>
          <w:sz w:val="24"/>
          <w:szCs w:val="24"/>
        </w:rPr>
      </w:pPr>
    </w:p>
    <w:p w14:paraId="189E9BB5" w14:textId="77777777" w:rsidR="006F15D2" w:rsidRDefault="006F15D2" w:rsidP="5CE196A1">
      <w:pPr>
        <w:ind w:right="237"/>
        <w:jc w:val="center"/>
        <w:rPr>
          <w:b/>
          <w:bCs/>
          <w:color w:val="000000" w:themeColor="text1"/>
          <w:sz w:val="28"/>
          <w:szCs w:val="28"/>
          <w:u w:val="single"/>
        </w:rPr>
      </w:pPr>
    </w:p>
    <w:p w14:paraId="3C996846" w14:textId="051F30C5"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71DA2D8E" w14:textId="09BFA4DD" w:rsidR="006F15D2" w:rsidRPr="006F15D2" w:rsidRDefault="006F15D2" w:rsidP="006F15D2">
      <w:pPr>
        <w:rPr>
          <w:rFonts w:asciiTheme="minorHAnsi" w:hAnsiTheme="minorHAnsi" w:cstheme="minorHAnsi"/>
          <w:sz w:val="24"/>
          <w:szCs w:val="24"/>
        </w:rPr>
      </w:pPr>
      <w:r w:rsidRPr="006F15D2">
        <w:rPr>
          <w:rFonts w:asciiTheme="minorHAnsi" w:hAnsiTheme="minorHAnsi" w:cstheme="minorHAnsi"/>
          <w:sz w:val="24"/>
          <w:szCs w:val="24"/>
        </w:rPr>
        <w:t>Domestic Abuse can be defined as abusive behaviour towards an individual who you are personally connected to (Domestic Abuse Act</w:t>
      </w:r>
      <w:r w:rsidR="00D20B0C">
        <w:rPr>
          <w:rFonts w:asciiTheme="minorHAnsi" w:hAnsiTheme="minorHAnsi" w:cstheme="minorHAnsi"/>
          <w:sz w:val="24"/>
          <w:szCs w:val="24"/>
        </w:rPr>
        <w:t>,</w:t>
      </w:r>
      <w:r w:rsidRPr="006F15D2">
        <w:rPr>
          <w:rFonts w:asciiTheme="minorHAnsi" w:hAnsiTheme="minorHAnsi" w:cstheme="minorHAnsi"/>
          <w:sz w:val="24"/>
          <w:szCs w:val="24"/>
        </w:rPr>
        <w:t xml:space="preserve"> 2021). The behaviour of an individual can be construed as abusive if it consists of physical or sexual abuse; violent or threatening behaviour; controlling or coercive behaviour; economic abuse; and psychological, emotional, or other forms of abuse (Domestic Abuse Act, 2021). The Police attend domestic abuse incidents on a regular basis, with each incident varying between the degree of harm and abuse that has occurred. Sometimes, the incidents do not contain any forms of physical abuse, but an argument has occurred where a considerable amount of emotional distress has been experienced. Between April 2021 and March 2022, 909,504 domestic abuse related offences were recorded by the Police, of these, 722,723 were offences concerning violence against the person (Office for National Statistics, 2022). Domestic abuse incidents create several challenges for officers upon attendance and during the investigation. Within this essay, I will reflect upon a Domestic Abuse incident I attended, and how these challenges were addressed via strategies that are developed and taught to officers for such situations. </w:t>
      </w:r>
    </w:p>
    <w:p w14:paraId="5A12A55C" w14:textId="77777777" w:rsidR="006F15D2" w:rsidRPr="006F15D2" w:rsidRDefault="006F15D2" w:rsidP="006F15D2">
      <w:pPr>
        <w:rPr>
          <w:rFonts w:asciiTheme="minorHAnsi" w:hAnsiTheme="minorHAnsi" w:cstheme="minorHAnsi"/>
          <w:sz w:val="24"/>
          <w:szCs w:val="24"/>
        </w:rPr>
      </w:pPr>
    </w:p>
    <w:p w14:paraId="185E8F2B" w14:textId="3A249FA5" w:rsidR="006F15D2" w:rsidRDefault="006F15D2" w:rsidP="006F15D2">
      <w:pPr>
        <w:rPr>
          <w:rFonts w:asciiTheme="minorHAnsi" w:hAnsiTheme="minorHAnsi" w:cstheme="minorHAnsi"/>
          <w:sz w:val="24"/>
          <w:szCs w:val="24"/>
        </w:rPr>
      </w:pPr>
      <w:r w:rsidRPr="006F15D2">
        <w:rPr>
          <w:rFonts w:asciiTheme="minorHAnsi" w:hAnsiTheme="minorHAnsi" w:cstheme="minorHAnsi"/>
          <w:sz w:val="24"/>
          <w:szCs w:val="24"/>
        </w:rPr>
        <w:t xml:space="preserve">During one of my tour of duties, I attended a domestic abuse incident which was of a complex nature. I had been alerted by the Force Control Room that an emergency response </w:t>
      </w:r>
      <w:r w:rsidRPr="006F15D2">
        <w:rPr>
          <w:rFonts w:asciiTheme="minorHAnsi" w:hAnsiTheme="minorHAnsi" w:cstheme="minorHAnsi"/>
          <w:sz w:val="24"/>
          <w:szCs w:val="24"/>
        </w:rPr>
        <w:lastRenderedPageBreak/>
        <w:t>was required for an abandoned 999 call whereby shouting and screaming between a male and female could be heard in the background. Prior to my attendance, I requested for an address check to be conducted to see if there had been any previous incidents of a similar nature. There had not. Due to the potential of this being a domestic incident, I requested another officer to attend as a safety precaution. As per Gwent Police’s Domestic Abuse Policy, our priority was to ensure the safety of the victim and any other persons present at the incident.</w:t>
      </w:r>
    </w:p>
    <w:p w14:paraId="1C7EA298" w14:textId="77777777" w:rsidR="006F15D2" w:rsidRPr="006F15D2" w:rsidRDefault="006F15D2" w:rsidP="006F15D2">
      <w:pPr>
        <w:rPr>
          <w:rFonts w:asciiTheme="minorHAnsi" w:hAnsiTheme="minorHAnsi" w:cstheme="minorHAnsi"/>
          <w:sz w:val="24"/>
          <w:szCs w:val="24"/>
        </w:rPr>
      </w:pPr>
    </w:p>
    <w:p w14:paraId="7EA728CD" w14:textId="77777777" w:rsidR="006F15D2" w:rsidRPr="006F15D2" w:rsidRDefault="006F15D2" w:rsidP="006F15D2">
      <w:pPr>
        <w:rPr>
          <w:rFonts w:asciiTheme="minorHAnsi" w:hAnsiTheme="minorHAnsi" w:cstheme="minorHAnsi"/>
          <w:b/>
          <w:bCs/>
          <w:sz w:val="24"/>
          <w:szCs w:val="24"/>
        </w:rPr>
      </w:pPr>
      <w:r w:rsidRPr="006F15D2">
        <w:rPr>
          <w:rFonts w:asciiTheme="minorHAnsi" w:hAnsiTheme="minorHAnsi" w:cstheme="minorHAnsi"/>
          <w:sz w:val="24"/>
          <w:szCs w:val="24"/>
        </w:rPr>
        <w:t xml:space="preserve">We attended the address and our </w:t>
      </w:r>
      <w:proofErr w:type="spellStart"/>
      <w:r w:rsidRPr="006F15D2">
        <w:rPr>
          <w:rFonts w:asciiTheme="minorHAnsi" w:hAnsiTheme="minorHAnsi" w:cstheme="minorHAnsi"/>
          <w:sz w:val="24"/>
          <w:szCs w:val="24"/>
        </w:rPr>
        <w:t>Bodyworn</w:t>
      </w:r>
      <w:proofErr w:type="spellEnd"/>
      <w:r w:rsidRPr="006F15D2">
        <w:rPr>
          <w:rFonts w:asciiTheme="minorHAnsi" w:hAnsiTheme="minorHAnsi" w:cstheme="minorHAnsi"/>
          <w:sz w:val="24"/>
          <w:szCs w:val="24"/>
        </w:rPr>
        <w:t xml:space="preserve"> video was activated at first instance. A male answered the door, and we entered the property. No powers of entry were used during this incident as we were given permission to enter. As I entered the address, I noticed that there was smashed glass on the floor and damage had been caused to a log burner situated in the living room. There was a female sitting on the sofa in distress and crying. One of the challenges that often arise from domestic incidents is trying to speak to those involved separately, if this is not achievable, there is the issue of potential coercion occurring whereby the victim is forced to not tell the truth. It is because of this challenge, that preferably two officers are required to attend domestic abuse incidents. To overcome this challenge, each officer allocates themselves to an individual and the parties are separated to enquire about the circumstances. I remained with the female, and she disclosed that her and her husband had been drinking and gotten into an argument, the argument escalated, and the husband had pushed the female down the stairs. Following this act of violence, he had proceeded to drag her by her arms and throw her onto the sofa. The male then went on to smashing items in the house, which provided an explanation for the glass on the floor. The nature of the argument was concerning the husband wanting to leave the home address to purchase more alcohol and the female had challenged him, stating that he had had enough to drink. It is believed that conflict between partners often surround issues concerning money, children, housekeeping, sex, jealousy, authority etc. (</w:t>
      </w:r>
      <w:proofErr w:type="spellStart"/>
      <w:r w:rsidRPr="006F15D2">
        <w:rPr>
          <w:rFonts w:asciiTheme="minorHAnsi" w:hAnsiTheme="minorHAnsi" w:cstheme="minorHAnsi"/>
          <w:sz w:val="24"/>
          <w:szCs w:val="24"/>
        </w:rPr>
        <w:t>Dobash</w:t>
      </w:r>
      <w:proofErr w:type="spellEnd"/>
      <w:r w:rsidRPr="006F15D2">
        <w:rPr>
          <w:rFonts w:asciiTheme="minorHAnsi" w:hAnsiTheme="minorHAnsi" w:cstheme="minorHAnsi"/>
          <w:sz w:val="24"/>
          <w:szCs w:val="24"/>
        </w:rPr>
        <w:t xml:space="preserve"> &amp; </w:t>
      </w:r>
      <w:proofErr w:type="spellStart"/>
      <w:r w:rsidRPr="006F15D2">
        <w:rPr>
          <w:rFonts w:asciiTheme="minorHAnsi" w:hAnsiTheme="minorHAnsi" w:cstheme="minorHAnsi"/>
          <w:sz w:val="24"/>
          <w:szCs w:val="24"/>
        </w:rPr>
        <w:t>Dobash</w:t>
      </w:r>
      <w:proofErr w:type="spellEnd"/>
      <w:r w:rsidRPr="006F15D2">
        <w:rPr>
          <w:rFonts w:asciiTheme="minorHAnsi" w:hAnsiTheme="minorHAnsi" w:cstheme="minorHAnsi"/>
          <w:sz w:val="24"/>
          <w:szCs w:val="24"/>
        </w:rPr>
        <w:t xml:space="preserve">, 2007, p 332). In this instance, I believe that the male felt his masculinity being challenged by the female and has resorted to an act of violence to ascertain his dominance in the relationship. </w:t>
      </w:r>
    </w:p>
    <w:p w14:paraId="6DD54BE9" w14:textId="77777777" w:rsidR="006F15D2" w:rsidRPr="006F15D2" w:rsidRDefault="006F15D2" w:rsidP="006F15D2">
      <w:pPr>
        <w:rPr>
          <w:rFonts w:asciiTheme="minorHAnsi" w:hAnsiTheme="minorHAnsi" w:cstheme="minorHAnsi"/>
          <w:sz w:val="24"/>
          <w:szCs w:val="24"/>
        </w:rPr>
      </w:pPr>
    </w:p>
    <w:p w14:paraId="2ACE2B32" w14:textId="77777777" w:rsidR="006F15D2" w:rsidRPr="006F15D2" w:rsidRDefault="006F15D2" w:rsidP="006F15D2">
      <w:pPr>
        <w:rPr>
          <w:rFonts w:asciiTheme="minorHAnsi" w:hAnsiTheme="minorHAnsi" w:cstheme="minorHAnsi"/>
          <w:sz w:val="24"/>
          <w:szCs w:val="24"/>
        </w:rPr>
      </w:pPr>
      <w:r w:rsidRPr="006F15D2">
        <w:rPr>
          <w:rFonts w:asciiTheme="minorHAnsi" w:hAnsiTheme="minorHAnsi" w:cstheme="minorHAnsi"/>
          <w:sz w:val="24"/>
          <w:szCs w:val="24"/>
        </w:rPr>
        <w:t>One area in which the Police have faced scrutiny concerning domestic abuse is the reluctance of arrest. Whereby, Police have been criticised for enforcing a form of mediation between the two parties, rather than arresting the perpetrator, which has created the perception that arrest is not a priority. (</w:t>
      </w:r>
      <w:proofErr w:type="spellStart"/>
      <w:r w:rsidRPr="006F15D2">
        <w:rPr>
          <w:rFonts w:asciiTheme="minorHAnsi" w:hAnsiTheme="minorHAnsi" w:cstheme="minorHAnsi"/>
          <w:sz w:val="24"/>
          <w:szCs w:val="24"/>
        </w:rPr>
        <w:t>Hilder</w:t>
      </w:r>
      <w:proofErr w:type="spellEnd"/>
      <w:r w:rsidRPr="006F15D2">
        <w:rPr>
          <w:rFonts w:asciiTheme="minorHAnsi" w:hAnsiTheme="minorHAnsi" w:cstheme="minorHAnsi"/>
          <w:sz w:val="24"/>
          <w:szCs w:val="24"/>
        </w:rPr>
        <w:t xml:space="preserve">, 2016, p. 38). Unfortunately, I have borne witness to this myself, whereby an officer has not arrested despite the disclosure made and separated the parties for a day instead. Adopting the mindset that the perpetrator can be dealt with via means of a voluntary interview. This mindset is often influenced by whether the victim is willing to provide a statement or not. Failing to adhere to this mindset, I proceeded to the room where my colleague and the husband were situated. I informed the male that there had been an allegation of assault and due to this he was under arrest on suspicion of common assault. I requested for another unit to assist due to the ‘Golden Hour’ enquiries that needed to be conducted for the investigation.  </w:t>
      </w:r>
    </w:p>
    <w:p w14:paraId="425BF940" w14:textId="77777777" w:rsidR="006F15D2" w:rsidRPr="006F15D2" w:rsidRDefault="006F15D2" w:rsidP="006F15D2">
      <w:pPr>
        <w:rPr>
          <w:rFonts w:asciiTheme="minorHAnsi" w:hAnsiTheme="minorHAnsi" w:cstheme="minorHAnsi"/>
          <w:sz w:val="24"/>
          <w:szCs w:val="24"/>
        </w:rPr>
      </w:pPr>
    </w:p>
    <w:p w14:paraId="5D75EF27" w14:textId="59EA094E" w:rsidR="006F15D2" w:rsidRPr="006F15D2" w:rsidRDefault="006F15D2" w:rsidP="006F15D2">
      <w:pPr>
        <w:rPr>
          <w:rFonts w:asciiTheme="minorHAnsi" w:hAnsiTheme="minorHAnsi" w:cstheme="minorHAnsi"/>
          <w:sz w:val="24"/>
          <w:szCs w:val="24"/>
        </w:rPr>
      </w:pPr>
      <w:r w:rsidRPr="006F15D2">
        <w:rPr>
          <w:rFonts w:asciiTheme="minorHAnsi" w:hAnsiTheme="minorHAnsi" w:cstheme="minorHAnsi"/>
          <w:sz w:val="24"/>
          <w:szCs w:val="24"/>
        </w:rPr>
        <w:t xml:space="preserve">As the male was conveyed to custody, I carried out the required enquiries in preparation for the interview. From the beginning of these enquiries, it became increasingly apparent that the victim was not willing to provide a positive statement or attend court. This was the first </w:t>
      </w:r>
      <w:r w:rsidRPr="006F15D2">
        <w:rPr>
          <w:rFonts w:asciiTheme="minorHAnsi" w:hAnsiTheme="minorHAnsi" w:cstheme="minorHAnsi"/>
          <w:sz w:val="24"/>
          <w:szCs w:val="24"/>
        </w:rPr>
        <w:lastRenderedPageBreak/>
        <w:t xml:space="preserve">challenge in the investigation and one that is often present in domestic abuse incidents. As the female had declined the opportunity to give a statement straight away without an explanation of the process, I decided to do this. I explained the processes involved in the investigation and if, it was to go to court then she may be expected to give her testimony. During this, I explained the possibility of using Special Measures. Special Measures are provisions provided in court to assist those vulnerable or intimidated to give their testimony to lessen the stress and pressure (CPS, 2021). These provisions are provided in a variety of ways such as providing your testimony via a live link or behind a screen. The female declined and stated that she had been a victim of domestic abuse for most of her life and that it was normal to her. In cases of domestic abuse where the individuals are of an older age, there is a form of normalization surrounding the ‘chastisement’ of a wife. This normalization stems from old Common Law where there was a ruling that a husband was within his right to chastise his wife moderately </w:t>
      </w:r>
      <w:r w:rsidR="00D20B0C" w:rsidRPr="006F15D2">
        <w:rPr>
          <w:rFonts w:asciiTheme="minorHAnsi" w:hAnsiTheme="minorHAnsi" w:cstheme="minorHAnsi"/>
          <w:sz w:val="24"/>
          <w:szCs w:val="24"/>
        </w:rPr>
        <w:t>if</w:t>
      </w:r>
      <w:r w:rsidRPr="006F15D2">
        <w:rPr>
          <w:rFonts w:asciiTheme="minorHAnsi" w:hAnsiTheme="minorHAnsi" w:cstheme="minorHAnsi"/>
          <w:sz w:val="24"/>
          <w:szCs w:val="24"/>
        </w:rPr>
        <w:t xml:space="preserve"> he used a ‘switch no larger than his thumb’ (Stedman, 1917, pp. 241-243). Although outdated and with recent legislation disseminating the ruling under Common Law, there still maintains this believe in some relationships. In this incident, this was the case and was a further challenge that needed to be addressed. </w:t>
      </w:r>
    </w:p>
    <w:p w14:paraId="1064A262" w14:textId="77777777" w:rsidR="006F15D2" w:rsidRPr="006F15D2" w:rsidRDefault="006F15D2" w:rsidP="006F15D2">
      <w:pPr>
        <w:rPr>
          <w:rFonts w:asciiTheme="minorHAnsi" w:hAnsiTheme="minorHAnsi" w:cstheme="minorHAnsi"/>
          <w:sz w:val="24"/>
          <w:szCs w:val="24"/>
        </w:rPr>
      </w:pPr>
    </w:p>
    <w:p w14:paraId="7FB63CB3" w14:textId="77777777" w:rsidR="006F15D2" w:rsidRPr="006F15D2" w:rsidRDefault="006F15D2" w:rsidP="006F15D2">
      <w:pPr>
        <w:rPr>
          <w:rFonts w:asciiTheme="minorHAnsi" w:hAnsiTheme="minorHAnsi" w:cstheme="minorHAnsi"/>
          <w:sz w:val="24"/>
          <w:szCs w:val="24"/>
        </w:rPr>
      </w:pPr>
      <w:r w:rsidRPr="006F15D2">
        <w:rPr>
          <w:rFonts w:asciiTheme="minorHAnsi" w:hAnsiTheme="minorHAnsi" w:cstheme="minorHAnsi"/>
          <w:sz w:val="24"/>
          <w:szCs w:val="24"/>
        </w:rPr>
        <w:t xml:space="preserve">Although the female refused to provide a positive statement, she was willing to provide a negative statement, which clearly indicated that she did not support a prosecution but allowed for detail to be given regarding her abuse. Within the statement, there was an extensive history of abuse and elements of control were evident, however, the evidence to prove its existence was nil. After the statement was taken, I photographed the injuries she had sustained from the incident with her permission. I asked if she would allow me to convey her to a hospital for treatment, however, this was declined. Despite the negative statement provided, I informed the female that there was a chance that this could lead to a victimless prosecution. </w:t>
      </w:r>
    </w:p>
    <w:p w14:paraId="0D439A96" w14:textId="77777777" w:rsidR="006F15D2" w:rsidRPr="006F15D2" w:rsidRDefault="006F15D2" w:rsidP="006F15D2">
      <w:pPr>
        <w:rPr>
          <w:rFonts w:asciiTheme="minorHAnsi" w:hAnsiTheme="minorHAnsi" w:cstheme="minorHAnsi"/>
          <w:sz w:val="24"/>
          <w:szCs w:val="24"/>
        </w:rPr>
      </w:pPr>
    </w:p>
    <w:p w14:paraId="758E3432" w14:textId="77777777" w:rsidR="006F15D2" w:rsidRPr="006F15D2" w:rsidRDefault="006F15D2" w:rsidP="006F15D2">
      <w:pPr>
        <w:rPr>
          <w:rFonts w:asciiTheme="minorHAnsi" w:hAnsiTheme="minorHAnsi" w:cstheme="minorHAnsi"/>
          <w:sz w:val="24"/>
          <w:szCs w:val="24"/>
        </w:rPr>
      </w:pPr>
      <w:r w:rsidRPr="006F15D2">
        <w:rPr>
          <w:rFonts w:asciiTheme="minorHAnsi" w:hAnsiTheme="minorHAnsi" w:cstheme="minorHAnsi"/>
          <w:sz w:val="24"/>
          <w:szCs w:val="24"/>
        </w:rPr>
        <w:t xml:space="preserve">Progressing an investigation with a victimless prosecution is a process that is difficult. First adopted in the United States, victimless prosecutions primarily focus on evidence led prosecutions (Ellison, 2002, p.840). This process was eventually adopted in the United Kingdom, eradicating the previous process whereby if a victim did not wish to proceed then this marked the end of a case (Hoyle, 1998) This new process has led to investigations being based primarily on enhanced evidence gathering. Failure to provide a statement means that evidence must be gathered elsewhere to support the allegation made. Concerning this incident, there was evidence readily available in terms of the 999 recording, </w:t>
      </w:r>
      <w:proofErr w:type="spellStart"/>
      <w:r w:rsidRPr="006F15D2">
        <w:rPr>
          <w:rFonts w:asciiTheme="minorHAnsi" w:hAnsiTheme="minorHAnsi" w:cstheme="minorHAnsi"/>
          <w:sz w:val="24"/>
          <w:szCs w:val="24"/>
        </w:rPr>
        <w:t>Bodyworn</w:t>
      </w:r>
      <w:proofErr w:type="spellEnd"/>
      <w:r w:rsidRPr="006F15D2">
        <w:rPr>
          <w:rFonts w:asciiTheme="minorHAnsi" w:hAnsiTheme="minorHAnsi" w:cstheme="minorHAnsi"/>
          <w:sz w:val="24"/>
          <w:szCs w:val="24"/>
        </w:rPr>
        <w:t xml:space="preserve"> video and the photos of the injuries sustained. In relation to the injuries, this was again a challenge as the female was refusing to seek medical attention which meant there would be no medical evidence. Adhering to my training, I ensured that I conducted reasonable lines of enquiries and maintained the ‘Golden Hour’ principles. Neighbours were spoken to, to establish if they had heard or seen anything and whether any statements could be obtained. Unfortunately, the neighbour who had heard the commotion, did not wish to provide a statement due to the fear of repercussions. This consequently meant that the investigation was to be based solely on the evidence that had been gathered. </w:t>
      </w:r>
    </w:p>
    <w:p w14:paraId="6B755BD8" w14:textId="77777777" w:rsidR="006F15D2" w:rsidRPr="006F15D2" w:rsidRDefault="006F15D2" w:rsidP="006F15D2">
      <w:pPr>
        <w:rPr>
          <w:rFonts w:asciiTheme="minorHAnsi" w:hAnsiTheme="minorHAnsi" w:cstheme="minorHAnsi"/>
          <w:sz w:val="24"/>
          <w:szCs w:val="24"/>
        </w:rPr>
      </w:pPr>
    </w:p>
    <w:p w14:paraId="10516D13" w14:textId="4540CA76" w:rsidR="006F15D2" w:rsidRPr="006F15D2" w:rsidRDefault="006F15D2" w:rsidP="006F15D2">
      <w:pPr>
        <w:rPr>
          <w:rFonts w:asciiTheme="minorHAnsi" w:hAnsiTheme="minorHAnsi" w:cstheme="minorHAnsi"/>
          <w:sz w:val="24"/>
          <w:szCs w:val="24"/>
        </w:rPr>
      </w:pPr>
      <w:r w:rsidRPr="006F15D2">
        <w:rPr>
          <w:rFonts w:asciiTheme="minorHAnsi" w:hAnsiTheme="minorHAnsi" w:cstheme="minorHAnsi"/>
          <w:sz w:val="24"/>
          <w:szCs w:val="24"/>
        </w:rPr>
        <w:t xml:space="preserve">Although a victimless prosecution in domestic abuse is challenging, it is achievable at times. The collection of </w:t>
      </w:r>
      <w:r w:rsidR="00D20B0C" w:rsidRPr="006F15D2">
        <w:rPr>
          <w:rFonts w:asciiTheme="minorHAnsi" w:hAnsiTheme="minorHAnsi" w:cstheme="minorHAnsi"/>
          <w:sz w:val="24"/>
          <w:szCs w:val="24"/>
        </w:rPr>
        <w:t>all</w:t>
      </w:r>
      <w:r w:rsidRPr="006F15D2">
        <w:rPr>
          <w:rFonts w:asciiTheme="minorHAnsi" w:hAnsiTheme="minorHAnsi" w:cstheme="minorHAnsi"/>
          <w:sz w:val="24"/>
          <w:szCs w:val="24"/>
        </w:rPr>
        <w:t xml:space="preserve"> the evidence potentially provides enough evidence for the CPS to </w:t>
      </w:r>
      <w:proofErr w:type="gramStart"/>
      <w:r w:rsidRPr="006F15D2">
        <w:rPr>
          <w:rFonts w:asciiTheme="minorHAnsi" w:hAnsiTheme="minorHAnsi" w:cstheme="minorHAnsi"/>
          <w:sz w:val="24"/>
          <w:szCs w:val="24"/>
        </w:rPr>
        <w:t>make a decision</w:t>
      </w:r>
      <w:proofErr w:type="gramEnd"/>
      <w:r w:rsidRPr="006F15D2">
        <w:rPr>
          <w:rFonts w:asciiTheme="minorHAnsi" w:hAnsiTheme="minorHAnsi" w:cstheme="minorHAnsi"/>
          <w:sz w:val="24"/>
          <w:szCs w:val="24"/>
        </w:rPr>
        <w:t xml:space="preserve"> regarding the ‘Evidential Test’.  However, this was not the only obstacle to a </w:t>
      </w:r>
      <w:r w:rsidRPr="006F15D2">
        <w:rPr>
          <w:rFonts w:asciiTheme="minorHAnsi" w:hAnsiTheme="minorHAnsi" w:cstheme="minorHAnsi"/>
          <w:sz w:val="24"/>
          <w:szCs w:val="24"/>
        </w:rPr>
        <w:lastRenderedPageBreak/>
        <w:t xml:space="preserve">prosecution. According to Ellison, several cases are terminated by the CPS as it is not in the public interest to prosecute (Ellison, </w:t>
      </w:r>
      <w:r w:rsidR="00D20B0C">
        <w:rPr>
          <w:rFonts w:asciiTheme="minorHAnsi" w:hAnsiTheme="minorHAnsi" w:cstheme="minorHAnsi"/>
          <w:sz w:val="24"/>
          <w:szCs w:val="24"/>
        </w:rPr>
        <w:t xml:space="preserve">2002, </w:t>
      </w:r>
      <w:r w:rsidRPr="006F15D2">
        <w:rPr>
          <w:rFonts w:asciiTheme="minorHAnsi" w:hAnsiTheme="minorHAnsi" w:cstheme="minorHAnsi"/>
          <w:sz w:val="24"/>
          <w:szCs w:val="24"/>
        </w:rPr>
        <w:t xml:space="preserve">p. 835). When deciding whether a charge is sufficient, a prosecutor considers a range of questions to identify and determine whether the case has relevant factors in the public interest concerning a prosecution (CPS, 2018).  If the answer to these questions is not sufficient, then a charge is not agreed, and the offender is released with no further action. These decisions can at times be made by the sergeants present in custody. Due to this being a possibility, I ensured that all available evidence had been collected and compiled prior to the offender’s interview. </w:t>
      </w:r>
    </w:p>
    <w:p w14:paraId="1ED23245" w14:textId="77777777" w:rsidR="006F15D2" w:rsidRPr="006F15D2" w:rsidRDefault="006F15D2" w:rsidP="006F15D2">
      <w:pPr>
        <w:rPr>
          <w:rFonts w:asciiTheme="minorHAnsi" w:hAnsiTheme="minorHAnsi" w:cstheme="minorHAnsi"/>
          <w:sz w:val="24"/>
          <w:szCs w:val="24"/>
        </w:rPr>
      </w:pPr>
    </w:p>
    <w:p w14:paraId="00DF35AC" w14:textId="77777777" w:rsidR="006F15D2" w:rsidRPr="006F15D2" w:rsidRDefault="006F15D2" w:rsidP="006F15D2">
      <w:pPr>
        <w:rPr>
          <w:rFonts w:asciiTheme="minorHAnsi" w:hAnsiTheme="minorHAnsi" w:cstheme="minorHAnsi"/>
          <w:sz w:val="24"/>
          <w:szCs w:val="24"/>
        </w:rPr>
      </w:pPr>
      <w:r w:rsidRPr="006F15D2">
        <w:rPr>
          <w:rFonts w:asciiTheme="minorHAnsi" w:hAnsiTheme="minorHAnsi" w:cstheme="minorHAnsi"/>
          <w:sz w:val="24"/>
          <w:szCs w:val="24"/>
        </w:rPr>
        <w:t xml:space="preserve">Once all the evidence was gathered, I transported the victim to a safe place which she stated that she was going to remain for the foreseeable. I informed her of what would happen next and that her husband was to be interviewed for the alleged offence and that I would contact her after the interview. </w:t>
      </w:r>
    </w:p>
    <w:p w14:paraId="0E1AA83B" w14:textId="77777777" w:rsidR="006F15D2" w:rsidRPr="006F15D2" w:rsidRDefault="006F15D2" w:rsidP="006F15D2">
      <w:pPr>
        <w:rPr>
          <w:rFonts w:asciiTheme="minorHAnsi" w:hAnsiTheme="minorHAnsi" w:cstheme="minorHAnsi"/>
          <w:sz w:val="24"/>
          <w:szCs w:val="24"/>
        </w:rPr>
      </w:pPr>
    </w:p>
    <w:p w14:paraId="2FB4A15F" w14:textId="68F9ED37" w:rsidR="006F15D2" w:rsidRPr="006F15D2" w:rsidRDefault="006F15D2" w:rsidP="006F15D2">
      <w:pPr>
        <w:rPr>
          <w:rFonts w:asciiTheme="minorHAnsi" w:hAnsiTheme="minorHAnsi" w:cstheme="minorHAnsi"/>
          <w:sz w:val="24"/>
          <w:szCs w:val="24"/>
        </w:rPr>
      </w:pPr>
      <w:r w:rsidRPr="006F15D2">
        <w:rPr>
          <w:rFonts w:asciiTheme="minorHAnsi" w:hAnsiTheme="minorHAnsi" w:cstheme="minorHAnsi"/>
          <w:sz w:val="24"/>
          <w:szCs w:val="24"/>
        </w:rPr>
        <w:t xml:space="preserve">The offender was interview for the offence that he allegedly committed. Within interview he provided ‘No Comment’ to all questions that were put to him and did not provide his side of the story. After interview, I consulted with the custody sergeant and provided </w:t>
      </w:r>
      <w:r w:rsidR="00D20B0C" w:rsidRPr="006F15D2">
        <w:rPr>
          <w:rFonts w:asciiTheme="minorHAnsi" w:hAnsiTheme="minorHAnsi" w:cstheme="minorHAnsi"/>
          <w:sz w:val="24"/>
          <w:szCs w:val="24"/>
        </w:rPr>
        <w:t>all</w:t>
      </w:r>
      <w:r w:rsidRPr="006F15D2">
        <w:rPr>
          <w:rFonts w:asciiTheme="minorHAnsi" w:hAnsiTheme="minorHAnsi" w:cstheme="minorHAnsi"/>
          <w:sz w:val="24"/>
          <w:szCs w:val="24"/>
        </w:rPr>
        <w:t xml:space="preserve"> the evidence that was available. Due to the lack of a positive statement and no statement from the neighbour, it was decided that there would be no further action taken as it was not in the public interest for a prosecution. Although a frustrating decision to myself, I understood the reasoning behind the decision. Despite this decision, I had requested whether a Domestic Violence Protection Notice (DVPN) would be sufficient to provide some form of protection to the victim, as there were no bail conditions being imposed. A DVPN is a civil order which provides protective measures to a victim of domestic violence in the immediate aftermath of an incident (Home Office, 2020). This request was denied as the victim had moved to a safe place and was not in any danger of further violence occurring. I had undoubtedly done everything that I could have with regards to this investigation and therefore contacted the victim to inform her of the outcome. </w:t>
      </w:r>
    </w:p>
    <w:p w14:paraId="3F9F98DC" w14:textId="77777777" w:rsidR="006F15D2" w:rsidRPr="006F15D2" w:rsidRDefault="006F15D2" w:rsidP="006F15D2">
      <w:pPr>
        <w:rPr>
          <w:rFonts w:asciiTheme="minorHAnsi" w:hAnsiTheme="minorHAnsi" w:cstheme="minorHAnsi"/>
          <w:sz w:val="24"/>
          <w:szCs w:val="24"/>
        </w:rPr>
      </w:pPr>
    </w:p>
    <w:p w14:paraId="68B7FBDC" w14:textId="1553C1F8" w:rsidR="006F15D2" w:rsidRDefault="006F15D2" w:rsidP="006F15D2">
      <w:pPr>
        <w:rPr>
          <w:rFonts w:asciiTheme="minorHAnsi" w:hAnsiTheme="minorHAnsi" w:cstheme="minorHAnsi"/>
          <w:sz w:val="24"/>
          <w:szCs w:val="24"/>
        </w:rPr>
      </w:pPr>
      <w:r w:rsidRPr="006F15D2">
        <w:rPr>
          <w:rFonts w:asciiTheme="minorHAnsi" w:hAnsiTheme="minorHAnsi" w:cstheme="minorHAnsi"/>
          <w:sz w:val="24"/>
          <w:szCs w:val="24"/>
        </w:rPr>
        <w:t xml:space="preserve">Overall, this domestic incident that I had attended posed numerous challenges. This is not uncommon when providing an emergency response to any domestic abuse incident. Despite these challenges, I had adopted an effective means of policing in providing support to the victim and considering alternative options to prosecution in terms of a DVPN. One of the main challenges that is often associated with domestic abuse cases is that of an unwillingness of the provision of a statement by the victim. It is difficult to ascertain with each individual incident as to why a statement is not provided, but often this is either out of fear of the offender or that the incident was the final straw leading to permanent relationship/marital separation. In this case, I believe it was the latter and the victim had finally procured the strength to leave the offender and therefore did not wish to live in the past anymore in terms of proceeding with a prosecution. Despite the other evidence that was available, there was not enough in terms of meeting the ‘public interest’ stage of the Full Code Test. Consequently, no further action was decided to be taken against the offender. Although this often means the end of the investigation, I had decided to investigate the possibility of a DVPN for protection of the victim. This was one of the strategies that I adopted to ensure effective policing was present, however, this request was denied. </w:t>
      </w:r>
    </w:p>
    <w:p w14:paraId="49450788" w14:textId="77777777" w:rsidR="006F15D2" w:rsidRPr="006F15D2" w:rsidRDefault="006F15D2" w:rsidP="006F15D2">
      <w:pPr>
        <w:rPr>
          <w:rFonts w:asciiTheme="minorHAnsi" w:hAnsiTheme="minorHAnsi" w:cstheme="minorHAnsi"/>
          <w:sz w:val="24"/>
          <w:szCs w:val="24"/>
        </w:rPr>
      </w:pPr>
    </w:p>
    <w:p w14:paraId="75461776" w14:textId="77777777" w:rsidR="006F15D2" w:rsidRPr="006F15D2" w:rsidRDefault="006F15D2" w:rsidP="006F15D2">
      <w:pPr>
        <w:rPr>
          <w:rFonts w:asciiTheme="minorHAnsi" w:hAnsiTheme="minorHAnsi" w:cstheme="minorHAnsi"/>
          <w:sz w:val="24"/>
          <w:szCs w:val="24"/>
        </w:rPr>
      </w:pPr>
      <w:r w:rsidRPr="006F15D2">
        <w:rPr>
          <w:rFonts w:asciiTheme="minorHAnsi" w:hAnsiTheme="minorHAnsi" w:cstheme="minorHAnsi"/>
          <w:sz w:val="24"/>
          <w:szCs w:val="24"/>
        </w:rPr>
        <w:lastRenderedPageBreak/>
        <w:t>In conclusion, domestic abuse incidents are dealt with daily by police officers. Our response and reactions to these situations are vital, especially with the challenges that are often encountered. Providing effective policing by engaging with certain strategies that are available can provide protection for the victim and allow them to feel that they have been heard. Although at times, no charges are authorised, the way in which an officer reacts and dealt with the incident has a lasting effect on the victim.</w:t>
      </w:r>
    </w:p>
    <w:p w14:paraId="1CFF0354" w14:textId="77777777" w:rsidR="006F15D2" w:rsidRPr="006F15D2" w:rsidRDefault="006F15D2" w:rsidP="006F15D2">
      <w:pPr>
        <w:rPr>
          <w:rFonts w:asciiTheme="minorHAnsi" w:hAnsiTheme="minorHAnsi" w:cstheme="minorHAnsi"/>
          <w:sz w:val="24"/>
          <w:szCs w:val="24"/>
        </w:rPr>
      </w:pPr>
    </w:p>
    <w:p w14:paraId="7E2F71EC" w14:textId="77777777" w:rsidR="006F15D2" w:rsidRPr="006F15D2" w:rsidRDefault="006F15D2" w:rsidP="006F15D2">
      <w:pPr>
        <w:rPr>
          <w:rFonts w:asciiTheme="minorHAnsi" w:hAnsiTheme="minorHAnsi" w:cstheme="minorHAnsi"/>
          <w:sz w:val="24"/>
          <w:szCs w:val="24"/>
        </w:rPr>
      </w:pPr>
    </w:p>
    <w:p w14:paraId="7D3264B7" w14:textId="77777777" w:rsidR="006F15D2" w:rsidRPr="006F15D2" w:rsidRDefault="006F15D2" w:rsidP="006F15D2">
      <w:pPr>
        <w:rPr>
          <w:rFonts w:asciiTheme="minorHAnsi" w:hAnsiTheme="minorHAnsi" w:cstheme="minorHAnsi"/>
          <w:sz w:val="24"/>
          <w:szCs w:val="24"/>
        </w:rPr>
      </w:pPr>
    </w:p>
    <w:p w14:paraId="114EB599" w14:textId="77777777" w:rsidR="006F15D2" w:rsidRPr="006F15D2" w:rsidRDefault="006F15D2" w:rsidP="006F15D2">
      <w:pPr>
        <w:rPr>
          <w:rFonts w:asciiTheme="minorHAnsi" w:hAnsiTheme="minorHAnsi" w:cstheme="minorHAnsi"/>
          <w:sz w:val="24"/>
          <w:szCs w:val="24"/>
        </w:rPr>
      </w:pPr>
    </w:p>
    <w:p w14:paraId="13995E77" w14:textId="77777777" w:rsidR="006F15D2" w:rsidRPr="006F15D2" w:rsidRDefault="006F15D2" w:rsidP="006F15D2">
      <w:pPr>
        <w:rPr>
          <w:rFonts w:asciiTheme="minorHAnsi" w:hAnsiTheme="minorHAnsi" w:cstheme="minorHAnsi"/>
          <w:sz w:val="24"/>
          <w:szCs w:val="24"/>
        </w:rPr>
      </w:pPr>
    </w:p>
    <w:p w14:paraId="7DC9B153" w14:textId="5B3C42DE" w:rsidR="006F15D2" w:rsidRPr="006F15D2" w:rsidRDefault="006F15D2" w:rsidP="006F15D2">
      <w:pPr>
        <w:rPr>
          <w:rFonts w:asciiTheme="minorHAnsi" w:hAnsiTheme="minorHAnsi" w:cstheme="minorHAnsi"/>
          <w:sz w:val="24"/>
          <w:szCs w:val="24"/>
        </w:rPr>
      </w:pPr>
      <w:r w:rsidRPr="006F15D2">
        <w:rPr>
          <w:rFonts w:asciiTheme="minorHAnsi" w:hAnsiTheme="minorHAnsi" w:cstheme="minorHAnsi"/>
          <w:sz w:val="24"/>
          <w:szCs w:val="24"/>
        </w:rPr>
        <w:t>Word Count: 219</w:t>
      </w:r>
      <w:r w:rsidR="00D20B0C">
        <w:rPr>
          <w:rFonts w:asciiTheme="minorHAnsi" w:hAnsiTheme="minorHAnsi" w:cstheme="minorHAnsi"/>
          <w:sz w:val="24"/>
          <w:szCs w:val="24"/>
        </w:rPr>
        <w:t>1</w:t>
      </w:r>
    </w:p>
    <w:p w14:paraId="3DA4C2E6" w14:textId="77777777" w:rsidR="006F15D2" w:rsidRPr="006F15D2" w:rsidRDefault="006F15D2" w:rsidP="006F15D2">
      <w:pPr>
        <w:rPr>
          <w:rFonts w:asciiTheme="minorHAnsi" w:hAnsiTheme="minorHAnsi" w:cstheme="minorHAnsi"/>
          <w:sz w:val="24"/>
          <w:szCs w:val="24"/>
        </w:rPr>
      </w:pPr>
    </w:p>
    <w:p w14:paraId="74D5D43B" w14:textId="77777777" w:rsidR="006F15D2" w:rsidRPr="006F15D2" w:rsidRDefault="006F15D2" w:rsidP="006F15D2">
      <w:pPr>
        <w:rPr>
          <w:rFonts w:asciiTheme="minorHAnsi" w:hAnsiTheme="minorHAnsi" w:cstheme="minorHAnsi"/>
          <w:sz w:val="24"/>
          <w:szCs w:val="24"/>
        </w:rPr>
      </w:pPr>
    </w:p>
    <w:p w14:paraId="5E21EEB1" w14:textId="7B5D82A9" w:rsidR="006F15D2" w:rsidRDefault="006F15D2" w:rsidP="006F15D2">
      <w:pPr>
        <w:rPr>
          <w:rFonts w:asciiTheme="minorHAnsi" w:hAnsiTheme="minorHAnsi" w:cstheme="minorHAnsi"/>
          <w:sz w:val="24"/>
          <w:szCs w:val="24"/>
        </w:rPr>
      </w:pPr>
    </w:p>
    <w:p w14:paraId="4D6A7EE9" w14:textId="099391AE" w:rsidR="00A33D35" w:rsidRDefault="00A33D35" w:rsidP="006F15D2">
      <w:pPr>
        <w:rPr>
          <w:rFonts w:asciiTheme="minorHAnsi" w:hAnsiTheme="minorHAnsi" w:cstheme="minorHAnsi"/>
          <w:sz w:val="24"/>
          <w:szCs w:val="24"/>
        </w:rPr>
      </w:pPr>
    </w:p>
    <w:p w14:paraId="7D487C4D" w14:textId="60D589BC" w:rsidR="00A33D35" w:rsidRDefault="00A33D35" w:rsidP="006F15D2">
      <w:pPr>
        <w:rPr>
          <w:rFonts w:asciiTheme="minorHAnsi" w:hAnsiTheme="minorHAnsi" w:cstheme="minorHAnsi"/>
          <w:sz w:val="24"/>
          <w:szCs w:val="24"/>
        </w:rPr>
      </w:pPr>
    </w:p>
    <w:p w14:paraId="7B11E38F" w14:textId="7853E539" w:rsidR="00A33D35" w:rsidRDefault="00A33D35" w:rsidP="006F15D2">
      <w:pPr>
        <w:rPr>
          <w:rFonts w:asciiTheme="minorHAnsi" w:hAnsiTheme="minorHAnsi" w:cstheme="minorHAnsi"/>
          <w:sz w:val="24"/>
          <w:szCs w:val="24"/>
        </w:rPr>
      </w:pPr>
    </w:p>
    <w:p w14:paraId="458DBAB6" w14:textId="6940AD75" w:rsidR="00A33D35" w:rsidRDefault="00A33D35" w:rsidP="006F15D2">
      <w:pPr>
        <w:rPr>
          <w:rFonts w:asciiTheme="minorHAnsi" w:hAnsiTheme="minorHAnsi" w:cstheme="minorHAnsi"/>
          <w:sz w:val="24"/>
          <w:szCs w:val="24"/>
        </w:rPr>
      </w:pPr>
    </w:p>
    <w:p w14:paraId="714B5D6F" w14:textId="734C55CB" w:rsidR="00A33D35" w:rsidRDefault="00A33D35" w:rsidP="006F15D2">
      <w:pPr>
        <w:rPr>
          <w:rFonts w:asciiTheme="minorHAnsi" w:hAnsiTheme="minorHAnsi" w:cstheme="minorHAnsi"/>
          <w:sz w:val="24"/>
          <w:szCs w:val="24"/>
        </w:rPr>
      </w:pPr>
    </w:p>
    <w:p w14:paraId="5284514B" w14:textId="392F9086" w:rsidR="00A33D35" w:rsidRDefault="00A33D35" w:rsidP="006F15D2">
      <w:pPr>
        <w:rPr>
          <w:rFonts w:asciiTheme="minorHAnsi" w:hAnsiTheme="minorHAnsi" w:cstheme="minorHAnsi"/>
          <w:sz w:val="24"/>
          <w:szCs w:val="24"/>
        </w:rPr>
      </w:pPr>
    </w:p>
    <w:p w14:paraId="70C83C31" w14:textId="4CBA29FF" w:rsidR="00A33D35" w:rsidRDefault="00A33D35" w:rsidP="006F15D2">
      <w:pPr>
        <w:rPr>
          <w:rFonts w:asciiTheme="minorHAnsi" w:hAnsiTheme="minorHAnsi" w:cstheme="minorHAnsi"/>
          <w:sz w:val="24"/>
          <w:szCs w:val="24"/>
        </w:rPr>
      </w:pPr>
    </w:p>
    <w:p w14:paraId="1CEA01C4" w14:textId="77777777" w:rsidR="00A33D35" w:rsidRPr="006F15D2" w:rsidRDefault="00A33D35" w:rsidP="006F15D2">
      <w:pPr>
        <w:rPr>
          <w:rFonts w:asciiTheme="minorHAnsi" w:hAnsiTheme="minorHAnsi" w:cstheme="minorHAnsi"/>
          <w:sz w:val="24"/>
          <w:szCs w:val="24"/>
        </w:rPr>
      </w:pPr>
    </w:p>
    <w:p w14:paraId="56CEE93F" w14:textId="77777777" w:rsidR="006F15D2" w:rsidRPr="006F15D2" w:rsidRDefault="006F15D2" w:rsidP="006F15D2">
      <w:pPr>
        <w:rPr>
          <w:rFonts w:asciiTheme="minorHAnsi" w:hAnsiTheme="minorHAnsi" w:cstheme="minorHAnsi"/>
          <w:sz w:val="24"/>
          <w:szCs w:val="24"/>
        </w:rPr>
      </w:pPr>
    </w:p>
    <w:p w14:paraId="5AD6F3C5" w14:textId="77777777" w:rsidR="006F15D2" w:rsidRPr="006F15D2" w:rsidRDefault="006F15D2" w:rsidP="006F15D2">
      <w:pPr>
        <w:ind w:right="237"/>
        <w:jc w:val="both"/>
        <w:rPr>
          <w:rFonts w:asciiTheme="minorHAnsi" w:eastAsia="Arial" w:hAnsiTheme="minorHAnsi" w:cstheme="minorHAnsi"/>
          <w:sz w:val="24"/>
          <w:szCs w:val="24"/>
        </w:rPr>
      </w:pPr>
    </w:p>
    <w:p w14:paraId="0352BD43" w14:textId="77777777" w:rsidR="006F15D2" w:rsidRPr="006F15D2" w:rsidRDefault="006F15D2" w:rsidP="006F15D2">
      <w:pPr>
        <w:ind w:right="237"/>
        <w:jc w:val="both"/>
        <w:rPr>
          <w:rFonts w:asciiTheme="minorHAnsi" w:eastAsia="Arial" w:hAnsiTheme="minorHAnsi" w:cstheme="minorHAnsi"/>
          <w:sz w:val="24"/>
          <w:szCs w:val="24"/>
        </w:rPr>
      </w:pPr>
    </w:p>
    <w:p w14:paraId="18336E03" w14:textId="77777777" w:rsidR="006F15D2" w:rsidRPr="006F15D2" w:rsidRDefault="006F15D2" w:rsidP="006F15D2">
      <w:pPr>
        <w:ind w:right="237"/>
        <w:jc w:val="both"/>
        <w:rPr>
          <w:rFonts w:asciiTheme="minorHAnsi" w:eastAsia="Arial" w:hAnsiTheme="minorHAnsi" w:cstheme="minorHAnsi"/>
          <w:sz w:val="24"/>
          <w:szCs w:val="24"/>
        </w:rPr>
      </w:pPr>
    </w:p>
    <w:p w14:paraId="08102530" w14:textId="77777777" w:rsidR="006F15D2" w:rsidRPr="006F15D2" w:rsidRDefault="006F15D2" w:rsidP="006F15D2">
      <w:pPr>
        <w:ind w:right="237"/>
        <w:jc w:val="both"/>
        <w:rPr>
          <w:rFonts w:asciiTheme="minorHAnsi" w:eastAsia="Arial" w:hAnsiTheme="minorHAnsi" w:cstheme="minorHAnsi"/>
          <w:sz w:val="24"/>
          <w:szCs w:val="24"/>
        </w:rPr>
      </w:pPr>
    </w:p>
    <w:p w14:paraId="6E6F607A" w14:textId="77777777" w:rsidR="006F15D2" w:rsidRPr="006F15D2" w:rsidRDefault="006F15D2" w:rsidP="006F15D2">
      <w:pPr>
        <w:ind w:right="237"/>
        <w:jc w:val="both"/>
        <w:rPr>
          <w:rFonts w:asciiTheme="minorHAnsi" w:eastAsia="Arial" w:hAnsiTheme="minorHAnsi" w:cstheme="minorHAnsi"/>
          <w:sz w:val="24"/>
          <w:szCs w:val="24"/>
        </w:rPr>
      </w:pPr>
    </w:p>
    <w:p w14:paraId="41D51172" w14:textId="77777777" w:rsidR="006F15D2" w:rsidRPr="006F15D2" w:rsidRDefault="006F15D2" w:rsidP="006F15D2">
      <w:pPr>
        <w:ind w:right="237"/>
        <w:jc w:val="both"/>
        <w:rPr>
          <w:rFonts w:asciiTheme="minorHAnsi" w:eastAsia="Arial" w:hAnsiTheme="minorHAnsi" w:cstheme="minorHAnsi"/>
          <w:sz w:val="24"/>
          <w:szCs w:val="24"/>
        </w:rPr>
      </w:pPr>
    </w:p>
    <w:p w14:paraId="260B1643" w14:textId="77777777" w:rsidR="006F15D2" w:rsidRPr="006F15D2" w:rsidRDefault="006F15D2" w:rsidP="006F15D2">
      <w:pPr>
        <w:ind w:right="237"/>
        <w:jc w:val="both"/>
        <w:rPr>
          <w:rFonts w:asciiTheme="minorHAnsi" w:eastAsia="Arial" w:hAnsiTheme="minorHAnsi" w:cstheme="minorHAnsi"/>
          <w:sz w:val="24"/>
          <w:szCs w:val="24"/>
        </w:rPr>
      </w:pPr>
    </w:p>
    <w:p w14:paraId="1261C5A2" w14:textId="77777777" w:rsidR="006F15D2" w:rsidRPr="006F15D2" w:rsidRDefault="006F15D2" w:rsidP="006F15D2">
      <w:pPr>
        <w:ind w:right="237"/>
        <w:jc w:val="both"/>
        <w:rPr>
          <w:rFonts w:asciiTheme="minorHAnsi" w:eastAsia="Arial" w:hAnsiTheme="minorHAnsi" w:cstheme="minorHAnsi"/>
          <w:sz w:val="24"/>
          <w:szCs w:val="24"/>
        </w:rPr>
      </w:pPr>
    </w:p>
    <w:p w14:paraId="4BE7A1A8" w14:textId="77777777" w:rsidR="006F15D2" w:rsidRPr="006F15D2" w:rsidRDefault="006F15D2" w:rsidP="006F15D2">
      <w:pPr>
        <w:ind w:right="237"/>
        <w:jc w:val="both"/>
        <w:rPr>
          <w:rFonts w:asciiTheme="minorHAnsi" w:eastAsia="Arial" w:hAnsiTheme="minorHAnsi" w:cstheme="minorHAnsi"/>
          <w:sz w:val="24"/>
          <w:szCs w:val="24"/>
        </w:rPr>
      </w:pPr>
    </w:p>
    <w:p w14:paraId="103180A7" w14:textId="77777777" w:rsidR="006F15D2" w:rsidRPr="006F15D2" w:rsidRDefault="006F15D2" w:rsidP="006F15D2">
      <w:pPr>
        <w:ind w:right="237"/>
        <w:jc w:val="both"/>
        <w:rPr>
          <w:rFonts w:asciiTheme="minorHAnsi" w:eastAsia="Arial" w:hAnsiTheme="minorHAnsi" w:cstheme="minorHAnsi"/>
          <w:sz w:val="24"/>
          <w:szCs w:val="24"/>
        </w:rPr>
      </w:pPr>
    </w:p>
    <w:p w14:paraId="5621393E" w14:textId="77777777" w:rsidR="006F15D2" w:rsidRPr="006F15D2" w:rsidRDefault="006F15D2" w:rsidP="006F15D2">
      <w:pPr>
        <w:ind w:right="237"/>
        <w:jc w:val="both"/>
        <w:rPr>
          <w:rFonts w:asciiTheme="minorHAnsi" w:eastAsia="Arial" w:hAnsiTheme="minorHAnsi" w:cstheme="minorHAnsi"/>
          <w:sz w:val="24"/>
          <w:szCs w:val="24"/>
        </w:rPr>
      </w:pPr>
    </w:p>
    <w:p w14:paraId="539DF0AA" w14:textId="77777777" w:rsidR="006F15D2" w:rsidRDefault="006F15D2" w:rsidP="006F15D2">
      <w:pPr>
        <w:ind w:right="237"/>
        <w:jc w:val="both"/>
        <w:rPr>
          <w:rFonts w:eastAsia="Arial"/>
          <w:sz w:val="24"/>
          <w:szCs w:val="24"/>
        </w:rPr>
      </w:pPr>
    </w:p>
    <w:p w14:paraId="6D268E3C" w14:textId="77777777" w:rsidR="006F15D2" w:rsidRDefault="006F15D2" w:rsidP="006F15D2">
      <w:pPr>
        <w:ind w:right="237"/>
        <w:jc w:val="both"/>
        <w:rPr>
          <w:rFonts w:eastAsia="Arial"/>
          <w:sz w:val="24"/>
          <w:szCs w:val="24"/>
        </w:rPr>
      </w:pPr>
    </w:p>
    <w:p w14:paraId="7B2B83E3" w14:textId="77777777" w:rsidR="006F15D2" w:rsidRDefault="006F15D2" w:rsidP="006F15D2">
      <w:pPr>
        <w:ind w:right="237"/>
        <w:jc w:val="both"/>
        <w:rPr>
          <w:rFonts w:eastAsia="Arial"/>
          <w:sz w:val="24"/>
          <w:szCs w:val="24"/>
        </w:rPr>
      </w:pPr>
    </w:p>
    <w:p w14:paraId="4F6F917A" w14:textId="77777777" w:rsidR="006F15D2" w:rsidRDefault="006F15D2" w:rsidP="006F15D2">
      <w:pPr>
        <w:ind w:right="237"/>
        <w:jc w:val="both"/>
        <w:rPr>
          <w:rFonts w:eastAsia="Arial"/>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2869AE7F" w:rsidR="0FF883D4" w:rsidRDefault="5CE196A1" w:rsidP="5CE196A1">
      <w:r w:rsidRPr="5CE196A1">
        <w:rPr>
          <w:rFonts w:eastAsia="Arial"/>
          <w:b/>
          <w:bCs/>
          <w:color w:val="000000" w:themeColor="text1"/>
          <w:sz w:val="24"/>
          <w:szCs w:val="24"/>
        </w:rPr>
        <w:t xml:space="preserve">Signed: </w:t>
      </w:r>
      <w:r w:rsidR="00A33D35">
        <w:rPr>
          <w:rFonts w:eastAsia="Arial"/>
          <w:b/>
          <w:bCs/>
          <w:color w:val="000000" w:themeColor="text1"/>
          <w:sz w:val="24"/>
          <w:szCs w:val="24"/>
        </w:rPr>
        <w:t>V. Wilson</w:t>
      </w:r>
    </w:p>
    <w:p w14:paraId="563192E7" w14:textId="65942772" w:rsidR="0FF883D4" w:rsidRDefault="5CE196A1" w:rsidP="5CE196A1">
      <w:r w:rsidRPr="5CE196A1">
        <w:rPr>
          <w:rFonts w:eastAsia="Arial"/>
          <w:b/>
          <w:bCs/>
          <w:color w:val="000000" w:themeColor="text1"/>
          <w:sz w:val="24"/>
          <w:szCs w:val="24"/>
        </w:rPr>
        <w:t xml:space="preserve"> </w:t>
      </w:r>
    </w:p>
    <w:p w14:paraId="22DBB0E5" w14:textId="7FBA3DB1" w:rsidR="0FF883D4" w:rsidRDefault="00A33D35" w:rsidP="5CE196A1">
      <w:r w:rsidRPr="00A33D35">
        <w:rPr>
          <w:b/>
          <w:bCs/>
          <w:noProof/>
          <w:sz w:val="24"/>
          <w:szCs w:val="24"/>
          <w:lang w:eastAsia="zh-TW"/>
        </w:rPr>
        <mc:AlternateContent>
          <mc:Choice Requires="wps">
            <w:drawing>
              <wp:anchor distT="45720" distB="45720" distL="114300" distR="114300" simplePos="0" relativeHeight="251659264" behindDoc="0" locked="0" layoutInCell="1" allowOverlap="1" wp14:anchorId="3B366526" wp14:editId="3B7E5D26">
                <wp:simplePos x="0" y="0"/>
                <wp:positionH relativeFrom="column">
                  <wp:posOffset>510540</wp:posOffset>
                </wp:positionH>
                <wp:positionV relativeFrom="paragraph">
                  <wp:posOffset>3810</wp:posOffset>
                </wp:positionV>
                <wp:extent cx="1484630" cy="281940"/>
                <wp:effectExtent l="0" t="0" r="2032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4630" cy="281940"/>
                        </a:xfrm>
                        <a:prstGeom prst="rect">
                          <a:avLst/>
                        </a:prstGeom>
                        <a:solidFill>
                          <a:srgbClr val="FFFFFF"/>
                        </a:solidFill>
                        <a:ln w="9525">
                          <a:solidFill>
                            <a:schemeClr val="bg1"/>
                          </a:solidFill>
                          <a:miter lim="800000"/>
                          <a:headEnd/>
                          <a:tailEnd/>
                        </a:ln>
                      </wps:spPr>
                      <wps:txbx>
                        <w:txbxContent>
                          <w:p w14:paraId="2F32ED63" w14:textId="45A985AD" w:rsidR="00A33D35" w:rsidRPr="00A33D35" w:rsidRDefault="00101FDD">
                            <w:pPr>
                              <w:rPr>
                                <w:b/>
                                <w:bCs/>
                                <w:sz w:val="24"/>
                                <w:szCs w:val="24"/>
                              </w:rPr>
                            </w:pPr>
                            <w:r>
                              <w:rPr>
                                <w:b/>
                                <w:bCs/>
                                <w:sz w:val="24"/>
                                <w:szCs w:val="24"/>
                              </w:rPr>
                              <w:t>31</w:t>
                            </w:r>
                            <w:r w:rsidR="00A33D35" w:rsidRPr="00A33D35">
                              <w:rPr>
                                <w:b/>
                                <w:bCs/>
                                <w:sz w:val="24"/>
                                <w:szCs w:val="24"/>
                              </w:rPr>
                              <w:t>/10/2022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B366526" id="_x0000_t202" coordsize="21600,21600" o:spt="202" path="m,l,21600r21600,l21600,xe">
                <v:stroke joinstyle="miter"/>
                <v:path gradientshapeok="t" o:connecttype="rect"/>
              </v:shapetype>
              <v:shape id="Text Box 2" o:spid="_x0000_s1026" type="#_x0000_t202" style="position:absolute;margin-left:40.2pt;margin-top:.3pt;width:116.9pt;height:22.2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" strokecolor="white [3212]">
                <v:textbox>
                  <w:txbxContent>
                    <w:p w14:paraId="2F32ED63" w14:textId="45A985AD" w:rsidR="00A33D35" w:rsidRPr="00A33D35" w:rsidRDefault="00101FDD">
                      <w:pPr>
                        <w:rPr>
                          <w:b/>
                          <w:bCs/>
                          <w:sz w:val="24"/>
                          <w:szCs w:val="24"/>
                        </w:rPr>
                      </w:pPr>
                      <w:r>
                        <w:rPr>
                          <w:b/>
                          <w:bCs/>
                          <w:sz w:val="24"/>
                          <w:szCs w:val="24"/>
                        </w:rPr>
                        <w:t>31</w:t>
                      </w:r>
                      <w:r w:rsidR="00A33D35" w:rsidRPr="00A33D35">
                        <w:rPr>
                          <w:b/>
                          <w:bCs/>
                          <w:sz w:val="24"/>
                          <w:szCs w:val="24"/>
                        </w:rPr>
                        <w:t>/10/2022</w:t>
                      </w:r>
                    </w:p>
                  </w:txbxContent>
                </v:textbox>
                <w10:wrap type="square"/>
              </v:shape>
            </w:pict>
          </mc:Fallback>
        </mc:AlternateContent>
      </w:r>
      <w:r w:rsidR="5CE196A1" w:rsidRPr="5CE196A1">
        <w:rPr>
          <w:rFonts w:eastAsia="Arial"/>
          <w:b/>
          <w:bCs/>
          <w:color w:val="000000" w:themeColor="text1"/>
          <w:sz w:val="24"/>
          <w:szCs w:val="24"/>
        </w:rPr>
        <w:t>Date:</w:t>
      </w:r>
    </w:p>
    <w:p w14:paraId="482B2B3A" w14:textId="34CF2A12" w:rsidR="0FF883D4" w:rsidRDefault="0FF883D4" w:rsidP="5CE196A1">
      <w:pPr>
        <w:ind w:left="2880" w:right="225" w:firstLine="720"/>
        <w:rPr>
          <w:b/>
          <w:bCs/>
          <w:sz w:val="24"/>
          <w:szCs w:val="24"/>
          <w:lang w:eastAsia="zh-TW"/>
        </w:rPr>
        <w:sectPr w:rsidR="0FF883D4" w:rsidSect="0022001B">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docGrid w:linePitch="272"/>
        </w:sectPr>
      </w:pPr>
    </w:p>
    <w:p w14:paraId="675E47AA" w14:textId="77777777" w:rsidR="006F15D2" w:rsidRDefault="004923DA" w:rsidP="006F15D2">
      <w:pPr>
        <w:keepNext/>
        <w:spacing w:before="240" w:after="60"/>
        <w:ind w:right="237"/>
        <w:jc w:val="both"/>
        <w:rPr>
          <w:b/>
          <w:sz w:val="24"/>
          <w:szCs w:val="24"/>
        </w:rPr>
      </w:pPr>
      <w:r w:rsidRPr="00E676F7">
        <w:rPr>
          <w:b/>
          <w:sz w:val="24"/>
          <w:szCs w:val="24"/>
        </w:rPr>
        <w:lastRenderedPageBreak/>
        <w:t>Bibliography</w:t>
      </w:r>
    </w:p>
    <w:p w14:paraId="34A5E643" w14:textId="737840E3" w:rsidR="006F15D2" w:rsidRPr="006F15D2" w:rsidRDefault="006F15D2" w:rsidP="006F15D2">
      <w:pPr>
        <w:keepNext/>
        <w:spacing w:before="240" w:after="60"/>
        <w:ind w:right="237"/>
        <w:jc w:val="both"/>
        <w:rPr>
          <w:b/>
          <w:sz w:val="24"/>
          <w:szCs w:val="24"/>
        </w:rPr>
      </w:pPr>
      <w:proofErr w:type="spellStart"/>
      <w:r>
        <w:rPr>
          <w:rFonts w:ascii="Noto Sans" w:hAnsi="Noto Sans" w:cs="Noto Sans"/>
          <w:color w:val="181817"/>
          <w:shd w:val="clear" w:color="auto" w:fill="FFFFFF"/>
        </w:rPr>
        <w:t>Biglan</w:t>
      </w:r>
      <w:proofErr w:type="spellEnd"/>
      <w:r>
        <w:rPr>
          <w:rFonts w:ascii="Noto Sans" w:hAnsi="Noto Sans" w:cs="Noto Sans"/>
          <w:color w:val="181817"/>
          <w:shd w:val="clear" w:color="auto" w:fill="FFFFFF"/>
        </w:rPr>
        <w:t xml:space="preserve">, A., Van </w:t>
      </w:r>
      <w:proofErr w:type="spellStart"/>
      <w:r>
        <w:rPr>
          <w:rFonts w:ascii="Noto Sans" w:hAnsi="Noto Sans" w:cs="Noto Sans"/>
          <w:color w:val="181817"/>
          <w:shd w:val="clear" w:color="auto" w:fill="FFFFFF"/>
        </w:rPr>
        <w:t>Ryzin</w:t>
      </w:r>
      <w:proofErr w:type="spellEnd"/>
      <w:r>
        <w:rPr>
          <w:rFonts w:ascii="Noto Sans" w:hAnsi="Noto Sans" w:cs="Noto Sans"/>
          <w:color w:val="181817"/>
          <w:shd w:val="clear" w:color="auto" w:fill="FFFFFF"/>
        </w:rPr>
        <w:t xml:space="preserve">, M. J., Moore, K. J., </w:t>
      </w:r>
      <w:proofErr w:type="spellStart"/>
      <w:r>
        <w:rPr>
          <w:rFonts w:ascii="Noto Sans" w:hAnsi="Noto Sans" w:cs="Noto Sans"/>
          <w:color w:val="181817"/>
          <w:shd w:val="clear" w:color="auto" w:fill="FFFFFF"/>
        </w:rPr>
        <w:t>Mauricci</w:t>
      </w:r>
      <w:proofErr w:type="spellEnd"/>
      <w:r>
        <w:rPr>
          <w:rFonts w:ascii="Noto Sans" w:hAnsi="Noto Sans" w:cs="Noto Sans"/>
          <w:color w:val="181817"/>
          <w:shd w:val="clear" w:color="auto" w:fill="FFFFFF"/>
        </w:rPr>
        <w:t xml:space="preserve">, M. and Mannan, I. (2019) “The socialization of boys and men in the modern era: An </w:t>
      </w:r>
      <w:r w:rsidRPr="00D62F85">
        <w:rPr>
          <w:rFonts w:ascii="Noto Sans" w:hAnsi="Noto Sans" w:cs="Noto Sans"/>
          <w:color w:val="181817"/>
          <w:shd w:val="clear" w:color="auto" w:fill="FFFFFF"/>
        </w:rPr>
        <w:t>evolutionary mismatch,” </w:t>
      </w:r>
      <w:r w:rsidRPr="00D62F85">
        <w:rPr>
          <w:rFonts w:ascii="Noto Sans" w:hAnsi="Noto Sans" w:cs="Noto Sans"/>
          <w:i/>
          <w:iCs/>
          <w:color w:val="181817"/>
          <w:bdr w:val="none" w:sz="0" w:space="0" w:color="auto" w:frame="1"/>
          <w:shd w:val="clear" w:color="auto" w:fill="FFFFFF"/>
        </w:rPr>
        <w:t>Development and Psychopathology</w:t>
      </w:r>
      <w:r w:rsidRPr="00D62F85">
        <w:rPr>
          <w:rFonts w:ascii="Noto Sans" w:hAnsi="Noto Sans" w:cs="Noto Sans"/>
          <w:color w:val="181817"/>
          <w:shd w:val="clear" w:color="auto" w:fill="FFFFFF"/>
        </w:rPr>
        <w:t xml:space="preserve">. </w:t>
      </w:r>
    </w:p>
    <w:p w14:paraId="652321A1" w14:textId="77777777" w:rsidR="006F15D2" w:rsidRDefault="006F15D2" w:rsidP="006F15D2">
      <w:pPr>
        <w:rPr>
          <w:rFonts w:asciiTheme="minorHAnsi" w:hAnsiTheme="minorHAnsi" w:cstheme="minorHAnsi"/>
          <w:sz w:val="24"/>
          <w:szCs w:val="24"/>
        </w:rPr>
      </w:pPr>
    </w:p>
    <w:p w14:paraId="5B7F5DB9" w14:textId="59E73962" w:rsidR="006F15D2" w:rsidRDefault="006F15D2" w:rsidP="006F15D2">
      <w:pPr>
        <w:rPr>
          <w:rFonts w:asciiTheme="minorHAnsi" w:hAnsiTheme="minorHAnsi" w:cstheme="minorHAnsi"/>
          <w:sz w:val="24"/>
          <w:szCs w:val="24"/>
        </w:rPr>
      </w:pPr>
      <w:r>
        <w:rPr>
          <w:rFonts w:asciiTheme="minorHAnsi" w:hAnsiTheme="minorHAnsi" w:cstheme="minorHAnsi"/>
          <w:sz w:val="24"/>
          <w:szCs w:val="24"/>
        </w:rPr>
        <w:t xml:space="preserve">Bussey, K., and Bandura, A., (1999) ‘Social Cognitive theory of gender development and differentiation’, </w:t>
      </w:r>
      <w:r>
        <w:rPr>
          <w:rFonts w:asciiTheme="minorHAnsi" w:hAnsiTheme="minorHAnsi" w:cstheme="minorHAnsi"/>
          <w:i/>
          <w:iCs/>
          <w:sz w:val="24"/>
          <w:szCs w:val="24"/>
        </w:rPr>
        <w:t xml:space="preserve">Psychological Review, </w:t>
      </w:r>
      <w:r>
        <w:rPr>
          <w:rFonts w:asciiTheme="minorHAnsi" w:hAnsiTheme="minorHAnsi" w:cstheme="minorHAnsi"/>
          <w:sz w:val="24"/>
          <w:szCs w:val="24"/>
        </w:rPr>
        <w:t xml:space="preserve">106(4), pp. 676-713. </w:t>
      </w:r>
    </w:p>
    <w:p w14:paraId="0A865211" w14:textId="77777777" w:rsidR="006F15D2" w:rsidRDefault="006F15D2" w:rsidP="006F15D2">
      <w:pPr>
        <w:rPr>
          <w:rFonts w:ascii="Noto Sans" w:hAnsi="Noto Sans" w:cs="Noto Sans"/>
          <w:color w:val="181817"/>
          <w:shd w:val="clear" w:color="auto" w:fill="FFFFFF"/>
        </w:rPr>
      </w:pPr>
    </w:p>
    <w:p w14:paraId="416C3CD7" w14:textId="39649C45" w:rsidR="006F15D2" w:rsidRDefault="006F15D2" w:rsidP="006F15D2">
      <w:pPr>
        <w:rPr>
          <w:rFonts w:ascii="Noto Sans" w:hAnsi="Noto Sans" w:cs="Noto Sans"/>
          <w:color w:val="181817"/>
          <w:shd w:val="clear" w:color="auto" w:fill="FFFFFF"/>
        </w:rPr>
      </w:pPr>
      <w:r>
        <w:rPr>
          <w:rFonts w:asciiTheme="minorHAnsi" w:hAnsiTheme="minorHAnsi" w:cstheme="minorHAnsi"/>
          <w:sz w:val="24"/>
          <w:szCs w:val="24"/>
        </w:rPr>
        <w:t xml:space="preserve">Cambridge University Press, </w:t>
      </w:r>
      <w:r w:rsidRPr="00377E54">
        <w:rPr>
          <w:rFonts w:asciiTheme="minorHAnsi" w:hAnsiTheme="minorHAnsi" w:cstheme="minorHAnsi"/>
          <w:i/>
          <w:iCs/>
          <w:sz w:val="24"/>
          <w:szCs w:val="24"/>
        </w:rPr>
        <w:t>Definition of Masculinity</w:t>
      </w:r>
      <w:r>
        <w:rPr>
          <w:rFonts w:asciiTheme="minorHAnsi" w:hAnsiTheme="minorHAnsi" w:cstheme="minorHAnsi"/>
          <w:sz w:val="24"/>
          <w:szCs w:val="24"/>
        </w:rPr>
        <w:t xml:space="preserve">. Available at </w:t>
      </w:r>
      <w:hyperlink r:id="rId18" w:history="1">
        <w:r w:rsidRPr="00C7293C">
          <w:rPr>
            <w:rStyle w:val="Hyperlink"/>
            <w:rFonts w:asciiTheme="minorHAnsi" w:hAnsiTheme="minorHAnsi" w:cstheme="minorHAnsi"/>
            <w:sz w:val="24"/>
            <w:szCs w:val="24"/>
          </w:rPr>
          <w:t>https://dictionary.cambridge.org/d</w:t>
        </w:r>
        <w:r w:rsidRPr="00C7293C">
          <w:rPr>
            <w:rStyle w:val="Hyperlink"/>
            <w:rFonts w:asciiTheme="minorHAnsi" w:hAnsiTheme="minorHAnsi" w:cstheme="minorHAnsi"/>
            <w:sz w:val="24"/>
            <w:szCs w:val="24"/>
          </w:rPr>
          <w:t>i</w:t>
        </w:r>
        <w:r w:rsidRPr="00C7293C">
          <w:rPr>
            <w:rStyle w:val="Hyperlink"/>
            <w:rFonts w:asciiTheme="minorHAnsi" w:hAnsiTheme="minorHAnsi" w:cstheme="minorHAnsi"/>
            <w:sz w:val="24"/>
            <w:szCs w:val="24"/>
          </w:rPr>
          <w:t>ctionary/english/masculinity</w:t>
        </w:r>
      </w:hyperlink>
      <w:r>
        <w:rPr>
          <w:rFonts w:asciiTheme="minorHAnsi" w:hAnsiTheme="minorHAnsi" w:cstheme="minorHAnsi"/>
          <w:sz w:val="24"/>
          <w:szCs w:val="24"/>
        </w:rPr>
        <w:t xml:space="preserve"> </w:t>
      </w:r>
      <w:r>
        <w:rPr>
          <w:rFonts w:ascii="Noto Sans" w:hAnsi="Noto Sans" w:cs="Noto Sans"/>
          <w:color w:val="181817"/>
          <w:shd w:val="clear" w:color="auto" w:fill="FFFFFF"/>
        </w:rPr>
        <w:t>(Accessed 7</w:t>
      </w:r>
      <w:r w:rsidRPr="006F15D2">
        <w:rPr>
          <w:rFonts w:ascii="Noto Sans" w:hAnsi="Noto Sans" w:cs="Noto Sans"/>
          <w:color w:val="181817"/>
          <w:shd w:val="clear" w:color="auto" w:fill="FFFFFF"/>
          <w:vertAlign w:val="superscript"/>
        </w:rPr>
        <w:t>th</w:t>
      </w:r>
      <w:r>
        <w:rPr>
          <w:rFonts w:ascii="Noto Sans" w:hAnsi="Noto Sans" w:cs="Noto Sans"/>
          <w:color w:val="181817"/>
          <w:shd w:val="clear" w:color="auto" w:fill="FFFFFF"/>
        </w:rPr>
        <w:t xml:space="preserve"> September 2022)</w:t>
      </w:r>
    </w:p>
    <w:p w14:paraId="63CBD915" w14:textId="01596B69" w:rsidR="00A33D35" w:rsidRDefault="00A33D35" w:rsidP="006F15D2">
      <w:pPr>
        <w:rPr>
          <w:rFonts w:asciiTheme="minorHAnsi" w:hAnsiTheme="minorHAnsi" w:cstheme="minorHAnsi"/>
          <w:sz w:val="24"/>
          <w:szCs w:val="24"/>
        </w:rPr>
      </w:pPr>
    </w:p>
    <w:p w14:paraId="5E7A47A7" w14:textId="0447165A" w:rsidR="006A2285" w:rsidRDefault="006A2285" w:rsidP="006F15D2">
      <w:pPr>
        <w:rPr>
          <w:rFonts w:asciiTheme="minorHAnsi" w:hAnsiTheme="minorHAnsi" w:cstheme="minorHAnsi"/>
          <w:sz w:val="24"/>
          <w:szCs w:val="24"/>
        </w:rPr>
      </w:pPr>
      <w:r>
        <w:rPr>
          <w:rFonts w:asciiTheme="minorHAnsi" w:hAnsiTheme="minorHAnsi" w:cstheme="minorHAnsi"/>
          <w:sz w:val="24"/>
          <w:szCs w:val="24"/>
        </w:rPr>
        <w:t xml:space="preserve">College of Policing (2020), </w:t>
      </w:r>
      <w:r>
        <w:rPr>
          <w:rFonts w:asciiTheme="minorHAnsi" w:hAnsiTheme="minorHAnsi" w:cstheme="minorHAnsi"/>
          <w:i/>
          <w:iCs/>
          <w:sz w:val="24"/>
          <w:szCs w:val="24"/>
        </w:rPr>
        <w:t xml:space="preserve">Introduction and strategic considerations. </w:t>
      </w:r>
      <w:r>
        <w:rPr>
          <w:rFonts w:asciiTheme="minorHAnsi" w:hAnsiTheme="minorHAnsi" w:cstheme="minorHAnsi"/>
          <w:sz w:val="24"/>
          <w:szCs w:val="24"/>
        </w:rPr>
        <w:t xml:space="preserve">Available at: </w:t>
      </w:r>
      <w:hyperlink r:id="rId19" w:history="1">
        <w:r w:rsidRPr="00FD6460">
          <w:rPr>
            <w:rStyle w:val="Hyperlink"/>
            <w:rFonts w:asciiTheme="minorHAnsi" w:hAnsiTheme="minorHAnsi" w:cstheme="minorHAnsi"/>
            <w:sz w:val="24"/>
            <w:szCs w:val="24"/>
          </w:rPr>
          <w:t>https://</w:t>
        </w:r>
        <w:r w:rsidRPr="00FD6460">
          <w:rPr>
            <w:rStyle w:val="Hyperlink"/>
            <w:rFonts w:asciiTheme="minorHAnsi" w:hAnsiTheme="minorHAnsi" w:cstheme="minorHAnsi"/>
            <w:sz w:val="24"/>
            <w:szCs w:val="24"/>
          </w:rPr>
          <w:t>www.college.police.uk/app/mental-health/introduction-and-strategic-considerations</w:t>
        </w:r>
      </w:hyperlink>
      <w:r>
        <w:rPr>
          <w:rFonts w:asciiTheme="minorHAnsi" w:hAnsiTheme="minorHAnsi" w:cstheme="minorHAnsi"/>
          <w:sz w:val="24"/>
          <w:szCs w:val="24"/>
        </w:rPr>
        <w:t xml:space="preserve"> (Accessed 31st October 2022)</w:t>
      </w:r>
    </w:p>
    <w:p w14:paraId="36313E95" w14:textId="77777777" w:rsidR="006A2285" w:rsidRPr="006A2285" w:rsidRDefault="006A2285" w:rsidP="006F15D2">
      <w:pPr>
        <w:rPr>
          <w:rFonts w:asciiTheme="minorHAnsi" w:hAnsiTheme="minorHAnsi" w:cstheme="minorHAnsi"/>
          <w:sz w:val="24"/>
          <w:szCs w:val="24"/>
        </w:rPr>
      </w:pPr>
    </w:p>
    <w:p w14:paraId="7066DF24" w14:textId="1E53E88D" w:rsidR="006F15D2" w:rsidRDefault="006F15D2" w:rsidP="006F15D2">
      <w:pPr>
        <w:rPr>
          <w:rFonts w:ascii="Noto Sans" w:hAnsi="Noto Sans" w:cs="Noto Sans"/>
          <w:color w:val="181817"/>
          <w:shd w:val="clear" w:color="auto" w:fill="FFFFFF"/>
        </w:rPr>
      </w:pPr>
      <w:r>
        <w:rPr>
          <w:rFonts w:asciiTheme="minorHAnsi" w:hAnsiTheme="minorHAnsi" w:cstheme="minorHAnsi"/>
          <w:sz w:val="24"/>
          <w:szCs w:val="24"/>
        </w:rPr>
        <w:t xml:space="preserve">College of Policing (2021), </w:t>
      </w:r>
      <w:r w:rsidRPr="00377E54">
        <w:rPr>
          <w:rFonts w:asciiTheme="minorHAnsi" w:hAnsiTheme="minorHAnsi" w:cstheme="minorHAnsi"/>
          <w:i/>
          <w:iCs/>
          <w:sz w:val="24"/>
          <w:szCs w:val="24"/>
        </w:rPr>
        <w:t>Introduction to vulnerability-related risk.</w:t>
      </w:r>
      <w:r>
        <w:rPr>
          <w:rFonts w:asciiTheme="minorHAnsi" w:hAnsiTheme="minorHAnsi" w:cstheme="minorHAnsi"/>
          <w:sz w:val="24"/>
          <w:szCs w:val="24"/>
        </w:rPr>
        <w:t xml:space="preserve"> Available at: </w:t>
      </w:r>
      <w:hyperlink r:id="rId20" w:history="1">
        <w:r w:rsidRPr="00C7293C">
          <w:rPr>
            <w:rStyle w:val="Hyperlink"/>
            <w:rFonts w:asciiTheme="minorHAnsi" w:hAnsiTheme="minorHAnsi" w:cstheme="minorHAnsi"/>
            <w:sz w:val="24"/>
            <w:szCs w:val="24"/>
          </w:rPr>
          <w:t>https://www.college.police.uk/guidance/vulnerability-related-risks/introduction-vulnerability-related-risk</w:t>
        </w:r>
      </w:hyperlink>
      <w:r>
        <w:rPr>
          <w:rStyle w:val="Hyperlink"/>
          <w:rFonts w:asciiTheme="minorHAnsi" w:hAnsiTheme="minorHAnsi" w:cstheme="minorHAnsi"/>
          <w:sz w:val="24"/>
          <w:szCs w:val="24"/>
        </w:rPr>
        <w:t xml:space="preserve"> </w:t>
      </w:r>
      <w:r>
        <w:rPr>
          <w:rFonts w:ascii="Noto Sans" w:hAnsi="Noto Sans" w:cs="Noto Sans"/>
          <w:color w:val="181817"/>
          <w:shd w:val="clear" w:color="auto" w:fill="FFFFFF"/>
        </w:rPr>
        <w:t>(Accessed 7</w:t>
      </w:r>
      <w:r w:rsidRPr="006F15D2">
        <w:rPr>
          <w:rFonts w:ascii="Noto Sans" w:hAnsi="Noto Sans" w:cs="Noto Sans"/>
          <w:color w:val="181817"/>
          <w:shd w:val="clear" w:color="auto" w:fill="FFFFFF"/>
          <w:vertAlign w:val="superscript"/>
        </w:rPr>
        <w:t>th</w:t>
      </w:r>
      <w:r>
        <w:rPr>
          <w:rFonts w:ascii="Noto Sans" w:hAnsi="Noto Sans" w:cs="Noto Sans"/>
          <w:color w:val="181817"/>
          <w:shd w:val="clear" w:color="auto" w:fill="FFFFFF"/>
        </w:rPr>
        <w:t xml:space="preserve"> September 2022)</w:t>
      </w:r>
    </w:p>
    <w:p w14:paraId="140D2E9C" w14:textId="77777777" w:rsidR="00A33D35" w:rsidRDefault="00A33D35" w:rsidP="006F15D2">
      <w:pPr>
        <w:rPr>
          <w:rStyle w:val="Hyperlink"/>
          <w:rFonts w:asciiTheme="minorHAnsi" w:hAnsiTheme="minorHAnsi" w:cstheme="minorHAnsi"/>
          <w:sz w:val="24"/>
          <w:szCs w:val="24"/>
        </w:rPr>
      </w:pPr>
    </w:p>
    <w:p w14:paraId="358B5C85" w14:textId="58C1D1CA" w:rsidR="006F15D2" w:rsidRDefault="006F15D2" w:rsidP="006F15D2">
      <w:pPr>
        <w:rPr>
          <w:rFonts w:ascii="Noto Sans" w:hAnsi="Noto Sans" w:cs="Noto Sans"/>
          <w:color w:val="181817"/>
          <w:shd w:val="clear" w:color="auto" w:fill="FFFFFF"/>
        </w:rPr>
      </w:pPr>
      <w:r>
        <w:rPr>
          <w:rFonts w:asciiTheme="minorHAnsi" w:hAnsiTheme="minorHAnsi" w:cstheme="minorHAnsi"/>
          <w:sz w:val="24"/>
          <w:szCs w:val="24"/>
        </w:rPr>
        <w:t xml:space="preserve">College of Policing (2022), </w:t>
      </w:r>
      <w:r w:rsidRPr="00377E54">
        <w:rPr>
          <w:rFonts w:asciiTheme="minorHAnsi" w:hAnsiTheme="minorHAnsi" w:cstheme="minorHAnsi"/>
          <w:i/>
          <w:iCs/>
          <w:sz w:val="24"/>
          <w:szCs w:val="24"/>
        </w:rPr>
        <w:t>Missing Persons.</w:t>
      </w:r>
      <w:r>
        <w:rPr>
          <w:rFonts w:asciiTheme="minorHAnsi" w:hAnsiTheme="minorHAnsi" w:cstheme="minorHAnsi"/>
          <w:sz w:val="24"/>
          <w:szCs w:val="24"/>
        </w:rPr>
        <w:t xml:space="preserve"> Available at: </w:t>
      </w:r>
      <w:hyperlink r:id="rId21" w:history="1">
        <w:r w:rsidRPr="00C7293C">
          <w:rPr>
            <w:rStyle w:val="Hyperlink"/>
            <w:rFonts w:asciiTheme="minorHAnsi" w:hAnsiTheme="minorHAnsi" w:cstheme="minorHAnsi"/>
            <w:sz w:val="24"/>
            <w:szCs w:val="24"/>
          </w:rPr>
          <w:t>https://www.college.police.uk/app/major-investigation-and-public-protection/missing-persons/missing-persons</w:t>
        </w:r>
      </w:hyperlink>
      <w:r>
        <w:rPr>
          <w:rFonts w:asciiTheme="minorHAnsi" w:hAnsiTheme="minorHAnsi" w:cstheme="minorHAnsi"/>
          <w:sz w:val="24"/>
          <w:szCs w:val="24"/>
        </w:rPr>
        <w:t xml:space="preserve">  </w:t>
      </w:r>
      <w:r>
        <w:rPr>
          <w:rFonts w:ascii="Noto Sans" w:hAnsi="Noto Sans" w:cs="Noto Sans"/>
          <w:color w:val="181817"/>
          <w:shd w:val="clear" w:color="auto" w:fill="FFFFFF"/>
        </w:rPr>
        <w:t>(Accessed 7</w:t>
      </w:r>
      <w:r w:rsidRPr="006F15D2">
        <w:rPr>
          <w:rFonts w:ascii="Noto Sans" w:hAnsi="Noto Sans" w:cs="Noto Sans"/>
          <w:color w:val="181817"/>
          <w:shd w:val="clear" w:color="auto" w:fill="FFFFFF"/>
          <w:vertAlign w:val="superscript"/>
        </w:rPr>
        <w:t>th</w:t>
      </w:r>
      <w:r>
        <w:rPr>
          <w:rFonts w:ascii="Noto Sans" w:hAnsi="Noto Sans" w:cs="Noto Sans"/>
          <w:color w:val="181817"/>
          <w:shd w:val="clear" w:color="auto" w:fill="FFFFFF"/>
        </w:rPr>
        <w:t xml:space="preserve"> September 2022)</w:t>
      </w:r>
    </w:p>
    <w:p w14:paraId="1E9A184A" w14:textId="77777777" w:rsidR="00A33D35" w:rsidRDefault="00A33D35" w:rsidP="006F15D2">
      <w:pPr>
        <w:rPr>
          <w:rFonts w:asciiTheme="minorHAnsi" w:hAnsiTheme="minorHAnsi" w:cstheme="minorHAnsi"/>
          <w:sz w:val="24"/>
          <w:szCs w:val="24"/>
        </w:rPr>
      </w:pPr>
    </w:p>
    <w:p w14:paraId="3E691848" w14:textId="18A2838F" w:rsidR="006F15D2" w:rsidRDefault="006F15D2" w:rsidP="006F15D2">
      <w:pPr>
        <w:rPr>
          <w:rFonts w:asciiTheme="minorHAnsi" w:hAnsiTheme="minorHAnsi" w:cstheme="minorHAnsi"/>
          <w:sz w:val="24"/>
          <w:szCs w:val="24"/>
        </w:rPr>
      </w:pPr>
      <w:r w:rsidRPr="006F15D2">
        <w:rPr>
          <w:rFonts w:asciiTheme="minorHAnsi" w:hAnsiTheme="minorHAnsi" w:cstheme="minorHAnsi"/>
          <w:sz w:val="24"/>
          <w:szCs w:val="24"/>
        </w:rPr>
        <w:t xml:space="preserve">Crown Prosecution Service (CPS) (2018), </w:t>
      </w:r>
      <w:r w:rsidRPr="006F15D2">
        <w:rPr>
          <w:rFonts w:asciiTheme="minorHAnsi" w:hAnsiTheme="minorHAnsi" w:cstheme="minorHAnsi"/>
          <w:i/>
          <w:iCs/>
          <w:sz w:val="24"/>
          <w:szCs w:val="24"/>
        </w:rPr>
        <w:t>The Code for Crown Prosecutors</w:t>
      </w:r>
      <w:r w:rsidRPr="006F15D2">
        <w:rPr>
          <w:rFonts w:asciiTheme="minorHAnsi" w:hAnsiTheme="minorHAnsi" w:cstheme="minorHAnsi"/>
          <w:sz w:val="24"/>
          <w:szCs w:val="24"/>
        </w:rPr>
        <w:t xml:space="preserve">. Available at: </w:t>
      </w:r>
      <w:hyperlink r:id="rId22" w:history="1">
        <w:r w:rsidRPr="006F15D2">
          <w:rPr>
            <w:rStyle w:val="Hyperlink"/>
            <w:rFonts w:asciiTheme="minorHAnsi" w:hAnsiTheme="minorHAnsi" w:cstheme="minorHAnsi"/>
            <w:sz w:val="24"/>
            <w:szCs w:val="24"/>
          </w:rPr>
          <w:t>https://www.cps.gov.uk/publication/code-crown-prosecutors</w:t>
        </w:r>
      </w:hyperlink>
      <w:r w:rsidRPr="006F15D2">
        <w:rPr>
          <w:rFonts w:asciiTheme="minorHAnsi" w:hAnsiTheme="minorHAnsi" w:cstheme="minorHAnsi"/>
          <w:sz w:val="24"/>
          <w:szCs w:val="24"/>
        </w:rPr>
        <w:t xml:space="preserve"> (Accessed 6th September 2022)</w:t>
      </w:r>
    </w:p>
    <w:p w14:paraId="2D9DD307" w14:textId="77777777" w:rsidR="00A33D35" w:rsidRPr="006F15D2" w:rsidRDefault="00A33D35" w:rsidP="006F15D2">
      <w:pPr>
        <w:rPr>
          <w:rFonts w:asciiTheme="minorHAnsi" w:hAnsiTheme="minorHAnsi" w:cstheme="minorHAnsi"/>
          <w:b/>
          <w:bCs/>
          <w:sz w:val="24"/>
          <w:szCs w:val="24"/>
          <w:u w:val="single"/>
        </w:rPr>
      </w:pPr>
    </w:p>
    <w:p w14:paraId="60D56450" w14:textId="1AB5715D" w:rsidR="006F15D2" w:rsidRDefault="006F15D2" w:rsidP="006F15D2">
      <w:pPr>
        <w:rPr>
          <w:rFonts w:asciiTheme="minorHAnsi" w:hAnsiTheme="minorHAnsi" w:cstheme="minorHAnsi"/>
          <w:sz w:val="24"/>
          <w:szCs w:val="24"/>
        </w:rPr>
      </w:pPr>
      <w:r w:rsidRPr="006F15D2">
        <w:rPr>
          <w:rFonts w:asciiTheme="minorHAnsi" w:hAnsiTheme="minorHAnsi" w:cstheme="minorHAnsi"/>
          <w:sz w:val="24"/>
          <w:szCs w:val="24"/>
        </w:rPr>
        <w:t xml:space="preserve">Crown Prosecution Service (CPS) (2021), </w:t>
      </w:r>
      <w:r w:rsidRPr="006F15D2">
        <w:rPr>
          <w:rFonts w:asciiTheme="minorHAnsi" w:hAnsiTheme="minorHAnsi" w:cstheme="minorHAnsi"/>
          <w:i/>
          <w:iCs/>
          <w:sz w:val="24"/>
          <w:szCs w:val="24"/>
        </w:rPr>
        <w:t>Special Measures</w:t>
      </w:r>
      <w:r w:rsidRPr="006F15D2">
        <w:rPr>
          <w:rFonts w:asciiTheme="minorHAnsi" w:hAnsiTheme="minorHAnsi" w:cstheme="minorHAnsi"/>
          <w:sz w:val="24"/>
          <w:szCs w:val="24"/>
        </w:rPr>
        <w:t xml:space="preserve">. Available at </w:t>
      </w:r>
      <w:hyperlink r:id="rId23" w:history="1">
        <w:r w:rsidRPr="006F15D2">
          <w:rPr>
            <w:rStyle w:val="Hyperlink"/>
            <w:rFonts w:asciiTheme="minorHAnsi" w:hAnsiTheme="minorHAnsi" w:cstheme="minorHAnsi"/>
            <w:sz w:val="24"/>
            <w:szCs w:val="24"/>
          </w:rPr>
          <w:t>https://www.cps.gov.uk/legal-guidance/special-measures</w:t>
        </w:r>
      </w:hyperlink>
      <w:r w:rsidRPr="006F15D2">
        <w:rPr>
          <w:rFonts w:asciiTheme="minorHAnsi" w:hAnsiTheme="minorHAnsi" w:cstheme="minorHAnsi"/>
          <w:sz w:val="24"/>
          <w:szCs w:val="24"/>
        </w:rPr>
        <w:t xml:space="preserve"> (Accessed 6th September 2022)</w:t>
      </w:r>
    </w:p>
    <w:p w14:paraId="3DCAAAA4" w14:textId="77777777" w:rsidR="00A33D35" w:rsidRPr="006F15D2" w:rsidRDefault="00A33D35" w:rsidP="006F15D2">
      <w:pPr>
        <w:rPr>
          <w:rFonts w:asciiTheme="minorHAnsi" w:hAnsiTheme="minorHAnsi" w:cstheme="minorHAnsi"/>
          <w:sz w:val="24"/>
          <w:szCs w:val="24"/>
        </w:rPr>
      </w:pPr>
    </w:p>
    <w:p w14:paraId="757628F3" w14:textId="230135B7" w:rsidR="006F15D2" w:rsidRDefault="006F15D2" w:rsidP="006F15D2">
      <w:pPr>
        <w:rPr>
          <w:rFonts w:asciiTheme="minorHAnsi" w:hAnsiTheme="minorHAnsi" w:cstheme="minorHAnsi"/>
          <w:sz w:val="24"/>
          <w:szCs w:val="24"/>
        </w:rPr>
      </w:pPr>
      <w:proofErr w:type="spellStart"/>
      <w:r w:rsidRPr="006F15D2">
        <w:rPr>
          <w:rFonts w:asciiTheme="minorHAnsi" w:hAnsiTheme="minorHAnsi" w:cstheme="minorHAnsi"/>
          <w:sz w:val="24"/>
          <w:szCs w:val="24"/>
        </w:rPr>
        <w:t>Dobash</w:t>
      </w:r>
      <w:proofErr w:type="spellEnd"/>
      <w:r w:rsidRPr="006F15D2">
        <w:rPr>
          <w:rFonts w:asciiTheme="minorHAnsi" w:hAnsiTheme="minorHAnsi" w:cstheme="minorHAnsi"/>
          <w:sz w:val="24"/>
          <w:szCs w:val="24"/>
        </w:rPr>
        <w:t xml:space="preserve">, R. E, &amp; R. P. </w:t>
      </w:r>
      <w:proofErr w:type="spellStart"/>
      <w:r w:rsidRPr="006F15D2">
        <w:rPr>
          <w:rFonts w:asciiTheme="minorHAnsi" w:hAnsiTheme="minorHAnsi" w:cstheme="minorHAnsi"/>
          <w:sz w:val="24"/>
          <w:szCs w:val="24"/>
        </w:rPr>
        <w:t>Dobash</w:t>
      </w:r>
      <w:proofErr w:type="spellEnd"/>
      <w:r w:rsidRPr="006F15D2">
        <w:rPr>
          <w:rFonts w:asciiTheme="minorHAnsi" w:hAnsiTheme="minorHAnsi" w:cstheme="minorHAnsi"/>
          <w:sz w:val="24"/>
          <w:szCs w:val="24"/>
        </w:rPr>
        <w:t xml:space="preserve"> (2007), ‘Lethal and Nonlethal Violence Against an Intimate Female Partner: Comparing Male Murderers to Nonlethal Abusers’, </w:t>
      </w:r>
      <w:r w:rsidRPr="006F15D2">
        <w:rPr>
          <w:rFonts w:asciiTheme="minorHAnsi" w:hAnsiTheme="minorHAnsi" w:cstheme="minorHAnsi"/>
          <w:i/>
          <w:iCs/>
          <w:sz w:val="24"/>
          <w:szCs w:val="24"/>
        </w:rPr>
        <w:t>Violence Against Women</w:t>
      </w:r>
      <w:r w:rsidRPr="006F15D2">
        <w:rPr>
          <w:rFonts w:asciiTheme="minorHAnsi" w:hAnsiTheme="minorHAnsi" w:cstheme="minorHAnsi"/>
          <w:sz w:val="24"/>
          <w:szCs w:val="24"/>
        </w:rPr>
        <w:t xml:space="preserve">, 13(4), pp. 329-353. </w:t>
      </w:r>
    </w:p>
    <w:p w14:paraId="007662AF" w14:textId="77777777" w:rsidR="00A33D35" w:rsidRPr="006F15D2" w:rsidRDefault="00A33D35" w:rsidP="006F15D2">
      <w:pPr>
        <w:rPr>
          <w:rFonts w:asciiTheme="minorHAnsi" w:hAnsiTheme="minorHAnsi" w:cstheme="minorHAnsi"/>
          <w:sz w:val="24"/>
          <w:szCs w:val="24"/>
        </w:rPr>
      </w:pPr>
    </w:p>
    <w:p w14:paraId="510DF4F4" w14:textId="58B485B3" w:rsidR="006F15D2" w:rsidRDefault="006F15D2" w:rsidP="006F15D2">
      <w:pPr>
        <w:rPr>
          <w:rFonts w:asciiTheme="minorHAnsi" w:hAnsiTheme="minorHAnsi" w:cstheme="minorHAnsi"/>
          <w:sz w:val="24"/>
          <w:szCs w:val="24"/>
        </w:rPr>
      </w:pPr>
      <w:r w:rsidRPr="006F15D2">
        <w:rPr>
          <w:rFonts w:asciiTheme="minorHAnsi" w:hAnsiTheme="minorHAnsi" w:cstheme="minorHAnsi"/>
          <w:i/>
          <w:iCs/>
          <w:sz w:val="24"/>
          <w:szCs w:val="24"/>
        </w:rPr>
        <w:t>Domestic Abuse Act</w:t>
      </w:r>
      <w:r w:rsidRPr="006F15D2">
        <w:rPr>
          <w:rFonts w:asciiTheme="minorHAnsi" w:hAnsiTheme="minorHAnsi" w:cstheme="minorHAnsi"/>
          <w:sz w:val="24"/>
          <w:szCs w:val="24"/>
        </w:rPr>
        <w:t xml:space="preserve">, </w:t>
      </w:r>
      <w:r w:rsidRPr="006F15D2">
        <w:rPr>
          <w:rFonts w:asciiTheme="minorHAnsi" w:hAnsiTheme="minorHAnsi" w:cstheme="minorHAnsi"/>
          <w:i/>
          <w:iCs/>
          <w:sz w:val="24"/>
          <w:szCs w:val="24"/>
        </w:rPr>
        <w:t>2021.</w:t>
      </w:r>
      <w:r w:rsidRPr="006F15D2">
        <w:rPr>
          <w:rFonts w:asciiTheme="minorHAnsi" w:hAnsiTheme="minorHAnsi" w:cstheme="minorHAnsi"/>
          <w:sz w:val="24"/>
          <w:szCs w:val="24"/>
        </w:rPr>
        <w:t xml:space="preserve"> Available at: </w:t>
      </w:r>
      <w:hyperlink r:id="rId24" w:history="1">
        <w:r w:rsidRPr="006F15D2">
          <w:rPr>
            <w:rStyle w:val="Hyperlink"/>
            <w:rFonts w:asciiTheme="minorHAnsi" w:hAnsiTheme="minorHAnsi" w:cstheme="minorHAnsi"/>
            <w:sz w:val="24"/>
            <w:szCs w:val="24"/>
          </w:rPr>
          <w:t>https://www.legislation.gov.uk/ukpga/2021/17/contents/enacted</w:t>
        </w:r>
      </w:hyperlink>
      <w:r w:rsidRPr="006F15D2">
        <w:rPr>
          <w:rFonts w:asciiTheme="minorHAnsi" w:hAnsiTheme="minorHAnsi" w:cstheme="minorHAnsi"/>
          <w:sz w:val="24"/>
          <w:szCs w:val="24"/>
        </w:rPr>
        <w:t xml:space="preserve"> (Accessed 6th September 2022)</w:t>
      </w:r>
    </w:p>
    <w:p w14:paraId="207A11BA" w14:textId="77777777" w:rsidR="00A33D35" w:rsidRPr="006F15D2" w:rsidRDefault="00A33D35" w:rsidP="006F15D2">
      <w:pPr>
        <w:rPr>
          <w:rFonts w:asciiTheme="minorHAnsi" w:hAnsiTheme="minorHAnsi" w:cstheme="minorHAnsi"/>
          <w:sz w:val="24"/>
          <w:szCs w:val="24"/>
        </w:rPr>
      </w:pPr>
    </w:p>
    <w:p w14:paraId="1F7B0617" w14:textId="0606C884" w:rsidR="006F15D2" w:rsidRDefault="006F15D2" w:rsidP="006F15D2">
      <w:pPr>
        <w:rPr>
          <w:rFonts w:asciiTheme="minorHAnsi" w:hAnsiTheme="minorHAnsi" w:cstheme="minorHAnsi"/>
          <w:sz w:val="24"/>
          <w:szCs w:val="24"/>
        </w:rPr>
      </w:pPr>
      <w:r w:rsidRPr="006F15D2">
        <w:rPr>
          <w:rFonts w:asciiTheme="minorHAnsi" w:hAnsiTheme="minorHAnsi" w:cstheme="minorHAnsi"/>
          <w:sz w:val="24"/>
          <w:szCs w:val="24"/>
        </w:rPr>
        <w:t xml:space="preserve">Ellison, Louise. (2002) ‘Prosecuting Domestic Violence without Victim Participation’, </w:t>
      </w:r>
      <w:r w:rsidRPr="006F15D2">
        <w:rPr>
          <w:rFonts w:asciiTheme="minorHAnsi" w:hAnsiTheme="minorHAnsi" w:cstheme="minorHAnsi"/>
          <w:i/>
          <w:iCs/>
          <w:sz w:val="24"/>
          <w:szCs w:val="24"/>
        </w:rPr>
        <w:t xml:space="preserve">Modern Law Review, </w:t>
      </w:r>
      <w:r w:rsidRPr="006F15D2">
        <w:rPr>
          <w:rFonts w:asciiTheme="minorHAnsi" w:hAnsiTheme="minorHAnsi" w:cstheme="minorHAnsi"/>
          <w:sz w:val="24"/>
          <w:szCs w:val="24"/>
        </w:rPr>
        <w:t>65(6), pp. 834-858.</w:t>
      </w:r>
    </w:p>
    <w:p w14:paraId="4D472F6B" w14:textId="77777777" w:rsidR="00A33D35" w:rsidRPr="006F15D2" w:rsidRDefault="00A33D35" w:rsidP="006F15D2">
      <w:pPr>
        <w:rPr>
          <w:rFonts w:asciiTheme="minorHAnsi" w:hAnsiTheme="minorHAnsi" w:cstheme="minorHAnsi"/>
          <w:sz w:val="24"/>
          <w:szCs w:val="24"/>
        </w:rPr>
      </w:pPr>
    </w:p>
    <w:p w14:paraId="4DA564D7" w14:textId="3EF2EFF1" w:rsidR="006F15D2" w:rsidRDefault="006F15D2" w:rsidP="006F15D2">
      <w:pPr>
        <w:rPr>
          <w:rFonts w:asciiTheme="minorHAnsi" w:hAnsiTheme="minorHAnsi" w:cstheme="minorHAnsi"/>
          <w:sz w:val="24"/>
          <w:szCs w:val="24"/>
        </w:rPr>
      </w:pPr>
      <w:r>
        <w:rPr>
          <w:rFonts w:asciiTheme="minorHAnsi" w:hAnsiTheme="minorHAnsi" w:cstheme="minorHAnsi"/>
          <w:sz w:val="24"/>
          <w:szCs w:val="24"/>
        </w:rPr>
        <w:t xml:space="preserve">Fyfe, Nicholas R., Stevenson, Olivia, &amp; </w:t>
      </w:r>
      <w:proofErr w:type="spellStart"/>
      <w:r>
        <w:rPr>
          <w:rFonts w:asciiTheme="minorHAnsi" w:hAnsiTheme="minorHAnsi" w:cstheme="minorHAnsi"/>
          <w:sz w:val="24"/>
          <w:szCs w:val="24"/>
        </w:rPr>
        <w:t>Woolnough</w:t>
      </w:r>
      <w:proofErr w:type="spellEnd"/>
      <w:r>
        <w:rPr>
          <w:rFonts w:asciiTheme="minorHAnsi" w:hAnsiTheme="minorHAnsi" w:cstheme="minorHAnsi"/>
          <w:sz w:val="24"/>
          <w:szCs w:val="24"/>
        </w:rPr>
        <w:t xml:space="preserve">, Penny, (2015) ‘Missing Persons: the processes and challenges of police investigation’, </w:t>
      </w:r>
      <w:r>
        <w:rPr>
          <w:rFonts w:asciiTheme="minorHAnsi" w:hAnsiTheme="minorHAnsi" w:cstheme="minorHAnsi"/>
          <w:i/>
          <w:iCs/>
          <w:sz w:val="24"/>
          <w:szCs w:val="24"/>
        </w:rPr>
        <w:t xml:space="preserve">Policing and Society, </w:t>
      </w:r>
      <w:r>
        <w:rPr>
          <w:rFonts w:asciiTheme="minorHAnsi" w:hAnsiTheme="minorHAnsi" w:cstheme="minorHAnsi"/>
          <w:sz w:val="24"/>
          <w:szCs w:val="24"/>
        </w:rPr>
        <w:t>25(4), pp. 409-425.</w:t>
      </w:r>
    </w:p>
    <w:p w14:paraId="6FF0188A" w14:textId="77777777" w:rsidR="00A33D35" w:rsidRPr="006F15D2" w:rsidRDefault="00A33D35" w:rsidP="006F15D2">
      <w:pPr>
        <w:rPr>
          <w:rFonts w:asciiTheme="minorHAnsi" w:hAnsiTheme="minorHAnsi" w:cstheme="minorHAnsi"/>
          <w:sz w:val="24"/>
          <w:szCs w:val="24"/>
        </w:rPr>
      </w:pPr>
    </w:p>
    <w:p w14:paraId="58E2854B" w14:textId="68EA5ADE" w:rsidR="006F15D2" w:rsidRDefault="006F15D2" w:rsidP="006F15D2">
      <w:pPr>
        <w:rPr>
          <w:rFonts w:asciiTheme="minorHAnsi" w:hAnsiTheme="minorHAnsi" w:cstheme="minorHAnsi"/>
          <w:sz w:val="24"/>
          <w:szCs w:val="24"/>
        </w:rPr>
      </w:pPr>
      <w:proofErr w:type="spellStart"/>
      <w:r w:rsidRPr="006F15D2">
        <w:rPr>
          <w:rFonts w:asciiTheme="minorHAnsi" w:hAnsiTheme="minorHAnsi" w:cstheme="minorHAnsi"/>
          <w:sz w:val="24"/>
          <w:szCs w:val="24"/>
        </w:rPr>
        <w:lastRenderedPageBreak/>
        <w:t>Hilder</w:t>
      </w:r>
      <w:proofErr w:type="spellEnd"/>
      <w:r w:rsidRPr="006F15D2">
        <w:rPr>
          <w:rFonts w:asciiTheme="minorHAnsi" w:hAnsiTheme="minorHAnsi" w:cstheme="minorHAnsi"/>
          <w:sz w:val="24"/>
          <w:szCs w:val="24"/>
        </w:rPr>
        <w:t xml:space="preserve">, S. (2016) </w:t>
      </w:r>
      <w:r w:rsidRPr="006F15D2">
        <w:rPr>
          <w:rFonts w:asciiTheme="minorHAnsi" w:hAnsiTheme="minorHAnsi" w:cstheme="minorHAnsi"/>
          <w:i/>
          <w:iCs/>
          <w:sz w:val="24"/>
          <w:szCs w:val="24"/>
        </w:rPr>
        <w:t xml:space="preserve">Domestic Violence: Interdisciplinary perspectives, </w:t>
      </w:r>
      <w:r w:rsidRPr="006F15D2">
        <w:rPr>
          <w:rFonts w:asciiTheme="minorHAnsi" w:hAnsiTheme="minorHAnsi" w:cstheme="minorHAnsi"/>
          <w:sz w:val="24"/>
          <w:szCs w:val="24"/>
        </w:rPr>
        <w:t>(London: Palgrave MacMillan)</w:t>
      </w:r>
    </w:p>
    <w:p w14:paraId="01ACF6DB" w14:textId="77777777" w:rsidR="00A33D35" w:rsidRPr="006F15D2" w:rsidRDefault="00A33D35" w:rsidP="006F15D2">
      <w:pPr>
        <w:rPr>
          <w:rFonts w:asciiTheme="minorHAnsi" w:hAnsiTheme="minorHAnsi" w:cstheme="minorHAnsi"/>
          <w:sz w:val="24"/>
          <w:szCs w:val="24"/>
        </w:rPr>
      </w:pPr>
    </w:p>
    <w:p w14:paraId="052064CB" w14:textId="6386DADE" w:rsidR="006F15D2" w:rsidRDefault="006F15D2" w:rsidP="006F15D2">
      <w:pPr>
        <w:rPr>
          <w:rFonts w:asciiTheme="minorHAnsi" w:hAnsiTheme="minorHAnsi" w:cstheme="minorHAnsi"/>
          <w:sz w:val="24"/>
          <w:szCs w:val="24"/>
        </w:rPr>
      </w:pPr>
      <w:r w:rsidRPr="006F15D2">
        <w:rPr>
          <w:rFonts w:asciiTheme="minorHAnsi" w:hAnsiTheme="minorHAnsi" w:cstheme="minorHAnsi"/>
          <w:sz w:val="24"/>
          <w:szCs w:val="24"/>
        </w:rPr>
        <w:t xml:space="preserve">Home Office (2020), </w:t>
      </w:r>
      <w:r w:rsidRPr="006F15D2">
        <w:rPr>
          <w:rFonts w:asciiTheme="minorHAnsi" w:hAnsiTheme="minorHAnsi" w:cstheme="minorHAnsi"/>
          <w:i/>
          <w:iCs/>
          <w:sz w:val="24"/>
          <w:szCs w:val="24"/>
        </w:rPr>
        <w:t>Domestic Violence Protection Notices (DVPNs) and Domestic Violence Protection Orders (DVPOs) guidance</w:t>
      </w:r>
      <w:r w:rsidRPr="006F15D2">
        <w:rPr>
          <w:rFonts w:asciiTheme="minorHAnsi" w:hAnsiTheme="minorHAnsi" w:cstheme="minorHAnsi"/>
          <w:sz w:val="24"/>
          <w:szCs w:val="24"/>
        </w:rPr>
        <w:t xml:space="preserve">, Available at: </w:t>
      </w:r>
      <w:hyperlink r:id="rId25" w:history="1">
        <w:r w:rsidRPr="006F15D2">
          <w:rPr>
            <w:rStyle w:val="Hyperlink"/>
            <w:rFonts w:asciiTheme="minorHAnsi" w:hAnsiTheme="minorHAnsi" w:cstheme="minorHAnsi"/>
            <w:sz w:val="24"/>
            <w:szCs w:val="24"/>
          </w:rPr>
          <w:t>https://www.gov.uk/government/publications/domestic-violence-protection-orders/domestic-violence-protection-notices-dvpns-and-domestic-violence-protection-orders-dvpos-guidance-sections-24-33-crime-and-security-act-2010</w:t>
        </w:r>
      </w:hyperlink>
      <w:r w:rsidRPr="006F15D2">
        <w:rPr>
          <w:rFonts w:asciiTheme="minorHAnsi" w:hAnsiTheme="minorHAnsi" w:cstheme="minorHAnsi"/>
          <w:sz w:val="24"/>
          <w:szCs w:val="24"/>
        </w:rPr>
        <w:t xml:space="preserve"> (Accessed 6th September 2022)</w:t>
      </w:r>
    </w:p>
    <w:p w14:paraId="4787500A" w14:textId="77777777" w:rsidR="00A33D35" w:rsidRPr="006F15D2" w:rsidRDefault="00A33D35" w:rsidP="006F15D2">
      <w:pPr>
        <w:rPr>
          <w:rFonts w:asciiTheme="minorHAnsi" w:hAnsiTheme="minorHAnsi" w:cstheme="minorHAnsi"/>
          <w:sz w:val="24"/>
          <w:szCs w:val="24"/>
        </w:rPr>
      </w:pPr>
    </w:p>
    <w:p w14:paraId="46C76B5B" w14:textId="2D1674DD" w:rsidR="006F15D2" w:rsidRDefault="006F15D2" w:rsidP="006F15D2">
      <w:pPr>
        <w:rPr>
          <w:rFonts w:asciiTheme="minorHAnsi" w:hAnsiTheme="minorHAnsi" w:cstheme="minorHAnsi"/>
          <w:sz w:val="24"/>
          <w:szCs w:val="24"/>
        </w:rPr>
      </w:pPr>
      <w:r w:rsidRPr="006F15D2">
        <w:rPr>
          <w:rFonts w:asciiTheme="minorHAnsi" w:hAnsiTheme="minorHAnsi" w:cstheme="minorHAnsi"/>
          <w:sz w:val="24"/>
          <w:szCs w:val="24"/>
        </w:rPr>
        <w:t xml:space="preserve">Hoyle, C. (1998) </w:t>
      </w:r>
      <w:r w:rsidRPr="006F15D2">
        <w:rPr>
          <w:rFonts w:asciiTheme="minorHAnsi" w:hAnsiTheme="minorHAnsi" w:cstheme="minorHAnsi"/>
          <w:i/>
          <w:iCs/>
          <w:sz w:val="24"/>
          <w:szCs w:val="24"/>
        </w:rPr>
        <w:t xml:space="preserve">Negotiating Domestic Violence </w:t>
      </w:r>
      <w:r w:rsidRPr="006F15D2">
        <w:rPr>
          <w:rFonts w:asciiTheme="minorHAnsi" w:hAnsiTheme="minorHAnsi" w:cstheme="minorHAnsi"/>
          <w:sz w:val="24"/>
          <w:szCs w:val="24"/>
        </w:rPr>
        <w:t xml:space="preserve">(Oxford: </w:t>
      </w:r>
      <w:proofErr w:type="spellStart"/>
      <w:r w:rsidRPr="006F15D2">
        <w:rPr>
          <w:rFonts w:asciiTheme="minorHAnsi" w:hAnsiTheme="minorHAnsi" w:cstheme="minorHAnsi"/>
          <w:sz w:val="24"/>
          <w:szCs w:val="24"/>
        </w:rPr>
        <w:t>Calrendon</w:t>
      </w:r>
      <w:proofErr w:type="spellEnd"/>
      <w:r w:rsidRPr="006F15D2">
        <w:rPr>
          <w:rFonts w:asciiTheme="minorHAnsi" w:hAnsiTheme="minorHAnsi" w:cstheme="minorHAnsi"/>
          <w:sz w:val="24"/>
          <w:szCs w:val="24"/>
        </w:rPr>
        <w:t xml:space="preserve"> Press) cited in Ellison, Louise. (2002) ‘Prosecuting Domestic Violence without Victim Participation’, </w:t>
      </w:r>
      <w:r w:rsidRPr="006F15D2">
        <w:rPr>
          <w:rFonts w:asciiTheme="minorHAnsi" w:hAnsiTheme="minorHAnsi" w:cstheme="minorHAnsi"/>
          <w:i/>
          <w:iCs/>
          <w:sz w:val="24"/>
          <w:szCs w:val="24"/>
        </w:rPr>
        <w:t xml:space="preserve">Modern Law Review, </w:t>
      </w:r>
      <w:r w:rsidRPr="006F15D2">
        <w:rPr>
          <w:rFonts w:asciiTheme="minorHAnsi" w:hAnsiTheme="minorHAnsi" w:cstheme="minorHAnsi"/>
          <w:sz w:val="24"/>
          <w:szCs w:val="24"/>
        </w:rPr>
        <w:t>65(6), pp. 834-858.</w:t>
      </w:r>
    </w:p>
    <w:p w14:paraId="518E04F8" w14:textId="77777777" w:rsidR="00A33D35" w:rsidRPr="006F15D2" w:rsidRDefault="00A33D35" w:rsidP="006F15D2">
      <w:pPr>
        <w:rPr>
          <w:rFonts w:asciiTheme="minorHAnsi" w:hAnsiTheme="minorHAnsi" w:cstheme="minorHAnsi"/>
          <w:sz w:val="24"/>
          <w:szCs w:val="24"/>
        </w:rPr>
      </w:pPr>
    </w:p>
    <w:p w14:paraId="6B6E50F5" w14:textId="50619142" w:rsidR="006F15D2" w:rsidRDefault="006F15D2" w:rsidP="006F15D2">
      <w:pPr>
        <w:rPr>
          <w:rFonts w:asciiTheme="minorHAnsi" w:hAnsiTheme="minorHAnsi" w:cstheme="minorHAnsi"/>
          <w:color w:val="auto"/>
          <w:sz w:val="24"/>
          <w:szCs w:val="24"/>
          <w:shd w:val="clear" w:color="auto" w:fill="FBFBFB"/>
        </w:rPr>
      </w:pPr>
      <w:proofErr w:type="spellStart"/>
      <w:r w:rsidRPr="00D62F85">
        <w:rPr>
          <w:rFonts w:asciiTheme="minorHAnsi" w:hAnsiTheme="minorHAnsi" w:cstheme="minorHAnsi"/>
          <w:color w:val="auto"/>
          <w:sz w:val="24"/>
          <w:szCs w:val="24"/>
          <w:shd w:val="clear" w:color="auto" w:fill="FBFBFB"/>
        </w:rPr>
        <w:t>Milot</w:t>
      </w:r>
      <w:proofErr w:type="spellEnd"/>
      <w:r w:rsidRPr="00D62F85">
        <w:rPr>
          <w:rFonts w:asciiTheme="minorHAnsi" w:hAnsiTheme="minorHAnsi" w:cstheme="minorHAnsi"/>
          <w:color w:val="auto"/>
          <w:sz w:val="24"/>
          <w:szCs w:val="24"/>
          <w:shd w:val="clear" w:color="auto" w:fill="FBFBFB"/>
        </w:rPr>
        <w:t>, A. S. (2014) </w:t>
      </w:r>
      <w:r w:rsidRPr="00D62F85">
        <w:rPr>
          <w:rFonts w:asciiTheme="minorHAnsi" w:hAnsiTheme="minorHAnsi" w:cstheme="minorHAnsi"/>
          <w:i/>
          <w:iCs/>
          <w:color w:val="auto"/>
          <w:sz w:val="24"/>
          <w:szCs w:val="24"/>
          <w:shd w:val="clear" w:color="auto" w:fill="FBFBFB"/>
        </w:rPr>
        <w:t>Positive youth development as a framework for examining the relationship between conformity to gender norms, social support, and adolescent mental health. </w:t>
      </w:r>
      <w:r w:rsidRPr="00D62F85">
        <w:rPr>
          <w:rFonts w:asciiTheme="minorHAnsi" w:hAnsiTheme="minorHAnsi" w:cstheme="minorHAnsi"/>
          <w:color w:val="auto"/>
          <w:sz w:val="24"/>
          <w:szCs w:val="24"/>
          <w:shd w:val="clear" w:color="auto" w:fill="FBFBFB"/>
        </w:rPr>
        <w:t>Boston: Boston College.</w:t>
      </w:r>
    </w:p>
    <w:p w14:paraId="4A0E71C9" w14:textId="77777777" w:rsidR="00A33D35" w:rsidRDefault="00A33D35" w:rsidP="006F15D2">
      <w:pPr>
        <w:rPr>
          <w:rFonts w:asciiTheme="minorHAnsi" w:hAnsiTheme="minorHAnsi" w:cstheme="minorHAnsi"/>
          <w:color w:val="auto"/>
          <w:sz w:val="24"/>
          <w:szCs w:val="24"/>
          <w:shd w:val="clear" w:color="auto" w:fill="FBFBFB"/>
        </w:rPr>
      </w:pPr>
    </w:p>
    <w:p w14:paraId="0224AB1D" w14:textId="272FF992" w:rsidR="006F15D2" w:rsidRDefault="006F15D2" w:rsidP="006F15D2">
      <w:pPr>
        <w:rPr>
          <w:rFonts w:ascii="Noto Sans" w:hAnsi="Noto Sans" w:cs="Noto Sans"/>
          <w:color w:val="181817"/>
          <w:shd w:val="clear" w:color="auto" w:fill="FFFFFF"/>
        </w:rPr>
      </w:pPr>
      <w:r>
        <w:rPr>
          <w:rFonts w:asciiTheme="minorHAnsi" w:hAnsiTheme="minorHAnsi" w:cstheme="minorHAnsi"/>
          <w:sz w:val="24"/>
          <w:szCs w:val="24"/>
        </w:rPr>
        <w:t xml:space="preserve">NHS, (2019) </w:t>
      </w:r>
      <w:r w:rsidRPr="00377E54">
        <w:rPr>
          <w:rFonts w:asciiTheme="minorHAnsi" w:hAnsiTheme="minorHAnsi" w:cstheme="minorHAnsi"/>
          <w:i/>
          <w:iCs/>
          <w:sz w:val="24"/>
          <w:szCs w:val="24"/>
        </w:rPr>
        <w:t>Mental Health Act.</w:t>
      </w:r>
      <w:r>
        <w:rPr>
          <w:rFonts w:asciiTheme="minorHAnsi" w:hAnsiTheme="minorHAnsi" w:cstheme="minorHAnsi"/>
          <w:sz w:val="24"/>
          <w:szCs w:val="24"/>
        </w:rPr>
        <w:t xml:space="preserve"> Available at: </w:t>
      </w:r>
      <w:hyperlink r:id="rId26" w:history="1">
        <w:r w:rsidRPr="00C7293C">
          <w:rPr>
            <w:rStyle w:val="Hyperlink"/>
            <w:rFonts w:asciiTheme="minorHAnsi" w:hAnsiTheme="minorHAnsi" w:cstheme="minorHAnsi"/>
            <w:sz w:val="24"/>
            <w:szCs w:val="24"/>
          </w:rPr>
          <w:t>https://www.nhs.uk/mental-health/social-care-and-your-rights/mental-health-and-the-law/mental-health-act/</w:t>
        </w:r>
      </w:hyperlink>
      <w:r>
        <w:rPr>
          <w:rFonts w:asciiTheme="minorHAnsi" w:hAnsiTheme="minorHAnsi" w:cstheme="minorHAnsi"/>
          <w:sz w:val="24"/>
          <w:szCs w:val="24"/>
        </w:rPr>
        <w:t xml:space="preserve"> </w:t>
      </w:r>
      <w:r>
        <w:rPr>
          <w:rFonts w:ascii="Noto Sans" w:hAnsi="Noto Sans" w:cs="Noto Sans"/>
          <w:color w:val="181817"/>
          <w:shd w:val="clear" w:color="auto" w:fill="FFFFFF"/>
        </w:rPr>
        <w:t>(Accessed 7</w:t>
      </w:r>
      <w:r w:rsidRPr="006F15D2">
        <w:rPr>
          <w:rFonts w:ascii="Noto Sans" w:hAnsi="Noto Sans" w:cs="Noto Sans"/>
          <w:color w:val="181817"/>
          <w:shd w:val="clear" w:color="auto" w:fill="FFFFFF"/>
          <w:vertAlign w:val="superscript"/>
        </w:rPr>
        <w:t>th</w:t>
      </w:r>
      <w:r>
        <w:rPr>
          <w:rFonts w:ascii="Noto Sans" w:hAnsi="Noto Sans" w:cs="Noto Sans"/>
          <w:color w:val="181817"/>
          <w:shd w:val="clear" w:color="auto" w:fill="FFFFFF"/>
        </w:rPr>
        <w:t xml:space="preserve"> September 2022)</w:t>
      </w:r>
    </w:p>
    <w:p w14:paraId="76862FCD" w14:textId="77777777" w:rsidR="00A33D35" w:rsidRDefault="00A33D35" w:rsidP="006F15D2">
      <w:pPr>
        <w:rPr>
          <w:rFonts w:asciiTheme="minorHAnsi" w:hAnsiTheme="minorHAnsi" w:cstheme="minorHAnsi"/>
          <w:sz w:val="24"/>
          <w:szCs w:val="24"/>
        </w:rPr>
      </w:pPr>
    </w:p>
    <w:p w14:paraId="53C51E6C" w14:textId="14E4BC8B" w:rsidR="006F15D2" w:rsidRDefault="006F15D2" w:rsidP="006F15D2">
      <w:pPr>
        <w:rPr>
          <w:rFonts w:asciiTheme="minorHAnsi" w:hAnsiTheme="minorHAnsi" w:cstheme="minorHAnsi"/>
          <w:sz w:val="24"/>
          <w:szCs w:val="24"/>
        </w:rPr>
      </w:pPr>
      <w:r w:rsidRPr="006F15D2">
        <w:rPr>
          <w:rFonts w:asciiTheme="minorHAnsi" w:hAnsiTheme="minorHAnsi" w:cstheme="minorHAnsi"/>
          <w:sz w:val="24"/>
          <w:szCs w:val="24"/>
        </w:rPr>
        <w:t xml:space="preserve">Office for National Statistics (2022), </w:t>
      </w:r>
      <w:r w:rsidRPr="006F15D2">
        <w:rPr>
          <w:rFonts w:asciiTheme="minorHAnsi" w:hAnsiTheme="minorHAnsi" w:cstheme="minorHAnsi"/>
          <w:i/>
          <w:iCs/>
          <w:sz w:val="24"/>
          <w:szCs w:val="24"/>
        </w:rPr>
        <w:t>Crime in England and Wales: year ending March 2022</w:t>
      </w:r>
      <w:r w:rsidRPr="006F15D2">
        <w:rPr>
          <w:rFonts w:asciiTheme="minorHAnsi" w:hAnsiTheme="minorHAnsi" w:cstheme="minorHAnsi"/>
          <w:sz w:val="24"/>
          <w:szCs w:val="24"/>
        </w:rPr>
        <w:t xml:space="preserve">. Available at: </w:t>
      </w:r>
      <w:hyperlink r:id="rId27" w:anchor="domestic-abuse-and-sexual-offences" w:history="1">
        <w:r w:rsidRPr="006F15D2">
          <w:rPr>
            <w:rStyle w:val="Hyperlink"/>
            <w:rFonts w:asciiTheme="minorHAnsi" w:hAnsiTheme="minorHAnsi" w:cstheme="minorHAnsi"/>
            <w:sz w:val="24"/>
            <w:szCs w:val="24"/>
          </w:rPr>
          <w:t>https://www.ons.gov.uk/peoplepopulationandcommunity/crimeandjustice/bulletins/crimeinenglandandwales/yearendingmarch2022#domestic-abuse-and-sexual-offences</w:t>
        </w:r>
      </w:hyperlink>
      <w:r w:rsidRPr="006F15D2">
        <w:rPr>
          <w:rStyle w:val="Hyperlink"/>
          <w:rFonts w:asciiTheme="minorHAnsi" w:hAnsiTheme="minorHAnsi" w:cstheme="minorHAnsi"/>
          <w:sz w:val="24"/>
          <w:szCs w:val="24"/>
        </w:rPr>
        <w:t xml:space="preserve"> </w:t>
      </w:r>
      <w:r w:rsidRPr="006F15D2">
        <w:rPr>
          <w:rFonts w:asciiTheme="minorHAnsi" w:hAnsiTheme="minorHAnsi" w:cstheme="minorHAnsi"/>
          <w:sz w:val="24"/>
          <w:szCs w:val="24"/>
        </w:rPr>
        <w:t>(Accessed 6th September 2022)</w:t>
      </w:r>
    </w:p>
    <w:p w14:paraId="2621D7B8" w14:textId="77777777" w:rsidR="00A33D35" w:rsidRPr="006F15D2" w:rsidRDefault="00A33D35" w:rsidP="006F15D2">
      <w:pPr>
        <w:rPr>
          <w:rFonts w:asciiTheme="minorHAnsi" w:hAnsiTheme="minorHAnsi" w:cstheme="minorHAnsi"/>
          <w:sz w:val="24"/>
          <w:szCs w:val="24"/>
        </w:rPr>
      </w:pPr>
    </w:p>
    <w:p w14:paraId="4C2CF97E" w14:textId="77777777" w:rsidR="006F15D2" w:rsidRPr="006F15D2" w:rsidRDefault="006F15D2" w:rsidP="006F15D2">
      <w:pPr>
        <w:rPr>
          <w:rFonts w:asciiTheme="minorHAnsi" w:hAnsiTheme="minorHAnsi" w:cstheme="minorHAnsi"/>
          <w:sz w:val="24"/>
          <w:szCs w:val="24"/>
        </w:rPr>
      </w:pPr>
      <w:r w:rsidRPr="006F15D2">
        <w:rPr>
          <w:rFonts w:asciiTheme="minorHAnsi" w:hAnsiTheme="minorHAnsi" w:cstheme="minorHAnsi"/>
          <w:sz w:val="24"/>
          <w:szCs w:val="24"/>
        </w:rPr>
        <w:t xml:space="preserve">Stedman, Bernie. (1917), ‘Right of Husband to Chastise Wife’, </w:t>
      </w:r>
      <w:r w:rsidRPr="006F15D2">
        <w:rPr>
          <w:rFonts w:asciiTheme="minorHAnsi" w:hAnsiTheme="minorHAnsi" w:cstheme="minorHAnsi"/>
          <w:i/>
          <w:iCs/>
          <w:sz w:val="24"/>
          <w:szCs w:val="24"/>
        </w:rPr>
        <w:t>The Virginia Law Register,</w:t>
      </w:r>
      <w:r w:rsidRPr="006F15D2">
        <w:rPr>
          <w:rFonts w:asciiTheme="minorHAnsi" w:hAnsiTheme="minorHAnsi" w:cstheme="minorHAnsi"/>
          <w:sz w:val="24"/>
          <w:szCs w:val="24"/>
        </w:rPr>
        <w:t xml:space="preserve"> 3(4), pp. 241-248.</w:t>
      </w:r>
    </w:p>
    <w:p w14:paraId="2272CD2E" w14:textId="77777777" w:rsidR="006F15D2" w:rsidRDefault="006F15D2" w:rsidP="006F15D2">
      <w:pPr>
        <w:ind w:right="237"/>
        <w:jc w:val="both"/>
        <w:rPr>
          <w:rFonts w:eastAsia="Arial"/>
          <w:sz w:val="24"/>
          <w:szCs w:val="24"/>
        </w:rPr>
      </w:pPr>
    </w:p>
    <w:p w14:paraId="29361D1A" w14:textId="77777777" w:rsidR="006F15D2" w:rsidRDefault="006F15D2" w:rsidP="006F15D2">
      <w:pPr>
        <w:ind w:right="237"/>
        <w:jc w:val="both"/>
        <w:rPr>
          <w:rFonts w:eastAsia="Arial"/>
          <w:sz w:val="24"/>
          <w:szCs w:val="24"/>
        </w:rPr>
      </w:pPr>
    </w:p>
    <w:p w14:paraId="1C073B8D" w14:textId="77777777" w:rsidR="006F15D2" w:rsidRPr="00E11123" w:rsidRDefault="006F15D2" w:rsidP="006F15D2">
      <w:pPr>
        <w:ind w:right="237"/>
        <w:jc w:val="both"/>
        <w:rPr>
          <w:rFonts w:eastAsia="Arial"/>
          <w:color w:val="000000" w:themeColor="text1"/>
          <w:sz w:val="24"/>
          <w:szCs w:val="24"/>
        </w:rPr>
      </w:pPr>
    </w:p>
    <w:p w14:paraId="5C84402D" w14:textId="77777777" w:rsidR="006F15D2" w:rsidRDefault="006F15D2" w:rsidP="006F15D2">
      <w:pPr>
        <w:ind w:right="237"/>
        <w:jc w:val="both"/>
        <w:rPr>
          <w:color w:val="000000" w:themeColor="text1"/>
          <w:sz w:val="24"/>
          <w:szCs w:val="24"/>
        </w:rPr>
      </w:pPr>
    </w:p>
    <w:p w14:paraId="589EE1C7" w14:textId="77777777" w:rsidR="006F15D2" w:rsidRDefault="006F15D2" w:rsidP="006F15D2">
      <w:pPr>
        <w:ind w:right="237"/>
        <w:jc w:val="both"/>
        <w:rPr>
          <w:color w:val="000000" w:themeColor="text1"/>
          <w:sz w:val="24"/>
          <w:szCs w:val="24"/>
        </w:rPr>
      </w:pPr>
    </w:p>
    <w:p w14:paraId="067DFFA3" w14:textId="77777777" w:rsidR="006F15D2" w:rsidRDefault="006F15D2" w:rsidP="00EA28F1">
      <w:pPr>
        <w:keepNext/>
        <w:spacing w:before="240" w:after="60"/>
        <w:ind w:right="237"/>
        <w:jc w:val="both"/>
      </w:pPr>
    </w:p>
    <w:sectPr w:rsidR="006F15D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7E992B" w14:textId="77777777" w:rsidR="00F10162" w:rsidRDefault="00F10162">
      <w:r>
        <w:separator/>
      </w:r>
    </w:p>
  </w:endnote>
  <w:endnote w:type="continuationSeparator" w:id="0">
    <w:p w14:paraId="12C675C0" w14:textId="77777777" w:rsidR="00F10162" w:rsidRDefault="00F101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C0C212" w14:textId="77777777" w:rsidR="00A33D35" w:rsidRDefault="00A33D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1A6B5" w14:textId="77777777" w:rsidR="00A33D35" w:rsidRDefault="00A33D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3835A9" w14:textId="77777777" w:rsidR="00F10162" w:rsidRDefault="00F10162">
      <w:r>
        <w:separator/>
      </w:r>
    </w:p>
  </w:footnote>
  <w:footnote w:type="continuationSeparator" w:id="0">
    <w:p w14:paraId="4FC1FB77" w14:textId="77777777" w:rsidR="00F10162" w:rsidRDefault="00F1016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4D88AB" w14:textId="77777777" w:rsidR="00A33D35" w:rsidRDefault="00A33D3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3C732B" w14:textId="77777777" w:rsidR="00A33D35" w:rsidRDefault="00A33D3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835B46" w14:textId="77777777" w:rsidR="00A33D35" w:rsidRDefault="00A33D35">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E78681BE"/>
    <w:lvl w:ilvl="0" w:tplc="D1D47394">
      <w:start w:val="1"/>
      <w:numFmt w:val="decimal"/>
      <w:lvlText w:val="%1."/>
      <w:lvlJc w:val="left"/>
      <w:pPr>
        <w:ind w:left="720" w:hanging="360"/>
      </w:pPr>
    </w:lvl>
    <w:lvl w:ilvl="1" w:tplc="5C60489E">
      <w:start w:val="1"/>
      <w:numFmt w:val="lowerLetter"/>
      <w:lvlText w:val="%2."/>
      <w:lvlJc w:val="left"/>
      <w:pPr>
        <w:ind w:left="1440" w:hanging="360"/>
      </w:pPr>
    </w:lvl>
    <w:lvl w:ilvl="2" w:tplc="41E2DF00">
      <w:start w:val="1"/>
      <w:numFmt w:val="lowerRoman"/>
      <w:lvlText w:val="%3."/>
      <w:lvlJc w:val="right"/>
      <w:pPr>
        <w:ind w:left="2160" w:hanging="180"/>
      </w:pPr>
    </w:lvl>
    <w:lvl w:ilvl="3" w:tplc="8062A6E4">
      <w:start w:val="1"/>
      <w:numFmt w:val="decimal"/>
      <w:lvlText w:val="%4."/>
      <w:lvlJc w:val="left"/>
      <w:pPr>
        <w:ind w:left="2880" w:hanging="360"/>
      </w:pPr>
    </w:lvl>
    <w:lvl w:ilvl="4" w:tplc="F52661FC">
      <w:start w:val="1"/>
      <w:numFmt w:val="lowerLetter"/>
      <w:lvlText w:val="%5."/>
      <w:lvlJc w:val="left"/>
      <w:pPr>
        <w:ind w:left="3600" w:hanging="360"/>
      </w:pPr>
    </w:lvl>
    <w:lvl w:ilvl="5" w:tplc="5E66048E">
      <w:start w:val="1"/>
      <w:numFmt w:val="lowerRoman"/>
      <w:lvlText w:val="%6."/>
      <w:lvlJc w:val="right"/>
      <w:pPr>
        <w:ind w:left="4320" w:hanging="180"/>
      </w:pPr>
    </w:lvl>
    <w:lvl w:ilvl="6" w:tplc="F98E608A">
      <w:start w:val="1"/>
      <w:numFmt w:val="decimal"/>
      <w:lvlText w:val="%7."/>
      <w:lvlJc w:val="left"/>
      <w:pPr>
        <w:ind w:left="5040" w:hanging="360"/>
      </w:pPr>
    </w:lvl>
    <w:lvl w:ilvl="7" w:tplc="2910D480">
      <w:start w:val="1"/>
      <w:numFmt w:val="lowerLetter"/>
      <w:lvlText w:val="%8."/>
      <w:lvlJc w:val="left"/>
      <w:pPr>
        <w:ind w:left="5760" w:hanging="360"/>
      </w:pPr>
    </w:lvl>
    <w:lvl w:ilvl="8" w:tplc="DE808A1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5C9C3698"/>
    <w:lvl w:ilvl="0" w:tplc="E362E9D6">
      <w:start w:val="1"/>
      <w:numFmt w:val="decimal"/>
      <w:lvlText w:val="%1."/>
      <w:lvlJc w:val="left"/>
      <w:pPr>
        <w:ind w:left="720" w:hanging="360"/>
      </w:pPr>
    </w:lvl>
    <w:lvl w:ilvl="1" w:tplc="54F4ADC8">
      <w:start w:val="1"/>
      <w:numFmt w:val="decimal"/>
      <w:lvlText w:val="%2."/>
      <w:lvlJc w:val="left"/>
      <w:pPr>
        <w:ind w:left="1440" w:hanging="360"/>
      </w:pPr>
    </w:lvl>
    <w:lvl w:ilvl="2" w:tplc="42F4DAB6">
      <w:start w:val="1"/>
      <w:numFmt w:val="lowerRoman"/>
      <w:lvlText w:val="%3."/>
      <w:lvlJc w:val="right"/>
      <w:pPr>
        <w:ind w:left="2160" w:hanging="180"/>
      </w:pPr>
    </w:lvl>
    <w:lvl w:ilvl="3" w:tplc="10F604B2">
      <w:start w:val="1"/>
      <w:numFmt w:val="decimal"/>
      <w:lvlText w:val="%4."/>
      <w:lvlJc w:val="left"/>
      <w:pPr>
        <w:ind w:left="2880" w:hanging="360"/>
      </w:pPr>
    </w:lvl>
    <w:lvl w:ilvl="4" w:tplc="9AB24234">
      <w:start w:val="1"/>
      <w:numFmt w:val="lowerLetter"/>
      <w:lvlText w:val="%5."/>
      <w:lvlJc w:val="left"/>
      <w:pPr>
        <w:ind w:left="3600" w:hanging="360"/>
      </w:pPr>
    </w:lvl>
    <w:lvl w:ilvl="5" w:tplc="5AA259D2">
      <w:start w:val="1"/>
      <w:numFmt w:val="lowerRoman"/>
      <w:lvlText w:val="%6."/>
      <w:lvlJc w:val="right"/>
      <w:pPr>
        <w:ind w:left="4320" w:hanging="180"/>
      </w:pPr>
    </w:lvl>
    <w:lvl w:ilvl="6" w:tplc="512A3764">
      <w:start w:val="1"/>
      <w:numFmt w:val="decimal"/>
      <w:lvlText w:val="%7."/>
      <w:lvlJc w:val="left"/>
      <w:pPr>
        <w:ind w:left="5040" w:hanging="360"/>
      </w:pPr>
    </w:lvl>
    <w:lvl w:ilvl="7" w:tplc="4EEC1A2E">
      <w:start w:val="1"/>
      <w:numFmt w:val="lowerLetter"/>
      <w:lvlText w:val="%8."/>
      <w:lvlJc w:val="left"/>
      <w:pPr>
        <w:ind w:left="5760" w:hanging="360"/>
      </w:pPr>
    </w:lvl>
    <w:lvl w:ilvl="8" w:tplc="C13CA53E">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0805988">
    <w:abstractNumId w:val="47"/>
  </w:num>
  <w:num w:numId="2" w16cid:durableId="1472094542">
    <w:abstractNumId w:val="10"/>
  </w:num>
  <w:num w:numId="3" w16cid:durableId="2035306767">
    <w:abstractNumId w:val="1"/>
    <w:lvlOverride w:ilvl="0">
      <w:lvl w:ilvl="0">
        <w:start w:val="1"/>
        <w:numFmt w:val="bullet"/>
        <w:lvlText w:val=""/>
        <w:lvlJc w:val="left"/>
        <w:pPr>
          <w:ind w:left="720" w:hanging="360"/>
        </w:pPr>
        <w:rPr>
          <w:rFonts w:ascii="Symbol" w:hAnsi="Symbol" w:hint="default"/>
        </w:rPr>
      </w:lvl>
    </w:lvlOverride>
  </w:num>
  <w:num w:numId="4" w16cid:durableId="1613627497">
    <w:abstractNumId w:val="22"/>
  </w:num>
  <w:num w:numId="5" w16cid:durableId="800657959">
    <w:abstractNumId w:val="44"/>
  </w:num>
  <w:num w:numId="6" w16cid:durableId="920404604">
    <w:abstractNumId w:val="46"/>
  </w:num>
  <w:num w:numId="7" w16cid:durableId="646129553">
    <w:abstractNumId w:val="34"/>
  </w:num>
  <w:num w:numId="8" w16cid:durableId="1010251728">
    <w:abstractNumId w:val="32"/>
  </w:num>
  <w:num w:numId="9" w16cid:durableId="1152410670">
    <w:abstractNumId w:val="29"/>
  </w:num>
  <w:num w:numId="10" w16cid:durableId="1880430809">
    <w:abstractNumId w:val="30"/>
  </w:num>
  <w:num w:numId="11" w16cid:durableId="1841237196">
    <w:abstractNumId w:val="9"/>
  </w:num>
  <w:num w:numId="12" w16cid:durableId="1060514715">
    <w:abstractNumId w:val="33"/>
  </w:num>
  <w:num w:numId="13" w16cid:durableId="1621835120">
    <w:abstractNumId w:val="17"/>
  </w:num>
  <w:num w:numId="14" w16cid:durableId="1381630770">
    <w:abstractNumId w:val="16"/>
  </w:num>
  <w:num w:numId="15" w16cid:durableId="159542969">
    <w:abstractNumId w:val="26"/>
  </w:num>
  <w:num w:numId="16" w16cid:durableId="1867057620">
    <w:abstractNumId w:val="7"/>
  </w:num>
  <w:num w:numId="17" w16cid:durableId="2060739227">
    <w:abstractNumId w:val="25"/>
  </w:num>
  <w:num w:numId="18" w16cid:durableId="822965916">
    <w:abstractNumId w:val="15"/>
  </w:num>
  <w:num w:numId="19" w16cid:durableId="421072378">
    <w:abstractNumId w:val="13"/>
  </w:num>
  <w:num w:numId="20" w16cid:durableId="29098335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7143791">
    <w:abstractNumId w:val="23"/>
  </w:num>
  <w:num w:numId="22" w16cid:durableId="2065638494">
    <w:abstractNumId w:val="18"/>
  </w:num>
  <w:num w:numId="23" w16cid:durableId="1518496005">
    <w:abstractNumId w:val="14"/>
  </w:num>
  <w:num w:numId="24" w16cid:durableId="1750999173">
    <w:abstractNumId w:val="11"/>
  </w:num>
  <w:num w:numId="25" w16cid:durableId="1973368686">
    <w:abstractNumId w:val="27"/>
  </w:num>
  <w:num w:numId="26" w16cid:durableId="511653856">
    <w:abstractNumId w:val="19"/>
  </w:num>
  <w:num w:numId="27" w16cid:durableId="927156111">
    <w:abstractNumId w:val="40"/>
  </w:num>
  <w:num w:numId="28" w16cid:durableId="977731832">
    <w:abstractNumId w:val="35"/>
  </w:num>
  <w:num w:numId="29" w16cid:durableId="1697584028">
    <w:abstractNumId w:val="39"/>
  </w:num>
  <w:num w:numId="30" w16cid:durableId="1370030581">
    <w:abstractNumId w:val="20"/>
  </w:num>
  <w:num w:numId="31" w16cid:durableId="1810127430">
    <w:abstractNumId w:val="42"/>
  </w:num>
  <w:num w:numId="32" w16cid:durableId="525481530">
    <w:abstractNumId w:val="31"/>
  </w:num>
  <w:num w:numId="33" w16cid:durableId="1693529219">
    <w:abstractNumId w:val="12"/>
  </w:num>
  <w:num w:numId="34" w16cid:durableId="236941896">
    <w:abstractNumId w:val="43"/>
  </w:num>
  <w:num w:numId="35" w16cid:durableId="1370490884">
    <w:abstractNumId w:val="38"/>
  </w:num>
  <w:num w:numId="36" w16cid:durableId="1428187352">
    <w:abstractNumId w:val="4"/>
  </w:num>
  <w:num w:numId="37" w16cid:durableId="1489131739">
    <w:abstractNumId w:val="45"/>
  </w:num>
  <w:num w:numId="38" w16cid:durableId="79835806">
    <w:abstractNumId w:val="41"/>
  </w:num>
  <w:num w:numId="39" w16cid:durableId="923416809">
    <w:abstractNumId w:val="36"/>
  </w:num>
  <w:num w:numId="40" w16cid:durableId="483159052">
    <w:abstractNumId w:val="37"/>
  </w:num>
  <w:num w:numId="41" w16cid:durableId="17897449">
    <w:abstractNumId w:val="3"/>
  </w:num>
  <w:num w:numId="42" w16cid:durableId="919172664">
    <w:abstractNumId w:val="5"/>
  </w:num>
  <w:num w:numId="43" w16cid:durableId="304165764">
    <w:abstractNumId w:val="24"/>
  </w:num>
  <w:num w:numId="44" w16cid:durableId="36247737">
    <w:abstractNumId w:val="6"/>
  </w:num>
  <w:num w:numId="45" w16cid:durableId="1910917231">
    <w:abstractNumId w:val="2"/>
  </w:num>
  <w:num w:numId="46" w16cid:durableId="556549756">
    <w:abstractNumId w:val="0"/>
  </w:num>
  <w:num w:numId="47" w16cid:durableId="776145607">
    <w:abstractNumId w:val="21"/>
  </w:num>
  <w:num w:numId="48" w16cid:durableId="1216815583">
    <w:abstractNumId w:val="28"/>
  </w:num>
  <w:num w:numId="49" w16cid:durableId="64115925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FD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2285"/>
    <w:rsid w:val="006A7A6D"/>
    <w:rsid w:val="006B5E67"/>
    <w:rsid w:val="006C2EB5"/>
    <w:rsid w:val="006D18A3"/>
    <w:rsid w:val="006D5970"/>
    <w:rsid w:val="006E481E"/>
    <w:rsid w:val="006E795F"/>
    <w:rsid w:val="006F15D2"/>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33D35"/>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0B0C"/>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1123"/>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16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6F15D2"/>
    <w:rPr>
      <w:color w:val="605E5C"/>
      <w:shd w:val="clear" w:color="auto" w:fill="E1DFDD"/>
    </w:rPr>
  </w:style>
  <w:style w:type="character" w:styleId="FollowedHyperlink">
    <w:name w:val="FollowedHyperlink"/>
    <w:basedOn w:val="DefaultParagraphFont"/>
    <w:uiPriority w:val="99"/>
    <w:semiHidden/>
    <w:unhideWhenUsed/>
    <w:rsid w:val="006A228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dictionary.cambridge.org/dictionary/english/masculinity" TargetMode="External"/><Relationship Id="rId26" Type="http://schemas.openxmlformats.org/officeDocument/2006/relationships/hyperlink" Target="https://www.nhs.uk/mental-health/social-care-and-your-rights/mental-health-and-the-law/mental-health-act/" TargetMode="External"/><Relationship Id="rId3" Type="http://schemas.openxmlformats.org/officeDocument/2006/relationships/customXml" Target="../customXml/item3.xml"/><Relationship Id="rId21" Type="http://schemas.openxmlformats.org/officeDocument/2006/relationships/hyperlink" Target="https://www.college.police.uk/app/major-investigation-and-public-protection/missing-persons/missing-persons"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yperlink" Target="https://www.college.police.uk/guidance/vulnerability-related-risks/introduction-vulnerability-related-ris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2021/17/contents/enacted" TargetMode="Externa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yperlink" Target="https://www.cps.gov.uk/legal-guidance/special-measures"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ollege.police.uk/app/mental-health/introduction-and-strategic-consideration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ps.gov.uk/publication/code-crown-prosecutors" TargetMode="External"/><Relationship Id="rId27" Type="http://schemas.openxmlformats.org/officeDocument/2006/relationships/hyperlink" Target="https://www.ons.gov.uk/peoplepopulationandcommunity/crimeandjustice/bulletins/crimeinenglandandwales/yearendingmarch2022" TargetMode="Externa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5127</Words>
  <Characters>29227</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Charlotte Robinson</cp:lastModifiedBy>
  <cp:revision>2</cp:revision>
  <cp:lastPrinted>2014-08-26T08:55:00Z</cp:lastPrinted>
  <dcterms:created xsi:type="dcterms:W3CDTF">2022-10-31T14:23:00Z</dcterms:created>
  <dcterms:modified xsi:type="dcterms:W3CDTF">2022-10-31T14:23:00Z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2022-10-14T08:35:45Z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f99dc3fc-cb8c-477b-abd0-8371e022732f</vt:lpwstr>
  </property>
  <property fmtid="{D5CDD505-2E9C-101B-9397-08002B2CF9AE}" pid="9" name="MSIP_Label_f2acd28b-79a3-4a0f-b0ff-4b75658b1549_ContentBits">
    <vt:lpwstr>0</vt:lpwstr>
  </property>
</Properties>
</file>