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2E8255" w14:textId="51F25BB2" w:rsidR="00214D92" w:rsidRPr="00A91031" w:rsidRDefault="00214D92" w:rsidP="009A456C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A91031">
        <w:rPr>
          <w:rFonts w:ascii="Arial" w:hAnsi="Arial" w:cs="Arial"/>
          <w:b/>
          <w:bCs/>
          <w:sz w:val="32"/>
          <w:szCs w:val="32"/>
          <w:u w:val="single"/>
        </w:rPr>
        <w:t>Module: protecting and supporting families in health and care.</w:t>
      </w:r>
    </w:p>
    <w:p w14:paraId="1299389F" w14:textId="1B1DE4EF" w:rsidR="00214D92" w:rsidRPr="00A91031" w:rsidRDefault="00214D92" w:rsidP="009A456C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A91031">
        <w:rPr>
          <w:rFonts w:ascii="Arial" w:hAnsi="Arial" w:cs="Arial"/>
          <w:b/>
          <w:bCs/>
          <w:sz w:val="32"/>
          <w:szCs w:val="32"/>
          <w:u w:val="single"/>
        </w:rPr>
        <w:t>Module code: BMHP5021</w:t>
      </w:r>
    </w:p>
    <w:p w14:paraId="002A3535" w14:textId="0140DDC7" w:rsidR="00BE5B01" w:rsidRPr="00A91031" w:rsidRDefault="00BE5B01" w:rsidP="009A456C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A91031">
        <w:rPr>
          <w:rFonts w:ascii="Arial" w:hAnsi="Arial" w:cs="Arial"/>
          <w:b/>
          <w:bCs/>
          <w:sz w:val="32"/>
          <w:szCs w:val="32"/>
          <w:u w:val="single"/>
        </w:rPr>
        <w:t xml:space="preserve">Component 1: </w:t>
      </w:r>
      <w:r w:rsidR="00214D92" w:rsidRPr="00A91031">
        <w:rPr>
          <w:rFonts w:ascii="Arial" w:hAnsi="Arial" w:cs="Arial"/>
          <w:b/>
          <w:bCs/>
          <w:sz w:val="32"/>
          <w:szCs w:val="32"/>
          <w:u w:val="single"/>
        </w:rPr>
        <w:t>Presentation (round the group discussion)</w:t>
      </w:r>
    </w:p>
    <w:p w14:paraId="2A834C76" w14:textId="3B8B17F7" w:rsidR="00214D92" w:rsidRPr="00A91031" w:rsidRDefault="00214D92" w:rsidP="009A456C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A91031">
        <w:rPr>
          <w:rFonts w:ascii="Arial" w:hAnsi="Arial" w:cs="Arial"/>
          <w:b/>
          <w:bCs/>
          <w:sz w:val="32"/>
          <w:szCs w:val="32"/>
          <w:u w:val="single"/>
        </w:rPr>
        <w:t xml:space="preserve">Lecturer: Kennedy </w:t>
      </w:r>
      <w:proofErr w:type="spellStart"/>
      <w:r w:rsidRPr="00A91031">
        <w:rPr>
          <w:rFonts w:ascii="Arial" w:hAnsi="Arial" w:cs="Arial"/>
          <w:b/>
          <w:bCs/>
          <w:sz w:val="32"/>
          <w:szCs w:val="32"/>
          <w:u w:val="single"/>
        </w:rPr>
        <w:t>Obohwemu</w:t>
      </w:r>
      <w:proofErr w:type="spellEnd"/>
      <w:r w:rsidRPr="00A91031">
        <w:rPr>
          <w:rFonts w:ascii="Arial" w:hAnsi="Arial" w:cs="Arial"/>
          <w:b/>
          <w:bCs/>
          <w:sz w:val="32"/>
          <w:szCs w:val="32"/>
          <w:u w:val="single"/>
        </w:rPr>
        <w:t xml:space="preserve"> </w:t>
      </w:r>
    </w:p>
    <w:p w14:paraId="7B411617" w14:textId="1E80B0F9" w:rsidR="00214D92" w:rsidRPr="00A91031" w:rsidRDefault="00214D92" w:rsidP="009A456C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A91031">
        <w:rPr>
          <w:rFonts w:ascii="Arial" w:hAnsi="Arial" w:cs="Arial"/>
          <w:b/>
          <w:bCs/>
          <w:sz w:val="32"/>
          <w:szCs w:val="32"/>
          <w:u w:val="single"/>
        </w:rPr>
        <w:t xml:space="preserve">Student: Aliesha Sadaf </w:t>
      </w:r>
    </w:p>
    <w:p w14:paraId="2F40788E" w14:textId="3400509F" w:rsidR="00214D92" w:rsidRPr="00A91031" w:rsidRDefault="00214D92" w:rsidP="009A456C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A91031">
        <w:rPr>
          <w:rFonts w:ascii="Arial" w:hAnsi="Arial" w:cs="Arial"/>
          <w:b/>
          <w:bCs/>
          <w:sz w:val="32"/>
          <w:szCs w:val="32"/>
          <w:u w:val="single"/>
        </w:rPr>
        <w:t>Student number: 2441379</w:t>
      </w:r>
    </w:p>
    <w:p w14:paraId="250F75AD" w14:textId="68AAFDFC" w:rsidR="00214D92" w:rsidRPr="00214D92" w:rsidRDefault="00214D92" w:rsidP="009A456C">
      <w:pPr>
        <w:jc w:val="both"/>
        <w:rPr>
          <w:rFonts w:ascii="Arial" w:hAnsi="Arial" w:cs="Arial"/>
          <w:b/>
          <w:bCs/>
          <w:u w:val="single"/>
        </w:rPr>
      </w:pPr>
    </w:p>
    <w:p w14:paraId="02DEA6D5" w14:textId="77777777" w:rsidR="00214D92" w:rsidRDefault="00214D92">
      <w:r>
        <w:br w:type="page"/>
      </w:r>
    </w:p>
    <w:p w14:paraId="03DDA260" w14:textId="4CD61595" w:rsidR="00214D92" w:rsidRPr="00A91031" w:rsidRDefault="00214D92" w:rsidP="00A91031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A91031">
        <w:rPr>
          <w:rFonts w:ascii="Arial" w:hAnsi="Arial" w:cs="Arial"/>
          <w:b/>
          <w:bCs/>
          <w:sz w:val="22"/>
          <w:szCs w:val="22"/>
          <w:u w:val="single"/>
        </w:rPr>
        <w:lastRenderedPageBreak/>
        <w:t>References:</w:t>
      </w:r>
    </w:p>
    <w:p w14:paraId="66E42730" w14:textId="77777777" w:rsidR="00A91031" w:rsidRPr="00A91031" w:rsidRDefault="00A91031" w:rsidP="00A910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E489A">
        <w:rPr>
          <w:rFonts w:ascii="Arial" w:hAnsi="Arial" w:cs="Arial"/>
          <w:i/>
          <w:iCs/>
          <w:sz w:val="22"/>
          <w:szCs w:val="22"/>
        </w:rPr>
        <w:t>Children Act 1989,</w:t>
      </w:r>
      <w:r w:rsidRPr="00A91031">
        <w:rPr>
          <w:rFonts w:ascii="Arial" w:hAnsi="Arial" w:cs="Arial"/>
          <w:sz w:val="22"/>
          <w:szCs w:val="22"/>
        </w:rPr>
        <w:t xml:space="preserve"> c. 41. Available at: </w:t>
      </w:r>
      <w:hyperlink r:id="rId6" w:history="1">
        <w:r w:rsidRPr="00A91031">
          <w:rPr>
            <w:rStyle w:val="Hyperlink"/>
            <w:rFonts w:ascii="Arial" w:hAnsi="Arial" w:cs="Arial"/>
            <w:sz w:val="22"/>
            <w:szCs w:val="22"/>
          </w:rPr>
          <w:t>https://www.legislation.gov.uk/ukpga/1989/41/introduction</w:t>
        </w:r>
      </w:hyperlink>
      <w:r w:rsidRPr="00A91031">
        <w:rPr>
          <w:rFonts w:ascii="Arial" w:hAnsi="Arial" w:cs="Arial"/>
          <w:sz w:val="22"/>
          <w:szCs w:val="22"/>
        </w:rPr>
        <w:t xml:space="preserve"> (Accessed: 18 October 2026).</w:t>
      </w:r>
    </w:p>
    <w:p w14:paraId="59C0494F" w14:textId="77777777" w:rsidR="00A91031" w:rsidRPr="00A91031" w:rsidRDefault="00A91031" w:rsidP="00A910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E489A">
        <w:rPr>
          <w:rFonts w:ascii="Arial" w:hAnsi="Arial" w:cs="Arial"/>
          <w:i/>
          <w:iCs/>
          <w:sz w:val="22"/>
          <w:szCs w:val="22"/>
        </w:rPr>
        <w:t>Children Act 2004</w:t>
      </w:r>
      <w:r w:rsidRPr="00A91031">
        <w:rPr>
          <w:rFonts w:ascii="Arial" w:hAnsi="Arial" w:cs="Arial"/>
          <w:sz w:val="22"/>
          <w:szCs w:val="22"/>
        </w:rPr>
        <w:t xml:space="preserve">, c. 31. Available at: </w:t>
      </w:r>
      <w:hyperlink r:id="rId7" w:history="1">
        <w:r w:rsidRPr="00A91031">
          <w:rPr>
            <w:rStyle w:val="Hyperlink"/>
            <w:rFonts w:ascii="Arial" w:hAnsi="Arial" w:cs="Arial"/>
            <w:sz w:val="22"/>
            <w:szCs w:val="22"/>
          </w:rPr>
          <w:t>https://www.legislation.gov.uk/ukpga/2004/31</w:t>
        </w:r>
      </w:hyperlink>
      <w:r w:rsidRPr="00A91031">
        <w:rPr>
          <w:rFonts w:ascii="Arial" w:hAnsi="Arial" w:cs="Arial"/>
          <w:sz w:val="22"/>
          <w:szCs w:val="22"/>
        </w:rPr>
        <w:t xml:space="preserve"> (Accessed: 17 October 2026).</w:t>
      </w:r>
    </w:p>
    <w:p w14:paraId="40C9329E" w14:textId="77777777" w:rsidR="00A91031" w:rsidRPr="00A91031" w:rsidRDefault="00A91031" w:rsidP="00A910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E489A">
        <w:rPr>
          <w:rFonts w:ascii="Arial" w:hAnsi="Arial" w:cs="Arial"/>
          <w:i/>
          <w:iCs/>
          <w:sz w:val="22"/>
          <w:szCs w:val="22"/>
        </w:rPr>
        <w:t>Children and Social Work Act 2017</w:t>
      </w:r>
      <w:r w:rsidRPr="00A91031">
        <w:rPr>
          <w:rFonts w:ascii="Arial" w:hAnsi="Arial" w:cs="Arial"/>
          <w:sz w:val="22"/>
          <w:szCs w:val="22"/>
        </w:rPr>
        <w:t xml:space="preserve">, c. 16. Available at: </w:t>
      </w:r>
      <w:hyperlink r:id="rId8" w:history="1">
        <w:r w:rsidRPr="00A91031">
          <w:rPr>
            <w:rStyle w:val="Hyperlink"/>
            <w:rFonts w:ascii="Arial" w:hAnsi="Arial" w:cs="Arial"/>
            <w:sz w:val="22"/>
            <w:szCs w:val="22"/>
          </w:rPr>
          <w:t>https://www.legislation.gov.uk/ukpga/2017/16/introduction</w:t>
        </w:r>
      </w:hyperlink>
      <w:r w:rsidRPr="00A91031">
        <w:rPr>
          <w:rFonts w:ascii="Arial" w:hAnsi="Arial" w:cs="Arial"/>
          <w:sz w:val="22"/>
          <w:szCs w:val="22"/>
        </w:rPr>
        <w:t xml:space="preserve"> (Accessed: 17 October 2026).</w:t>
      </w:r>
    </w:p>
    <w:p w14:paraId="01A7A5DA" w14:textId="77777777" w:rsidR="00A91031" w:rsidRPr="00A91031" w:rsidRDefault="00A91031" w:rsidP="00A910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E489A">
        <w:rPr>
          <w:rFonts w:ascii="Arial" w:hAnsi="Arial" w:cs="Arial"/>
          <w:i/>
          <w:iCs/>
          <w:sz w:val="22"/>
          <w:szCs w:val="22"/>
        </w:rPr>
        <w:t>College of Policing (2021) introduction to vulnerability- related risk</w:t>
      </w:r>
      <w:r w:rsidRPr="00A91031">
        <w:rPr>
          <w:rFonts w:ascii="Arial" w:hAnsi="Arial" w:cs="Arial"/>
          <w:i/>
          <w:iCs/>
          <w:sz w:val="22"/>
          <w:szCs w:val="22"/>
        </w:rPr>
        <w:t xml:space="preserve">. </w:t>
      </w:r>
      <w:r w:rsidRPr="00A91031">
        <w:rPr>
          <w:rFonts w:ascii="Arial" w:hAnsi="Arial" w:cs="Arial"/>
          <w:sz w:val="22"/>
          <w:szCs w:val="22"/>
        </w:rPr>
        <w:t xml:space="preserve">Available at: </w:t>
      </w:r>
      <w:hyperlink r:id="rId9" w:history="1">
        <w:r w:rsidRPr="00A91031">
          <w:rPr>
            <w:rStyle w:val="Hyperlink"/>
            <w:rFonts w:ascii="Arial" w:hAnsi="Arial" w:cs="Arial"/>
            <w:sz w:val="22"/>
            <w:szCs w:val="22"/>
          </w:rPr>
          <w:t>Introduction to vulnerability-related risk | College of Policing</w:t>
        </w:r>
      </w:hyperlink>
      <w:r w:rsidRPr="00A91031">
        <w:rPr>
          <w:rFonts w:ascii="Arial" w:hAnsi="Arial" w:cs="Arial"/>
          <w:sz w:val="22"/>
          <w:szCs w:val="22"/>
        </w:rPr>
        <w:t xml:space="preserve"> (Accessed: 17 October 2026).</w:t>
      </w:r>
    </w:p>
    <w:p w14:paraId="1792567E" w14:textId="77777777" w:rsidR="00A91031" w:rsidRPr="00A91031" w:rsidRDefault="00A91031" w:rsidP="00A910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91031">
        <w:rPr>
          <w:rFonts w:ascii="Arial" w:hAnsi="Arial" w:cs="Arial"/>
          <w:sz w:val="22"/>
          <w:szCs w:val="22"/>
        </w:rPr>
        <w:t xml:space="preserve">Harper, K. and Gentile, J.P. (2022) ‘Psychotherapy for violent behaviour in children and adolescents’, Innovations in Clinical Neuroscience, 19(7–9), pp. 28–31. Available at: </w:t>
      </w:r>
      <w:hyperlink r:id="rId10" w:history="1">
        <w:r w:rsidRPr="00A91031">
          <w:rPr>
            <w:rStyle w:val="Hyperlink"/>
            <w:rFonts w:ascii="Arial" w:hAnsi="Arial" w:cs="Arial"/>
            <w:sz w:val="22"/>
            <w:szCs w:val="22"/>
          </w:rPr>
          <w:t>https://pmc.ncbi.nlm.nih.gov/articles/PMC9507151/</w:t>
        </w:r>
      </w:hyperlink>
      <w:r w:rsidRPr="00A91031">
        <w:rPr>
          <w:rFonts w:ascii="Arial" w:hAnsi="Arial" w:cs="Arial"/>
          <w:sz w:val="22"/>
          <w:szCs w:val="22"/>
        </w:rPr>
        <w:t xml:space="preserve"> (Accessed: 18 October 2026).</w:t>
      </w:r>
    </w:p>
    <w:p w14:paraId="640CDF63" w14:textId="77777777" w:rsidR="00A91031" w:rsidRPr="00A91031" w:rsidRDefault="00A91031" w:rsidP="00A910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91031">
        <w:rPr>
          <w:rFonts w:ascii="Arial" w:hAnsi="Arial" w:cs="Arial"/>
          <w:sz w:val="22"/>
          <w:szCs w:val="22"/>
        </w:rPr>
        <w:t>Hughes, K. et al. (2017) ‘</w:t>
      </w:r>
      <w:r w:rsidRPr="00DE489A">
        <w:rPr>
          <w:rFonts w:ascii="Arial" w:hAnsi="Arial" w:cs="Arial"/>
          <w:sz w:val="22"/>
          <w:szCs w:val="22"/>
        </w:rPr>
        <w:t>The effect of multiple adverse childhood experiences on health: a systematic review and meta- analysis’</w:t>
      </w:r>
      <w:r w:rsidRPr="00A91031">
        <w:rPr>
          <w:rFonts w:ascii="Arial" w:hAnsi="Arial" w:cs="Arial"/>
          <w:sz w:val="22"/>
          <w:szCs w:val="22"/>
        </w:rPr>
        <w:t xml:space="preserve">, </w:t>
      </w:r>
      <w:r w:rsidRPr="00A91031">
        <w:rPr>
          <w:rFonts w:ascii="Arial" w:hAnsi="Arial" w:cs="Arial"/>
          <w:i/>
          <w:iCs/>
          <w:sz w:val="22"/>
          <w:szCs w:val="22"/>
        </w:rPr>
        <w:t>The Lancet Public Health</w:t>
      </w:r>
      <w:r w:rsidRPr="00A91031">
        <w:rPr>
          <w:rFonts w:ascii="Arial" w:hAnsi="Arial" w:cs="Arial"/>
          <w:sz w:val="22"/>
          <w:szCs w:val="22"/>
        </w:rPr>
        <w:t xml:space="preserve">, 2(8), pp. e356–e366. Available at: </w:t>
      </w:r>
      <w:hyperlink r:id="rId11" w:history="1">
        <w:r w:rsidRPr="00A91031">
          <w:rPr>
            <w:rStyle w:val="Hyperlink"/>
            <w:rFonts w:ascii="Arial" w:hAnsi="Arial" w:cs="Arial"/>
            <w:sz w:val="22"/>
            <w:szCs w:val="22"/>
          </w:rPr>
          <w:t>https://doi.org/10.1016/S2468-2667(17)30118-4</w:t>
        </w:r>
      </w:hyperlink>
    </w:p>
    <w:p w14:paraId="5CE2C679" w14:textId="460559C4" w:rsidR="00A91031" w:rsidRPr="00A91031" w:rsidRDefault="00A91031" w:rsidP="00A910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91031">
        <w:rPr>
          <w:rFonts w:ascii="Arial" w:hAnsi="Arial" w:cs="Arial"/>
          <w:sz w:val="22"/>
          <w:szCs w:val="22"/>
        </w:rPr>
        <w:t xml:space="preserve">NSPCC (2023) </w:t>
      </w:r>
      <w:r w:rsidR="00DE489A">
        <w:rPr>
          <w:rFonts w:ascii="Arial" w:hAnsi="Arial" w:cs="Arial"/>
          <w:i/>
          <w:iCs/>
          <w:sz w:val="22"/>
          <w:szCs w:val="22"/>
        </w:rPr>
        <w:t>W</w:t>
      </w:r>
      <w:r w:rsidRPr="00DE489A">
        <w:rPr>
          <w:rFonts w:ascii="Arial" w:hAnsi="Arial" w:cs="Arial"/>
          <w:i/>
          <w:iCs/>
          <w:sz w:val="22"/>
          <w:szCs w:val="22"/>
        </w:rPr>
        <w:t>orking together to safeguard children 2023: summary of changes</w:t>
      </w:r>
      <w:r w:rsidRPr="00DE489A">
        <w:rPr>
          <w:rFonts w:ascii="Arial" w:hAnsi="Arial" w:cs="Arial"/>
          <w:sz w:val="22"/>
          <w:szCs w:val="22"/>
        </w:rPr>
        <w:t>. Available at:</w:t>
      </w:r>
      <w:r w:rsidRPr="00A91031">
        <w:rPr>
          <w:rFonts w:ascii="Arial" w:hAnsi="Arial" w:cs="Arial"/>
          <w:i/>
          <w:iCs/>
          <w:sz w:val="22"/>
          <w:szCs w:val="22"/>
        </w:rPr>
        <w:t xml:space="preserve"> </w:t>
      </w:r>
      <w:hyperlink r:id="rId12" w:history="1">
        <w:r w:rsidRPr="00A91031">
          <w:rPr>
            <w:rStyle w:val="Hyperlink"/>
            <w:rFonts w:ascii="Arial" w:hAnsi="Arial" w:cs="Arial"/>
            <w:i/>
            <w:iCs/>
            <w:sz w:val="22"/>
            <w:szCs w:val="22"/>
          </w:rPr>
          <w:t>https://learning.nspcc.org.uk/research-resources/2023/working-together-to-safeguard-children-2023-summary-of-changes</w:t>
        </w:r>
      </w:hyperlink>
      <w:r w:rsidRPr="00A91031">
        <w:rPr>
          <w:rFonts w:ascii="Arial" w:hAnsi="Arial" w:cs="Arial"/>
          <w:i/>
          <w:iCs/>
          <w:sz w:val="22"/>
          <w:szCs w:val="22"/>
        </w:rPr>
        <w:t xml:space="preserve"> </w:t>
      </w:r>
      <w:r w:rsidRPr="00A91031">
        <w:rPr>
          <w:rFonts w:ascii="Arial" w:hAnsi="Arial" w:cs="Arial"/>
          <w:sz w:val="22"/>
          <w:szCs w:val="22"/>
        </w:rPr>
        <w:t xml:space="preserve">(Accessed: 17 October 2026). </w:t>
      </w:r>
    </w:p>
    <w:p w14:paraId="02E4E887" w14:textId="77777777" w:rsidR="00A91031" w:rsidRPr="00A91031" w:rsidRDefault="00A91031" w:rsidP="00A910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91031">
        <w:rPr>
          <w:rFonts w:ascii="Arial" w:hAnsi="Arial" w:cs="Arial"/>
          <w:sz w:val="22"/>
          <w:szCs w:val="22"/>
        </w:rPr>
        <w:t xml:space="preserve">NSPCC (2024) </w:t>
      </w:r>
      <w:r w:rsidRPr="00A91031">
        <w:rPr>
          <w:rFonts w:ascii="Arial" w:hAnsi="Arial" w:cs="Arial"/>
          <w:i/>
          <w:iCs/>
          <w:sz w:val="22"/>
          <w:szCs w:val="22"/>
        </w:rPr>
        <w:t xml:space="preserve">protecting children from domestic abuse. </w:t>
      </w:r>
      <w:r w:rsidRPr="00A91031">
        <w:rPr>
          <w:rFonts w:ascii="Arial" w:hAnsi="Arial" w:cs="Arial"/>
          <w:sz w:val="22"/>
          <w:szCs w:val="22"/>
        </w:rPr>
        <w:t>Available at:</w:t>
      </w:r>
      <w:r w:rsidRPr="00A91031">
        <w:rPr>
          <w:rFonts w:ascii="Arial" w:hAnsi="Arial" w:cs="Arial"/>
          <w:i/>
          <w:iCs/>
          <w:sz w:val="22"/>
          <w:szCs w:val="22"/>
        </w:rPr>
        <w:t xml:space="preserve"> </w:t>
      </w:r>
      <w:hyperlink r:id="rId13" w:history="1">
        <w:r w:rsidRPr="00A91031">
          <w:rPr>
            <w:rStyle w:val="Hyperlink"/>
            <w:rFonts w:ascii="Arial" w:hAnsi="Arial" w:cs="Arial"/>
            <w:sz w:val="22"/>
            <w:szCs w:val="22"/>
          </w:rPr>
          <w:t>Protecting children from domestic abuse | NSPCC Learning</w:t>
        </w:r>
      </w:hyperlink>
      <w:r w:rsidRPr="00A91031">
        <w:rPr>
          <w:rFonts w:ascii="Arial" w:hAnsi="Arial" w:cs="Arial"/>
          <w:sz w:val="22"/>
          <w:szCs w:val="22"/>
        </w:rPr>
        <w:t xml:space="preserve"> (Accessed: 17 October 2026).</w:t>
      </w:r>
    </w:p>
    <w:p w14:paraId="22B92AFB" w14:textId="15333D38" w:rsidR="00A91031" w:rsidRPr="00A91031" w:rsidRDefault="00A91031" w:rsidP="00A910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91031">
        <w:rPr>
          <w:rFonts w:ascii="Arial" w:hAnsi="Arial" w:cs="Arial"/>
          <w:sz w:val="22"/>
          <w:szCs w:val="22"/>
        </w:rPr>
        <w:t xml:space="preserve">NSPCC (n.d.) </w:t>
      </w:r>
      <w:r w:rsidRPr="00DE489A">
        <w:rPr>
          <w:rFonts w:ascii="Arial" w:hAnsi="Arial" w:cs="Arial"/>
          <w:i/>
          <w:iCs/>
          <w:sz w:val="22"/>
          <w:szCs w:val="22"/>
        </w:rPr>
        <w:t>Child safeguarding practice reviews: the process in each UK nation</w:t>
      </w:r>
      <w:r w:rsidRPr="00A91031">
        <w:rPr>
          <w:rFonts w:ascii="Arial" w:hAnsi="Arial" w:cs="Arial"/>
          <w:sz w:val="22"/>
          <w:szCs w:val="22"/>
        </w:rPr>
        <w:t xml:space="preserve">. Available at: </w:t>
      </w:r>
      <w:hyperlink r:id="rId14" w:history="1">
        <w:r w:rsidRPr="00A91031">
          <w:rPr>
            <w:rStyle w:val="Hyperlink"/>
            <w:rFonts w:ascii="Arial" w:hAnsi="Arial" w:cs="Arial"/>
            <w:sz w:val="22"/>
            <w:szCs w:val="22"/>
          </w:rPr>
          <w:t>https://learning.nspcc.org.uk/case-reviews/process-in-each-uk-nation</w:t>
        </w:r>
      </w:hyperlink>
      <w:r w:rsidRPr="00A91031">
        <w:rPr>
          <w:rFonts w:ascii="Arial" w:hAnsi="Arial" w:cs="Arial"/>
          <w:sz w:val="22"/>
          <w:szCs w:val="22"/>
        </w:rPr>
        <w:t xml:space="preserve"> (Accessed: 1</w:t>
      </w:r>
      <w:r w:rsidR="009A456C">
        <w:rPr>
          <w:rFonts w:ascii="Arial" w:hAnsi="Arial" w:cs="Arial"/>
          <w:sz w:val="22"/>
          <w:szCs w:val="22"/>
        </w:rPr>
        <w:t>7</w:t>
      </w:r>
      <w:r w:rsidRPr="00A91031">
        <w:rPr>
          <w:rFonts w:ascii="Arial" w:hAnsi="Arial" w:cs="Arial"/>
          <w:sz w:val="22"/>
          <w:szCs w:val="22"/>
        </w:rPr>
        <w:t xml:space="preserve"> October 2026).</w:t>
      </w:r>
    </w:p>
    <w:p w14:paraId="34B2B1E8" w14:textId="128BA70C" w:rsidR="00A91031" w:rsidRPr="00A91031" w:rsidRDefault="00A91031" w:rsidP="00A910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91031">
        <w:rPr>
          <w:rFonts w:ascii="Arial" w:hAnsi="Arial" w:cs="Arial"/>
          <w:sz w:val="22"/>
          <w:szCs w:val="22"/>
        </w:rPr>
        <w:t>NSPCC (n.d.) Gangs</w:t>
      </w:r>
      <w:r w:rsidR="00DE489A">
        <w:rPr>
          <w:rFonts w:ascii="Arial" w:hAnsi="Arial" w:cs="Arial"/>
          <w:sz w:val="22"/>
          <w:szCs w:val="22"/>
        </w:rPr>
        <w:t xml:space="preserve"> </w:t>
      </w:r>
      <w:r w:rsidRPr="00A91031">
        <w:rPr>
          <w:rFonts w:ascii="Arial" w:hAnsi="Arial" w:cs="Arial"/>
          <w:sz w:val="22"/>
          <w:szCs w:val="22"/>
        </w:rPr>
        <w:t xml:space="preserve">and criminal exploitation. Available at: </w:t>
      </w:r>
      <w:hyperlink r:id="rId15" w:history="1">
        <w:r w:rsidRPr="00A91031">
          <w:rPr>
            <w:rStyle w:val="Hyperlink"/>
            <w:rFonts w:ascii="Arial" w:hAnsi="Arial" w:cs="Arial"/>
            <w:sz w:val="22"/>
            <w:szCs w:val="22"/>
          </w:rPr>
          <w:t>https://www.nspcc.org.uk/keeping-children-safe/types-of-abuse/gangs-criminal-exploitation/</w:t>
        </w:r>
      </w:hyperlink>
      <w:r w:rsidRPr="00A91031">
        <w:rPr>
          <w:rFonts w:ascii="Arial" w:hAnsi="Arial" w:cs="Arial"/>
          <w:sz w:val="22"/>
          <w:szCs w:val="22"/>
        </w:rPr>
        <w:t xml:space="preserve"> (Accessed: 1</w:t>
      </w:r>
      <w:r w:rsidR="009A456C">
        <w:rPr>
          <w:rFonts w:ascii="Arial" w:hAnsi="Arial" w:cs="Arial"/>
          <w:sz w:val="22"/>
          <w:szCs w:val="22"/>
        </w:rPr>
        <w:t>7</w:t>
      </w:r>
      <w:r w:rsidRPr="00A91031">
        <w:rPr>
          <w:rFonts w:ascii="Arial" w:hAnsi="Arial" w:cs="Arial"/>
          <w:sz w:val="22"/>
          <w:szCs w:val="22"/>
        </w:rPr>
        <w:t xml:space="preserve"> October 2026).</w:t>
      </w:r>
    </w:p>
    <w:p w14:paraId="465FF024" w14:textId="59252673" w:rsidR="00A91031" w:rsidRPr="00A91031" w:rsidRDefault="00A91031" w:rsidP="00A910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91031">
        <w:rPr>
          <w:rFonts w:ascii="Arial" w:hAnsi="Arial" w:cs="Arial"/>
          <w:sz w:val="22"/>
          <w:szCs w:val="22"/>
        </w:rPr>
        <w:t xml:space="preserve">Ofsted (2023) </w:t>
      </w:r>
      <w:r w:rsidRPr="009A456C">
        <w:rPr>
          <w:rFonts w:ascii="Arial" w:hAnsi="Arial" w:cs="Arial"/>
          <w:i/>
          <w:iCs/>
          <w:sz w:val="22"/>
          <w:szCs w:val="22"/>
        </w:rPr>
        <w:t>The multi-agency response to children and families who need help</w:t>
      </w:r>
      <w:r w:rsidRPr="00A91031">
        <w:rPr>
          <w:rFonts w:ascii="Arial" w:hAnsi="Arial" w:cs="Arial"/>
          <w:sz w:val="22"/>
          <w:szCs w:val="22"/>
        </w:rPr>
        <w:t xml:space="preserve">. Available at: </w:t>
      </w:r>
      <w:hyperlink r:id="rId16" w:history="1">
        <w:r w:rsidRPr="00A91031">
          <w:rPr>
            <w:rStyle w:val="Hyperlink"/>
            <w:rFonts w:ascii="Arial" w:hAnsi="Arial" w:cs="Arial"/>
            <w:sz w:val="22"/>
            <w:szCs w:val="22"/>
          </w:rPr>
          <w:t>https://www.gov.uk/government/publications/the-multi-agency-response-to-children-and-families-who-need-help/the-multi-agency-response-to-children-and-families-who-need-help</w:t>
        </w:r>
      </w:hyperlink>
      <w:r w:rsidRPr="00A91031">
        <w:rPr>
          <w:rFonts w:ascii="Arial" w:hAnsi="Arial" w:cs="Arial"/>
          <w:sz w:val="22"/>
          <w:szCs w:val="22"/>
        </w:rPr>
        <w:t xml:space="preserve"> (Accessed: 1</w:t>
      </w:r>
      <w:r w:rsidR="009A456C">
        <w:rPr>
          <w:rFonts w:ascii="Arial" w:hAnsi="Arial" w:cs="Arial"/>
          <w:sz w:val="22"/>
          <w:szCs w:val="22"/>
        </w:rPr>
        <w:t>7</w:t>
      </w:r>
      <w:r w:rsidRPr="00A91031">
        <w:rPr>
          <w:rFonts w:ascii="Arial" w:hAnsi="Arial" w:cs="Arial"/>
          <w:sz w:val="22"/>
          <w:szCs w:val="22"/>
        </w:rPr>
        <w:t xml:space="preserve"> October 2026).</w:t>
      </w:r>
    </w:p>
    <w:sectPr w:rsidR="00A91031" w:rsidRPr="00A91031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4E9253" w14:textId="77777777" w:rsidR="004A7BF2" w:rsidRDefault="004A7BF2" w:rsidP="00A91031">
      <w:pPr>
        <w:spacing w:after="0" w:line="240" w:lineRule="auto"/>
      </w:pPr>
      <w:r>
        <w:separator/>
      </w:r>
    </w:p>
  </w:endnote>
  <w:endnote w:type="continuationSeparator" w:id="0">
    <w:p w14:paraId="561A844A" w14:textId="77777777" w:rsidR="004A7BF2" w:rsidRDefault="004A7BF2" w:rsidP="00A910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56128214"/>
      <w:docPartObj>
        <w:docPartGallery w:val="Page Numbers (Bottom of Page)"/>
        <w:docPartUnique/>
      </w:docPartObj>
    </w:sdtPr>
    <w:sdtEndPr/>
    <w:sdtContent>
      <w:p w14:paraId="057402EA" w14:textId="7FF5B7A3" w:rsidR="00A91031" w:rsidRDefault="00A9103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8C9E527" w14:textId="77777777" w:rsidR="00A91031" w:rsidRDefault="00A910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1C802C" w14:textId="77777777" w:rsidR="004A7BF2" w:rsidRDefault="004A7BF2" w:rsidP="00A91031">
      <w:pPr>
        <w:spacing w:after="0" w:line="240" w:lineRule="auto"/>
      </w:pPr>
      <w:r>
        <w:separator/>
      </w:r>
    </w:p>
  </w:footnote>
  <w:footnote w:type="continuationSeparator" w:id="0">
    <w:p w14:paraId="69A72291" w14:textId="77777777" w:rsidR="004A7BF2" w:rsidRDefault="004A7BF2" w:rsidP="00A9103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5B01"/>
    <w:rsid w:val="00097355"/>
    <w:rsid w:val="00214D92"/>
    <w:rsid w:val="00233A58"/>
    <w:rsid w:val="00446551"/>
    <w:rsid w:val="004A7BF2"/>
    <w:rsid w:val="00760CC6"/>
    <w:rsid w:val="008F5D0F"/>
    <w:rsid w:val="0096688B"/>
    <w:rsid w:val="009A456C"/>
    <w:rsid w:val="00A827A6"/>
    <w:rsid w:val="00A91031"/>
    <w:rsid w:val="00AB3B20"/>
    <w:rsid w:val="00BE5B01"/>
    <w:rsid w:val="00C772D7"/>
    <w:rsid w:val="00DE48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DFD3C72"/>
  <w15:chartTrackingRefBased/>
  <w15:docId w15:val="{D0BB9BF6-6E1E-4A6B-8B4B-312EC6D036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5B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5B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5B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5B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5B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5B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5B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5B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5B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5B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5B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5B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5B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5B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5B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5B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5B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5B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5B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5B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5B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5B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5B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5B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5B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5B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5B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5B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5B0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6688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688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910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1031"/>
  </w:style>
  <w:style w:type="paragraph" w:styleId="Footer">
    <w:name w:val="footer"/>
    <w:basedOn w:val="Normal"/>
    <w:link w:val="FooterChar"/>
    <w:uiPriority w:val="99"/>
    <w:unhideWhenUsed/>
    <w:rsid w:val="00A910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10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7/16/introduction?utm_source=chatgpt.com" TargetMode="External"/><Relationship Id="rId13" Type="http://schemas.openxmlformats.org/officeDocument/2006/relationships/hyperlink" Target="https://learning.nspcc.org.uk/child-abuse-and-neglect/domestic-abuse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04/31?utm_source=chatgpt.com" TargetMode="External"/><Relationship Id="rId12" Type="http://schemas.openxmlformats.org/officeDocument/2006/relationships/hyperlink" Target="https://learning.nspcc.org.uk/research-resources/2023/working-together-to-safeguard-children-2023-summary-of-changes?utm_source=chatgpt.com" TargetMode="External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publications/the-multi-agency-response-to-children-and-families-who-need-help/the-multi-agency-response-to-children-and-families-who-need-help?utm_source=chatgpt.com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1989/41/introduction?utm_source=chatgpt.com" TargetMode="External"/><Relationship Id="rId11" Type="http://schemas.openxmlformats.org/officeDocument/2006/relationships/hyperlink" Target="https://doi.org/10.1016/S2468-2667(17)30118-4?utm_source=chatgpt.com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nspcc.org.uk/keeping-children-safe/types-of-abuse/gangs-criminal-exploitation/?utm_source=chatgpt.com" TargetMode="External"/><Relationship Id="rId10" Type="http://schemas.openxmlformats.org/officeDocument/2006/relationships/hyperlink" Target="https://pmc.ncbi.nlm.nih.gov/articles/PMC9507151/?utm_source=chatgpt.com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college.police.uk/guidance/vulnerability-related-risks/introduction-vulnerability-related-risk" TargetMode="External"/><Relationship Id="rId14" Type="http://schemas.openxmlformats.org/officeDocument/2006/relationships/hyperlink" Target="https://learning.nspcc.org.uk/case-reviews/process-in-each-uk-nation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537</Words>
  <Characters>3067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aliesha sadaf</dc:creator>
  <cp:keywords/>
  <dc:description/>
  <cp:lastModifiedBy>aliesha sadaf</cp:lastModifiedBy>
  <cp:revision>2</cp:revision>
  <dcterms:created xsi:type="dcterms:W3CDTF">2026-10-18T10:26:00Z</dcterms:created>
  <dcterms:modified xsi:type="dcterms:W3CDTF">2026-10-18T10:26:00Z</dcterms:modified>
</cp:coreProperties>
</file>