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B725C0" w14:textId="6E06A378" w:rsidR="00881587" w:rsidRPr="00654E6C" w:rsidRDefault="00881587" w:rsidP="00881587">
      <w:pPr>
        <w:tabs>
          <w:tab w:val="left" w:pos="3765"/>
        </w:tabs>
        <w:jc w:val="center"/>
        <w:rPr>
          <w:rFonts w:cs="Arial"/>
          <w:b/>
          <w:sz w:val="40"/>
          <w:szCs w:val="40"/>
        </w:rPr>
      </w:pPr>
      <w:r w:rsidRPr="00654E6C">
        <w:rPr>
          <w:rFonts w:cs="Arial"/>
          <w:b/>
          <w:sz w:val="40"/>
          <w:szCs w:val="40"/>
        </w:rPr>
        <w:t>Bachelor of Arts Business Management</w:t>
      </w:r>
    </w:p>
    <w:p w14:paraId="0EA25872" w14:textId="77777777" w:rsidR="00881587" w:rsidRPr="00654E6C" w:rsidRDefault="00881587" w:rsidP="00881587">
      <w:pPr>
        <w:jc w:val="center"/>
        <w:rPr>
          <w:rFonts w:cs="Arial"/>
          <w:b/>
          <w:sz w:val="40"/>
          <w:szCs w:val="40"/>
        </w:rPr>
      </w:pPr>
    </w:p>
    <w:p w14:paraId="7404CBCD" w14:textId="6C302903" w:rsidR="00B87E01" w:rsidRPr="00654E6C" w:rsidRDefault="006E4CAE" w:rsidP="00881587">
      <w:pPr>
        <w:jc w:val="center"/>
        <w:rPr>
          <w:rFonts w:cs="Arial"/>
          <w:b/>
          <w:sz w:val="40"/>
          <w:szCs w:val="40"/>
        </w:rPr>
      </w:pPr>
      <w:r w:rsidRPr="00654E6C">
        <w:rPr>
          <w:rFonts w:cs="Arial"/>
          <w:b/>
          <w:sz w:val="40"/>
          <w:szCs w:val="40"/>
        </w:rPr>
        <w:t>International Financial Management</w:t>
      </w:r>
    </w:p>
    <w:p w14:paraId="770B64F1" w14:textId="7ADD6A01" w:rsidR="006E4CAE" w:rsidRPr="00654E6C" w:rsidRDefault="006E4CAE" w:rsidP="00881587">
      <w:pPr>
        <w:jc w:val="center"/>
        <w:rPr>
          <w:rFonts w:cs="Arial"/>
          <w:b/>
          <w:sz w:val="40"/>
          <w:szCs w:val="40"/>
        </w:rPr>
      </w:pPr>
      <w:r w:rsidRPr="00654E6C">
        <w:rPr>
          <w:rFonts w:cs="Arial"/>
          <w:b/>
          <w:sz w:val="40"/>
          <w:szCs w:val="40"/>
        </w:rPr>
        <w:t>LCBB6002</w:t>
      </w:r>
    </w:p>
    <w:p w14:paraId="2D92DA87" w14:textId="77777777" w:rsidR="00881587" w:rsidRPr="00654E6C" w:rsidRDefault="00881587" w:rsidP="00881587">
      <w:pPr>
        <w:jc w:val="center"/>
        <w:rPr>
          <w:rFonts w:cs="Arial"/>
          <w:b/>
          <w:sz w:val="40"/>
          <w:szCs w:val="40"/>
        </w:rPr>
      </w:pPr>
    </w:p>
    <w:p w14:paraId="0B2C59EE" w14:textId="77777777" w:rsidR="006E4CAE" w:rsidRPr="00654E6C" w:rsidRDefault="006E4CAE" w:rsidP="00881587">
      <w:pPr>
        <w:jc w:val="center"/>
        <w:rPr>
          <w:rFonts w:cs="Arial"/>
          <w:bCs/>
          <w:sz w:val="40"/>
          <w:szCs w:val="40"/>
        </w:rPr>
      </w:pPr>
      <w:r w:rsidRPr="00654E6C">
        <w:rPr>
          <w:rFonts w:cs="Arial"/>
          <w:b/>
          <w:sz w:val="40"/>
          <w:szCs w:val="40"/>
        </w:rPr>
        <w:t>Assignment Title: Assessment 1 Report</w:t>
      </w:r>
    </w:p>
    <w:p w14:paraId="297B85E2" w14:textId="77777777" w:rsidR="00A33D6F" w:rsidRPr="00654E6C" w:rsidRDefault="00A33D6F" w:rsidP="00C93CBD">
      <w:pPr>
        <w:jc w:val="center"/>
        <w:rPr>
          <w:rFonts w:cs="Arial"/>
          <w:b/>
        </w:rPr>
      </w:pPr>
    </w:p>
    <w:p w14:paraId="4B7840D7" w14:textId="77777777" w:rsidR="00881587" w:rsidRPr="00654E6C" w:rsidRDefault="00881587" w:rsidP="00C93CBD">
      <w:pPr>
        <w:jc w:val="center"/>
        <w:rPr>
          <w:rFonts w:cs="Arial"/>
          <w:b/>
        </w:rPr>
      </w:pPr>
    </w:p>
    <w:p w14:paraId="751C52EF" w14:textId="77777777" w:rsidR="00881587" w:rsidRPr="00654E6C" w:rsidRDefault="00881587" w:rsidP="00C93CBD">
      <w:pPr>
        <w:jc w:val="center"/>
        <w:rPr>
          <w:rFonts w:cs="Arial"/>
          <w:b/>
        </w:rPr>
      </w:pPr>
    </w:p>
    <w:p w14:paraId="4487CE03" w14:textId="77777777" w:rsidR="00881587" w:rsidRPr="00654E6C" w:rsidRDefault="00881587" w:rsidP="00C93CBD">
      <w:pPr>
        <w:jc w:val="center"/>
        <w:rPr>
          <w:rFonts w:cs="Arial"/>
          <w:b/>
        </w:rPr>
      </w:pPr>
    </w:p>
    <w:p w14:paraId="2B5FFD82" w14:textId="77777777" w:rsidR="00881587" w:rsidRPr="00654E6C" w:rsidRDefault="00881587" w:rsidP="00C93CBD">
      <w:pPr>
        <w:jc w:val="center"/>
        <w:rPr>
          <w:rFonts w:cs="Arial"/>
          <w:b/>
        </w:rPr>
      </w:pPr>
    </w:p>
    <w:p w14:paraId="6C76FEB0" w14:textId="77777777" w:rsidR="00881587" w:rsidRPr="00654E6C" w:rsidRDefault="00881587" w:rsidP="00C93CBD">
      <w:pPr>
        <w:jc w:val="center"/>
        <w:rPr>
          <w:rFonts w:cs="Arial"/>
          <w:b/>
        </w:rPr>
      </w:pPr>
    </w:p>
    <w:p w14:paraId="54CD2DD3" w14:textId="77777777" w:rsidR="00881587" w:rsidRPr="00654E6C" w:rsidRDefault="00881587" w:rsidP="00C93CBD">
      <w:pPr>
        <w:jc w:val="center"/>
        <w:rPr>
          <w:rFonts w:cs="Arial"/>
          <w:b/>
        </w:rPr>
      </w:pPr>
    </w:p>
    <w:p w14:paraId="350CD018" w14:textId="77777777" w:rsidR="00881587" w:rsidRPr="00654E6C" w:rsidRDefault="00881587" w:rsidP="00C93CBD">
      <w:pPr>
        <w:jc w:val="center"/>
        <w:rPr>
          <w:rFonts w:cs="Arial"/>
        </w:rPr>
      </w:pPr>
    </w:p>
    <w:p w14:paraId="02CC03D9" w14:textId="77777777" w:rsidR="006E4CAE" w:rsidRPr="00654E6C" w:rsidRDefault="006E4CAE" w:rsidP="00C93CBD">
      <w:pPr>
        <w:rPr>
          <w:rFonts w:cs="Arial"/>
          <w:b/>
          <w:bCs/>
          <w:sz w:val="32"/>
          <w:szCs w:val="32"/>
        </w:rPr>
      </w:pPr>
    </w:p>
    <w:p w14:paraId="26A9EDA3" w14:textId="77777777" w:rsidR="00881587" w:rsidRPr="00654E6C" w:rsidRDefault="00881587" w:rsidP="00C93CBD">
      <w:pPr>
        <w:rPr>
          <w:rFonts w:cs="Arial"/>
          <w:b/>
          <w:bCs/>
          <w:sz w:val="32"/>
          <w:szCs w:val="32"/>
        </w:rPr>
      </w:pPr>
      <w:r w:rsidRPr="00654E6C">
        <w:rPr>
          <w:rFonts w:cs="Arial"/>
          <w:b/>
          <w:bCs/>
          <w:sz w:val="32"/>
          <w:szCs w:val="32"/>
        </w:rPr>
        <w:t>Student name: Ana-Maria Popescu</w:t>
      </w:r>
    </w:p>
    <w:p w14:paraId="5A858A9F" w14:textId="77777777" w:rsidR="00881587" w:rsidRPr="00654E6C" w:rsidRDefault="00881587" w:rsidP="00C93CBD">
      <w:pPr>
        <w:rPr>
          <w:rFonts w:cs="Arial"/>
          <w:b/>
          <w:bCs/>
          <w:sz w:val="32"/>
          <w:szCs w:val="32"/>
        </w:rPr>
      </w:pPr>
      <w:r w:rsidRPr="00654E6C">
        <w:rPr>
          <w:rFonts w:cs="Arial"/>
          <w:b/>
          <w:bCs/>
          <w:sz w:val="32"/>
          <w:szCs w:val="32"/>
        </w:rPr>
        <w:t>Student ID: 2128062</w:t>
      </w:r>
    </w:p>
    <w:p w14:paraId="67BC6004" w14:textId="58DA5CED" w:rsidR="006E4CAE" w:rsidRPr="00654E6C" w:rsidRDefault="00881587" w:rsidP="00C93CBD">
      <w:pPr>
        <w:rPr>
          <w:rFonts w:cs="Arial"/>
        </w:rPr>
      </w:pPr>
      <w:r w:rsidRPr="00654E6C">
        <w:rPr>
          <w:rFonts w:cs="Arial"/>
          <w:b/>
          <w:bCs/>
          <w:sz w:val="32"/>
          <w:szCs w:val="32"/>
        </w:rPr>
        <w:t xml:space="preserve">Lecturer name: </w:t>
      </w:r>
      <w:r w:rsidRPr="00654E6C">
        <w:rPr>
          <w:rFonts w:cs="Arial"/>
          <w:b/>
          <w:bCs/>
          <w:color w:val="1D2125"/>
          <w:sz w:val="32"/>
          <w:szCs w:val="32"/>
          <w:shd w:val="clear" w:color="auto" w:fill="FFFFFF"/>
        </w:rPr>
        <w:t>Dr Yousuf Kamal</w:t>
      </w:r>
      <w:r w:rsidR="006E4CAE" w:rsidRPr="00654E6C">
        <w:rPr>
          <w:rFonts w:cs="Arial"/>
        </w:rPr>
        <w:br w:type="page"/>
      </w:r>
    </w:p>
    <w:sdt>
      <w:sdtPr>
        <w:rPr>
          <w:rFonts w:eastAsiaTheme="minorHAnsi" w:cstheme="minorBidi"/>
          <w:sz w:val="22"/>
          <w:lang w:eastAsia="en-US"/>
        </w:rPr>
        <w:id w:val="505713573"/>
        <w:docPartObj>
          <w:docPartGallery w:val="Table of Contents"/>
          <w:docPartUnique/>
        </w:docPartObj>
      </w:sdtPr>
      <w:sdtEndPr>
        <w:rPr>
          <w:b w:val="0"/>
          <w:bCs w:val="0"/>
        </w:rPr>
      </w:sdtEndPr>
      <w:sdtContent>
        <w:p w14:paraId="40BC5E89" w14:textId="77777777" w:rsidR="00AC6D02" w:rsidRPr="00654E6C" w:rsidRDefault="00AC6D02" w:rsidP="00654E6C">
          <w:pPr>
            <w:pStyle w:val="TOCHeading"/>
          </w:pPr>
          <w:r w:rsidRPr="00654E6C">
            <w:t>Table of Contents</w:t>
          </w:r>
        </w:p>
        <w:p w14:paraId="15837986" w14:textId="77777777" w:rsidR="00E42907" w:rsidRPr="00654E6C" w:rsidRDefault="00AC6D02">
          <w:pPr>
            <w:pStyle w:val="TOC1"/>
            <w:tabs>
              <w:tab w:val="right" w:leader="dot" w:pos="9350"/>
            </w:tabs>
            <w:rPr>
              <w:rFonts w:asciiTheme="minorHAnsi" w:eastAsiaTheme="minorEastAsia" w:hAnsiTheme="minorHAnsi"/>
              <w:kern w:val="2"/>
              <w:szCs w:val="28"/>
              <w:lang w:bidi="bn-IN"/>
              <w14:ligatures w14:val="standardContextual"/>
            </w:rPr>
          </w:pPr>
          <w:r w:rsidRPr="00654E6C">
            <w:rPr>
              <w:rFonts w:cs="Arial"/>
            </w:rPr>
            <w:fldChar w:fldCharType="begin"/>
          </w:r>
          <w:r w:rsidRPr="00654E6C">
            <w:rPr>
              <w:rFonts w:cs="Arial"/>
            </w:rPr>
            <w:instrText xml:space="preserve"> TOC \o "1-3" \h \z \u </w:instrText>
          </w:r>
          <w:r w:rsidRPr="00654E6C">
            <w:rPr>
              <w:rFonts w:cs="Arial"/>
            </w:rPr>
            <w:fldChar w:fldCharType="separate"/>
          </w:r>
          <w:hyperlink w:anchor="_Toc169037647" w:history="1">
            <w:r w:rsidR="00E42907" w:rsidRPr="00654E6C">
              <w:rPr>
                <w:rStyle w:val="Hyperlink"/>
                <w:color w:val="auto"/>
              </w:rPr>
              <w:t>Introduction</w:t>
            </w:r>
            <w:r w:rsidR="00E42907" w:rsidRPr="00654E6C">
              <w:rPr>
                <w:webHidden/>
              </w:rPr>
              <w:tab/>
            </w:r>
            <w:r w:rsidR="00E42907" w:rsidRPr="00654E6C">
              <w:rPr>
                <w:webHidden/>
              </w:rPr>
              <w:fldChar w:fldCharType="begin"/>
            </w:r>
            <w:r w:rsidR="00E42907" w:rsidRPr="00654E6C">
              <w:rPr>
                <w:webHidden/>
              </w:rPr>
              <w:instrText xml:space="preserve"> PAGEREF _Toc169037647 \h </w:instrText>
            </w:r>
            <w:r w:rsidR="00E42907" w:rsidRPr="00654E6C">
              <w:rPr>
                <w:webHidden/>
              </w:rPr>
            </w:r>
            <w:r w:rsidR="00E42907" w:rsidRPr="00654E6C">
              <w:rPr>
                <w:webHidden/>
              </w:rPr>
              <w:fldChar w:fldCharType="separate"/>
            </w:r>
            <w:r w:rsidR="00E42907" w:rsidRPr="00654E6C">
              <w:rPr>
                <w:webHidden/>
              </w:rPr>
              <w:t>3</w:t>
            </w:r>
            <w:r w:rsidR="00E42907" w:rsidRPr="00654E6C">
              <w:rPr>
                <w:webHidden/>
              </w:rPr>
              <w:fldChar w:fldCharType="end"/>
            </w:r>
          </w:hyperlink>
        </w:p>
        <w:p w14:paraId="6FD9D5A8" w14:textId="77777777" w:rsidR="00E42907" w:rsidRPr="00654E6C" w:rsidRDefault="00000000">
          <w:pPr>
            <w:pStyle w:val="TOC1"/>
            <w:tabs>
              <w:tab w:val="right" w:leader="dot" w:pos="9350"/>
            </w:tabs>
            <w:rPr>
              <w:rFonts w:asciiTheme="minorHAnsi" w:eastAsiaTheme="minorEastAsia" w:hAnsiTheme="minorHAnsi"/>
              <w:kern w:val="2"/>
              <w:szCs w:val="28"/>
              <w:lang w:bidi="bn-IN"/>
              <w14:ligatures w14:val="standardContextual"/>
            </w:rPr>
          </w:pPr>
          <w:hyperlink w:anchor="_Toc169037648" w:history="1">
            <w:r w:rsidR="00E42907" w:rsidRPr="00654E6C">
              <w:rPr>
                <w:rStyle w:val="Hyperlink"/>
                <w:color w:val="auto"/>
              </w:rPr>
              <w:t>Discussion and Analysis</w:t>
            </w:r>
            <w:r w:rsidR="00E42907" w:rsidRPr="00654E6C">
              <w:rPr>
                <w:webHidden/>
              </w:rPr>
              <w:tab/>
            </w:r>
            <w:r w:rsidR="00E42907" w:rsidRPr="00654E6C">
              <w:rPr>
                <w:webHidden/>
              </w:rPr>
              <w:fldChar w:fldCharType="begin"/>
            </w:r>
            <w:r w:rsidR="00E42907" w:rsidRPr="00654E6C">
              <w:rPr>
                <w:webHidden/>
              </w:rPr>
              <w:instrText xml:space="preserve"> PAGEREF _Toc169037648 \h </w:instrText>
            </w:r>
            <w:r w:rsidR="00E42907" w:rsidRPr="00654E6C">
              <w:rPr>
                <w:webHidden/>
              </w:rPr>
            </w:r>
            <w:r w:rsidR="00E42907" w:rsidRPr="00654E6C">
              <w:rPr>
                <w:webHidden/>
              </w:rPr>
              <w:fldChar w:fldCharType="separate"/>
            </w:r>
            <w:r w:rsidR="00E42907" w:rsidRPr="00654E6C">
              <w:rPr>
                <w:webHidden/>
              </w:rPr>
              <w:t>5</w:t>
            </w:r>
            <w:r w:rsidR="00E42907" w:rsidRPr="00654E6C">
              <w:rPr>
                <w:webHidden/>
              </w:rPr>
              <w:fldChar w:fldCharType="end"/>
            </w:r>
          </w:hyperlink>
        </w:p>
        <w:p w14:paraId="12E66EEB" w14:textId="77777777" w:rsidR="00E42907" w:rsidRPr="00654E6C" w:rsidRDefault="00000000">
          <w:pPr>
            <w:pStyle w:val="TOC2"/>
            <w:tabs>
              <w:tab w:val="right" w:leader="dot" w:pos="9350"/>
            </w:tabs>
            <w:rPr>
              <w:rFonts w:asciiTheme="minorHAnsi" w:eastAsiaTheme="minorEastAsia" w:hAnsiTheme="minorHAnsi"/>
              <w:kern w:val="2"/>
              <w:szCs w:val="28"/>
              <w:lang w:bidi="bn-IN"/>
              <w14:ligatures w14:val="standardContextual"/>
            </w:rPr>
          </w:pPr>
          <w:hyperlink w:anchor="_Toc169037649" w:history="1">
            <w:r w:rsidR="00E42907" w:rsidRPr="00654E6C">
              <w:rPr>
                <w:rStyle w:val="Hyperlink"/>
                <w:rFonts w:cs="Arial"/>
                <w:color w:val="auto"/>
              </w:rPr>
              <w:t>Identifying and summarizing GlaxoSmithKline's corporate governance and CSR metrics</w:t>
            </w:r>
            <w:r w:rsidR="00E42907" w:rsidRPr="00654E6C">
              <w:rPr>
                <w:webHidden/>
              </w:rPr>
              <w:tab/>
            </w:r>
            <w:r w:rsidR="00E42907" w:rsidRPr="00654E6C">
              <w:rPr>
                <w:webHidden/>
              </w:rPr>
              <w:fldChar w:fldCharType="begin"/>
            </w:r>
            <w:r w:rsidR="00E42907" w:rsidRPr="00654E6C">
              <w:rPr>
                <w:webHidden/>
              </w:rPr>
              <w:instrText xml:space="preserve"> PAGEREF _Toc169037649 \h </w:instrText>
            </w:r>
            <w:r w:rsidR="00E42907" w:rsidRPr="00654E6C">
              <w:rPr>
                <w:webHidden/>
              </w:rPr>
            </w:r>
            <w:r w:rsidR="00E42907" w:rsidRPr="00654E6C">
              <w:rPr>
                <w:webHidden/>
              </w:rPr>
              <w:fldChar w:fldCharType="separate"/>
            </w:r>
            <w:r w:rsidR="00E42907" w:rsidRPr="00654E6C">
              <w:rPr>
                <w:webHidden/>
              </w:rPr>
              <w:t>5</w:t>
            </w:r>
            <w:r w:rsidR="00E42907" w:rsidRPr="00654E6C">
              <w:rPr>
                <w:webHidden/>
              </w:rPr>
              <w:fldChar w:fldCharType="end"/>
            </w:r>
          </w:hyperlink>
        </w:p>
        <w:p w14:paraId="2D39DB9A" w14:textId="77777777" w:rsidR="00E42907" w:rsidRPr="00654E6C" w:rsidRDefault="00000000">
          <w:pPr>
            <w:pStyle w:val="TOC2"/>
            <w:tabs>
              <w:tab w:val="right" w:leader="dot" w:pos="9350"/>
            </w:tabs>
            <w:rPr>
              <w:rFonts w:asciiTheme="minorHAnsi" w:eastAsiaTheme="minorEastAsia" w:hAnsiTheme="minorHAnsi"/>
              <w:kern w:val="2"/>
              <w:szCs w:val="28"/>
              <w:lang w:bidi="bn-IN"/>
              <w14:ligatures w14:val="standardContextual"/>
            </w:rPr>
          </w:pPr>
          <w:hyperlink w:anchor="_Toc169037650" w:history="1">
            <w:r w:rsidR="00E42907" w:rsidRPr="00654E6C">
              <w:rPr>
                <w:rStyle w:val="Hyperlink"/>
                <w:rFonts w:cs="Arial"/>
                <w:color w:val="auto"/>
              </w:rPr>
              <w:t>Addressing how corporate governance/CSR proxies affect firm performance</w:t>
            </w:r>
            <w:r w:rsidR="00E42907" w:rsidRPr="00654E6C">
              <w:rPr>
                <w:webHidden/>
              </w:rPr>
              <w:tab/>
            </w:r>
            <w:r w:rsidR="00E42907" w:rsidRPr="00654E6C">
              <w:rPr>
                <w:webHidden/>
              </w:rPr>
              <w:fldChar w:fldCharType="begin"/>
            </w:r>
            <w:r w:rsidR="00E42907" w:rsidRPr="00654E6C">
              <w:rPr>
                <w:webHidden/>
              </w:rPr>
              <w:instrText xml:space="preserve"> PAGEREF _Toc169037650 \h </w:instrText>
            </w:r>
            <w:r w:rsidR="00E42907" w:rsidRPr="00654E6C">
              <w:rPr>
                <w:webHidden/>
              </w:rPr>
            </w:r>
            <w:r w:rsidR="00E42907" w:rsidRPr="00654E6C">
              <w:rPr>
                <w:webHidden/>
              </w:rPr>
              <w:fldChar w:fldCharType="separate"/>
            </w:r>
            <w:r w:rsidR="00E42907" w:rsidRPr="00654E6C">
              <w:rPr>
                <w:webHidden/>
              </w:rPr>
              <w:t>7</w:t>
            </w:r>
            <w:r w:rsidR="00E42907" w:rsidRPr="00654E6C">
              <w:rPr>
                <w:webHidden/>
              </w:rPr>
              <w:fldChar w:fldCharType="end"/>
            </w:r>
          </w:hyperlink>
        </w:p>
        <w:p w14:paraId="1FAA7F8F" w14:textId="77777777" w:rsidR="00E42907" w:rsidRPr="00654E6C" w:rsidRDefault="00000000">
          <w:pPr>
            <w:pStyle w:val="TOC3"/>
            <w:tabs>
              <w:tab w:val="right" w:leader="dot" w:pos="9350"/>
            </w:tabs>
            <w:rPr>
              <w:rFonts w:asciiTheme="minorHAnsi" w:eastAsiaTheme="minorEastAsia" w:hAnsiTheme="minorHAnsi"/>
              <w:kern w:val="2"/>
              <w:szCs w:val="28"/>
              <w:lang w:bidi="bn-IN"/>
              <w14:ligatures w14:val="standardContextual"/>
            </w:rPr>
          </w:pPr>
          <w:hyperlink w:anchor="_Toc169037651" w:history="1">
            <w:r w:rsidR="00E42907" w:rsidRPr="00654E6C">
              <w:rPr>
                <w:rStyle w:val="Hyperlink"/>
                <w:rFonts w:cs="Arial"/>
                <w:color w:val="auto"/>
              </w:rPr>
              <w:t>Effects of Corporate Governance on Business Results</w:t>
            </w:r>
            <w:r w:rsidR="00E42907" w:rsidRPr="00654E6C">
              <w:rPr>
                <w:webHidden/>
              </w:rPr>
              <w:tab/>
            </w:r>
            <w:r w:rsidR="00E42907" w:rsidRPr="00654E6C">
              <w:rPr>
                <w:webHidden/>
              </w:rPr>
              <w:fldChar w:fldCharType="begin"/>
            </w:r>
            <w:r w:rsidR="00E42907" w:rsidRPr="00654E6C">
              <w:rPr>
                <w:webHidden/>
              </w:rPr>
              <w:instrText xml:space="preserve"> PAGEREF _Toc169037651 \h </w:instrText>
            </w:r>
            <w:r w:rsidR="00E42907" w:rsidRPr="00654E6C">
              <w:rPr>
                <w:webHidden/>
              </w:rPr>
            </w:r>
            <w:r w:rsidR="00E42907" w:rsidRPr="00654E6C">
              <w:rPr>
                <w:webHidden/>
              </w:rPr>
              <w:fldChar w:fldCharType="separate"/>
            </w:r>
            <w:r w:rsidR="00E42907" w:rsidRPr="00654E6C">
              <w:rPr>
                <w:webHidden/>
              </w:rPr>
              <w:t>7</w:t>
            </w:r>
            <w:r w:rsidR="00E42907" w:rsidRPr="00654E6C">
              <w:rPr>
                <w:webHidden/>
              </w:rPr>
              <w:fldChar w:fldCharType="end"/>
            </w:r>
          </w:hyperlink>
        </w:p>
        <w:p w14:paraId="6AEC57E7" w14:textId="77777777" w:rsidR="00E42907" w:rsidRPr="00654E6C" w:rsidRDefault="00000000">
          <w:pPr>
            <w:pStyle w:val="TOC3"/>
            <w:tabs>
              <w:tab w:val="right" w:leader="dot" w:pos="9350"/>
            </w:tabs>
            <w:rPr>
              <w:rFonts w:asciiTheme="minorHAnsi" w:eastAsiaTheme="minorEastAsia" w:hAnsiTheme="minorHAnsi"/>
              <w:kern w:val="2"/>
              <w:szCs w:val="28"/>
              <w:lang w:bidi="bn-IN"/>
              <w14:ligatures w14:val="standardContextual"/>
            </w:rPr>
          </w:pPr>
          <w:hyperlink w:anchor="_Toc169037652" w:history="1">
            <w:r w:rsidR="00E42907" w:rsidRPr="00654E6C">
              <w:rPr>
                <w:rStyle w:val="Hyperlink"/>
                <w:rFonts w:cs="Arial"/>
                <w:color w:val="auto"/>
              </w:rPr>
              <w:t>Effects of Corporate Social Responsibility on Business Outcomes</w:t>
            </w:r>
            <w:r w:rsidR="00E42907" w:rsidRPr="00654E6C">
              <w:rPr>
                <w:webHidden/>
              </w:rPr>
              <w:tab/>
            </w:r>
            <w:r w:rsidR="00E42907" w:rsidRPr="00654E6C">
              <w:rPr>
                <w:webHidden/>
              </w:rPr>
              <w:fldChar w:fldCharType="begin"/>
            </w:r>
            <w:r w:rsidR="00E42907" w:rsidRPr="00654E6C">
              <w:rPr>
                <w:webHidden/>
              </w:rPr>
              <w:instrText xml:space="preserve"> PAGEREF _Toc169037652 \h </w:instrText>
            </w:r>
            <w:r w:rsidR="00E42907" w:rsidRPr="00654E6C">
              <w:rPr>
                <w:webHidden/>
              </w:rPr>
            </w:r>
            <w:r w:rsidR="00E42907" w:rsidRPr="00654E6C">
              <w:rPr>
                <w:webHidden/>
              </w:rPr>
              <w:fldChar w:fldCharType="separate"/>
            </w:r>
            <w:r w:rsidR="00E42907" w:rsidRPr="00654E6C">
              <w:rPr>
                <w:webHidden/>
              </w:rPr>
              <w:t>8</w:t>
            </w:r>
            <w:r w:rsidR="00E42907" w:rsidRPr="00654E6C">
              <w:rPr>
                <w:webHidden/>
              </w:rPr>
              <w:fldChar w:fldCharType="end"/>
            </w:r>
          </w:hyperlink>
        </w:p>
        <w:p w14:paraId="07F539A6" w14:textId="77777777" w:rsidR="00E42907" w:rsidRPr="00654E6C" w:rsidRDefault="00000000">
          <w:pPr>
            <w:pStyle w:val="TOC1"/>
            <w:tabs>
              <w:tab w:val="right" w:leader="dot" w:pos="9350"/>
            </w:tabs>
            <w:rPr>
              <w:rFonts w:asciiTheme="minorHAnsi" w:eastAsiaTheme="minorEastAsia" w:hAnsiTheme="minorHAnsi"/>
              <w:kern w:val="2"/>
              <w:szCs w:val="28"/>
              <w:lang w:bidi="bn-IN"/>
              <w14:ligatures w14:val="standardContextual"/>
            </w:rPr>
          </w:pPr>
          <w:hyperlink w:anchor="_Toc169037653" w:history="1">
            <w:r w:rsidR="00E42907" w:rsidRPr="00654E6C">
              <w:rPr>
                <w:rStyle w:val="Hyperlink"/>
                <w:color w:val="auto"/>
              </w:rPr>
              <w:t>Conclusion</w:t>
            </w:r>
            <w:r w:rsidR="00E42907" w:rsidRPr="00654E6C">
              <w:rPr>
                <w:webHidden/>
              </w:rPr>
              <w:tab/>
            </w:r>
            <w:r w:rsidR="00E42907" w:rsidRPr="00654E6C">
              <w:rPr>
                <w:webHidden/>
              </w:rPr>
              <w:fldChar w:fldCharType="begin"/>
            </w:r>
            <w:r w:rsidR="00E42907" w:rsidRPr="00654E6C">
              <w:rPr>
                <w:webHidden/>
              </w:rPr>
              <w:instrText xml:space="preserve"> PAGEREF _Toc169037653 \h </w:instrText>
            </w:r>
            <w:r w:rsidR="00E42907" w:rsidRPr="00654E6C">
              <w:rPr>
                <w:webHidden/>
              </w:rPr>
            </w:r>
            <w:r w:rsidR="00E42907" w:rsidRPr="00654E6C">
              <w:rPr>
                <w:webHidden/>
              </w:rPr>
              <w:fldChar w:fldCharType="separate"/>
            </w:r>
            <w:r w:rsidR="00E42907" w:rsidRPr="00654E6C">
              <w:rPr>
                <w:webHidden/>
              </w:rPr>
              <w:t>10</w:t>
            </w:r>
            <w:r w:rsidR="00E42907" w:rsidRPr="00654E6C">
              <w:rPr>
                <w:webHidden/>
              </w:rPr>
              <w:fldChar w:fldCharType="end"/>
            </w:r>
          </w:hyperlink>
        </w:p>
        <w:p w14:paraId="65B14B2D" w14:textId="77777777" w:rsidR="00E42907" w:rsidRPr="00654E6C" w:rsidRDefault="00000000">
          <w:pPr>
            <w:pStyle w:val="TOC1"/>
            <w:tabs>
              <w:tab w:val="right" w:leader="dot" w:pos="9350"/>
            </w:tabs>
            <w:rPr>
              <w:rFonts w:asciiTheme="minorHAnsi" w:eastAsiaTheme="minorEastAsia" w:hAnsiTheme="minorHAnsi"/>
              <w:kern w:val="2"/>
              <w:szCs w:val="28"/>
              <w:lang w:bidi="bn-IN"/>
              <w14:ligatures w14:val="standardContextual"/>
            </w:rPr>
          </w:pPr>
          <w:hyperlink w:anchor="_Toc169037654" w:history="1">
            <w:r w:rsidR="00E42907" w:rsidRPr="00654E6C">
              <w:rPr>
                <w:rStyle w:val="Hyperlink"/>
                <w:color w:val="auto"/>
              </w:rPr>
              <w:t>References</w:t>
            </w:r>
            <w:r w:rsidR="00E42907" w:rsidRPr="00654E6C">
              <w:rPr>
                <w:webHidden/>
              </w:rPr>
              <w:tab/>
            </w:r>
            <w:r w:rsidR="00E42907" w:rsidRPr="00654E6C">
              <w:rPr>
                <w:webHidden/>
              </w:rPr>
              <w:fldChar w:fldCharType="begin"/>
            </w:r>
            <w:r w:rsidR="00E42907" w:rsidRPr="00654E6C">
              <w:rPr>
                <w:webHidden/>
              </w:rPr>
              <w:instrText xml:space="preserve"> PAGEREF _Toc169037654 \h </w:instrText>
            </w:r>
            <w:r w:rsidR="00E42907" w:rsidRPr="00654E6C">
              <w:rPr>
                <w:webHidden/>
              </w:rPr>
            </w:r>
            <w:r w:rsidR="00E42907" w:rsidRPr="00654E6C">
              <w:rPr>
                <w:webHidden/>
              </w:rPr>
              <w:fldChar w:fldCharType="separate"/>
            </w:r>
            <w:r w:rsidR="00E42907" w:rsidRPr="00654E6C">
              <w:rPr>
                <w:webHidden/>
              </w:rPr>
              <w:t>11</w:t>
            </w:r>
            <w:r w:rsidR="00E42907" w:rsidRPr="00654E6C">
              <w:rPr>
                <w:webHidden/>
              </w:rPr>
              <w:fldChar w:fldCharType="end"/>
            </w:r>
          </w:hyperlink>
        </w:p>
        <w:p w14:paraId="5D9DEE30" w14:textId="77777777" w:rsidR="00AC6D02" w:rsidRPr="00654E6C" w:rsidRDefault="00AC6D02" w:rsidP="00C93CBD">
          <w:pPr>
            <w:rPr>
              <w:rFonts w:cs="Arial"/>
            </w:rPr>
          </w:pPr>
          <w:r w:rsidRPr="00654E6C">
            <w:rPr>
              <w:rFonts w:cs="Arial"/>
              <w:b/>
              <w:bCs/>
            </w:rPr>
            <w:fldChar w:fldCharType="end"/>
          </w:r>
        </w:p>
      </w:sdtContent>
    </w:sdt>
    <w:p w14:paraId="0EC79669" w14:textId="77777777" w:rsidR="006E4CAE" w:rsidRPr="00654E6C" w:rsidRDefault="006E4CAE" w:rsidP="00C93CBD">
      <w:pPr>
        <w:rPr>
          <w:rFonts w:cs="Arial"/>
        </w:rPr>
      </w:pPr>
      <w:r w:rsidRPr="00654E6C">
        <w:rPr>
          <w:rFonts w:cs="Arial"/>
        </w:rPr>
        <w:br w:type="page"/>
      </w:r>
    </w:p>
    <w:p w14:paraId="19E1EDFF" w14:textId="77777777" w:rsidR="0056331B" w:rsidRPr="00654E6C" w:rsidRDefault="0056331B" w:rsidP="00C93CBD">
      <w:pPr>
        <w:pStyle w:val="Title"/>
        <w:spacing w:line="360" w:lineRule="auto"/>
        <w:jc w:val="center"/>
        <w:rPr>
          <w:rFonts w:ascii="Arial" w:hAnsi="Arial" w:cs="Arial"/>
          <w:b/>
          <w:color w:val="auto"/>
          <w:sz w:val="28"/>
          <w:szCs w:val="28"/>
        </w:rPr>
      </w:pPr>
      <w:r w:rsidRPr="00654E6C">
        <w:rPr>
          <w:rFonts w:ascii="Arial" w:hAnsi="Arial" w:cs="Arial"/>
          <w:b/>
          <w:color w:val="auto"/>
          <w:sz w:val="28"/>
          <w:szCs w:val="28"/>
        </w:rPr>
        <w:lastRenderedPageBreak/>
        <w:t>"The effect of corporate social responsibility and governing practices on business performance"</w:t>
      </w:r>
    </w:p>
    <w:p w14:paraId="0B741DCA" w14:textId="77777777" w:rsidR="0056331B" w:rsidRPr="00654E6C" w:rsidRDefault="0056331B" w:rsidP="00654E6C">
      <w:pPr>
        <w:pStyle w:val="Heading1"/>
      </w:pPr>
      <w:bookmarkStart w:id="0" w:name="_Toc169037647"/>
      <w:r w:rsidRPr="00654E6C">
        <w:t>Introduction</w:t>
      </w:r>
      <w:bookmarkEnd w:id="0"/>
    </w:p>
    <w:p w14:paraId="00A7932C" w14:textId="62468057" w:rsidR="0056331B" w:rsidRPr="00654E6C" w:rsidRDefault="0056331B" w:rsidP="00C93CBD">
      <w:pPr>
        <w:rPr>
          <w:rFonts w:cs="Arial"/>
        </w:rPr>
      </w:pPr>
      <w:r w:rsidRPr="00654E6C">
        <w:rPr>
          <w:rFonts w:cs="Arial"/>
        </w:rPr>
        <w:t xml:space="preserve">Investors, authorities, and the </w:t>
      </w:r>
      <w:r w:rsidR="00654E6C" w:rsidRPr="00654E6C">
        <w:rPr>
          <w:rFonts w:cs="Arial"/>
        </w:rPr>
        <w:t>public</w:t>
      </w:r>
      <w:r w:rsidRPr="00654E6C">
        <w:rPr>
          <w:rFonts w:cs="Arial"/>
        </w:rPr>
        <w:t xml:space="preserve"> now emphasize corporate governance and CSR as factors to assess publicly listed companies' long-term viability and efficiency (Saïd, Sevic, and Phillips, 2019). GlaxoSmithKline, like many other prominent pharmaceutical companies worldwide, pursues this trend. GlaxoSmithKline plc is among the front-runners. Company headquarters </w:t>
      </w:r>
      <w:r w:rsidR="00654E6C" w:rsidRPr="00654E6C">
        <w:rPr>
          <w:rFonts w:cs="Arial"/>
        </w:rPr>
        <w:t>are in</w:t>
      </w:r>
      <w:r w:rsidRPr="00654E6C">
        <w:rPr>
          <w:rFonts w:cs="Arial"/>
        </w:rPr>
        <w:t xml:space="preserve"> London, UK. This study aims to look at the data showing how GlaxoSmithKline's CSR and corporate governance measures influenced the company's bottom line. As per the third annual Good Governance Index (GGI), GSK was identified as the least good company among other companies in the FTSE 100. This ranking was based on the company's performance with 47 indicators that were classified into five broad classifications. These classifications included effectiveness of boards, audit and risk/external transparency, compensation, and shareholder and interaction with stakeholders (Barnett et al. 2020). Here we can see the revenue forecast for pharmaceutical business GlaxoSmithKline (GSK) from 2006 to 2023. In the pharmaceutical sector, </w:t>
      </w:r>
      <w:r w:rsidR="00654E6C" w:rsidRPr="00654E6C">
        <w:rPr>
          <w:rFonts w:cs="Arial"/>
        </w:rPr>
        <w:t>according</w:t>
      </w:r>
      <w:r w:rsidRPr="00654E6C">
        <w:rPr>
          <w:rFonts w:cs="Arial"/>
        </w:rPr>
        <w:t xml:space="preserve"> to Mikulic (2024), the company's sales increased from 29.3 billion British pounds in 2022 to 30.3 billion in 2023. This decrease in revenue is a direct result of the demerger of GSK's consumer healthcare business that took place in the middle of 2022.</w:t>
      </w:r>
    </w:p>
    <w:p w14:paraId="37C5A8B8" w14:textId="77777777" w:rsidR="00CC3224" w:rsidRPr="00654E6C" w:rsidRDefault="00CC3224" w:rsidP="00C93CBD">
      <w:pPr>
        <w:keepNext/>
        <w:jc w:val="center"/>
        <w:rPr>
          <w:rFonts w:cs="Arial"/>
        </w:rPr>
      </w:pPr>
      <w:r w:rsidRPr="00654E6C">
        <w:rPr>
          <w:rFonts w:cs="Arial"/>
        </w:rPr>
        <w:drawing>
          <wp:inline distT="0" distB="0" distL="0" distR="0" wp14:anchorId="1E0D355F" wp14:editId="7BC52DD6">
            <wp:extent cx="4712970" cy="2552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31902" cy="2562954"/>
                    </a:xfrm>
                    <a:prstGeom prst="rect">
                      <a:avLst/>
                    </a:prstGeom>
                  </pic:spPr>
                </pic:pic>
              </a:graphicData>
            </a:graphic>
          </wp:inline>
        </w:drawing>
      </w:r>
    </w:p>
    <w:p w14:paraId="34E67B5B" w14:textId="77777777" w:rsidR="00CC3224" w:rsidRPr="00654E6C" w:rsidRDefault="00CC3224" w:rsidP="00C93CBD">
      <w:pPr>
        <w:pStyle w:val="Caption"/>
        <w:spacing w:line="360" w:lineRule="auto"/>
        <w:jc w:val="center"/>
        <w:rPr>
          <w:rFonts w:cs="Arial"/>
          <w:b w:val="0"/>
          <w:i/>
          <w:color w:val="auto"/>
          <w:sz w:val="22"/>
          <w:szCs w:val="22"/>
        </w:rPr>
      </w:pPr>
      <w:r w:rsidRPr="00654E6C">
        <w:rPr>
          <w:rFonts w:cs="Arial"/>
          <w:b w:val="0"/>
          <w:i/>
          <w:color w:val="auto"/>
          <w:sz w:val="22"/>
          <w:szCs w:val="22"/>
        </w:rPr>
        <w:t xml:space="preserve">Figure </w:t>
      </w:r>
      <w:r w:rsidRPr="00654E6C">
        <w:rPr>
          <w:rFonts w:cs="Arial"/>
          <w:b w:val="0"/>
          <w:i/>
          <w:color w:val="auto"/>
          <w:sz w:val="22"/>
          <w:szCs w:val="22"/>
        </w:rPr>
        <w:fldChar w:fldCharType="begin"/>
      </w:r>
      <w:r w:rsidRPr="00654E6C">
        <w:rPr>
          <w:rFonts w:cs="Arial"/>
          <w:b w:val="0"/>
          <w:i/>
          <w:color w:val="auto"/>
          <w:sz w:val="22"/>
          <w:szCs w:val="22"/>
        </w:rPr>
        <w:instrText xml:space="preserve"> SEQ Figure \* ARABIC </w:instrText>
      </w:r>
      <w:r w:rsidRPr="00654E6C">
        <w:rPr>
          <w:rFonts w:cs="Arial"/>
          <w:b w:val="0"/>
          <w:i/>
          <w:color w:val="auto"/>
          <w:sz w:val="22"/>
          <w:szCs w:val="22"/>
        </w:rPr>
        <w:fldChar w:fldCharType="separate"/>
      </w:r>
      <w:r w:rsidR="005F7903" w:rsidRPr="00654E6C">
        <w:rPr>
          <w:rFonts w:cs="Arial"/>
          <w:b w:val="0"/>
          <w:i/>
          <w:color w:val="auto"/>
          <w:sz w:val="22"/>
          <w:szCs w:val="22"/>
        </w:rPr>
        <w:t>1</w:t>
      </w:r>
      <w:r w:rsidRPr="00654E6C">
        <w:rPr>
          <w:rFonts w:cs="Arial"/>
          <w:b w:val="0"/>
          <w:i/>
          <w:color w:val="auto"/>
          <w:sz w:val="22"/>
          <w:szCs w:val="22"/>
        </w:rPr>
        <w:fldChar w:fldCharType="end"/>
      </w:r>
      <w:r w:rsidRPr="00654E6C">
        <w:rPr>
          <w:rFonts w:cs="Arial"/>
          <w:b w:val="0"/>
          <w:i/>
          <w:color w:val="auto"/>
          <w:sz w:val="22"/>
          <w:szCs w:val="22"/>
        </w:rPr>
        <w:t>: GSK's revenue</w:t>
      </w:r>
      <w:r w:rsidR="00620381" w:rsidRPr="00654E6C">
        <w:rPr>
          <w:rFonts w:cs="Arial"/>
          <w:b w:val="0"/>
          <w:i/>
          <w:color w:val="auto"/>
          <w:sz w:val="22"/>
          <w:szCs w:val="22"/>
        </w:rPr>
        <w:t xml:space="preserve"> (Mikulic, 2024)</w:t>
      </w:r>
    </w:p>
    <w:p w14:paraId="09170F34" w14:textId="053F2DFB" w:rsidR="00E129D3" w:rsidRPr="00654E6C" w:rsidRDefault="00E129D3" w:rsidP="00C93CBD">
      <w:pPr>
        <w:rPr>
          <w:rFonts w:cs="Arial"/>
        </w:rPr>
      </w:pPr>
      <w:r w:rsidRPr="00654E6C">
        <w:rPr>
          <w:rFonts w:cs="Arial"/>
        </w:rPr>
        <w:lastRenderedPageBreak/>
        <w:t xml:space="preserve">The evaluation of corporate governance aspects should focus on the following: the hierarchy of leadership of the business, the form and composition of the board of directors, and the rights granted to shareholders (Demir and Min, 2019). The study will focus on the corporate social responsibility metrics of GlaxoSmithKline as they relate to government, society, and the environment. The paper will </w:t>
      </w:r>
      <w:r w:rsidR="00654E6C" w:rsidRPr="00654E6C">
        <w:rPr>
          <w:rFonts w:cs="Arial"/>
        </w:rPr>
        <w:t>analyse</w:t>
      </w:r>
      <w:r w:rsidRPr="00654E6C">
        <w:rPr>
          <w:rFonts w:cs="Arial"/>
        </w:rPr>
        <w:t xml:space="preserve"> GlaxoSmithKline's financial outcomes, productivity, and sustainable future through the perspective of these several corporate governance</w:t>
      </w:r>
      <w:r w:rsidR="00326CB6" w:rsidRPr="00654E6C">
        <w:rPr>
          <w:rFonts w:cs="Arial"/>
        </w:rPr>
        <w:t>s</w:t>
      </w:r>
      <w:r w:rsidRPr="00654E6C">
        <w:rPr>
          <w:rFonts w:cs="Arial"/>
        </w:rPr>
        <w:t xml:space="preserve"> and CSR indicators. It will do so by reviewing established literature and marketplace standards.</w:t>
      </w:r>
    </w:p>
    <w:p w14:paraId="54AEF9C2" w14:textId="77777777" w:rsidR="00E129D3" w:rsidRPr="00654E6C" w:rsidRDefault="00E129D3" w:rsidP="00C93CBD">
      <w:pPr>
        <w:rPr>
          <w:rFonts w:eastAsiaTheme="majorEastAsia" w:cs="Arial"/>
          <w:b/>
          <w:bCs/>
        </w:rPr>
      </w:pPr>
      <w:r w:rsidRPr="00654E6C">
        <w:rPr>
          <w:rFonts w:cs="Arial"/>
        </w:rPr>
        <w:br w:type="page"/>
      </w:r>
    </w:p>
    <w:p w14:paraId="57B06656" w14:textId="77777777" w:rsidR="00E129D3" w:rsidRPr="00654E6C" w:rsidRDefault="00E129D3" w:rsidP="00654E6C">
      <w:pPr>
        <w:pStyle w:val="Heading1"/>
      </w:pPr>
      <w:bookmarkStart w:id="1" w:name="_Toc169037648"/>
      <w:r w:rsidRPr="00654E6C">
        <w:lastRenderedPageBreak/>
        <w:t>Discussion and Analysis</w:t>
      </w:r>
      <w:bookmarkEnd w:id="1"/>
    </w:p>
    <w:p w14:paraId="2552C96F" w14:textId="77777777" w:rsidR="00E129D3" w:rsidRPr="00654E6C" w:rsidRDefault="00E129D3" w:rsidP="00C93CBD">
      <w:pPr>
        <w:pStyle w:val="Heading2"/>
        <w:rPr>
          <w:rFonts w:ascii="Arial" w:hAnsi="Arial" w:cs="Arial"/>
          <w:color w:val="auto"/>
          <w:sz w:val="22"/>
          <w:szCs w:val="22"/>
        </w:rPr>
      </w:pPr>
      <w:bookmarkStart w:id="2" w:name="_Toc169037649"/>
      <w:r w:rsidRPr="00654E6C">
        <w:rPr>
          <w:rFonts w:ascii="Arial" w:hAnsi="Arial" w:cs="Arial"/>
          <w:color w:val="auto"/>
          <w:sz w:val="22"/>
          <w:szCs w:val="22"/>
        </w:rPr>
        <w:t>Identifying and summarizing GlaxoSmithKline's corporate governance and CSR metrics</w:t>
      </w:r>
      <w:bookmarkEnd w:id="2"/>
    </w:p>
    <w:p w14:paraId="74067925" w14:textId="77777777" w:rsidR="00E129D3" w:rsidRPr="00654E6C" w:rsidRDefault="00E129D3" w:rsidP="00C93CBD">
      <w:pPr>
        <w:rPr>
          <w:rFonts w:cs="Arial"/>
        </w:rPr>
      </w:pPr>
      <w:r w:rsidRPr="00654E6C">
        <w:rPr>
          <w:rFonts w:cs="Arial"/>
        </w:rPr>
        <w:t>An in-depth summary of the most important corporate governance and corporate social responsibility metrics that are pertinent to GlaxoSmithKline is as follows:</w:t>
      </w:r>
    </w:p>
    <w:p w14:paraId="376267C5" w14:textId="77777777" w:rsidR="00E129D3" w:rsidRPr="00654E6C" w:rsidRDefault="00E129D3" w:rsidP="00C93CBD">
      <w:pPr>
        <w:rPr>
          <w:rFonts w:cs="Arial"/>
          <w:b/>
        </w:rPr>
      </w:pPr>
      <w:r w:rsidRPr="00654E6C">
        <w:rPr>
          <w:rFonts w:cs="Arial"/>
          <w:b/>
        </w:rPr>
        <w:t>Metrics for Corporate Governance:</w:t>
      </w:r>
    </w:p>
    <w:p w14:paraId="5533B6A0" w14:textId="77777777" w:rsidR="00E129D3" w:rsidRPr="00654E6C" w:rsidRDefault="00E129D3" w:rsidP="00C93CBD">
      <w:pPr>
        <w:pStyle w:val="ListParagraph"/>
        <w:numPr>
          <w:ilvl w:val="0"/>
          <w:numId w:val="2"/>
        </w:numPr>
        <w:rPr>
          <w:rFonts w:cs="Arial"/>
        </w:rPr>
      </w:pPr>
      <w:r w:rsidRPr="00654E6C">
        <w:rPr>
          <w:rFonts w:cs="Arial"/>
          <w:b/>
        </w:rPr>
        <w:t>Members and Organizational Structure of the Board:</w:t>
      </w:r>
      <w:r w:rsidRPr="00654E6C">
        <w:rPr>
          <w:rFonts w:cs="Arial"/>
        </w:rPr>
        <w:t xml:space="preserve"> GlaxoSmithKline operates with a board of directors that consists of thirteen individuals, which is within the ideal range that has been established in research studies. As reported by </w:t>
      </w:r>
      <w:proofErr w:type="spellStart"/>
      <w:r w:rsidRPr="00654E6C">
        <w:rPr>
          <w:rFonts w:cs="Arial"/>
        </w:rPr>
        <w:t>Naciti</w:t>
      </w:r>
      <w:proofErr w:type="spellEnd"/>
      <w:r w:rsidRPr="00654E6C">
        <w:rPr>
          <w:rFonts w:cs="Arial"/>
        </w:rPr>
        <w:t xml:space="preserve">, </w:t>
      </w:r>
      <w:proofErr w:type="spellStart"/>
      <w:r w:rsidRPr="00654E6C">
        <w:rPr>
          <w:rFonts w:cs="Arial"/>
        </w:rPr>
        <w:t>Cesaroni</w:t>
      </w:r>
      <w:proofErr w:type="spellEnd"/>
      <w:r w:rsidRPr="00654E6C">
        <w:rPr>
          <w:rFonts w:cs="Arial"/>
        </w:rPr>
        <w:t xml:space="preserve">, and </w:t>
      </w:r>
      <w:proofErr w:type="spellStart"/>
      <w:r w:rsidRPr="00654E6C">
        <w:rPr>
          <w:rFonts w:cs="Arial"/>
        </w:rPr>
        <w:t>Pulejo</w:t>
      </w:r>
      <w:proofErr w:type="spellEnd"/>
      <w:r w:rsidRPr="00654E6C">
        <w:rPr>
          <w:rFonts w:cs="Arial"/>
        </w:rPr>
        <w:t xml:space="preserve"> (2022), GlaxoSmithKline has a somewhat higher percentage of non-executives who are independent than the norm for the industry. With 38% women on the board and participation from a wide range of ages, backgrounds, and disciplines of competence, the board is very diverse (Barnett et al. 2020).</w:t>
      </w:r>
    </w:p>
    <w:p w14:paraId="3BF1EB98" w14:textId="77777777" w:rsidR="00E129D3" w:rsidRPr="00654E6C" w:rsidRDefault="00E129D3" w:rsidP="00C93CBD">
      <w:pPr>
        <w:pStyle w:val="ListParagraph"/>
        <w:numPr>
          <w:ilvl w:val="0"/>
          <w:numId w:val="2"/>
        </w:numPr>
        <w:rPr>
          <w:rFonts w:cs="Arial"/>
        </w:rPr>
      </w:pPr>
      <w:r w:rsidRPr="00654E6C">
        <w:rPr>
          <w:rFonts w:cs="Arial"/>
          <w:b/>
        </w:rPr>
        <w:t xml:space="preserve">Hierarchy of Leadership: </w:t>
      </w:r>
      <w:r w:rsidRPr="00654E6C">
        <w:rPr>
          <w:rFonts w:cs="Arial"/>
        </w:rPr>
        <w:t>The responsibilities of the chief executive officer and chair of the board of GlaxoSmithKline are kept distinct to facilitate independent corporate scrutiny. The managerial remuneration structure of the company includes a sizeable element that is connected to incentive programs based on performance, which assists in bringing together the interests of management with those of shareholders (Neves Correia, 2019).</w:t>
      </w:r>
    </w:p>
    <w:p w14:paraId="4AE80D65" w14:textId="77777777" w:rsidR="00E129D3" w:rsidRPr="00654E6C" w:rsidRDefault="00E129D3" w:rsidP="00C93CBD">
      <w:pPr>
        <w:pStyle w:val="ListParagraph"/>
        <w:numPr>
          <w:ilvl w:val="0"/>
          <w:numId w:val="2"/>
        </w:numPr>
        <w:rPr>
          <w:rFonts w:cs="Arial"/>
        </w:rPr>
      </w:pPr>
      <w:r w:rsidRPr="00654E6C">
        <w:rPr>
          <w:rFonts w:cs="Arial"/>
          <w:b/>
        </w:rPr>
        <w:t>Rights of Shareholders:</w:t>
      </w:r>
      <w:r w:rsidRPr="00654E6C">
        <w:rPr>
          <w:rFonts w:cs="Arial"/>
        </w:rPr>
        <w:t xml:space="preserve"> GlaxoSmithKline's shareholders can evaluate in on major company decisions because of the comprehensive voting system in place. The company has been impacted by a certain degree of opposition from shareholders, which has the potential to apply management demands to enhance governance and the effectiveness of operations.</w:t>
      </w:r>
    </w:p>
    <w:p w14:paraId="4356BA1A" w14:textId="77777777" w:rsidR="00E129D3" w:rsidRPr="00654E6C" w:rsidRDefault="00E129D3" w:rsidP="00C93CBD">
      <w:pPr>
        <w:rPr>
          <w:rFonts w:cs="Arial"/>
          <w:b/>
        </w:rPr>
      </w:pPr>
      <w:r w:rsidRPr="00654E6C">
        <w:rPr>
          <w:rFonts w:cs="Arial"/>
          <w:b/>
        </w:rPr>
        <w:t>Metrics for CSR</w:t>
      </w:r>
    </w:p>
    <w:p w14:paraId="712E4C30" w14:textId="4A48C841" w:rsidR="00E129D3" w:rsidRPr="00654E6C" w:rsidRDefault="00E129D3" w:rsidP="00C93CBD">
      <w:pPr>
        <w:pStyle w:val="ListParagraph"/>
        <w:numPr>
          <w:ilvl w:val="0"/>
          <w:numId w:val="2"/>
        </w:numPr>
        <w:rPr>
          <w:rFonts w:cs="Arial"/>
        </w:rPr>
      </w:pPr>
      <w:r w:rsidRPr="00654E6C">
        <w:rPr>
          <w:rFonts w:cs="Arial"/>
          <w:b/>
        </w:rPr>
        <w:t>Environmental Efficiency:</w:t>
      </w:r>
      <w:r w:rsidRPr="00654E6C">
        <w:rPr>
          <w:rFonts w:cs="Arial"/>
        </w:rPr>
        <w:t xml:space="preserve"> The pharmaceutical company GlaxoSmithKline has established goals to reduce its greenhouse gas emissions from Scope 1 and Scope 2, which will result in cost savings and improved operational efficiency. As noted by Rizhamadze (2020), the company's commitment to environmental friendliness has been strengthened by increasing its utilization of sources of renewable energy. The environmental impact of GlaxoSmithKline has been minimized </w:t>
      </w:r>
      <w:r w:rsidR="00654E6C" w:rsidRPr="00654E6C">
        <w:rPr>
          <w:rFonts w:cs="Arial"/>
        </w:rPr>
        <w:t>because of</w:t>
      </w:r>
      <w:r w:rsidRPr="00654E6C">
        <w:rPr>
          <w:rFonts w:cs="Arial"/>
        </w:rPr>
        <w:t xml:space="preserve"> the company's initiatives to decrease, recycle, and ethically eliminate trash.</w:t>
      </w:r>
    </w:p>
    <w:p w14:paraId="182DB7FD" w14:textId="1652F6BE" w:rsidR="00E129D3" w:rsidRPr="00654E6C" w:rsidRDefault="00E129D3" w:rsidP="00C93CBD">
      <w:pPr>
        <w:pStyle w:val="ListParagraph"/>
        <w:numPr>
          <w:ilvl w:val="0"/>
          <w:numId w:val="2"/>
        </w:numPr>
        <w:rPr>
          <w:rFonts w:cs="Arial"/>
        </w:rPr>
      </w:pPr>
      <w:r w:rsidRPr="00654E6C">
        <w:rPr>
          <w:rFonts w:cs="Arial"/>
          <w:b/>
        </w:rPr>
        <w:lastRenderedPageBreak/>
        <w:t>Social Efficiency:</w:t>
      </w:r>
      <w:r w:rsidRPr="00654E6C">
        <w:rPr>
          <w:rFonts w:cs="Arial"/>
        </w:rPr>
        <w:t xml:space="preserve"> Employee satisfaction, efficiency, and retention are all encouraged by the company's generous advantages and competitive pay (Galan-</w:t>
      </w:r>
      <w:proofErr w:type="spellStart"/>
      <w:r w:rsidRPr="00654E6C">
        <w:rPr>
          <w:rFonts w:cs="Arial"/>
        </w:rPr>
        <w:t>Ladero</w:t>
      </w:r>
      <w:proofErr w:type="spellEnd"/>
      <w:r w:rsidRPr="00654E6C">
        <w:rPr>
          <w:rFonts w:cs="Arial"/>
        </w:rPr>
        <w:t xml:space="preserve"> and Galera-Casquet, 2019). The social authorization to conduct business and stakeholder ties of GlaxoSmithKline has been strengthened </w:t>
      </w:r>
      <w:r w:rsidR="00654E6C" w:rsidRPr="00654E6C">
        <w:rPr>
          <w:rFonts w:cs="Arial"/>
        </w:rPr>
        <w:t>because of</w:t>
      </w:r>
      <w:r w:rsidRPr="00654E6C">
        <w:rPr>
          <w:rFonts w:cs="Arial"/>
        </w:rPr>
        <w:t xml:space="preserve"> the company's philanthropic endeavo</w:t>
      </w:r>
      <w:r w:rsidR="00326CB6" w:rsidRPr="00654E6C">
        <w:rPr>
          <w:rFonts w:cs="Arial"/>
        </w:rPr>
        <w:t>u</w:t>
      </w:r>
      <w:r w:rsidRPr="00654E6C">
        <w:rPr>
          <w:rFonts w:cs="Arial"/>
        </w:rPr>
        <w:t>rs and outreach efforts in the community.</w:t>
      </w:r>
    </w:p>
    <w:p w14:paraId="2CF823C7" w14:textId="77777777" w:rsidR="00E129D3" w:rsidRPr="00654E6C" w:rsidRDefault="00E129D3" w:rsidP="00E421FA">
      <w:pPr>
        <w:pStyle w:val="ListParagraph"/>
        <w:numPr>
          <w:ilvl w:val="0"/>
          <w:numId w:val="2"/>
        </w:numPr>
        <w:rPr>
          <w:rFonts w:eastAsiaTheme="majorEastAsia" w:cs="Arial"/>
          <w:b/>
          <w:bCs/>
        </w:rPr>
      </w:pPr>
      <w:r w:rsidRPr="00654E6C">
        <w:rPr>
          <w:rFonts w:cs="Arial"/>
          <w:b/>
        </w:rPr>
        <w:t>Evaluation of Governance:</w:t>
      </w:r>
      <w:r w:rsidRPr="00654E6C">
        <w:rPr>
          <w:rFonts w:cs="Arial"/>
        </w:rPr>
        <w:t xml:space="preserve"> Strong anti-corruption procedures and whistleblowing protection measures have been implemented by the organization, which can help reduce the company's vulnerability to legal and reputable threats. </w:t>
      </w:r>
      <w:r w:rsidR="00E421FA" w:rsidRPr="00654E6C">
        <w:rPr>
          <w:rFonts w:cs="Arial"/>
        </w:rPr>
        <w:t xml:space="preserve">In the opinion of </w:t>
      </w:r>
      <w:proofErr w:type="spellStart"/>
      <w:r w:rsidR="00E421FA" w:rsidRPr="00654E6C">
        <w:rPr>
          <w:rFonts w:cs="Arial"/>
        </w:rPr>
        <w:t>Naciti</w:t>
      </w:r>
      <w:proofErr w:type="spellEnd"/>
      <w:r w:rsidR="00E421FA" w:rsidRPr="00654E6C">
        <w:rPr>
          <w:rFonts w:cs="Arial"/>
        </w:rPr>
        <w:t xml:space="preserve">, </w:t>
      </w:r>
      <w:proofErr w:type="spellStart"/>
      <w:r w:rsidR="00E421FA" w:rsidRPr="00654E6C">
        <w:rPr>
          <w:rFonts w:cs="Arial"/>
        </w:rPr>
        <w:t>Cesaroni</w:t>
      </w:r>
      <w:proofErr w:type="spellEnd"/>
      <w:r w:rsidR="00E421FA" w:rsidRPr="00654E6C">
        <w:rPr>
          <w:rFonts w:cs="Arial"/>
        </w:rPr>
        <w:t xml:space="preserve">, and </w:t>
      </w:r>
      <w:proofErr w:type="spellStart"/>
      <w:r w:rsidR="00E421FA" w:rsidRPr="00654E6C">
        <w:rPr>
          <w:rFonts w:cs="Arial"/>
        </w:rPr>
        <w:t>Pulejo</w:t>
      </w:r>
      <w:proofErr w:type="spellEnd"/>
      <w:r w:rsidR="00E421FA" w:rsidRPr="00654E6C">
        <w:rPr>
          <w:rFonts w:cs="Arial"/>
        </w:rPr>
        <w:t xml:space="preserve"> (2022), GlaxoSmithKline's proper and clear economic and environment-friendly disclosures contributed to the organization's cheap cost of capital and helped to build trust among shareholders.</w:t>
      </w:r>
      <w:r w:rsidRPr="00654E6C">
        <w:rPr>
          <w:rFonts w:cs="Arial"/>
        </w:rPr>
        <w:br w:type="page"/>
      </w:r>
    </w:p>
    <w:p w14:paraId="46814BFB" w14:textId="77777777" w:rsidR="00E421FA" w:rsidRPr="00654E6C" w:rsidRDefault="00E421FA" w:rsidP="00654E6C">
      <w:pPr>
        <w:pStyle w:val="Heading1"/>
      </w:pPr>
      <w:r w:rsidRPr="00654E6C">
        <w:lastRenderedPageBreak/>
        <w:t>Considering the impact of corporate social responsibility (CSR) measures on profitability</w:t>
      </w:r>
    </w:p>
    <w:p w14:paraId="694CA8FC" w14:textId="77777777" w:rsidR="00E421FA" w:rsidRPr="00654E6C" w:rsidRDefault="00E421FA" w:rsidP="00E421FA">
      <w:pPr>
        <w:rPr>
          <w:rFonts w:cs="Arial"/>
        </w:rPr>
      </w:pPr>
      <w:r w:rsidRPr="00654E6C">
        <w:rPr>
          <w:rFonts w:cs="Arial"/>
        </w:rPr>
        <w:t>Here is a description of a study that used empirical data to assess and explain the impact of corporate social responsibility (CSR) and good corporate governance on GlaxoSmithKline's bottom line:</w:t>
      </w:r>
    </w:p>
    <w:p w14:paraId="3CFBAC5B" w14:textId="77777777" w:rsidR="00E421FA" w:rsidRPr="00654E6C" w:rsidRDefault="00E421FA" w:rsidP="00E421FA">
      <w:pPr>
        <w:pStyle w:val="Heading2"/>
        <w:rPr>
          <w:rFonts w:ascii="Arial" w:hAnsi="Arial" w:cs="Arial"/>
          <w:color w:val="auto"/>
          <w:sz w:val="22"/>
        </w:rPr>
      </w:pPr>
      <w:r w:rsidRPr="00654E6C">
        <w:rPr>
          <w:rFonts w:ascii="Arial" w:hAnsi="Arial" w:cs="Arial"/>
          <w:color w:val="auto"/>
          <w:sz w:val="22"/>
        </w:rPr>
        <w:t>Changes in Business Assessments Influenced by Corporate Governance</w:t>
      </w:r>
    </w:p>
    <w:p w14:paraId="1E0FEC9D" w14:textId="77777777" w:rsidR="00E129D3" w:rsidRPr="00654E6C" w:rsidRDefault="00E421FA" w:rsidP="00E421FA">
      <w:pPr>
        <w:pStyle w:val="ListParagraph"/>
        <w:numPr>
          <w:ilvl w:val="0"/>
          <w:numId w:val="3"/>
        </w:numPr>
        <w:rPr>
          <w:rFonts w:cs="Arial"/>
        </w:rPr>
      </w:pPr>
      <w:r w:rsidRPr="00654E6C">
        <w:rPr>
          <w:rFonts w:cs="Arial"/>
          <w:b/>
        </w:rPr>
        <w:t xml:space="preserve">Board Structure and Configuration:  </w:t>
      </w:r>
      <w:r w:rsidRPr="00654E6C">
        <w:rPr>
          <w:rFonts w:cs="Arial"/>
        </w:rPr>
        <w:t>A more diverse board may favo</w:t>
      </w:r>
      <w:r w:rsidR="000E7CE8" w:rsidRPr="00654E6C">
        <w:rPr>
          <w:rFonts w:cs="Arial"/>
        </w:rPr>
        <w:t>u</w:t>
      </w:r>
      <w:r w:rsidRPr="00654E6C">
        <w:rPr>
          <w:rFonts w:cs="Arial"/>
        </w:rPr>
        <w:t>r the company’s business performance because of each member's unique</w:t>
      </w:r>
      <w:r w:rsidR="00974FFF" w:rsidRPr="00654E6C">
        <w:rPr>
          <w:rFonts w:cs="Arial"/>
        </w:rPr>
        <w:t xml:space="preserve"> and different</w:t>
      </w:r>
      <w:r w:rsidRPr="00654E6C">
        <w:rPr>
          <w:rFonts w:cs="Arial"/>
        </w:rPr>
        <w:t xml:space="preserve"> perspectives and expertise in the </w:t>
      </w:r>
      <w:r w:rsidR="00974FFF" w:rsidRPr="00654E6C">
        <w:rPr>
          <w:rFonts w:cs="Arial"/>
        </w:rPr>
        <w:t xml:space="preserve">meeting’s </w:t>
      </w:r>
      <w:r w:rsidRPr="00654E6C">
        <w:rPr>
          <w:rFonts w:cs="Arial"/>
        </w:rPr>
        <w:t xml:space="preserve">discussion. Under the desired range that has been established by the study literature (Denoncourt, 2020), the board of directors of GlaxoSmithKline, which is comprised of 13 individuals, belongs to the appropriate range. Better financial outcomes and managerial supervision are linked to autonomous non-executive boards. </w:t>
      </w:r>
      <w:r w:rsidR="00E129D3" w:rsidRPr="00654E6C">
        <w:rPr>
          <w:rFonts w:cs="Arial"/>
        </w:rPr>
        <w:t xml:space="preserve">Independent directors make up 69% of GlaxoSmithKline's board, which is higher than the norm for the pharmaceutical business. </w:t>
      </w:r>
      <w:proofErr w:type="spellStart"/>
      <w:r w:rsidR="00E129D3" w:rsidRPr="00654E6C">
        <w:rPr>
          <w:rFonts w:cs="Arial"/>
        </w:rPr>
        <w:t>Widyawati</w:t>
      </w:r>
      <w:proofErr w:type="spellEnd"/>
      <w:r w:rsidR="00E129D3" w:rsidRPr="00654E6C">
        <w:rPr>
          <w:rFonts w:cs="Arial"/>
        </w:rPr>
        <w:t xml:space="preserve"> (2020) discovered that boards with a diverse range of genders, ages, and backgrounds had better decision-making and handling of risk, which in turn contributed to better business performance. The board of directors at GlaxoSmithKline is extremely diverse, with 38% of the members being women.</w:t>
      </w:r>
    </w:p>
    <w:p w14:paraId="63F4F66F" w14:textId="77777777" w:rsidR="005F7903" w:rsidRPr="00654E6C" w:rsidRDefault="005F7903" w:rsidP="00C93CBD">
      <w:pPr>
        <w:pStyle w:val="ListParagraph"/>
        <w:keepNext/>
        <w:rPr>
          <w:rFonts w:cs="Arial"/>
        </w:rPr>
      </w:pPr>
      <w:r w:rsidRPr="00654E6C">
        <w:rPr>
          <w:rFonts w:cs="Arial"/>
        </w:rPr>
        <w:drawing>
          <wp:inline distT="0" distB="0" distL="0" distR="0" wp14:anchorId="567C7103" wp14:editId="7F086D1B">
            <wp:extent cx="5301343" cy="2960914"/>
            <wp:effectExtent l="0" t="0" r="0" b="0"/>
            <wp:docPr id="5" name="Picture 5" descr="GSK delivers strong 2023 performance and upgrades growth outlooks | G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SK delivers strong 2023 performance and upgrades growth outlooks | GSK"/>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312892" cy="2967364"/>
                    </a:xfrm>
                    <a:prstGeom prst="rect">
                      <a:avLst/>
                    </a:prstGeom>
                    <a:noFill/>
                    <a:ln>
                      <a:noFill/>
                    </a:ln>
                    <a:extLst>
                      <a:ext uri="{53640926-AAD7-44D8-BBD7-CCE9431645EC}">
                        <a14:shadowObscured xmlns:a14="http://schemas.microsoft.com/office/drawing/2010/main"/>
                      </a:ext>
                    </a:extLst>
                  </pic:spPr>
                </pic:pic>
              </a:graphicData>
            </a:graphic>
          </wp:inline>
        </w:drawing>
      </w:r>
    </w:p>
    <w:p w14:paraId="479EF164" w14:textId="77777777" w:rsidR="005F7903" w:rsidRPr="00654E6C" w:rsidRDefault="005F7903" w:rsidP="00C93CBD">
      <w:pPr>
        <w:pStyle w:val="Caption"/>
        <w:spacing w:line="360" w:lineRule="auto"/>
        <w:jc w:val="center"/>
        <w:rPr>
          <w:rFonts w:cs="Arial"/>
          <w:b w:val="0"/>
          <w:i/>
          <w:color w:val="auto"/>
          <w:sz w:val="28"/>
          <w:szCs w:val="22"/>
        </w:rPr>
      </w:pPr>
      <w:r w:rsidRPr="00654E6C">
        <w:rPr>
          <w:rFonts w:cs="Arial"/>
          <w:b w:val="0"/>
          <w:i/>
          <w:color w:val="auto"/>
          <w:sz w:val="22"/>
        </w:rPr>
        <w:t xml:space="preserve">Figure </w:t>
      </w:r>
      <w:r w:rsidRPr="00654E6C">
        <w:rPr>
          <w:rFonts w:cs="Arial"/>
          <w:b w:val="0"/>
          <w:i/>
          <w:color w:val="auto"/>
          <w:sz w:val="22"/>
        </w:rPr>
        <w:fldChar w:fldCharType="begin"/>
      </w:r>
      <w:r w:rsidRPr="00654E6C">
        <w:rPr>
          <w:rFonts w:cs="Arial"/>
          <w:b w:val="0"/>
          <w:i/>
          <w:color w:val="auto"/>
          <w:sz w:val="22"/>
        </w:rPr>
        <w:instrText xml:space="preserve"> SEQ Figure \* ARABIC </w:instrText>
      </w:r>
      <w:r w:rsidRPr="00654E6C">
        <w:rPr>
          <w:rFonts w:cs="Arial"/>
          <w:b w:val="0"/>
          <w:i/>
          <w:color w:val="auto"/>
          <w:sz w:val="22"/>
        </w:rPr>
        <w:fldChar w:fldCharType="separate"/>
      </w:r>
      <w:r w:rsidRPr="00654E6C">
        <w:rPr>
          <w:rFonts w:cs="Arial"/>
          <w:b w:val="0"/>
          <w:i/>
          <w:color w:val="auto"/>
          <w:sz w:val="22"/>
        </w:rPr>
        <w:t>2</w:t>
      </w:r>
      <w:r w:rsidRPr="00654E6C">
        <w:rPr>
          <w:rFonts w:cs="Arial"/>
          <w:b w:val="0"/>
          <w:i/>
          <w:color w:val="auto"/>
          <w:sz w:val="22"/>
        </w:rPr>
        <w:fldChar w:fldCharType="end"/>
      </w:r>
      <w:r w:rsidRPr="00654E6C">
        <w:rPr>
          <w:rFonts w:cs="Arial"/>
          <w:b w:val="0"/>
          <w:i/>
          <w:color w:val="auto"/>
          <w:sz w:val="22"/>
        </w:rPr>
        <w:t>: GSK's Performance (Mikulic, 2024)</w:t>
      </w:r>
    </w:p>
    <w:p w14:paraId="379F66D7" w14:textId="1524A108" w:rsidR="00E129D3" w:rsidRPr="00654E6C" w:rsidRDefault="00E129D3" w:rsidP="00C93CBD">
      <w:pPr>
        <w:pStyle w:val="ListParagraph"/>
        <w:numPr>
          <w:ilvl w:val="0"/>
          <w:numId w:val="1"/>
        </w:numPr>
        <w:rPr>
          <w:rFonts w:cs="Arial"/>
        </w:rPr>
      </w:pPr>
      <w:r w:rsidRPr="00654E6C">
        <w:rPr>
          <w:rFonts w:cs="Arial"/>
          <w:b/>
        </w:rPr>
        <w:lastRenderedPageBreak/>
        <w:t>Chain of Command:</w:t>
      </w:r>
      <w:r w:rsidRPr="00654E6C">
        <w:rPr>
          <w:rFonts w:cs="Arial"/>
        </w:rPr>
        <w:t xml:space="preserve"> In GlaxoSmithKline, the separate handling of the CEO and board chair responsibilities (no CEO-chair duality) </w:t>
      </w:r>
      <w:r w:rsidR="00654E6C" w:rsidRPr="00654E6C">
        <w:rPr>
          <w:rFonts w:cs="Arial"/>
        </w:rPr>
        <w:t>relates to</w:t>
      </w:r>
      <w:r w:rsidRPr="00654E6C">
        <w:rPr>
          <w:rFonts w:cs="Arial"/>
        </w:rPr>
        <w:t xml:space="preserve"> improved corporate governance and higher business performance. This is because it creates an environment that encourages independent supervision and making decisions (de Villiers and Dimes, 2021). It has been demonstrated that the compensation of </w:t>
      </w:r>
      <w:r w:rsidR="00654E6C" w:rsidRPr="00654E6C">
        <w:rPr>
          <w:rFonts w:cs="Arial"/>
        </w:rPr>
        <w:t>executives’</w:t>
      </w:r>
      <w:r w:rsidRPr="00654E6C">
        <w:rPr>
          <w:rFonts w:cs="Arial"/>
        </w:rPr>
        <w:t xml:space="preserve"> system employed by GlaxoSmithKline, which is heavily tied to incentive packages based on performance, effectively brings the needs of management in line with the needs of shareholders lead</w:t>
      </w:r>
      <w:r w:rsidR="00326CB6" w:rsidRPr="00654E6C">
        <w:rPr>
          <w:rFonts w:cs="Arial"/>
        </w:rPr>
        <w:t>ing</w:t>
      </w:r>
      <w:r w:rsidRPr="00654E6C">
        <w:rPr>
          <w:rFonts w:cs="Arial"/>
        </w:rPr>
        <w:t xml:space="preserve"> to improved company financial outcomes.</w:t>
      </w:r>
    </w:p>
    <w:p w14:paraId="793913F4" w14:textId="77777777" w:rsidR="00E129D3" w:rsidRPr="00654E6C" w:rsidRDefault="00E129D3" w:rsidP="00C93CBD">
      <w:pPr>
        <w:pStyle w:val="ListParagraph"/>
        <w:numPr>
          <w:ilvl w:val="0"/>
          <w:numId w:val="1"/>
        </w:numPr>
        <w:rPr>
          <w:rFonts w:cs="Arial"/>
        </w:rPr>
      </w:pPr>
      <w:r w:rsidRPr="00654E6C">
        <w:rPr>
          <w:rFonts w:cs="Arial"/>
          <w:b/>
        </w:rPr>
        <w:t>Rights of Shareholders:</w:t>
      </w:r>
      <w:r w:rsidRPr="00654E6C">
        <w:rPr>
          <w:rFonts w:cs="Arial"/>
        </w:rPr>
        <w:t xml:space="preserve"> The shareholders of GlaxoSmithKline can help decide on major company decisions because of the company's strong voting structure (de Villiers and Dimes, 2021). There has been a correlation established between this and enhanced accountability, which ultimately resulted in greater financial outcomes. As a result of action by shareholders, the company may be under more pressure from shareholders to increase the worth of the business through better management decisions and its overall performance.</w:t>
      </w:r>
    </w:p>
    <w:p w14:paraId="1DBF6D48" w14:textId="77777777" w:rsidR="00E129D3" w:rsidRPr="00654E6C" w:rsidRDefault="00E129D3" w:rsidP="00C93CBD">
      <w:pPr>
        <w:pStyle w:val="Heading3"/>
        <w:rPr>
          <w:rFonts w:ascii="Arial" w:hAnsi="Arial" w:cs="Arial"/>
          <w:color w:val="auto"/>
        </w:rPr>
      </w:pPr>
      <w:bookmarkStart w:id="3" w:name="_Toc169037652"/>
      <w:r w:rsidRPr="00654E6C">
        <w:rPr>
          <w:rFonts w:ascii="Arial" w:hAnsi="Arial" w:cs="Arial"/>
          <w:color w:val="auto"/>
        </w:rPr>
        <w:t>Effects of Corporate Social Responsibility on Business Outcomes</w:t>
      </w:r>
      <w:bookmarkEnd w:id="3"/>
    </w:p>
    <w:p w14:paraId="53D01D86" w14:textId="77777777" w:rsidR="00E129D3" w:rsidRPr="00654E6C" w:rsidRDefault="00E129D3" w:rsidP="00C93CBD">
      <w:pPr>
        <w:pStyle w:val="ListParagraph"/>
        <w:numPr>
          <w:ilvl w:val="0"/>
          <w:numId w:val="1"/>
        </w:numPr>
        <w:rPr>
          <w:rFonts w:cs="Arial"/>
        </w:rPr>
      </w:pPr>
      <w:r w:rsidRPr="00654E6C">
        <w:rPr>
          <w:rFonts w:cs="Arial"/>
          <w:b/>
        </w:rPr>
        <w:t>Ecological Performance:</w:t>
      </w:r>
      <w:r w:rsidRPr="00654E6C">
        <w:rPr>
          <w:rFonts w:cs="Arial"/>
        </w:rPr>
        <w:t xml:space="preserve"> Profitability has been beneficially influenced by GlaxoSmithKline's initiatives to use renewable energy sources more and minimize the production of greenhouse gases (Denoncourt, 2020). The waste management measures implemented by the organization, such as composting and accountable disposal, have resulted in greater ecological responsibility and enhanced credibility, both of which have the potential to lead to favo</w:t>
      </w:r>
      <w:r w:rsidR="00326CB6" w:rsidRPr="00654E6C">
        <w:rPr>
          <w:rFonts w:cs="Arial"/>
        </w:rPr>
        <w:t>u</w:t>
      </w:r>
      <w:r w:rsidRPr="00654E6C">
        <w:rPr>
          <w:rFonts w:cs="Arial"/>
        </w:rPr>
        <w:t>rable business results.</w:t>
      </w:r>
    </w:p>
    <w:p w14:paraId="72098A9F" w14:textId="77777777" w:rsidR="00E129D3" w:rsidRPr="00654E6C" w:rsidRDefault="00E129D3" w:rsidP="00C93CBD">
      <w:pPr>
        <w:pStyle w:val="ListParagraph"/>
        <w:numPr>
          <w:ilvl w:val="0"/>
          <w:numId w:val="1"/>
        </w:numPr>
        <w:rPr>
          <w:rFonts w:cs="Arial"/>
        </w:rPr>
      </w:pPr>
      <w:r w:rsidRPr="00654E6C">
        <w:rPr>
          <w:rFonts w:cs="Arial"/>
          <w:b/>
        </w:rPr>
        <w:t>Social Conduct:</w:t>
      </w:r>
      <w:r w:rsidRPr="00654E6C">
        <w:rPr>
          <w:rFonts w:cs="Arial"/>
        </w:rPr>
        <w:t xml:space="preserve"> The competitive remuneration and benefits offered by GlaxoSmithKline boost staff satisfaction, worker efficiency, and retention rates, which in turn increase the company's financial achievement and competitiveness (Saïd, Sevic and Phillips, 2019). The social responsibility permission to operate the firm has been enhanced as a result of the company's participation in its surroundings and its charitable initiatives. This can result in stronger connections with stakeholders and a more positive public view, which may contribute to enhanced financial performance.</w:t>
      </w:r>
    </w:p>
    <w:p w14:paraId="7317FA02" w14:textId="77777777" w:rsidR="00E129D3" w:rsidRPr="00654E6C" w:rsidRDefault="00E129D3" w:rsidP="00C93CBD">
      <w:pPr>
        <w:pStyle w:val="ListParagraph"/>
        <w:keepNext/>
        <w:jc w:val="center"/>
        <w:rPr>
          <w:rFonts w:cs="Arial"/>
        </w:rPr>
      </w:pPr>
      <w:r w:rsidRPr="00654E6C">
        <w:rPr>
          <w:rFonts w:cs="Arial"/>
        </w:rPr>
        <w:lastRenderedPageBreak/>
        <w:drawing>
          <wp:inline distT="0" distB="0" distL="0" distR="0" wp14:anchorId="014EB008" wp14:editId="42C3C2E7">
            <wp:extent cx="3829936" cy="44805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842172" cy="4494874"/>
                    </a:xfrm>
                    <a:prstGeom prst="rect">
                      <a:avLst/>
                    </a:prstGeom>
                  </pic:spPr>
                </pic:pic>
              </a:graphicData>
            </a:graphic>
          </wp:inline>
        </w:drawing>
      </w:r>
    </w:p>
    <w:p w14:paraId="79DF0F7E" w14:textId="77777777" w:rsidR="00E129D3" w:rsidRPr="00654E6C" w:rsidRDefault="00E129D3" w:rsidP="00C93CBD">
      <w:pPr>
        <w:pStyle w:val="Caption"/>
        <w:spacing w:line="360" w:lineRule="auto"/>
        <w:jc w:val="center"/>
        <w:rPr>
          <w:rFonts w:cs="Arial"/>
          <w:b w:val="0"/>
          <w:i/>
          <w:color w:val="auto"/>
          <w:sz w:val="28"/>
          <w:szCs w:val="22"/>
        </w:rPr>
      </w:pPr>
      <w:r w:rsidRPr="00654E6C">
        <w:rPr>
          <w:rFonts w:cs="Arial"/>
          <w:b w:val="0"/>
          <w:i/>
          <w:color w:val="auto"/>
          <w:sz w:val="22"/>
        </w:rPr>
        <w:t xml:space="preserve">Figure </w:t>
      </w:r>
      <w:r w:rsidRPr="00654E6C">
        <w:rPr>
          <w:rFonts w:cs="Arial"/>
          <w:b w:val="0"/>
          <w:i/>
          <w:color w:val="auto"/>
          <w:sz w:val="22"/>
        </w:rPr>
        <w:fldChar w:fldCharType="begin"/>
      </w:r>
      <w:r w:rsidRPr="00654E6C">
        <w:rPr>
          <w:rFonts w:cs="Arial"/>
          <w:b w:val="0"/>
          <w:i/>
          <w:color w:val="auto"/>
          <w:sz w:val="22"/>
        </w:rPr>
        <w:instrText xml:space="preserve"> SEQ Figure \* ARABIC </w:instrText>
      </w:r>
      <w:r w:rsidRPr="00654E6C">
        <w:rPr>
          <w:rFonts w:cs="Arial"/>
          <w:b w:val="0"/>
          <w:i/>
          <w:color w:val="auto"/>
          <w:sz w:val="22"/>
        </w:rPr>
        <w:fldChar w:fldCharType="separate"/>
      </w:r>
      <w:r w:rsidR="005F7903" w:rsidRPr="00654E6C">
        <w:rPr>
          <w:rFonts w:cs="Arial"/>
          <w:b w:val="0"/>
          <w:i/>
          <w:color w:val="auto"/>
          <w:sz w:val="22"/>
        </w:rPr>
        <w:t>3</w:t>
      </w:r>
      <w:r w:rsidRPr="00654E6C">
        <w:rPr>
          <w:rFonts w:cs="Arial"/>
          <w:b w:val="0"/>
          <w:i/>
          <w:color w:val="auto"/>
          <w:sz w:val="22"/>
        </w:rPr>
        <w:fldChar w:fldCharType="end"/>
      </w:r>
      <w:r w:rsidRPr="00654E6C">
        <w:rPr>
          <w:rFonts w:cs="Arial"/>
          <w:b w:val="0"/>
          <w:i/>
          <w:color w:val="auto"/>
          <w:sz w:val="22"/>
        </w:rPr>
        <w:t xml:space="preserve">: GSK's Social </w:t>
      </w:r>
      <w:r w:rsidR="005F7903" w:rsidRPr="00654E6C">
        <w:rPr>
          <w:rFonts w:cs="Arial"/>
          <w:b w:val="0"/>
          <w:i/>
          <w:color w:val="auto"/>
          <w:sz w:val="22"/>
        </w:rPr>
        <w:t>Conduct (</w:t>
      </w:r>
      <w:proofErr w:type="spellStart"/>
      <w:r w:rsidR="005F7903" w:rsidRPr="00654E6C">
        <w:rPr>
          <w:rFonts w:cs="Arial"/>
          <w:b w:val="0"/>
          <w:i/>
          <w:color w:val="auto"/>
          <w:sz w:val="22"/>
        </w:rPr>
        <w:t>Widyawati</w:t>
      </w:r>
      <w:proofErr w:type="spellEnd"/>
      <w:r w:rsidR="005F7903" w:rsidRPr="00654E6C">
        <w:rPr>
          <w:rFonts w:cs="Arial"/>
          <w:b w:val="0"/>
          <w:i/>
          <w:color w:val="auto"/>
          <w:sz w:val="22"/>
        </w:rPr>
        <w:t>, 2020)</w:t>
      </w:r>
    </w:p>
    <w:p w14:paraId="7D623CD8" w14:textId="77777777" w:rsidR="00974FFF" w:rsidRPr="00654E6C" w:rsidRDefault="00E129D3" w:rsidP="00974FFF">
      <w:pPr>
        <w:pStyle w:val="ListParagraph"/>
        <w:numPr>
          <w:ilvl w:val="0"/>
          <w:numId w:val="1"/>
        </w:numPr>
        <w:rPr>
          <w:rFonts w:cs="Arial"/>
        </w:rPr>
      </w:pPr>
      <w:r w:rsidRPr="00654E6C">
        <w:rPr>
          <w:rFonts w:cs="Arial"/>
          <w:b/>
        </w:rPr>
        <w:t>Governance Efficiency:</w:t>
      </w:r>
      <w:r w:rsidRPr="00654E6C">
        <w:rPr>
          <w:rFonts w:cs="Arial"/>
        </w:rPr>
        <w:t xml:space="preserve"> The strong business principles of GlaxoSmithKline, which include anti-corruption policies and whistleblowing security measures, have been associated with decreased legal and negative publicity, which in turn have helped the business's economic viability in the long run (Rizhamadze, 2020). </w:t>
      </w:r>
      <w:r w:rsidR="00974FFF" w:rsidRPr="00654E6C">
        <w:rPr>
          <w:rFonts w:cs="Arial"/>
        </w:rPr>
        <w:t>Enhanced investor trust and reduced cost of capital are two consequences of the firm's transparent and clear system, environmentally and fiscally acceptable reporting systems, which have contributed to the ongoing prosperity of the busines</w:t>
      </w:r>
      <w:r w:rsidR="000E7CE8" w:rsidRPr="00654E6C">
        <w:rPr>
          <w:rFonts w:cs="Arial"/>
        </w:rPr>
        <w:t>s'</w:t>
      </w:r>
      <w:r w:rsidR="00974FFF" w:rsidRPr="00654E6C">
        <w:rPr>
          <w:rFonts w:cs="Arial"/>
        </w:rPr>
        <w:t>s well-being.</w:t>
      </w:r>
      <w:r w:rsidR="00974FFF" w:rsidRPr="00654E6C">
        <w:rPr>
          <w:rFonts w:cs="Arial"/>
        </w:rPr>
        <w:br/>
      </w:r>
    </w:p>
    <w:p w14:paraId="3CC53636" w14:textId="77777777" w:rsidR="00974FFF" w:rsidRPr="00654E6C" w:rsidRDefault="00974FFF" w:rsidP="00974FFF">
      <w:pPr>
        <w:rPr>
          <w:rFonts w:cs="Arial"/>
        </w:rPr>
      </w:pPr>
      <w:r w:rsidRPr="00654E6C">
        <w:rPr>
          <w:rFonts w:cs="Arial"/>
        </w:rPr>
        <w:t>Thus, it is clear from the information presented that GlaxoSmithKline's long-term sustainability, operational efficiency, and financial standing have all been enhanced by its exceptional corporate responsibility and CSR practices.</w:t>
      </w:r>
    </w:p>
    <w:p w14:paraId="74BD8650" w14:textId="77777777" w:rsidR="00E129D3" w:rsidRPr="00654E6C" w:rsidRDefault="00E129D3" w:rsidP="00974FFF">
      <w:pPr>
        <w:pStyle w:val="ListParagraph"/>
        <w:numPr>
          <w:ilvl w:val="0"/>
          <w:numId w:val="1"/>
        </w:numPr>
        <w:rPr>
          <w:rFonts w:eastAsiaTheme="majorEastAsia" w:cs="Arial"/>
          <w:b/>
          <w:bCs/>
        </w:rPr>
      </w:pPr>
      <w:r w:rsidRPr="00654E6C">
        <w:rPr>
          <w:rFonts w:cs="Arial"/>
        </w:rPr>
        <w:br w:type="page"/>
      </w:r>
    </w:p>
    <w:p w14:paraId="25D69CF5" w14:textId="77777777" w:rsidR="00E129D3" w:rsidRDefault="00E129D3" w:rsidP="00654E6C">
      <w:pPr>
        <w:pStyle w:val="Heading1"/>
      </w:pPr>
      <w:bookmarkStart w:id="4" w:name="_Toc169037653"/>
      <w:r w:rsidRPr="00654E6C">
        <w:lastRenderedPageBreak/>
        <w:t>Conclusion</w:t>
      </w:r>
      <w:bookmarkEnd w:id="4"/>
    </w:p>
    <w:p w14:paraId="0B792E94" w14:textId="77777777" w:rsidR="00654E6C" w:rsidRPr="00654E6C" w:rsidRDefault="00654E6C" w:rsidP="00654E6C"/>
    <w:p w14:paraId="35501A14" w14:textId="6F2078BF" w:rsidR="00974FFF" w:rsidRPr="00654E6C" w:rsidRDefault="00EF669C" w:rsidP="00974FFF">
      <w:pPr>
        <w:rPr>
          <w:rFonts w:cs="Arial"/>
        </w:rPr>
      </w:pPr>
      <w:r w:rsidRPr="00654E6C">
        <w:rPr>
          <w:rFonts w:cs="Arial"/>
        </w:rPr>
        <w:t>This assessment</w:t>
      </w:r>
      <w:r w:rsidR="00974FFF" w:rsidRPr="00654E6C">
        <w:rPr>
          <w:rFonts w:cs="Arial"/>
        </w:rPr>
        <w:t xml:space="preserve"> </w:t>
      </w:r>
      <w:r w:rsidRPr="00654E6C">
        <w:rPr>
          <w:rFonts w:cs="Arial"/>
        </w:rPr>
        <w:t xml:space="preserve">explained </w:t>
      </w:r>
      <w:r w:rsidR="00974FFF" w:rsidRPr="00654E6C">
        <w:rPr>
          <w:rFonts w:cs="Arial"/>
        </w:rPr>
        <w:t>that GlaxoSmithKline's financial wellness, operational productivity, and potential longevity had been enhanced by its effective corporate governance and CSR initiatives. GlaxoSmithKline's varied board, which comprises several autonomous directors and a sufficient level of variation, has been shown to strengthen corporate responsibility decisions and regulations. Management's relationship to shareholder values is strengthened by</w:t>
      </w:r>
      <w:r w:rsidRPr="00654E6C">
        <w:rPr>
          <w:rFonts w:cs="Arial"/>
        </w:rPr>
        <w:t xml:space="preserve"> the segmentation of activities</w:t>
      </w:r>
      <w:r w:rsidR="00974FFF" w:rsidRPr="00654E6C">
        <w:rPr>
          <w:rFonts w:cs="Arial"/>
        </w:rPr>
        <w:t xml:space="preserve"> between the CEO and the board member. In addition to increasing integrity and transparency, favo</w:t>
      </w:r>
      <w:r w:rsidR="000E7CE8" w:rsidRPr="00654E6C">
        <w:rPr>
          <w:rFonts w:cs="Arial"/>
        </w:rPr>
        <w:t>u</w:t>
      </w:r>
      <w:r w:rsidR="00974FFF" w:rsidRPr="00654E6C">
        <w:rPr>
          <w:rFonts w:cs="Arial"/>
        </w:rPr>
        <w:t>rable shareholder policies at GlaxoSmithKline have increased oversight and openness by including stakeholders in crucial company choices. Financial savings and improvement in operations have resulted from GlaxoSmithKline's CSR initiatives, which have reduced the generation of waste and emissions of greenhouse gases. Therefore, GlaxoSmithKline's entire CSR and CG framework has contributed</w:t>
      </w:r>
      <w:r w:rsidRPr="00654E6C">
        <w:rPr>
          <w:rFonts w:cs="Arial"/>
        </w:rPr>
        <w:t xml:space="preserve"> a lot to</w:t>
      </w:r>
      <w:r w:rsidR="00974FFF" w:rsidRPr="00654E6C">
        <w:rPr>
          <w:rFonts w:cs="Arial"/>
        </w:rPr>
        <w:t xml:space="preserve"> its pharmaceutical industry's effectiveness, efficiency, and sustainability. </w:t>
      </w:r>
      <w:r w:rsidR="00654E6C" w:rsidRPr="00654E6C">
        <w:rPr>
          <w:rFonts w:cs="Arial"/>
        </w:rPr>
        <w:t>Both</w:t>
      </w:r>
      <w:r w:rsidR="00974FFF" w:rsidRPr="00654E6C">
        <w:rPr>
          <w:rFonts w:cs="Arial"/>
        </w:rPr>
        <w:t xml:space="preserve"> essential components of the company's operations have worked cooperatively to form a positive feedback loop that has increased the firm's durability and its ability to bring value.</w:t>
      </w:r>
    </w:p>
    <w:p w14:paraId="5D053825" w14:textId="77777777" w:rsidR="00974FFF" w:rsidRPr="00654E6C" w:rsidRDefault="00974FFF" w:rsidP="00974FFF">
      <w:pPr>
        <w:rPr>
          <w:rFonts w:cs="Arial"/>
        </w:rPr>
      </w:pPr>
    </w:p>
    <w:p w14:paraId="2C47DD34" w14:textId="77777777" w:rsidR="00E129D3" w:rsidRPr="00654E6C" w:rsidRDefault="00E129D3" w:rsidP="00C93CBD">
      <w:pPr>
        <w:rPr>
          <w:rFonts w:cs="Arial"/>
        </w:rPr>
      </w:pPr>
      <w:r w:rsidRPr="00654E6C">
        <w:rPr>
          <w:rFonts w:cs="Arial"/>
        </w:rPr>
        <w:br w:type="page"/>
      </w:r>
    </w:p>
    <w:p w14:paraId="5BFDCDBC" w14:textId="77777777" w:rsidR="00E129D3" w:rsidRPr="00654E6C" w:rsidRDefault="00E129D3" w:rsidP="00654E6C">
      <w:pPr>
        <w:pStyle w:val="Heading1"/>
      </w:pPr>
      <w:bookmarkStart w:id="5" w:name="_Toc169037654"/>
      <w:r w:rsidRPr="00654E6C">
        <w:lastRenderedPageBreak/>
        <w:t>References</w:t>
      </w:r>
      <w:bookmarkEnd w:id="5"/>
    </w:p>
    <w:p w14:paraId="32CA87D4" w14:textId="77777777" w:rsidR="001A6BF3" w:rsidRPr="00654E6C" w:rsidRDefault="001A6BF3" w:rsidP="001A6BF3">
      <w:pPr>
        <w:ind w:left="576" w:hanging="576"/>
        <w:rPr>
          <w:rFonts w:cs="Arial"/>
        </w:rPr>
      </w:pPr>
      <w:r w:rsidRPr="00654E6C">
        <w:rPr>
          <w:rFonts w:cs="Arial"/>
        </w:rPr>
        <w:t xml:space="preserve">Barnett, M.L., Henriques, I. and Husted, B.W., (2020). Beyond good intentions: Designing CSR initiatives for greater social impact. </w:t>
      </w:r>
      <w:r w:rsidRPr="00654E6C">
        <w:rPr>
          <w:rFonts w:cs="Arial"/>
          <w:i/>
          <w:iCs/>
        </w:rPr>
        <w:t>Journal of Management</w:t>
      </w:r>
      <w:r w:rsidRPr="00654E6C">
        <w:rPr>
          <w:rFonts w:cs="Arial"/>
        </w:rPr>
        <w:t xml:space="preserve">, </w:t>
      </w:r>
      <w:r w:rsidRPr="00654E6C">
        <w:rPr>
          <w:rFonts w:cs="Arial"/>
          <w:i/>
          <w:iCs/>
        </w:rPr>
        <w:t>46</w:t>
      </w:r>
      <w:r w:rsidRPr="00654E6C">
        <w:rPr>
          <w:rFonts w:cs="Arial"/>
        </w:rPr>
        <w:t>(6), pp.937-964.</w:t>
      </w:r>
    </w:p>
    <w:p w14:paraId="1EC9A463" w14:textId="77777777" w:rsidR="001A6BF3" w:rsidRPr="00654E6C" w:rsidRDefault="001A6BF3" w:rsidP="001A6BF3">
      <w:pPr>
        <w:ind w:left="576" w:hanging="576"/>
        <w:rPr>
          <w:rFonts w:cs="Arial"/>
        </w:rPr>
      </w:pPr>
      <w:r w:rsidRPr="00654E6C">
        <w:rPr>
          <w:rFonts w:cs="Arial"/>
        </w:rPr>
        <w:t xml:space="preserve">de Villiers, C. and Dimes, R., (2021). Determinants, mechanisms and consequences of corporate governance reporting: a research framework. </w:t>
      </w:r>
      <w:r w:rsidRPr="00654E6C">
        <w:rPr>
          <w:rFonts w:cs="Arial"/>
          <w:i/>
          <w:iCs/>
        </w:rPr>
        <w:t>Journal of Management and Governance</w:t>
      </w:r>
      <w:r w:rsidRPr="00654E6C">
        <w:rPr>
          <w:rFonts w:cs="Arial"/>
        </w:rPr>
        <w:t xml:space="preserve">, </w:t>
      </w:r>
      <w:r w:rsidRPr="00654E6C">
        <w:rPr>
          <w:rFonts w:cs="Arial"/>
          <w:i/>
          <w:iCs/>
        </w:rPr>
        <w:t>25</w:t>
      </w:r>
      <w:r w:rsidRPr="00654E6C">
        <w:rPr>
          <w:rFonts w:cs="Arial"/>
        </w:rPr>
        <w:t>(1), pp.7-26.</w:t>
      </w:r>
    </w:p>
    <w:p w14:paraId="38B431AC" w14:textId="77777777" w:rsidR="001A6BF3" w:rsidRPr="00654E6C" w:rsidRDefault="001A6BF3" w:rsidP="001A6BF3">
      <w:pPr>
        <w:ind w:left="576" w:hanging="576"/>
        <w:rPr>
          <w:rFonts w:cs="Arial"/>
        </w:rPr>
      </w:pPr>
      <w:r w:rsidRPr="00654E6C">
        <w:rPr>
          <w:rFonts w:cs="Arial"/>
        </w:rPr>
        <w:t xml:space="preserve">Demir, M. and Min, M., (2019). Consistencies and discrepancies in corporate social responsibility reporting in the pharmaceutical industry. </w:t>
      </w:r>
      <w:r w:rsidRPr="00654E6C">
        <w:rPr>
          <w:rFonts w:cs="Arial"/>
          <w:i/>
          <w:iCs/>
        </w:rPr>
        <w:t>Sustainability Accounting, Management and Policy Journal</w:t>
      </w:r>
      <w:r w:rsidRPr="00654E6C">
        <w:rPr>
          <w:rFonts w:cs="Arial"/>
        </w:rPr>
        <w:t xml:space="preserve">, </w:t>
      </w:r>
      <w:r w:rsidRPr="00654E6C">
        <w:rPr>
          <w:rFonts w:cs="Arial"/>
          <w:i/>
          <w:iCs/>
        </w:rPr>
        <w:t>10</w:t>
      </w:r>
      <w:r w:rsidRPr="00654E6C">
        <w:rPr>
          <w:rFonts w:cs="Arial"/>
        </w:rPr>
        <w:t>(2), pp.333-364.</w:t>
      </w:r>
    </w:p>
    <w:p w14:paraId="73E266CD" w14:textId="77777777" w:rsidR="001A6BF3" w:rsidRPr="00654E6C" w:rsidRDefault="001A6BF3" w:rsidP="001A6BF3">
      <w:pPr>
        <w:ind w:left="576" w:hanging="576"/>
        <w:rPr>
          <w:rFonts w:cs="Arial"/>
        </w:rPr>
      </w:pPr>
      <w:r w:rsidRPr="00654E6C">
        <w:rPr>
          <w:rFonts w:cs="Arial"/>
        </w:rPr>
        <w:t xml:space="preserve">Denoncourt, J., (2020). Corporate intellectual property, governance and board effectiveness review in large and premium listed UK companies. In </w:t>
      </w:r>
      <w:r w:rsidRPr="00654E6C">
        <w:rPr>
          <w:rFonts w:cs="Arial"/>
          <w:i/>
          <w:iCs/>
        </w:rPr>
        <w:t>Fairness, Morality and Ordre Public in Intellectual Property</w:t>
      </w:r>
      <w:r w:rsidRPr="00654E6C">
        <w:rPr>
          <w:rFonts w:cs="Arial"/>
        </w:rPr>
        <w:t xml:space="preserve"> (pp. 141-172). Edward Elgar Publishing.</w:t>
      </w:r>
    </w:p>
    <w:p w14:paraId="4F8EC613" w14:textId="77777777" w:rsidR="001A6BF3" w:rsidRPr="00654E6C" w:rsidRDefault="001A6BF3" w:rsidP="001A6BF3">
      <w:pPr>
        <w:ind w:left="576" w:hanging="576"/>
        <w:rPr>
          <w:rFonts w:cs="Arial"/>
        </w:rPr>
      </w:pPr>
      <w:r w:rsidRPr="00654E6C">
        <w:rPr>
          <w:rFonts w:cs="Arial"/>
        </w:rPr>
        <w:t>Galan-</w:t>
      </w:r>
      <w:proofErr w:type="spellStart"/>
      <w:r w:rsidRPr="00654E6C">
        <w:rPr>
          <w:rFonts w:cs="Arial"/>
        </w:rPr>
        <w:t>Ladero</w:t>
      </w:r>
      <w:proofErr w:type="spellEnd"/>
      <w:r w:rsidRPr="00654E6C">
        <w:rPr>
          <w:rFonts w:cs="Arial"/>
        </w:rPr>
        <w:t xml:space="preserve">, M.M. and Galera-Casquet, C., (2019). Corporate Social Responsibility and Digital Tools: The Cause-Related Marketing Case. In </w:t>
      </w:r>
      <w:r w:rsidRPr="00654E6C">
        <w:rPr>
          <w:rFonts w:cs="Arial"/>
          <w:i/>
          <w:iCs/>
        </w:rPr>
        <w:t>Handbook of research on entrepreneurship and marketing for global reach in the digital economy</w:t>
      </w:r>
      <w:r w:rsidRPr="00654E6C">
        <w:rPr>
          <w:rFonts w:cs="Arial"/>
        </w:rPr>
        <w:t xml:space="preserve"> (pp. 1-16). IGI Global.</w:t>
      </w:r>
    </w:p>
    <w:p w14:paraId="3351ADA1" w14:textId="77777777" w:rsidR="001A6BF3" w:rsidRPr="00654E6C" w:rsidRDefault="001A6BF3" w:rsidP="001A6BF3">
      <w:pPr>
        <w:ind w:left="576" w:hanging="576"/>
        <w:rPr>
          <w:rFonts w:cs="Arial"/>
        </w:rPr>
      </w:pPr>
      <w:r w:rsidRPr="00654E6C">
        <w:rPr>
          <w:rFonts w:cs="Arial"/>
        </w:rPr>
        <w:t xml:space="preserve">Mikulic, M. (2024) </w:t>
      </w:r>
      <w:r w:rsidRPr="00654E6C">
        <w:rPr>
          <w:rFonts w:cs="Arial"/>
          <w:i/>
          <w:iCs/>
        </w:rPr>
        <w:t>GSK revenue 2006-2023</w:t>
      </w:r>
      <w:r w:rsidRPr="00654E6C">
        <w:rPr>
          <w:rFonts w:cs="Arial"/>
        </w:rPr>
        <w:t xml:space="preserve">, </w:t>
      </w:r>
      <w:r w:rsidRPr="00654E6C">
        <w:rPr>
          <w:rFonts w:cs="Arial"/>
          <w:i/>
          <w:iCs/>
        </w:rPr>
        <w:t>Statista</w:t>
      </w:r>
      <w:r w:rsidRPr="00654E6C">
        <w:rPr>
          <w:rFonts w:cs="Arial"/>
        </w:rPr>
        <w:t xml:space="preserve">. Available at: </w:t>
      </w:r>
      <w:hyperlink r:id="rId11" w:history="1">
        <w:r w:rsidRPr="00654E6C">
          <w:rPr>
            <w:rStyle w:val="Hyperlink"/>
            <w:rFonts w:cs="Arial"/>
            <w:color w:val="auto"/>
            <w:u w:val="none"/>
          </w:rPr>
          <w:t>https://www.statista.com/statistics/266297/glaxosmithkline-revenue-since-2006/</w:t>
        </w:r>
      </w:hyperlink>
      <w:r w:rsidRPr="00654E6C">
        <w:rPr>
          <w:rFonts w:cs="Arial"/>
        </w:rPr>
        <w:t xml:space="preserve"> (Accessed: 09 June 2024). </w:t>
      </w:r>
    </w:p>
    <w:p w14:paraId="5F7ED473" w14:textId="77777777" w:rsidR="001A6BF3" w:rsidRPr="00654E6C" w:rsidRDefault="001A6BF3" w:rsidP="001A6BF3">
      <w:pPr>
        <w:ind w:left="576" w:hanging="576"/>
        <w:rPr>
          <w:rFonts w:cs="Arial"/>
        </w:rPr>
      </w:pPr>
      <w:proofErr w:type="spellStart"/>
      <w:r w:rsidRPr="00654E6C">
        <w:rPr>
          <w:rFonts w:cs="Arial"/>
        </w:rPr>
        <w:t>Naciti</w:t>
      </w:r>
      <w:proofErr w:type="spellEnd"/>
      <w:r w:rsidRPr="00654E6C">
        <w:rPr>
          <w:rFonts w:cs="Arial"/>
        </w:rPr>
        <w:t xml:space="preserve">, V., </w:t>
      </w:r>
      <w:proofErr w:type="spellStart"/>
      <w:r w:rsidRPr="00654E6C">
        <w:rPr>
          <w:rFonts w:cs="Arial"/>
        </w:rPr>
        <w:t>Cesaroni</w:t>
      </w:r>
      <w:proofErr w:type="spellEnd"/>
      <w:r w:rsidRPr="00654E6C">
        <w:rPr>
          <w:rFonts w:cs="Arial"/>
        </w:rPr>
        <w:t xml:space="preserve">, F. and </w:t>
      </w:r>
      <w:proofErr w:type="spellStart"/>
      <w:r w:rsidRPr="00654E6C">
        <w:rPr>
          <w:rFonts w:cs="Arial"/>
        </w:rPr>
        <w:t>Pulejo</w:t>
      </w:r>
      <w:proofErr w:type="spellEnd"/>
      <w:r w:rsidRPr="00654E6C">
        <w:rPr>
          <w:rFonts w:cs="Arial"/>
        </w:rPr>
        <w:t xml:space="preserve">, L., (2022). Corporate governance and sustainability: A review of the existing literature. </w:t>
      </w:r>
      <w:r w:rsidRPr="00654E6C">
        <w:rPr>
          <w:rFonts w:cs="Arial"/>
          <w:i/>
          <w:iCs/>
        </w:rPr>
        <w:t>Journal of Management and Governance</w:t>
      </w:r>
      <w:r w:rsidRPr="00654E6C">
        <w:rPr>
          <w:rFonts w:cs="Arial"/>
        </w:rPr>
        <w:t>, pp.1-20.</w:t>
      </w:r>
    </w:p>
    <w:p w14:paraId="1FA92D40" w14:textId="77777777" w:rsidR="001A6BF3" w:rsidRPr="00654E6C" w:rsidRDefault="001A6BF3" w:rsidP="001A6BF3">
      <w:pPr>
        <w:ind w:left="576" w:hanging="576"/>
        <w:rPr>
          <w:rFonts w:cs="Arial"/>
        </w:rPr>
      </w:pPr>
      <w:r w:rsidRPr="00654E6C">
        <w:rPr>
          <w:rFonts w:cs="Arial"/>
        </w:rPr>
        <w:t xml:space="preserve">Neves Correia, N., (2019). </w:t>
      </w:r>
      <w:r w:rsidRPr="00654E6C">
        <w:rPr>
          <w:rFonts w:cs="Arial"/>
          <w:i/>
          <w:iCs/>
        </w:rPr>
        <w:t>The impact of Brexit on the UK pharmaceutical industry: A case study of GlaxoSmithKline.</w:t>
      </w:r>
    </w:p>
    <w:p w14:paraId="3839B230" w14:textId="77777777" w:rsidR="001A6BF3" w:rsidRPr="00654E6C" w:rsidRDefault="001A6BF3" w:rsidP="001A6BF3">
      <w:pPr>
        <w:ind w:left="576" w:hanging="576"/>
        <w:rPr>
          <w:rFonts w:cs="Arial"/>
        </w:rPr>
      </w:pPr>
      <w:r w:rsidRPr="00654E6C">
        <w:rPr>
          <w:rFonts w:cs="Arial"/>
        </w:rPr>
        <w:t xml:space="preserve">Rizhamadze, K., (2020). </w:t>
      </w:r>
      <w:proofErr w:type="spellStart"/>
      <w:r w:rsidRPr="00654E6C">
        <w:rPr>
          <w:rFonts w:cs="Arial"/>
        </w:rPr>
        <w:t>Analyzing</w:t>
      </w:r>
      <w:proofErr w:type="spellEnd"/>
      <w:r w:rsidRPr="00654E6C">
        <w:rPr>
          <w:rFonts w:cs="Arial"/>
        </w:rPr>
        <w:t xml:space="preserve"> Business Model, Narrative and Numbers of GSK (Glaxo</w:t>
      </w:r>
      <w:r w:rsidR="00326CB6" w:rsidRPr="00654E6C">
        <w:rPr>
          <w:rFonts w:cs="Arial"/>
        </w:rPr>
        <w:t>SmithK</w:t>
      </w:r>
      <w:r w:rsidRPr="00654E6C">
        <w:rPr>
          <w:rFonts w:cs="Arial"/>
        </w:rPr>
        <w:t xml:space="preserve">line). </w:t>
      </w:r>
      <w:r w:rsidRPr="00654E6C">
        <w:rPr>
          <w:rFonts w:cs="Arial"/>
          <w:i/>
          <w:iCs/>
        </w:rPr>
        <w:t>Eurasian Journal of Social Sciences</w:t>
      </w:r>
      <w:r w:rsidRPr="00654E6C">
        <w:rPr>
          <w:rFonts w:cs="Arial"/>
        </w:rPr>
        <w:t xml:space="preserve">, </w:t>
      </w:r>
      <w:r w:rsidRPr="00654E6C">
        <w:rPr>
          <w:rFonts w:cs="Arial"/>
          <w:i/>
          <w:iCs/>
        </w:rPr>
        <w:t>8</w:t>
      </w:r>
      <w:r w:rsidRPr="00654E6C">
        <w:rPr>
          <w:rFonts w:cs="Arial"/>
        </w:rPr>
        <w:t>(1), pp.35-41.</w:t>
      </w:r>
    </w:p>
    <w:p w14:paraId="1875AF49" w14:textId="77777777" w:rsidR="001A6BF3" w:rsidRPr="00654E6C" w:rsidRDefault="001A6BF3" w:rsidP="001A6BF3">
      <w:pPr>
        <w:ind w:left="576" w:hanging="576"/>
        <w:rPr>
          <w:rFonts w:cs="Arial"/>
        </w:rPr>
      </w:pPr>
      <w:r w:rsidRPr="00654E6C">
        <w:rPr>
          <w:rFonts w:cs="Arial"/>
        </w:rPr>
        <w:t xml:space="preserve">Saïd, K., Sevic, Z. and Phillips, I.L., (2019). The challenges of addressing stakeholders’ expectations through corporate non-market strategies in emergent countries: The GlaxoSmithKline (GSK) case. </w:t>
      </w:r>
      <w:r w:rsidR="00694A0C" w:rsidRPr="00654E6C">
        <w:rPr>
          <w:rFonts w:cs="Arial"/>
          <w:i/>
          <w:iCs/>
        </w:rPr>
        <w:t xml:space="preserve">Critical Perspectives </w:t>
      </w:r>
      <w:r w:rsidRPr="00654E6C">
        <w:rPr>
          <w:rFonts w:cs="Arial"/>
          <w:i/>
          <w:iCs/>
        </w:rPr>
        <w:t xml:space="preserve">on </w:t>
      </w:r>
      <w:r w:rsidR="00694A0C" w:rsidRPr="00654E6C">
        <w:rPr>
          <w:rFonts w:cs="Arial"/>
          <w:i/>
          <w:iCs/>
        </w:rPr>
        <w:t>International Business</w:t>
      </w:r>
      <w:r w:rsidRPr="00654E6C">
        <w:rPr>
          <w:rFonts w:cs="Arial"/>
        </w:rPr>
        <w:t xml:space="preserve">, </w:t>
      </w:r>
      <w:r w:rsidRPr="00654E6C">
        <w:rPr>
          <w:rFonts w:cs="Arial"/>
          <w:i/>
          <w:iCs/>
        </w:rPr>
        <w:t>15</w:t>
      </w:r>
      <w:r w:rsidRPr="00654E6C">
        <w:rPr>
          <w:rFonts w:cs="Arial"/>
        </w:rPr>
        <w:t>(1), pp.87-106.</w:t>
      </w:r>
    </w:p>
    <w:p w14:paraId="75D240CF" w14:textId="77777777" w:rsidR="001A6BF3" w:rsidRPr="00AE21AC" w:rsidRDefault="001A6BF3" w:rsidP="001A6BF3">
      <w:pPr>
        <w:ind w:left="576" w:hanging="576"/>
        <w:rPr>
          <w:rFonts w:cs="Arial"/>
        </w:rPr>
      </w:pPr>
      <w:proofErr w:type="spellStart"/>
      <w:r w:rsidRPr="00654E6C">
        <w:rPr>
          <w:rFonts w:cs="Arial"/>
        </w:rPr>
        <w:lastRenderedPageBreak/>
        <w:t>Widyawati</w:t>
      </w:r>
      <w:proofErr w:type="spellEnd"/>
      <w:r w:rsidRPr="00654E6C">
        <w:rPr>
          <w:rFonts w:cs="Arial"/>
        </w:rPr>
        <w:t xml:space="preserve">, L., (2020). A systematic literature review of socially responsible investment and environmental social governance metrics. </w:t>
      </w:r>
      <w:r w:rsidRPr="00654E6C">
        <w:rPr>
          <w:rFonts w:cs="Arial"/>
          <w:i/>
          <w:iCs/>
        </w:rPr>
        <w:t>Business Strategy and the Environment</w:t>
      </w:r>
      <w:r w:rsidRPr="00654E6C">
        <w:rPr>
          <w:rFonts w:cs="Arial"/>
        </w:rPr>
        <w:t xml:space="preserve">, </w:t>
      </w:r>
      <w:r w:rsidRPr="00654E6C">
        <w:rPr>
          <w:rFonts w:cs="Arial"/>
          <w:i/>
          <w:iCs/>
        </w:rPr>
        <w:t>29</w:t>
      </w:r>
      <w:r w:rsidRPr="00654E6C">
        <w:rPr>
          <w:rFonts w:cs="Arial"/>
        </w:rPr>
        <w:t>(2), pp.619-637.</w:t>
      </w:r>
    </w:p>
    <w:sectPr w:rsidR="001A6BF3" w:rsidRPr="00AE21A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BAF16F" w14:textId="77777777" w:rsidR="00D537EF" w:rsidRPr="00654E6C" w:rsidRDefault="00D537EF" w:rsidP="00E129D3">
      <w:pPr>
        <w:spacing w:after="0" w:line="240" w:lineRule="auto"/>
      </w:pPr>
      <w:r w:rsidRPr="00654E6C">
        <w:separator/>
      </w:r>
    </w:p>
  </w:endnote>
  <w:endnote w:type="continuationSeparator" w:id="0">
    <w:p w14:paraId="5A4AD6F4" w14:textId="77777777" w:rsidR="00D537EF" w:rsidRPr="00654E6C" w:rsidRDefault="00D537EF" w:rsidP="00E129D3">
      <w:pPr>
        <w:spacing w:after="0" w:line="240" w:lineRule="auto"/>
      </w:pPr>
      <w:r w:rsidRPr="00654E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3349952"/>
      <w:docPartObj>
        <w:docPartGallery w:val="Page Numbers (Bottom of Page)"/>
        <w:docPartUnique/>
      </w:docPartObj>
    </w:sdtPr>
    <w:sdtContent>
      <w:p w14:paraId="51238A6C" w14:textId="77777777" w:rsidR="00E129D3" w:rsidRPr="00654E6C" w:rsidRDefault="00E129D3">
        <w:pPr>
          <w:pStyle w:val="Footer"/>
          <w:jc w:val="right"/>
        </w:pPr>
        <w:r w:rsidRPr="00654E6C">
          <w:fldChar w:fldCharType="begin"/>
        </w:r>
        <w:r w:rsidRPr="00654E6C">
          <w:instrText xml:space="preserve"> PAGE   \* MERGEFORMAT </w:instrText>
        </w:r>
        <w:r w:rsidRPr="00654E6C">
          <w:fldChar w:fldCharType="separate"/>
        </w:r>
        <w:r w:rsidR="00EF669C" w:rsidRPr="00654E6C">
          <w:t>10</w:t>
        </w:r>
        <w:r w:rsidRPr="00654E6C">
          <w:fldChar w:fldCharType="end"/>
        </w:r>
      </w:p>
    </w:sdtContent>
  </w:sdt>
  <w:p w14:paraId="5B823F3A" w14:textId="77777777" w:rsidR="00E129D3" w:rsidRPr="00654E6C" w:rsidRDefault="00E12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42B26" w14:textId="77777777" w:rsidR="00D537EF" w:rsidRPr="00654E6C" w:rsidRDefault="00D537EF" w:rsidP="00E129D3">
      <w:pPr>
        <w:spacing w:after="0" w:line="240" w:lineRule="auto"/>
      </w:pPr>
      <w:r w:rsidRPr="00654E6C">
        <w:separator/>
      </w:r>
    </w:p>
  </w:footnote>
  <w:footnote w:type="continuationSeparator" w:id="0">
    <w:p w14:paraId="0B91E55B" w14:textId="77777777" w:rsidR="00D537EF" w:rsidRPr="00654E6C" w:rsidRDefault="00D537EF" w:rsidP="00E129D3">
      <w:pPr>
        <w:spacing w:after="0" w:line="240" w:lineRule="auto"/>
      </w:pPr>
      <w:r w:rsidRPr="00654E6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634D02"/>
    <w:multiLevelType w:val="hybridMultilevel"/>
    <w:tmpl w:val="16286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90078D"/>
    <w:multiLevelType w:val="hybridMultilevel"/>
    <w:tmpl w:val="BF243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651905"/>
    <w:multiLevelType w:val="hybridMultilevel"/>
    <w:tmpl w:val="1D280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1307371">
    <w:abstractNumId w:val="0"/>
  </w:num>
  <w:num w:numId="2" w16cid:durableId="319430669">
    <w:abstractNumId w:val="2"/>
  </w:num>
  <w:num w:numId="3" w16cid:durableId="1183056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K1NDeyNDYztDA0MjNX0lEKTi0uzszPAykwrgUAbQFhmCwAAAA="/>
  </w:docVars>
  <w:rsids>
    <w:rsidRoot w:val="009257F9"/>
    <w:rsid w:val="000555B2"/>
    <w:rsid w:val="000E7CE8"/>
    <w:rsid w:val="00115103"/>
    <w:rsid w:val="0017706E"/>
    <w:rsid w:val="001A6BF3"/>
    <w:rsid w:val="001D3803"/>
    <w:rsid w:val="001F7A74"/>
    <w:rsid w:val="002A25D5"/>
    <w:rsid w:val="002F708D"/>
    <w:rsid w:val="00326CB6"/>
    <w:rsid w:val="00333238"/>
    <w:rsid w:val="003E12FD"/>
    <w:rsid w:val="004324CA"/>
    <w:rsid w:val="004B3907"/>
    <w:rsid w:val="004E612F"/>
    <w:rsid w:val="0056331B"/>
    <w:rsid w:val="005F7903"/>
    <w:rsid w:val="00620381"/>
    <w:rsid w:val="00643370"/>
    <w:rsid w:val="00654E6C"/>
    <w:rsid w:val="00681AFB"/>
    <w:rsid w:val="00683447"/>
    <w:rsid w:val="00694A0C"/>
    <w:rsid w:val="006B2DE7"/>
    <w:rsid w:val="006C301D"/>
    <w:rsid w:val="006E4CAE"/>
    <w:rsid w:val="00772D6F"/>
    <w:rsid w:val="00842E4C"/>
    <w:rsid w:val="00881587"/>
    <w:rsid w:val="00923E95"/>
    <w:rsid w:val="009257F9"/>
    <w:rsid w:val="00974FFF"/>
    <w:rsid w:val="009927AB"/>
    <w:rsid w:val="009F1864"/>
    <w:rsid w:val="00A02EF8"/>
    <w:rsid w:val="00A33D6F"/>
    <w:rsid w:val="00A4760A"/>
    <w:rsid w:val="00AC6D02"/>
    <w:rsid w:val="00AE21AC"/>
    <w:rsid w:val="00AF282C"/>
    <w:rsid w:val="00B87E01"/>
    <w:rsid w:val="00B9435B"/>
    <w:rsid w:val="00BE3965"/>
    <w:rsid w:val="00C47457"/>
    <w:rsid w:val="00C50767"/>
    <w:rsid w:val="00C93CBD"/>
    <w:rsid w:val="00CB6B6E"/>
    <w:rsid w:val="00CC3224"/>
    <w:rsid w:val="00D537EF"/>
    <w:rsid w:val="00DD4350"/>
    <w:rsid w:val="00E066A8"/>
    <w:rsid w:val="00E129D3"/>
    <w:rsid w:val="00E170A6"/>
    <w:rsid w:val="00E17523"/>
    <w:rsid w:val="00E421FA"/>
    <w:rsid w:val="00E42907"/>
    <w:rsid w:val="00E90078"/>
    <w:rsid w:val="00EF669C"/>
    <w:rsid w:val="00F41833"/>
    <w:rsid w:val="00F865A5"/>
    <w:rsid w:val="00FB718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06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B6E"/>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654E6C"/>
    <w:pPr>
      <w:keepNext/>
      <w:keepLines/>
      <w:spacing w:before="120" w:after="120"/>
      <w:jc w:val="center"/>
      <w:outlineLvl w:val="0"/>
    </w:pPr>
    <w:rPr>
      <w:rFonts w:eastAsiaTheme="majorEastAsia" w:cs="Arial"/>
      <w:b/>
      <w:bCs/>
      <w:sz w:val="28"/>
    </w:rPr>
  </w:style>
  <w:style w:type="paragraph" w:styleId="Heading2">
    <w:name w:val="heading 2"/>
    <w:basedOn w:val="Normal"/>
    <w:next w:val="Normal"/>
    <w:link w:val="Heading2Char"/>
    <w:uiPriority w:val="9"/>
    <w:unhideWhenUsed/>
    <w:qFormat/>
    <w:rsid w:val="009927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29D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E6C"/>
    <w:rPr>
      <w:rFonts w:ascii="Arial" w:eastAsiaTheme="majorEastAsia" w:hAnsi="Arial" w:cs="Arial"/>
      <w:b/>
      <w:bCs/>
      <w:sz w:val="28"/>
      <w:lang w:val="en-GB"/>
    </w:rPr>
  </w:style>
  <w:style w:type="character" w:customStyle="1" w:styleId="Heading2Char">
    <w:name w:val="Heading 2 Char"/>
    <w:basedOn w:val="DefaultParagraphFont"/>
    <w:link w:val="Heading2"/>
    <w:uiPriority w:val="9"/>
    <w:rsid w:val="009927A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C32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224"/>
    <w:rPr>
      <w:rFonts w:ascii="Tahoma" w:hAnsi="Tahoma" w:cs="Tahoma"/>
      <w:sz w:val="16"/>
      <w:szCs w:val="16"/>
    </w:rPr>
  </w:style>
  <w:style w:type="paragraph" w:styleId="Caption">
    <w:name w:val="caption"/>
    <w:basedOn w:val="Normal"/>
    <w:next w:val="Normal"/>
    <w:uiPriority w:val="35"/>
    <w:unhideWhenUsed/>
    <w:qFormat/>
    <w:rsid w:val="00CC3224"/>
    <w:pPr>
      <w:spacing w:line="240" w:lineRule="auto"/>
    </w:pPr>
    <w:rPr>
      <w:b/>
      <w:bCs/>
      <w:color w:val="4F81BD" w:themeColor="accent1"/>
      <w:sz w:val="18"/>
      <w:szCs w:val="18"/>
    </w:rPr>
  </w:style>
  <w:style w:type="paragraph" w:styleId="Title">
    <w:name w:val="Title"/>
    <w:basedOn w:val="Normal"/>
    <w:next w:val="Normal"/>
    <w:link w:val="TitleChar"/>
    <w:uiPriority w:val="10"/>
    <w:qFormat/>
    <w:rsid w:val="00E129D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129D3"/>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E129D3"/>
    <w:pPr>
      <w:ind w:left="720"/>
      <w:contextualSpacing/>
    </w:pPr>
  </w:style>
  <w:style w:type="character" w:styleId="Hyperlink">
    <w:name w:val="Hyperlink"/>
    <w:basedOn w:val="DefaultParagraphFont"/>
    <w:uiPriority w:val="99"/>
    <w:unhideWhenUsed/>
    <w:rsid w:val="00E129D3"/>
    <w:rPr>
      <w:color w:val="0000FF" w:themeColor="hyperlink"/>
      <w:u w:val="single"/>
    </w:rPr>
  </w:style>
  <w:style w:type="paragraph" w:styleId="Header">
    <w:name w:val="header"/>
    <w:basedOn w:val="Normal"/>
    <w:link w:val="HeaderChar"/>
    <w:uiPriority w:val="99"/>
    <w:unhideWhenUsed/>
    <w:rsid w:val="00E129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29D3"/>
  </w:style>
  <w:style w:type="paragraph" w:styleId="Footer">
    <w:name w:val="footer"/>
    <w:basedOn w:val="Normal"/>
    <w:link w:val="FooterChar"/>
    <w:uiPriority w:val="99"/>
    <w:unhideWhenUsed/>
    <w:rsid w:val="00E129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29D3"/>
  </w:style>
  <w:style w:type="character" w:customStyle="1" w:styleId="Heading3Char">
    <w:name w:val="Heading 3 Char"/>
    <w:basedOn w:val="DefaultParagraphFont"/>
    <w:link w:val="Heading3"/>
    <w:uiPriority w:val="9"/>
    <w:rsid w:val="00E129D3"/>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AC6D02"/>
    <w:pPr>
      <w:outlineLvl w:val="9"/>
    </w:pPr>
    <w:rPr>
      <w:lang w:eastAsia="ja-JP"/>
    </w:rPr>
  </w:style>
  <w:style w:type="paragraph" w:styleId="TOC1">
    <w:name w:val="toc 1"/>
    <w:basedOn w:val="Normal"/>
    <w:next w:val="Normal"/>
    <w:autoRedefine/>
    <w:uiPriority w:val="39"/>
    <w:unhideWhenUsed/>
    <w:rsid w:val="00AC6D02"/>
    <w:pPr>
      <w:spacing w:after="100"/>
    </w:pPr>
  </w:style>
  <w:style w:type="paragraph" w:styleId="TOC2">
    <w:name w:val="toc 2"/>
    <w:basedOn w:val="Normal"/>
    <w:next w:val="Normal"/>
    <w:autoRedefine/>
    <w:uiPriority w:val="39"/>
    <w:unhideWhenUsed/>
    <w:rsid w:val="00AC6D02"/>
    <w:pPr>
      <w:spacing w:after="100"/>
      <w:ind w:left="220"/>
    </w:pPr>
  </w:style>
  <w:style w:type="paragraph" w:styleId="TOC3">
    <w:name w:val="toc 3"/>
    <w:basedOn w:val="Normal"/>
    <w:next w:val="Normal"/>
    <w:autoRedefine/>
    <w:uiPriority w:val="39"/>
    <w:unhideWhenUsed/>
    <w:rsid w:val="00AC6D0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807716">
      <w:bodyDiv w:val="1"/>
      <w:marLeft w:val="0"/>
      <w:marRight w:val="0"/>
      <w:marTop w:val="0"/>
      <w:marBottom w:val="0"/>
      <w:divBdr>
        <w:top w:val="none" w:sz="0" w:space="0" w:color="auto"/>
        <w:left w:val="none" w:sz="0" w:space="0" w:color="auto"/>
        <w:bottom w:val="none" w:sz="0" w:space="0" w:color="auto"/>
        <w:right w:val="none" w:sz="0" w:space="0" w:color="auto"/>
      </w:divBdr>
    </w:div>
    <w:div w:id="990061696">
      <w:bodyDiv w:val="1"/>
      <w:marLeft w:val="0"/>
      <w:marRight w:val="0"/>
      <w:marTop w:val="0"/>
      <w:marBottom w:val="0"/>
      <w:divBdr>
        <w:top w:val="none" w:sz="0" w:space="0" w:color="auto"/>
        <w:left w:val="none" w:sz="0" w:space="0" w:color="auto"/>
        <w:bottom w:val="none" w:sz="0" w:space="0" w:color="auto"/>
        <w:right w:val="none" w:sz="0" w:space="0" w:color="auto"/>
      </w:divBdr>
    </w:div>
    <w:div w:id="177767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66297/glaxosmithkline-revenue-since-2006/"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058CF7-EF85-4C4E-99A4-42880F3EE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2024-06-11T16:34:00Z</dcterms:created>
  <dcterms:modified xsi:type="dcterms:W3CDTF">2024-06-27T10:09:00Z</dcterms:modified>
</cp:coreProperties>
</file>