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33B0B4F" w:rsidP="653E86EB" w:rsidRDefault="533B0B4F" w14:paraId="179D212A" w14:textId="4765A135">
      <w:pPr>
        <w:rPr>
          <w:rFonts w:ascii="Calibri" w:hAnsi="Calibri" w:eastAsia="Calibri" w:cs="Calibri"/>
          <w:b w:val="1"/>
          <w:bCs w:val="1"/>
          <w:sz w:val="36"/>
          <w:szCs w:val="36"/>
        </w:rPr>
      </w:pPr>
      <w:r w:rsidR="533B0B4F">
        <w:rPr/>
        <w:t xml:space="preserve">                             </w:t>
      </w:r>
      <w:r w:rsidRPr="653E86EB" w:rsidR="533B0B4F">
        <w:rPr>
          <w:sz w:val="36"/>
          <w:szCs w:val="36"/>
        </w:rPr>
        <w:t xml:space="preserve">        </w:t>
      </w:r>
      <w:r w:rsidRPr="653E86EB" w:rsidR="533B0B4F">
        <w:rPr>
          <w:sz w:val="36"/>
          <w:szCs w:val="36"/>
        </w:rPr>
        <w:t xml:space="preserve">      PHYSCHOLOGICAL THEORIES</w:t>
      </w:r>
    </w:p>
    <w:p w:rsidR="4D50C1AD" w:rsidP="653E86EB" w:rsidRDefault="4D50C1AD" w14:paraId="79F6F433" w14:textId="227CD81B">
      <w:pPr>
        <w:rPr>
          <w:sz w:val="24"/>
          <w:szCs w:val="24"/>
        </w:rPr>
      </w:pPr>
      <w:r w:rsidRPr="653E86EB" w:rsidR="4D50C1AD">
        <w:rPr>
          <w:sz w:val="24"/>
          <w:szCs w:val="24"/>
        </w:rPr>
        <w:t>Paulo Bucur</w:t>
      </w:r>
    </w:p>
    <w:p w:rsidR="4D50C1AD" w:rsidP="653E86EB" w:rsidRDefault="4D50C1AD" w14:paraId="379E113D" w14:textId="3A2BFCA7">
      <w:pPr>
        <w:rPr>
          <w:sz w:val="24"/>
          <w:szCs w:val="24"/>
        </w:rPr>
      </w:pPr>
      <w:r w:rsidRPr="653E86EB" w:rsidR="4D50C1AD">
        <w:rPr>
          <w:sz w:val="24"/>
          <w:szCs w:val="24"/>
        </w:rPr>
        <w:t>2420352</w:t>
      </w:r>
    </w:p>
    <w:p w:rsidR="653E86EB" w:rsidP="653E86EB" w:rsidRDefault="653E86EB" w14:paraId="63D82EC3" w14:textId="30288766">
      <w:pPr>
        <w:rPr>
          <w:sz w:val="22"/>
          <w:szCs w:val="22"/>
        </w:rPr>
      </w:pPr>
    </w:p>
    <w:p w:rsidR="2E6AFB47" w:rsidP="653E86EB" w:rsidRDefault="2E6AFB47" w14:paraId="114A5934" w14:textId="7772BAA7">
      <w:pPr>
        <w:pStyle w:val="Heading2"/>
        <w:spacing w:before="299" w:beforeAutospacing="off" w:after="299" w:afterAutospacing="off"/>
      </w:pPr>
      <w:r w:rsidRPr="653E86EB" w:rsidR="2E6AFB47">
        <w:rPr>
          <w:rFonts w:ascii="Aptos" w:hAnsi="Aptos" w:eastAsia="Aptos" w:cs="Aptos"/>
          <w:b w:val="1"/>
          <w:bCs w:val="1"/>
          <w:noProof w:val="0"/>
          <w:sz w:val="36"/>
          <w:szCs w:val="36"/>
          <w:lang w:val="en-GB"/>
        </w:rPr>
        <w:t>1. Introduction and Context</w:t>
      </w:r>
    </w:p>
    <w:p w:rsidR="2E6AFB47" w:rsidP="653E86EB" w:rsidRDefault="2E6AFB47" w14:paraId="220DAA2E" w14:textId="2E521530">
      <w:pPr>
        <w:spacing w:before="240" w:beforeAutospacing="off" w:after="240" w:afterAutospacing="off"/>
      </w:pPr>
      <w:r w:rsidRPr="653E86EB" w:rsidR="2E6AFB47">
        <w:rPr>
          <w:rFonts w:ascii="Aptos" w:hAnsi="Aptos" w:eastAsia="Aptos" w:cs="Aptos"/>
          <w:noProof w:val="0"/>
          <w:sz w:val="22"/>
          <w:szCs w:val="22"/>
          <w:lang w:val="en-GB"/>
        </w:rPr>
        <w:t>As the global population ages, the prevalence of dementia continues to rise, making it a pressing concern for health and social care professionals. Dementia is a progressive neurodegenerative condition that affects memory, cognitive abilities, communication, and behaviour, with a profound impact on daily functioning. In residential care homes, older adults aged 65 and over often require specialised support tailored to their psychological and behavioural needs. This report focuses on how psychological theories can inform and enhance care strategies for older adults living with dementia in residential settings.</w:t>
      </w:r>
    </w:p>
    <w:p w:rsidR="2E6AFB47" w:rsidP="653E86EB" w:rsidRDefault="2E6AFB47" w14:paraId="27F336DF" w14:textId="1C5F91EC">
      <w:pPr>
        <w:spacing w:before="240" w:beforeAutospacing="off" w:after="240" w:afterAutospacing="off"/>
      </w:pPr>
      <w:r w:rsidRPr="653E86EB" w:rsidR="2E6AFB47">
        <w:rPr>
          <w:rFonts w:ascii="Aptos" w:hAnsi="Aptos" w:eastAsia="Aptos" w:cs="Aptos"/>
          <w:noProof w:val="0"/>
          <w:sz w:val="22"/>
          <w:szCs w:val="22"/>
          <w:lang w:val="en-GB"/>
        </w:rPr>
        <w:t>The objective is to provide health and social care practitioners with practical, theory-based guidance on supporting residents who experience psychological health conditions, with a particular focus on dementia. Two psychological theories relevant to adult development and health behaviour—Erikson’s Psychosocial Theory and the Person-Centred Approach (originating from Carl Rogers)—will be explored. Each theory will be critically analysed in the context of dementia care, with real-world applications, challenges, and strategies for effective implementation.</w:t>
      </w:r>
    </w:p>
    <w:p w:rsidR="653E86EB" w:rsidRDefault="653E86EB" w14:paraId="2EFF9C04" w14:textId="22FDE821"/>
    <w:p w:rsidR="2E6AFB47" w:rsidP="653E86EB" w:rsidRDefault="2E6AFB47" w14:paraId="0D7E5FBF" w14:textId="2B833DD2">
      <w:pPr>
        <w:pStyle w:val="Heading2"/>
        <w:spacing w:before="299" w:beforeAutospacing="off" w:after="299" w:afterAutospacing="off"/>
      </w:pPr>
      <w:r w:rsidRPr="653E86EB" w:rsidR="2E6AFB47">
        <w:rPr>
          <w:rFonts w:ascii="Aptos" w:hAnsi="Aptos" w:eastAsia="Aptos" w:cs="Aptos"/>
          <w:b w:val="1"/>
          <w:bCs w:val="1"/>
          <w:noProof w:val="0"/>
          <w:sz w:val="36"/>
          <w:szCs w:val="36"/>
          <w:lang w:val="en-GB"/>
        </w:rPr>
        <w:t>2. Overview of Psychological Theories</w:t>
      </w:r>
    </w:p>
    <w:p w:rsidR="2E6AFB47" w:rsidP="653E86EB" w:rsidRDefault="2E6AFB47" w14:paraId="5163772F" w14:textId="2E5CA202">
      <w:pPr>
        <w:pStyle w:val="Heading3"/>
        <w:spacing w:before="281" w:beforeAutospacing="off" w:after="281" w:afterAutospacing="off"/>
      </w:pPr>
      <w:r w:rsidRPr="653E86EB" w:rsidR="2E6AFB47">
        <w:rPr>
          <w:rFonts w:ascii="Aptos" w:hAnsi="Aptos" w:eastAsia="Aptos" w:cs="Aptos"/>
          <w:b w:val="1"/>
          <w:bCs w:val="1"/>
          <w:noProof w:val="0"/>
          <w:sz w:val="28"/>
          <w:szCs w:val="28"/>
          <w:lang w:val="en-GB"/>
        </w:rPr>
        <w:t>2.1 Erikson’s Psychosocial Theory of Development</w:t>
      </w:r>
    </w:p>
    <w:p w:rsidR="2E6AFB47" w:rsidP="653E86EB" w:rsidRDefault="2E6AFB47" w14:paraId="1AC1704C" w14:textId="225A6A5E">
      <w:pPr>
        <w:spacing w:before="240" w:beforeAutospacing="off" w:after="240" w:afterAutospacing="off"/>
      </w:pPr>
      <w:r w:rsidRPr="653E86EB" w:rsidR="2E6AFB47">
        <w:rPr>
          <w:rFonts w:ascii="Aptos" w:hAnsi="Aptos" w:eastAsia="Aptos" w:cs="Aptos"/>
          <w:noProof w:val="0"/>
          <w:sz w:val="22"/>
          <w:szCs w:val="22"/>
          <w:lang w:val="en-GB"/>
        </w:rPr>
        <w:t xml:space="preserve">Erik Erikson’s theory of psychosocial development outlines eight stages that an individual passes through across their lifespan. For older adults aged 65 and over, the relevant stage is </w:t>
      </w:r>
      <w:r w:rsidRPr="653E86EB" w:rsidR="2E6AFB47">
        <w:rPr>
          <w:rFonts w:ascii="Aptos" w:hAnsi="Aptos" w:eastAsia="Aptos" w:cs="Aptos"/>
          <w:b w:val="1"/>
          <w:bCs w:val="1"/>
          <w:noProof w:val="0"/>
          <w:sz w:val="22"/>
          <w:szCs w:val="22"/>
          <w:lang w:val="en-GB"/>
        </w:rPr>
        <w:t>Integrity vs Despair</w:t>
      </w:r>
      <w:r w:rsidRPr="653E86EB" w:rsidR="2E6AFB47">
        <w:rPr>
          <w:rFonts w:ascii="Aptos" w:hAnsi="Aptos" w:eastAsia="Aptos" w:cs="Aptos"/>
          <w:noProof w:val="0"/>
          <w:sz w:val="22"/>
          <w:szCs w:val="22"/>
          <w:lang w:val="en-GB"/>
        </w:rPr>
        <w:t>, which centres around reflecting on life and either achieving a sense of fulfilment or experiencing regret and dissatisfaction.</w:t>
      </w:r>
    </w:p>
    <w:p w:rsidR="2E6AFB47" w:rsidP="653E86EB" w:rsidRDefault="2E6AFB47" w14:paraId="42DA869F" w14:textId="3D259773">
      <w:pPr>
        <w:spacing w:before="240" w:beforeAutospacing="off" w:after="240" w:afterAutospacing="off"/>
      </w:pPr>
      <w:r w:rsidRPr="653E86EB" w:rsidR="2E6AFB47">
        <w:rPr>
          <w:rFonts w:ascii="Aptos" w:hAnsi="Aptos" w:eastAsia="Aptos" w:cs="Aptos"/>
          <w:noProof w:val="0"/>
          <w:sz w:val="22"/>
          <w:szCs w:val="22"/>
          <w:lang w:val="en-GB"/>
        </w:rPr>
        <w:t xml:space="preserve">Older adults in this stage seek to understand their life’s meaning, accept past decisions, and develop a sense of completeness. Those who successfully navigate this stage achieve </w:t>
      </w:r>
      <w:r w:rsidRPr="653E86EB" w:rsidR="2E6AFB47">
        <w:rPr>
          <w:rFonts w:ascii="Aptos" w:hAnsi="Aptos" w:eastAsia="Aptos" w:cs="Aptos"/>
          <w:b w:val="1"/>
          <w:bCs w:val="1"/>
          <w:noProof w:val="0"/>
          <w:sz w:val="22"/>
          <w:szCs w:val="22"/>
          <w:lang w:val="en-GB"/>
        </w:rPr>
        <w:t>ego integrity</w:t>
      </w:r>
      <w:r w:rsidRPr="653E86EB" w:rsidR="2E6AFB47">
        <w:rPr>
          <w:rFonts w:ascii="Aptos" w:hAnsi="Aptos" w:eastAsia="Aptos" w:cs="Aptos"/>
          <w:noProof w:val="0"/>
          <w:sz w:val="22"/>
          <w:szCs w:val="22"/>
          <w:lang w:val="en-GB"/>
        </w:rPr>
        <w:t xml:space="preserve">, while those who struggle may experience </w:t>
      </w:r>
      <w:r w:rsidRPr="653E86EB" w:rsidR="2E6AFB47">
        <w:rPr>
          <w:rFonts w:ascii="Aptos" w:hAnsi="Aptos" w:eastAsia="Aptos" w:cs="Aptos"/>
          <w:b w:val="1"/>
          <w:bCs w:val="1"/>
          <w:noProof w:val="0"/>
          <w:sz w:val="22"/>
          <w:szCs w:val="22"/>
          <w:lang w:val="en-GB"/>
        </w:rPr>
        <w:t>despair</w:t>
      </w:r>
      <w:r w:rsidRPr="653E86EB" w:rsidR="2E6AFB47">
        <w:rPr>
          <w:rFonts w:ascii="Aptos" w:hAnsi="Aptos" w:eastAsia="Aptos" w:cs="Aptos"/>
          <w:noProof w:val="0"/>
          <w:sz w:val="22"/>
          <w:szCs w:val="22"/>
          <w:lang w:val="en-GB"/>
        </w:rPr>
        <w:t>, fear of death, or depression. In the context of dementia, this developmental task can become particularly complex, as cognitive decline interferes with memory and self-reflection.</w:t>
      </w:r>
    </w:p>
    <w:p w:rsidR="2E6AFB47" w:rsidP="653E86EB" w:rsidRDefault="2E6AFB47" w14:paraId="5BCD221A" w14:textId="710610F5">
      <w:pPr>
        <w:spacing w:before="240" w:beforeAutospacing="off" w:after="240" w:afterAutospacing="off"/>
      </w:pPr>
      <w:r w:rsidRPr="653E86EB" w:rsidR="2E6AFB47">
        <w:rPr>
          <w:rFonts w:ascii="Aptos" w:hAnsi="Aptos" w:eastAsia="Aptos" w:cs="Aptos"/>
          <w:noProof w:val="0"/>
          <w:sz w:val="22"/>
          <w:szCs w:val="22"/>
          <w:lang w:val="en-GB"/>
        </w:rPr>
        <w:t>Despite these challenges, Erikson’s theory remains applicable. Even with moderate dementia, many older adults retain long-term memories and emotional awareness. Supporting individuals through reminiscence and validation therapies can help reinforce identity, dignity, and a sense of meaning—key elements of achieving integrity.</w:t>
      </w:r>
    </w:p>
    <w:p w:rsidR="2E6AFB47" w:rsidP="653E86EB" w:rsidRDefault="2E6AFB47" w14:paraId="1FE23F7E" w14:textId="2400B854">
      <w:pPr>
        <w:pStyle w:val="Heading3"/>
        <w:spacing w:before="281" w:beforeAutospacing="off" w:after="281" w:afterAutospacing="off"/>
      </w:pPr>
      <w:r w:rsidRPr="653E86EB" w:rsidR="2E6AFB47">
        <w:rPr>
          <w:rFonts w:ascii="Aptos" w:hAnsi="Aptos" w:eastAsia="Aptos" w:cs="Aptos"/>
          <w:b w:val="1"/>
          <w:bCs w:val="1"/>
          <w:noProof w:val="0"/>
          <w:sz w:val="28"/>
          <w:szCs w:val="28"/>
          <w:lang w:val="en-GB"/>
        </w:rPr>
        <w:t>2.2 Carl Rogers’ Person-Centred Approach</w:t>
      </w:r>
    </w:p>
    <w:p w:rsidR="2E6AFB47" w:rsidP="653E86EB" w:rsidRDefault="2E6AFB47" w14:paraId="605A215F" w14:textId="3FA80318">
      <w:pPr>
        <w:spacing w:before="240" w:beforeAutospacing="off" w:after="240" w:afterAutospacing="off"/>
      </w:pPr>
      <w:r w:rsidRPr="653E86EB" w:rsidR="2E6AFB47">
        <w:rPr>
          <w:rFonts w:ascii="Aptos" w:hAnsi="Aptos" w:eastAsia="Aptos" w:cs="Aptos"/>
          <w:noProof w:val="0"/>
          <w:sz w:val="22"/>
          <w:szCs w:val="22"/>
          <w:lang w:val="en-GB"/>
        </w:rPr>
        <w:t>Carl Rogers’ Person-Centred Approach is grounded in the belief that individuals have the capacity for self-understanding and personal growth, given the right environment. The core principles—</w:t>
      </w:r>
      <w:r w:rsidRPr="653E86EB" w:rsidR="2E6AFB47">
        <w:rPr>
          <w:rFonts w:ascii="Aptos" w:hAnsi="Aptos" w:eastAsia="Aptos" w:cs="Aptos"/>
          <w:b w:val="1"/>
          <w:bCs w:val="1"/>
          <w:noProof w:val="0"/>
          <w:sz w:val="22"/>
          <w:szCs w:val="22"/>
          <w:lang w:val="en-GB"/>
        </w:rPr>
        <w:t>unconditional positive regard, empathy, and congruence</w:t>
      </w:r>
      <w:r w:rsidRPr="653E86EB" w:rsidR="2E6AFB47">
        <w:rPr>
          <w:rFonts w:ascii="Aptos" w:hAnsi="Aptos" w:eastAsia="Aptos" w:cs="Aptos"/>
          <w:noProof w:val="0"/>
          <w:sz w:val="22"/>
          <w:szCs w:val="22"/>
          <w:lang w:val="en-GB"/>
        </w:rPr>
        <w:t>—form the basis of therapeutic relationships that are respectful, non-judgemental, and empowering.</w:t>
      </w:r>
    </w:p>
    <w:p w:rsidR="2E6AFB47" w:rsidP="653E86EB" w:rsidRDefault="2E6AFB47" w14:paraId="4EFEAAE2" w14:textId="5403CB5E">
      <w:pPr>
        <w:spacing w:before="240" w:beforeAutospacing="off" w:after="240" w:afterAutospacing="off"/>
      </w:pPr>
      <w:r w:rsidRPr="653E86EB" w:rsidR="2E6AFB47">
        <w:rPr>
          <w:rFonts w:ascii="Aptos" w:hAnsi="Aptos" w:eastAsia="Aptos" w:cs="Aptos"/>
          <w:noProof w:val="0"/>
          <w:sz w:val="22"/>
          <w:szCs w:val="22"/>
          <w:lang w:val="en-GB"/>
        </w:rPr>
        <w:t xml:space="preserve">In older adults with dementia, the person-centred approach focuses on </w:t>
      </w:r>
      <w:r w:rsidRPr="653E86EB" w:rsidR="2E6AFB47">
        <w:rPr>
          <w:rFonts w:ascii="Aptos" w:hAnsi="Aptos" w:eastAsia="Aptos" w:cs="Aptos"/>
          <w:b w:val="1"/>
          <w:bCs w:val="1"/>
          <w:noProof w:val="0"/>
          <w:sz w:val="22"/>
          <w:szCs w:val="22"/>
          <w:lang w:val="en-GB"/>
        </w:rPr>
        <w:t>seeing the person beyond the illness</w:t>
      </w:r>
      <w:r w:rsidRPr="653E86EB" w:rsidR="2E6AFB47">
        <w:rPr>
          <w:rFonts w:ascii="Aptos" w:hAnsi="Aptos" w:eastAsia="Aptos" w:cs="Aptos"/>
          <w:noProof w:val="0"/>
          <w:sz w:val="22"/>
          <w:szCs w:val="22"/>
          <w:lang w:val="en-GB"/>
        </w:rPr>
        <w:t xml:space="preserve">. Instead of prioritising medical symptoms or deficits, care is built around the individual's history, preferences, values, and remaining strengths. This approach has heavily influenced modern dementia care practices and is embedded in models such as Tom </w:t>
      </w:r>
      <w:r w:rsidRPr="653E86EB" w:rsidR="19DB87BD">
        <w:rPr>
          <w:rFonts w:ascii="Aptos" w:hAnsi="Aptos" w:eastAsia="Aptos" w:cs="Aptos"/>
          <w:noProof w:val="0"/>
          <w:sz w:val="22"/>
          <w:szCs w:val="22"/>
          <w:lang w:val="en-GB"/>
        </w:rPr>
        <w:t>Kit wood's</w:t>
      </w:r>
      <w:r w:rsidRPr="653E86EB" w:rsidR="2E6AFB47">
        <w:rPr>
          <w:rFonts w:ascii="Aptos" w:hAnsi="Aptos" w:eastAsia="Aptos" w:cs="Aptos"/>
          <w:noProof w:val="0"/>
          <w:sz w:val="22"/>
          <w:szCs w:val="22"/>
          <w:lang w:val="en-GB"/>
        </w:rPr>
        <w:t xml:space="preserve"> “Dementia Care Mapping,” which builds on Rogers’ work.</w:t>
      </w:r>
    </w:p>
    <w:p w:rsidR="653E86EB" w:rsidRDefault="653E86EB" w14:paraId="200CFD52" w14:textId="12C4FD93"/>
    <w:p w:rsidR="2E6AFB47" w:rsidP="653E86EB" w:rsidRDefault="2E6AFB47" w14:paraId="09F62E41" w14:textId="2C11175B">
      <w:pPr>
        <w:pStyle w:val="Heading2"/>
        <w:spacing w:before="299" w:beforeAutospacing="off" w:after="299" w:afterAutospacing="off"/>
      </w:pPr>
      <w:r w:rsidRPr="653E86EB" w:rsidR="2E6AFB47">
        <w:rPr>
          <w:rFonts w:ascii="Aptos" w:hAnsi="Aptos" w:eastAsia="Aptos" w:cs="Aptos"/>
          <w:b w:val="1"/>
          <w:bCs w:val="1"/>
          <w:noProof w:val="0"/>
          <w:sz w:val="36"/>
          <w:szCs w:val="36"/>
          <w:lang w:val="en-GB"/>
        </w:rPr>
        <w:t>3. Application in the Health and Social Care Context</w:t>
      </w:r>
    </w:p>
    <w:p w:rsidR="2E6AFB47" w:rsidP="653E86EB" w:rsidRDefault="2E6AFB47" w14:paraId="4C2E2AD5" w14:textId="26A1C601">
      <w:pPr>
        <w:pStyle w:val="Heading3"/>
        <w:spacing w:before="281" w:beforeAutospacing="off" w:after="281" w:afterAutospacing="off"/>
      </w:pPr>
      <w:r w:rsidRPr="653E86EB" w:rsidR="2E6AFB47">
        <w:rPr>
          <w:rFonts w:ascii="Aptos" w:hAnsi="Aptos" w:eastAsia="Aptos" w:cs="Aptos"/>
          <w:b w:val="1"/>
          <w:bCs w:val="1"/>
          <w:noProof w:val="0"/>
          <w:sz w:val="28"/>
          <w:szCs w:val="28"/>
          <w:lang w:val="en-GB"/>
        </w:rPr>
        <w:t>3.1 Applying Erikson’s Theory in Dementia Care Homes</w:t>
      </w:r>
    </w:p>
    <w:p w:rsidR="2E6AFB47" w:rsidP="653E86EB" w:rsidRDefault="2E6AFB47" w14:paraId="6A91585F" w14:textId="3A4C2016">
      <w:pPr>
        <w:pStyle w:val="Heading4"/>
        <w:spacing w:before="319" w:beforeAutospacing="off" w:after="319" w:afterAutospacing="off"/>
      </w:pPr>
      <w:r w:rsidRPr="653E86EB" w:rsidR="2E6AFB47">
        <w:rPr>
          <w:rFonts w:ascii="Aptos" w:hAnsi="Aptos" w:eastAsia="Aptos" w:cs="Aptos"/>
          <w:b w:val="1"/>
          <w:bCs w:val="1"/>
          <w:noProof w:val="0"/>
          <w:sz w:val="24"/>
          <w:szCs w:val="24"/>
          <w:lang w:val="en-GB"/>
        </w:rPr>
        <w:t>Practical Applications</w:t>
      </w:r>
    </w:p>
    <w:p w:rsidR="2E6AFB47" w:rsidP="653E86EB" w:rsidRDefault="2E6AFB47" w14:paraId="259DF832" w14:textId="23DF10C6">
      <w:pPr>
        <w:spacing w:before="240" w:beforeAutospacing="off" w:after="240" w:afterAutospacing="off"/>
      </w:pPr>
      <w:r w:rsidRPr="653E86EB" w:rsidR="2E6AFB47">
        <w:rPr>
          <w:rFonts w:ascii="Aptos" w:hAnsi="Aptos" w:eastAsia="Aptos" w:cs="Aptos"/>
          <w:noProof w:val="0"/>
          <w:sz w:val="22"/>
          <w:szCs w:val="22"/>
          <w:lang w:val="en-GB"/>
        </w:rPr>
        <w:t>Erikson’s stage of Integrity vs Despair can guide several interventions in a care home setting:</w:t>
      </w:r>
    </w:p>
    <w:p w:rsidR="2E6AFB47" w:rsidP="653E86EB" w:rsidRDefault="2E6AFB47" w14:paraId="3453AD10" w14:textId="2B918784">
      <w:pPr>
        <w:pStyle w:val="ListParagraph"/>
        <w:numPr>
          <w:ilvl w:val="0"/>
          <w:numId w:val="1"/>
        </w:numPr>
        <w:spacing w:before="240" w:beforeAutospacing="off" w:after="240" w:afterAutospacing="off"/>
        <w:rPr>
          <w:rFonts w:ascii="Aptos" w:hAnsi="Aptos" w:eastAsia="Aptos" w:cs="Aptos"/>
          <w:noProof w:val="0"/>
          <w:sz w:val="22"/>
          <w:szCs w:val="22"/>
          <w:lang w:val="en-GB"/>
        </w:rPr>
      </w:pPr>
      <w:r w:rsidRPr="653E86EB" w:rsidR="2E6AFB47">
        <w:rPr>
          <w:rFonts w:ascii="Aptos" w:hAnsi="Aptos" w:eastAsia="Aptos" w:cs="Aptos"/>
          <w:b w:val="1"/>
          <w:bCs w:val="1"/>
          <w:noProof w:val="0"/>
          <w:sz w:val="22"/>
          <w:szCs w:val="22"/>
          <w:lang w:val="en-GB"/>
        </w:rPr>
        <w:t>Reminiscence Therapy:</w:t>
      </w:r>
      <w:r w:rsidRPr="653E86EB" w:rsidR="2E6AFB47">
        <w:rPr>
          <w:rFonts w:ascii="Aptos" w:hAnsi="Aptos" w:eastAsia="Aptos" w:cs="Aptos"/>
          <w:noProof w:val="0"/>
          <w:sz w:val="22"/>
          <w:szCs w:val="22"/>
          <w:lang w:val="en-GB"/>
        </w:rPr>
        <w:t xml:space="preserve"> Encouraging residents to recall and share life stories helps validate their experiences and reinforce identity. Staff can use photos, music, familiar objects, or memory boxes to stimulate long-term memories.</w:t>
      </w:r>
    </w:p>
    <w:p w:rsidR="2E6AFB47" w:rsidP="653E86EB" w:rsidRDefault="2E6AFB47" w14:paraId="2B406A97" w14:textId="3E8B2484">
      <w:pPr>
        <w:pStyle w:val="ListParagraph"/>
        <w:numPr>
          <w:ilvl w:val="0"/>
          <w:numId w:val="1"/>
        </w:numPr>
        <w:spacing w:before="240" w:beforeAutospacing="off" w:after="240" w:afterAutospacing="off"/>
        <w:rPr>
          <w:rFonts w:ascii="Aptos" w:hAnsi="Aptos" w:eastAsia="Aptos" w:cs="Aptos"/>
          <w:noProof w:val="0"/>
          <w:sz w:val="22"/>
          <w:szCs w:val="22"/>
          <w:lang w:val="en-GB"/>
        </w:rPr>
      </w:pPr>
      <w:r w:rsidRPr="653E86EB" w:rsidR="2E6AFB47">
        <w:rPr>
          <w:rFonts w:ascii="Aptos" w:hAnsi="Aptos" w:eastAsia="Aptos" w:cs="Aptos"/>
          <w:b w:val="1"/>
          <w:bCs w:val="1"/>
          <w:noProof w:val="0"/>
          <w:sz w:val="22"/>
          <w:szCs w:val="22"/>
          <w:lang w:val="en-GB"/>
        </w:rPr>
        <w:t>Life Review Activities:</w:t>
      </w:r>
      <w:r w:rsidRPr="653E86EB" w:rsidR="2E6AFB47">
        <w:rPr>
          <w:rFonts w:ascii="Aptos" w:hAnsi="Aptos" w:eastAsia="Aptos" w:cs="Aptos"/>
          <w:noProof w:val="0"/>
          <w:sz w:val="22"/>
          <w:szCs w:val="22"/>
          <w:lang w:val="en-GB"/>
        </w:rPr>
        <w:t xml:space="preserve"> Structured conversations or creative projects like autobiographies or memory scrapbooks allow residents to reflect on their achievements and challenges, supporting the development of ego integrity.</w:t>
      </w:r>
    </w:p>
    <w:p w:rsidR="2E6AFB47" w:rsidP="653E86EB" w:rsidRDefault="2E6AFB47" w14:paraId="01116E73" w14:textId="2AE343B1">
      <w:pPr>
        <w:pStyle w:val="Normal"/>
        <w:spacing w:before="240" w:beforeAutospacing="off" w:after="240" w:afterAutospacing="off"/>
        <w:ind w:left="0"/>
        <w:rPr>
          <w:rFonts w:ascii="Aptos" w:hAnsi="Aptos" w:eastAsia="Aptos" w:cs="Aptos"/>
          <w:noProof w:val="0"/>
          <w:sz w:val="22"/>
          <w:szCs w:val="22"/>
          <w:lang w:val="en-GB"/>
        </w:rPr>
      </w:pPr>
      <w:r w:rsidRPr="653E86EB" w:rsidR="2E6AFB47">
        <w:rPr>
          <w:rFonts w:ascii="Aptos" w:hAnsi="Aptos" w:eastAsia="Aptos" w:cs="Aptos"/>
          <w:b w:val="1"/>
          <w:bCs w:val="1"/>
          <w:noProof w:val="0"/>
          <w:sz w:val="22"/>
          <w:szCs w:val="22"/>
          <w:lang w:val="en-GB"/>
        </w:rPr>
        <w:t>Dignity-Preserving Communication:</w:t>
      </w:r>
      <w:r w:rsidRPr="653E86EB" w:rsidR="2E6AFB47">
        <w:rPr>
          <w:rFonts w:ascii="Aptos" w:hAnsi="Aptos" w:eastAsia="Aptos" w:cs="Aptos"/>
          <w:noProof w:val="0"/>
          <w:sz w:val="22"/>
          <w:szCs w:val="22"/>
          <w:lang w:val="en-GB"/>
        </w:rPr>
        <w:t xml:space="preserve"> Respecting older adults' contributions and listening to their stories—even when they are repeated—can foster feelings of worth and reduce anxiety.</w:t>
      </w:r>
    </w:p>
    <w:p w:rsidR="2E6AFB47" w:rsidP="653E86EB" w:rsidRDefault="2E6AFB47" w14:paraId="4A739BE9" w14:textId="474A5C74">
      <w:pPr>
        <w:pStyle w:val="Heading4"/>
        <w:spacing w:before="319" w:beforeAutospacing="off" w:after="319" w:afterAutospacing="off"/>
      </w:pPr>
      <w:r w:rsidRPr="653E86EB" w:rsidR="2E6AFB47">
        <w:rPr>
          <w:rFonts w:ascii="Aptos" w:hAnsi="Aptos" w:eastAsia="Aptos" w:cs="Aptos"/>
          <w:b w:val="1"/>
          <w:bCs w:val="1"/>
          <w:noProof w:val="0"/>
          <w:sz w:val="24"/>
          <w:szCs w:val="24"/>
          <w:lang w:val="en-GB"/>
        </w:rPr>
        <w:t>Challenges and Strategies</w:t>
      </w:r>
    </w:p>
    <w:p w:rsidR="2E6AFB47" w:rsidP="653E86EB" w:rsidRDefault="2E6AFB47" w14:paraId="28AA7F87" w14:textId="4FEFD607">
      <w:pPr>
        <w:spacing w:before="240" w:beforeAutospacing="off" w:after="240" w:afterAutospacing="off"/>
      </w:pPr>
      <w:r w:rsidRPr="653E86EB" w:rsidR="2E6AFB47">
        <w:rPr>
          <w:rFonts w:ascii="Aptos" w:hAnsi="Aptos" w:eastAsia="Aptos" w:cs="Aptos"/>
          <w:b w:val="1"/>
          <w:bCs w:val="1"/>
          <w:noProof w:val="0"/>
          <w:sz w:val="22"/>
          <w:szCs w:val="22"/>
          <w:lang w:val="en-GB"/>
        </w:rPr>
        <w:t>Challenge:</w:t>
      </w:r>
      <w:r w:rsidRPr="653E86EB" w:rsidR="2E6AFB47">
        <w:rPr>
          <w:rFonts w:ascii="Aptos" w:hAnsi="Aptos" w:eastAsia="Aptos" w:cs="Aptos"/>
          <w:noProof w:val="0"/>
          <w:sz w:val="22"/>
          <w:szCs w:val="22"/>
          <w:lang w:val="en-GB"/>
        </w:rPr>
        <w:t xml:space="preserve"> Residents with moderate to severe dementia may have difficulty recalling past events, which could lead to confusion or distress during reminiscence-based activities.</w:t>
      </w:r>
    </w:p>
    <w:p w:rsidR="2E6AFB47" w:rsidP="653E86EB" w:rsidRDefault="2E6AFB47" w14:paraId="3B7F36DF" w14:textId="2B9C83A6">
      <w:pPr>
        <w:spacing w:before="240" w:beforeAutospacing="off" w:after="240" w:afterAutospacing="off"/>
      </w:pPr>
      <w:r w:rsidRPr="653E86EB" w:rsidR="2E6AFB47">
        <w:rPr>
          <w:rFonts w:ascii="Aptos" w:hAnsi="Aptos" w:eastAsia="Aptos" w:cs="Aptos"/>
          <w:b w:val="1"/>
          <w:bCs w:val="1"/>
          <w:noProof w:val="0"/>
          <w:sz w:val="22"/>
          <w:szCs w:val="22"/>
          <w:lang w:val="en-GB"/>
        </w:rPr>
        <w:t>Strategy:</w:t>
      </w:r>
      <w:r w:rsidRPr="653E86EB" w:rsidR="2E6AFB47">
        <w:rPr>
          <w:rFonts w:ascii="Aptos" w:hAnsi="Aptos" w:eastAsia="Aptos" w:cs="Aptos"/>
          <w:noProof w:val="0"/>
          <w:sz w:val="22"/>
          <w:szCs w:val="22"/>
          <w:lang w:val="en-GB"/>
        </w:rPr>
        <w:t xml:space="preserve"> Use </w:t>
      </w:r>
      <w:r w:rsidRPr="653E86EB" w:rsidR="2E6AFB47">
        <w:rPr>
          <w:rFonts w:ascii="Aptos" w:hAnsi="Aptos" w:eastAsia="Aptos" w:cs="Aptos"/>
          <w:b w:val="1"/>
          <w:bCs w:val="1"/>
          <w:noProof w:val="0"/>
          <w:sz w:val="22"/>
          <w:szCs w:val="22"/>
          <w:lang w:val="en-GB"/>
        </w:rPr>
        <w:t>sensory cues</w:t>
      </w:r>
      <w:r w:rsidRPr="653E86EB" w:rsidR="2E6AFB47">
        <w:rPr>
          <w:rFonts w:ascii="Aptos" w:hAnsi="Aptos" w:eastAsia="Aptos" w:cs="Aptos"/>
          <w:noProof w:val="0"/>
          <w:sz w:val="22"/>
          <w:szCs w:val="22"/>
          <w:lang w:val="en-GB"/>
        </w:rPr>
        <w:t xml:space="preserve"> (e.g., familiar smells or music from their youth) to trigger pleasant memories, and </w:t>
      </w:r>
      <w:r w:rsidRPr="653E86EB" w:rsidR="2E6AFB47">
        <w:rPr>
          <w:rFonts w:ascii="Aptos" w:hAnsi="Aptos" w:eastAsia="Aptos" w:cs="Aptos"/>
          <w:b w:val="1"/>
          <w:bCs w:val="1"/>
          <w:noProof w:val="0"/>
          <w:sz w:val="22"/>
          <w:szCs w:val="22"/>
          <w:lang w:val="en-GB"/>
        </w:rPr>
        <w:t>redirect focus</w:t>
      </w:r>
      <w:r w:rsidRPr="653E86EB" w:rsidR="2E6AFB47">
        <w:rPr>
          <w:rFonts w:ascii="Aptos" w:hAnsi="Aptos" w:eastAsia="Aptos" w:cs="Aptos"/>
          <w:noProof w:val="0"/>
          <w:sz w:val="22"/>
          <w:szCs w:val="22"/>
          <w:lang w:val="en-GB"/>
        </w:rPr>
        <w:t xml:space="preserve"> gently if a resident becomes upset. Even when verbal recall is limited, </w:t>
      </w:r>
      <w:r w:rsidRPr="653E86EB" w:rsidR="2E6AFB47">
        <w:rPr>
          <w:rFonts w:ascii="Aptos" w:hAnsi="Aptos" w:eastAsia="Aptos" w:cs="Aptos"/>
          <w:b w:val="1"/>
          <w:bCs w:val="1"/>
          <w:noProof w:val="0"/>
          <w:sz w:val="22"/>
          <w:szCs w:val="22"/>
          <w:lang w:val="en-GB"/>
        </w:rPr>
        <w:t>emotional memories</w:t>
      </w:r>
      <w:r w:rsidRPr="653E86EB" w:rsidR="2E6AFB47">
        <w:rPr>
          <w:rFonts w:ascii="Aptos" w:hAnsi="Aptos" w:eastAsia="Aptos" w:cs="Aptos"/>
          <w:noProof w:val="0"/>
          <w:sz w:val="22"/>
          <w:szCs w:val="22"/>
          <w:lang w:val="en-GB"/>
        </w:rPr>
        <w:t xml:space="preserve"> can remain intact and should be acknowledged empathetically.</w:t>
      </w:r>
    </w:p>
    <w:p w:rsidR="2E6AFB47" w:rsidP="653E86EB" w:rsidRDefault="2E6AFB47" w14:paraId="5C81454B" w14:textId="68B5BCB2">
      <w:pPr>
        <w:spacing w:before="240" w:beforeAutospacing="off" w:after="240" w:afterAutospacing="off"/>
      </w:pPr>
      <w:r w:rsidRPr="653E86EB" w:rsidR="2E6AFB47">
        <w:rPr>
          <w:rFonts w:ascii="Aptos" w:hAnsi="Aptos" w:eastAsia="Aptos" w:cs="Aptos"/>
          <w:b w:val="1"/>
          <w:bCs w:val="1"/>
          <w:noProof w:val="0"/>
          <w:sz w:val="22"/>
          <w:szCs w:val="22"/>
          <w:lang w:val="en-GB"/>
        </w:rPr>
        <w:t>Challenge:</w:t>
      </w:r>
      <w:r w:rsidRPr="653E86EB" w:rsidR="2E6AFB47">
        <w:rPr>
          <w:rFonts w:ascii="Aptos" w:hAnsi="Aptos" w:eastAsia="Aptos" w:cs="Aptos"/>
          <w:noProof w:val="0"/>
          <w:sz w:val="22"/>
          <w:szCs w:val="22"/>
          <w:lang w:val="en-GB"/>
        </w:rPr>
        <w:t xml:space="preserve"> Staff may lack training in psychosocial development and rely on task-based care.</w:t>
      </w:r>
    </w:p>
    <w:p w:rsidR="2E6AFB47" w:rsidP="653E86EB" w:rsidRDefault="2E6AFB47" w14:paraId="0A800CF1" w14:textId="3873A4F3">
      <w:pPr>
        <w:spacing w:before="240" w:beforeAutospacing="off" w:after="240" w:afterAutospacing="off"/>
      </w:pPr>
      <w:r w:rsidRPr="653E86EB" w:rsidR="2E6AFB47">
        <w:rPr>
          <w:rFonts w:ascii="Aptos" w:hAnsi="Aptos" w:eastAsia="Aptos" w:cs="Aptos"/>
          <w:b w:val="1"/>
          <w:bCs w:val="1"/>
          <w:noProof w:val="0"/>
          <w:sz w:val="22"/>
          <w:szCs w:val="22"/>
          <w:lang w:val="en-GB"/>
        </w:rPr>
        <w:t>Strategy:</w:t>
      </w:r>
      <w:r w:rsidRPr="653E86EB" w:rsidR="2E6AFB47">
        <w:rPr>
          <w:rFonts w:ascii="Aptos" w:hAnsi="Aptos" w:eastAsia="Aptos" w:cs="Aptos"/>
          <w:noProof w:val="0"/>
          <w:sz w:val="22"/>
          <w:szCs w:val="22"/>
          <w:lang w:val="en-GB"/>
        </w:rPr>
        <w:t xml:space="preserve"> Provide ongoing </w:t>
      </w:r>
      <w:r w:rsidRPr="653E86EB" w:rsidR="2E6AFB47">
        <w:rPr>
          <w:rFonts w:ascii="Aptos" w:hAnsi="Aptos" w:eastAsia="Aptos" w:cs="Aptos"/>
          <w:b w:val="1"/>
          <w:bCs w:val="1"/>
          <w:noProof w:val="0"/>
          <w:sz w:val="22"/>
          <w:szCs w:val="22"/>
          <w:lang w:val="en-GB"/>
        </w:rPr>
        <w:t>training on Erikson’s theory</w:t>
      </w:r>
      <w:r w:rsidRPr="653E86EB" w:rsidR="2E6AFB47">
        <w:rPr>
          <w:rFonts w:ascii="Aptos" w:hAnsi="Aptos" w:eastAsia="Aptos" w:cs="Aptos"/>
          <w:noProof w:val="0"/>
          <w:sz w:val="22"/>
          <w:szCs w:val="22"/>
          <w:lang w:val="en-GB"/>
        </w:rPr>
        <w:t xml:space="preserve"> and its relevance to ageing, encouraging reflective practice among care staff.</w:t>
      </w:r>
    </w:p>
    <w:p w:rsidR="653E86EB" w:rsidRDefault="653E86EB" w14:paraId="6946EE74" w14:textId="59F45A11"/>
    <w:p w:rsidR="2E6AFB47" w:rsidP="653E86EB" w:rsidRDefault="2E6AFB47" w14:paraId="1DDB8839" w14:textId="46EE900F">
      <w:pPr>
        <w:pStyle w:val="Heading3"/>
        <w:spacing w:before="281" w:beforeAutospacing="off" w:after="281" w:afterAutospacing="off"/>
      </w:pPr>
      <w:r w:rsidRPr="653E86EB" w:rsidR="2E6AFB47">
        <w:rPr>
          <w:rFonts w:ascii="Aptos" w:hAnsi="Aptos" w:eastAsia="Aptos" w:cs="Aptos"/>
          <w:b w:val="1"/>
          <w:bCs w:val="1"/>
          <w:noProof w:val="0"/>
          <w:sz w:val="28"/>
          <w:szCs w:val="28"/>
          <w:lang w:val="en-GB"/>
        </w:rPr>
        <w:t>3.2 Applying the Person-Centred Approach in Dementia Care Homes</w:t>
      </w:r>
    </w:p>
    <w:p w:rsidR="2E6AFB47" w:rsidP="653E86EB" w:rsidRDefault="2E6AFB47" w14:paraId="6D7AD209" w14:textId="1D9B2E28">
      <w:pPr>
        <w:pStyle w:val="Heading4"/>
        <w:spacing w:before="319" w:beforeAutospacing="off" w:after="319" w:afterAutospacing="off"/>
      </w:pPr>
      <w:r w:rsidRPr="653E86EB" w:rsidR="2E6AFB47">
        <w:rPr>
          <w:rFonts w:ascii="Aptos" w:hAnsi="Aptos" w:eastAsia="Aptos" w:cs="Aptos"/>
          <w:b w:val="1"/>
          <w:bCs w:val="1"/>
          <w:noProof w:val="0"/>
          <w:sz w:val="24"/>
          <w:szCs w:val="24"/>
          <w:lang w:val="en-GB"/>
        </w:rPr>
        <w:t>Practical Applications</w:t>
      </w:r>
    </w:p>
    <w:p w:rsidR="2E6AFB47" w:rsidP="653E86EB" w:rsidRDefault="2E6AFB47" w14:paraId="13BF5114" w14:textId="75B21240">
      <w:pPr>
        <w:spacing w:before="240" w:beforeAutospacing="off" w:after="240" w:afterAutospacing="off"/>
      </w:pPr>
      <w:r w:rsidRPr="653E86EB" w:rsidR="2E6AFB47">
        <w:rPr>
          <w:rFonts w:ascii="Aptos" w:hAnsi="Aptos" w:eastAsia="Aptos" w:cs="Aptos"/>
          <w:noProof w:val="0"/>
          <w:sz w:val="22"/>
          <w:szCs w:val="22"/>
          <w:lang w:val="en-GB"/>
        </w:rPr>
        <w:t>Person-centred care is widely recognised as best practice in dementia care. Practical applications include:</w:t>
      </w:r>
    </w:p>
    <w:p w:rsidR="2E6AFB47" w:rsidP="653E86EB" w:rsidRDefault="2E6AFB47" w14:paraId="1971309A" w14:textId="60336BF2">
      <w:pPr>
        <w:pStyle w:val="ListParagraph"/>
        <w:numPr>
          <w:ilvl w:val="0"/>
          <w:numId w:val="2"/>
        </w:numPr>
        <w:spacing w:before="240" w:beforeAutospacing="off" w:after="240" w:afterAutospacing="off"/>
        <w:rPr>
          <w:rFonts w:ascii="Aptos" w:hAnsi="Aptos" w:eastAsia="Aptos" w:cs="Aptos"/>
          <w:noProof w:val="0"/>
          <w:sz w:val="22"/>
          <w:szCs w:val="22"/>
          <w:lang w:val="en-GB"/>
        </w:rPr>
      </w:pPr>
      <w:r w:rsidRPr="653E86EB" w:rsidR="2E6AFB47">
        <w:rPr>
          <w:rFonts w:ascii="Aptos" w:hAnsi="Aptos" w:eastAsia="Aptos" w:cs="Aptos"/>
          <w:b w:val="1"/>
          <w:bCs w:val="1"/>
          <w:noProof w:val="0"/>
          <w:sz w:val="22"/>
          <w:szCs w:val="22"/>
          <w:lang w:val="en-GB"/>
        </w:rPr>
        <w:t>Individualised Care Plans:</w:t>
      </w:r>
      <w:r w:rsidRPr="653E86EB" w:rsidR="2E6AFB47">
        <w:rPr>
          <w:rFonts w:ascii="Aptos" w:hAnsi="Aptos" w:eastAsia="Aptos" w:cs="Aptos"/>
          <w:noProof w:val="0"/>
          <w:sz w:val="22"/>
          <w:szCs w:val="22"/>
          <w:lang w:val="en-GB"/>
        </w:rPr>
        <w:t xml:space="preserve"> Developing care plans based on the resident's life history, personality, and preferences. For example, a resident who was a gardener may benefit from spending time in outdoor spaces or engaging with plants.</w:t>
      </w:r>
    </w:p>
    <w:p w:rsidR="2E6AFB47" w:rsidP="653E86EB" w:rsidRDefault="2E6AFB47" w14:paraId="59E6A3FB" w14:textId="7B948E6F">
      <w:pPr>
        <w:pStyle w:val="ListParagraph"/>
        <w:numPr>
          <w:ilvl w:val="0"/>
          <w:numId w:val="2"/>
        </w:numPr>
        <w:spacing w:before="240" w:beforeAutospacing="off" w:after="240" w:afterAutospacing="off"/>
        <w:rPr>
          <w:rFonts w:ascii="Aptos" w:hAnsi="Aptos" w:eastAsia="Aptos" w:cs="Aptos"/>
          <w:noProof w:val="0"/>
          <w:sz w:val="22"/>
          <w:szCs w:val="22"/>
          <w:lang w:val="en-GB"/>
        </w:rPr>
      </w:pPr>
      <w:r w:rsidRPr="653E86EB" w:rsidR="2E6AFB47">
        <w:rPr>
          <w:rFonts w:ascii="Aptos" w:hAnsi="Aptos" w:eastAsia="Aptos" w:cs="Aptos"/>
          <w:b w:val="1"/>
          <w:bCs w:val="1"/>
          <w:noProof w:val="0"/>
          <w:sz w:val="22"/>
          <w:szCs w:val="22"/>
          <w:lang w:val="en-GB"/>
        </w:rPr>
        <w:t>Empathetic Communication:</w:t>
      </w:r>
      <w:r w:rsidRPr="653E86EB" w:rsidR="2E6AFB47">
        <w:rPr>
          <w:rFonts w:ascii="Aptos" w:hAnsi="Aptos" w:eastAsia="Aptos" w:cs="Aptos"/>
          <w:noProof w:val="0"/>
          <w:sz w:val="22"/>
          <w:szCs w:val="22"/>
          <w:lang w:val="en-GB"/>
        </w:rPr>
        <w:t xml:space="preserve"> Staff are trained to listen actively, maintain eye contact, and validate emotions rather than correct factual inaccuracies. For instance, if a resident believes they need to "pick up their children," staff might respond with, “Tell me about your children,” rather than challenging the belief.</w:t>
      </w:r>
    </w:p>
    <w:p w:rsidR="2E6AFB47" w:rsidP="653E86EB" w:rsidRDefault="2E6AFB47" w14:paraId="62D408D0" w14:textId="2327C122">
      <w:pPr>
        <w:pStyle w:val="ListParagraph"/>
        <w:numPr>
          <w:ilvl w:val="0"/>
          <w:numId w:val="2"/>
        </w:numPr>
        <w:spacing w:before="240" w:beforeAutospacing="off" w:after="240" w:afterAutospacing="off"/>
        <w:rPr>
          <w:rFonts w:ascii="Aptos" w:hAnsi="Aptos" w:eastAsia="Aptos" w:cs="Aptos"/>
          <w:noProof w:val="0"/>
          <w:sz w:val="22"/>
          <w:szCs w:val="22"/>
          <w:lang w:val="en-GB"/>
        </w:rPr>
      </w:pPr>
      <w:r w:rsidRPr="653E86EB" w:rsidR="2E6AFB47">
        <w:rPr>
          <w:rFonts w:ascii="Aptos" w:hAnsi="Aptos" w:eastAsia="Aptos" w:cs="Aptos"/>
          <w:b w:val="1"/>
          <w:bCs w:val="1"/>
          <w:noProof w:val="0"/>
          <w:sz w:val="22"/>
          <w:szCs w:val="22"/>
          <w:lang w:val="en-GB"/>
        </w:rPr>
        <w:t>Empowerment and Choice:</w:t>
      </w:r>
      <w:r w:rsidRPr="653E86EB" w:rsidR="2E6AFB47">
        <w:rPr>
          <w:rFonts w:ascii="Aptos" w:hAnsi="Aptos" w:eastAsia="Aptos" w:cs="Aptos"/>
          <w:noProof w:val="0"/>
          <w:sz w:val="22"/>
          <w:szCs w:val="22"/>
          <w:lang w:val="en-GB"/>
        </w:rPr>
        <w:t xml:space="preserve"> Allowing residents to make decisions where possible—such as choosing clothing or meals—supports autonomy and dignity.</w:t>
      </w:r>
    </w:p>
    <w:p w:rsidR="2E6AFB47" w:rsidP="653E86EB" w:rsidRDefault="2E6AFB47" w14:paraId="096CFAE7" w14:textId="49F85417">
      <w:pPr>
        <w:pStyle w:val="ListParagraph"/>
        <w:numPr>
          <w:ilvl w:val="0"/>
          <w:numId w:val="2"/>
        </w:numPr>
        <w:spacing w:before="240" w:beforeAutospacing="off" w:after="240" w:afterAutospacing="off"/>
        <w:rPr>
          <w:rFonts w:ascii="Aptos" w:hAnsi="Aptos" w:eastAsia="Aptos" w:cs="Aptos"/>
          <w:noProof w:val="0"/>
          <w:sz w:val="22"/>
          <w:szCs w:val="22"/>
          <w:lang w:val="en-GB"/>
        </w:rPr>
      </w:pPr>
      <w:r w:rsidRPr="653E86EB" w:rsidR="2E6AFB47">
        <w:rPr>
          <w:rFonts w:ascii="Aptos" w:hAnsi="Aptos" w:eastAsia="Aptos" w:cs="Aptos"/>
          <w:b w:val="1"/>
          <w:bCs w:val="1"/>
          <w:noProof w:val="0"/>
          <w:sz w:val="22"/>
          <w:szCs w:val="22"/>
          <w:lang w:val="en-GB"/>
        </w:rPr>
        <w:t>Consistent Staff Assignment:</w:t>
      </w:r>
      <w:r w:rsidRPr="653E86EB" w:rsidR="2E6AFB47">
        <w:rPr>
          <w:rFonts w:ascii="Aptos" w:hAnsi="Aptos" w:eastAsia="Aptos" w:cs="Aptos"/>
          <w:noProof w:val="0"/>
          <w:sz w:val="22"/>
          <w:szCs w:val="22"/>
          <w:lang w:val="en-GB"/>
        </w:rPr>
        <w:t xml:space="preserve"> Ensuring the same staff members care for specific residents helps build trust and familiarity, reducing anxiety and behavioural disturbances.</w:t>
      </w:r>
    </w:p>
    <w:p w:rsidR="2E6AFB47" w:rsidP="653E86EB" w:rsidRDefault="2E6AFB47" w14:paraId="7C651A96" w14:textId="143691B7">
      <w:pPr>
        <w:pStyle w:val="Heading4"/>
        <w:spacing w:before="319" w:beforeAutospacing="off" w:after="319" w:afterAutospacing="off"/>
      </w:pPr>
      <w:r w:rsidRPr="653E86EB" w:rsidR="2E6AFB47">
        <w:rPr>
          <w:rFonts w:ascii="Aptos" w:hAnsi="Aptos" w:eastAsia="Aptos" w:cs="Aptos"/>
          <w:b w:val="1"/>
          <w:bCs w:val="1"/>
          <w:noProof w:val="0"/>
          <w:sz w:val="24"/>
          <w:szCs w:val="24"/>
          <w:lang w:val="en-GB"/>
        </w:rPr>
        <w:t>Challenges and Strategies</w:t>
      </w:r>
    </w:p>
    <w:p w:rsidR="2E6AFB47" w:rsidP="653E86EB" w:rsidRDefault="2E6AFB47" w14:paraId="3A2E959D" w14:textId="0FB55F0F">
      <w:pPr>
        <w:spacing w:before="240" w:beforeAutospacing="off" w:after="240" w:afterAutospacing="off"/>
      </w:pPr>
      <w:r w:rsidRPr="653E86EB" w:rsidR="2E6AFB47">
        <w:rPr>
          <w:rFonts w:ascii="Aptos" w:hAnsi="Aptos" w:eastAsia="Aptos" w:cs="Aptos"/>
          <w:b w:val="1"/>
          <w:bCs w:val="1"/>
          <w:noProof w:val="0"/>
          <w:sz w:val="22"/>
          <w:szCs w:val="22"/>
          <w:lang w:val="en-GB"/>
        </w:rPr>
        <w:t>Challenge:</w:t>
      </w:r>
      <w:r w:rsidRPr="653E86EB" w:rsidR="2E6AFB47">
        <w:rPr>
          <w:rFonts w:ascii="Aptos" w:hAnsi="Aptos" w:eastAsia="Aptos" w:cs="Aptos"/>
          <w:noProof w:val="0"/>
          <w:sz w:val="22"/>
          <w:szCs w:val="22"/>
          <w:lang w:val="en-GB"/>
        </w:rPr>
        <w:t xml:space="preserve"> Time constraints and staffing shortages can limit the ability to provide truly person-centred care.</w:t>
      </w:r>
    </w:p>
    <w:p w:rsidR="2E6AFB47" w:rsidP="653E86EB" w:rsidRDefault="2E6AFB47" w14:paraId="1C655085" w14:textId="054797FF">
      <w:pPr>
        <w:spacing w:before="240" w:beforeAutospacing="off" w:after="240" w:afterAutospacing="off"/>
      </w:pPr>
      <w:r w:rsidRPr="653E86EB" w:rsidR="2E6AFB47">
        <w:rPr>
          <w:rFonts w:ascii="Aptos" w:hAnsi="Aptos" w:eastAsia="Aptos" w:cs="Aptos"/>
          <w:b w:val="1"/>
          <w:bCs w:val="1"/>
          <w:noProof w:val="0"/>
          <w:sz w:val="22"/>
          <w:szCs w:val="22"/>
          <w:lang w:val="en-GB"/>
        </w:rPr>
        <w:t>Strategy:</w:t>
      </w:r>
      <w:r w:rsidRPr="653E86EB" w:rsidR="2E6AFB47">
        <w:rPr>
          <w:rFonts w:ascii="Aptos" w:hAnsi="Aptos" w:eastAsia="Aptos" w:cs="Aptos"/>
          <w:noProof w:val="0"/>
          <w:sz w:val="22"/>
          <w:szCs w:val="22"/>
          <w:lang w:val="en-GB"/>
        </w:rPr>
        <w:t xml:space="preserve"> Promote </w:t>
      </w:r>
      <w:r w:rsidRPr="653E86EB" w:rsidR="2E6AFB47">
        <w:rPr>
          <w:rFonts w:ascii="Aptos" w:hAnsi="Aptos" w:eastAsia="Aptos" w:cs="Aptos"/>
          <w:b w:val="1"/>
          <w:bCs w:val="1"/>
          <w:noProof w:val="0"/>
          <w:sz w:val="22"/>
          <w:szCs w:val="22"/>
          <w:lang w:val="en-GB"/>
        </w:rPr>
        <w:t>team-based care planning</w:t>
      </w:r>
      <w:r w:rsidRPr="653E86EB" w:rsidR="2E6AFB47">
        <w:rPr>
          <w:rFonts w:ascii="Aptos" w:hAnsi="Aptos" w:eastAsia="Aptos" w:cs="Aptos"/>
          <w:noProof w:val="0"/>
          <w:sz w:val="22"/>
          <w:szCs w:val="22"/>
          <w:lang w:val="en-GB"/>
        </w:rPr>
        <w:t xml:space="preserve"> to share responsibility and reduce staff burden. Use </w:t>
      </w:r>
      <w:r w:rsidRPr="653E86EB" w:rsidR="2E6AFB47">
        <w:rPr>
          <w:rFonts w:ascii="Aptos" w:hAnsi="Aptos" w:eastAsia="Aptos" w:cs="Aptos"/>
          <w:b w:val="1"/>
          <w:bCs w:val="1"/>
          <w:noProof w:val="0"/>
          <w:sz w:val="22"/>
          <w:szCs w:val="22"/>
          <w:lang w:val="en-GB"/>
        </w:rPr>
        <w:t>brief interactions</w:t>
      </w:r>
      <w:r w:rsidRPr="653E86EB" w:rsidR="2E6AFB47">
        <w:rPr>
          <w:rFonts w:ascii="Aptos" w:hAnsi="Aptos" w:eastAsia="Aptos" w:cs="Aptos"/>
          <w:noProof w:val="0"/>
          <w:sz w:val="22"/>
          <w:szCs w:val="22"/>
          <w:lang w:val="en-GB"/>
        </w:rPr>
        <w:t xml:space="preserve"> </w:t>
      </w:r>
      <w:r w:rsidRPr="653E86EB" w:rsidR="5A852AB2">
        <w:rPr>
          <w:rFonts w:ascii="Aptos" w:hAnsi="Aptos" w:eastAsia="Aptos" w:cs="Aptos"/>
          <w:noProof w:val="0"/>
          <w:sz w:val="22"/>
          <w:szCs w:val="22"/>
          <w:lang w:val="en-GB"/>
        </w:rPr>
        <w:t>effectively small</w:t>
      </w:r>
      <w:r w:rsidRPr="653E86EB" w:rsidR="2E6AFB47">
        <w:rPr>
          <w:rFonts w:ascii="Aptos" w:hAnsi="Aptos" w:eastAsia="Aptos" w:cs="Aptos"/>
          <w:noProof w:val="0"/>
          <w:sz w:val="22"/>
          <w:szCs w:val="22"/>
          <w:lang w:val="en-GB"/>
        </w:rPr>
        <w:t xml:space="preserve"> moments of connection can have </w:t>
      </w:r>
      <w:r w:rsidRPr="653E86EB" w:rsidR="0E6E9B7E">
        <w:rPr>
          <w:rFonts w:ascii="Aptos" w:hAnsi="Aptos" w:eastAsia="Aptos" w:cs="Aptos"/>
          <w:noProof w:val="0"/>
          <w:sz w:val="22"/>
          <w:szCs w:val="22"/>
          <w:lang w:val="en-GB"/>
        </w:rPr>
        <w:t>a significant impact</w:t>
      </w:r>
      <w:r w:rsidRPr="653E86EB" w:rsidR="2E6AFB47">
        <w:rPr>
          <w:rFonts w:ascii="Aptos" w:hAnsi="Aptos" w:eastAsia="Aptos" w:cs="Aptos"/>
          <w:noProof w:val="0"/>
          <w:sz w:val="22"/>
          <w:szCs w:val="22"/>
          <w:lang w:val="en-GB"/>
        </w:rPr>
        <w:t>.</w:t>
      </w:r>
    </w:p>
    <w:p w:rsidR="2E6AFB47" w:rsidP="653E86EB" w:rsidRDefault="2E6AFB47" w14:paraId="7BA68265" w14:textId="3A163899">
      <w:pPr>
        <w:spacing w:before="240" w:beforeAutospacing="off" w:after="240" w:afterAutospacing="off"/>
      </w:pPr>
      <w:r w:rsidRPr="653E86EB" w:rsidR="2E6AFB47">
        <w:rPr>
          <w:rFonts w:ascii="Aptos" w:hAnsi="Aptos" w:eastAsia="Aptos" w:cs="Aptos"/>
          <w:b w:val="1"/>
          <w:bCs w:val="1"/>
          <w:noProof w:val="0"/>
          <w:sz w:val="22"/>
          <w:szCs w:val="22"/>
          <w:lang w:val="en-GB"/>
        </w:rPr>
        <w:t>Challenge:</w:t>
      </w:r>
      <w:r w:rsidRPr="653E86EB" w:rsidR="2E6AFB47">
        <w:rPr>
          <w:rFonts w:ascii="Aptos" w:hAnsi="Aptos" w:eastAsia="Aptos" w:cs="Aptos"/>
          <w:noProof w:val="0"/>
          <w:sz w:val="22"/>
          <w:szCs w:val="22"/>
          <w:lang w:val="en-GB"/>
        </w:rPr>
        <w:t xml:space="preserve"> Some residents may have limited verbal communication, making it harder to express preferences.</w:t>
      </w:r>
    </w:p>
    <w:p w:rsidR="2E6AFB47" w:rsidP="653E86EB" w:rsidRDefault="2E6AFB47" w14:paraId="554E23F1" w14:textId="1ED91EA6">
      <w:pPr>
        <w:spacing w:before="240" w:beforeAutospacing="off" w:after="240" w:afterAutospacing="off"/>
      </w:pPr>
      <w:r w:rsidRPr="653E86EB" w:rsidR="2E6AFB47">
        <w:rPr>
          <w:rFonts w:ascii="Aptos" w:hAnsi="Aptos" w:eastAsia="Aptos" w:cs="Aptos"/>
          <w:b w:val="1"/>
          <w:bCs w:val="1"/>
          <w:noProof w:val="0"/>
          <w:sz w:val="22"/>
          <w:szCs w:val="22"/>
          <w:lang w:val="en-GB"/>
        </w:rPr>
        <w:t>Strategy:</w:t>
      </w:r>
      <w:r w:rsidRPr="653E86EB" w:rsidR="2E6AFB47">
        <w:rPr>
          <w:rFonts w:ascii="Aptos" w:hAnsi="Aptos" w:eastAsia="Aptos" w:cs="Aptos"/>
          <w:noProof w:val="0"/>
          <w:sz w:val="22"/>
          <w:szCs w:val="22"/>
          <w:lang w:val="en-GB"/>
        </w:rPr>
        <w:t xml:space="preserve"> Use </w:t>
      </w:r>
      <w:r w:rsidRPr="653E86EB" w:rsidR="2E6AFB47">
        <w:rPr>
          <w:rFonts w:ascii="Aptos" w:hAnsi="Aptos" w:eastAsia="Aptos" w:cs="Aptos"/>
          <w:b w:val="1"/>
          <w:bCs w:val="1"/>
          <w:noProof w:val="0"/>
          <w:sz w:val="22"/>
          <w:szCs w:val="22"/>
          <w:lang w:val="en-GB"/>
        </w:rPr>
        <w:t>non-verbal cues</w:t>
      </w:r>
      <w:r w:rsidRPr="653E86EB" w:rsidR="2E6AFB47">
        <w:rPr>
          <w:rFonts w:ascii="Aptos" w:hAnsi="Aptos" w:eastAsia="Aptos" w:cs="Aptos"/>
          <w:noProof w:val="0"/>
          <w:sz w:val="22"/>
          <w:szCs w:val="22"/>
          <w:lang w:val="en-GB"/>
        </w:rPr>
        <w:t xml:space="preserve">, observation, and knowledge from families to understand preferences. Implement </w:t>
      </w:r>
      <w:r w:rsidRPr="653E86EB" w:rsidR="2E6AFB47">
        <w:rPr>
          <w:rFonts w:ascii="Aptos" w:hAnsi="Aptos" w:eastAsia="Aptos" w:cs="Aptos"/>
          <w:b w:val="1"/>
          <w:bCs w:val="1"/>
          <w:noProof w:val="0"/>
          <w:sz w:val="22"/>
          <w:szCs w:val="22"/>
          <w:lang w:val="en-GB"/>
        </w:rPr>
        <w:t>Life Story Work</w:t>
      </w:r>
      <w:r w:rsidRPr="653E86EB" w:rsidR="2E6AFB47">
        <w:rPr>
          <w:rFonts w:ascii="Aptos" w:hAnsi="Aptos" w:eastAsia="Aptos" w:cs="Aptos"/>
          <w:noProof w:val="0"/>
          <w:sz w:val="22"/>
          <w:szCs w:val="22"/>
          <w:lang w:val="en-GB"/>
        </w:rPr>
        <w:t xml:space="preserve"> to gather background information and inform care.</w:t>
      </w:r>
    </w:p>
    <w:p w:rsidR="2E6AFB47" w:rsidP="653E86EB" w:rsidRDefault="2E6AFB47" w14:paraId="673EFF4A" w14:textId="756CB74F">
      <w:pPr>
        <w:spacing w:before="240" w:beforeAutospacing="off" w:after="240" w:afterAutospacing="off"/>
      </w:pPr>
      <w:r w:rsidRPr="653E86EB" w:rsidR="2E6AFB47">
        <w:rPr>
          <w:rFonts w:ascii="Aptos" w:hAnsi="Aptos" w:eastAsia="Aptos" w:cs="Aptos"/>
          <w:b w:val="1"/>
          <w:bCs w:val="1"/>
          <w:noProof w:val="0"/>
          <w:sz w:val="22"/>
          <w:szCs w:val="22"/>
          <w:lang w:val="en-GB"/>
        </w:rPr>
        <w:t>Challenge:</w:t>
      </w:r>
      <w:r w:rsidRPr="653E86EB" w:rsidR="2E6AFB47">
        <w:rPr>
          <w:rFonts w:ascii="Aptos" w:hAnsi="Aptos" w:eastAsia="Aptos" w:cs="Aptos"/>
          <w:noProof w:val="0"/>
          <w:sz w:val="22"/>
          <w:szCs w:val="22"/>
          <w:lang w:val="en-GB"/>
        </w:rPr>
        <w:t xml:space="preserve"> Risk of staff burnout when emotional investment is high.</w:t>
      </w:r>
    </w:p>
    <w:p w:rsidR="2E6AFB47" w:rsidP="653E86EB" w:rsidRDefault="2E6AFB47" w14:paraId="414CA5B5" w14:textId="2A6DC3B6">
      <w:pPr>
        <w:spacing w:before="240" w:beforeAutospacing="off" w:after="240" w:afterAutospacing="off"/>
      </w:pPr>
      <w:r w:rsidRPr="653E86EB" w:rsidR="2E6AFB47">
        <w:rPr>
          <w:rFonts w:ascii="Aptos" w:hAnsi="Aptos" w:eastAsia="Aptos" w:cs="Aptos"/>
          <w:b w:val="1"/>
          <w:bCs w:val="1"/>
          <w:noProof w:val="0"/>
          <w:sz w:val="22"/>
          <w:szCs w:val="22"/>
          <w:lang w:val="en-GB"/>
        </w:rPr>
        <w:t>Strategy:</w:t>
      </w:r>
      <w:r w:rsidRPr="653E86EB" w:rsidR="2E6AFB47">
        <w:rPr>
          <w:rFonts w:ascii="Aptos" w:hAnsi="Aptos" w:eastAsia="Aptos" w:cs="Aptos"/>
          <w:noProof w:val="0"/>
          <w:sz w:val="22"/>
          <w:szCs w:val="22"/>
          <w:lang w:val="en-GB"/>
        </w:rPr>
        <w:t xml:space="preserve"> Provide </w:t>
      </w:r>
      <w:r w:rsidRPr="653E86EB" w:rsidR="2E6AFB47">
        <w:rPr>
          <w:rFonts w:ascii="Aptos" w:hAnsi="Aptos" w:eastAsia="Aptos" w:cs="Aptos"/>
          <w:b w:val="1"/>
          <w:bCs w:val="1"/>
          <w:noProof w:val="0"/>
          <w:sz w:val="22"/>
          <w:szCs w:val="22"/>
          <w:lang w:val="en-GB"/>
        </w:rPr>
        <w:t>emotional support and supervision</w:t>
      </w:r>
      <w:r w:rsidRPr="653E86EB" w:rsidR="2E6AFB47">
        <w:rPr>
          <w:rFonts w:ascii="Aptos" w:hAnsi="Aptos" w:eastAsia="Aptos" w:cs="Aptos"/>
          <w:noProof w:val="0"/>
          <w:sz w:val="22"/>
          <w:szCs w:val="22"/>
          <w:lang w:val="en-GB"/>
        </w:rPr>
        <w:t xml:space="preserve"> for care staff, fostering a culture of reflection and mutual support.</w:t>
      </w:r>
    </w:p>
    <w:p w:rsidR="653E86EB" w:rsidRDefault="653E86EB" w14:paraId="71D4D34A" w14:textId="741DD55F"/>
    <w:p w:rsidR="2E6AFB47" w:rsidP="653E86EB" w:rsidRDefault="2E6AFB47" w14:paraId="3F3D71B2" w14:textId="510BFBEE">
      <w:pPr>
        <w:pStyle w:val="Heading2"/>
        <w:spacing w:before="299" w:beforeAutospacing="off" w:after="299" w:afterAutospacing="off"/>
      </w:pPr>
      <w:r w:rsidRPr="653E86EB" w:rsidR="2E6AFB47">
        <w:rPr>
          <w:rFonts w:ascii="Aptos" w:hAnsi="Aptos" w:eastAsia="Aptos" w:cs="Aptos"/>
          <w:b w:val="1"/>
          <w:bCs w:val="1"/>
          <w:noProof w:val="0"/>
          <w:sz w:val="36"/>
          <w:szCs w:val="36"/>
          <w:lang w:val="en-GB"/>
        </w:rPr>
        <w:t>4. Comparative Analysis of the Two Theories</w:t>
      </w:r>
    </w:p>
    <w:p w:rsidR="2E6AFB47" w:rsidP="653E86EB" w:rsidRDefault="2E6AFB47" w14:paraId="04BE6DA1" w14:textId="7BB4DF1A">
      <w:pPr>
        <w:spacing w:before="240" w:beforeAutospacing="off" w:after="240" w:afterAutospacing="off"/>
      </w:pPr>
      <w:r w:rsidRPr="653E86EB" w:rsidR="2E6AFB47">
        <w:rPr>
          <w:rFonts w:ascii="Aptos" w:hAnsi="Aptos" w:eastAsia="Aptos" w:cs="Aptos"/>
          <w:noProof w:val="0"/>
          <w:sz w:val="22"/>
          <w:szCs w:val="22"/>
          <w:lang w:val="en-GB"/>
        </w:rPr>
        <w:t>Both Erikson’s theory and the Person-Centred Approach offer valuable insights for supporting psychological well-being in older adults with dementia. However, they differ in focus and application:</w:t>
      </w:r>
    </w:p>
    <w:p w:rsidR="2E6AFB47" w:rsidP="653E86EB" w:rsidRDefault="2E6AFB47" w14:paraId="7A34A4EA" w14:textId="7FF0EAAD">
      <w:pPr>
        <w:pStyle w:val="ListParagraph"/>
        <w:numPr>
          <w:ilvl w:val="0"/>
          <w:numId w:val="3"/>
        </w:numPr>
        <w:spacing w:before="240" w:beforeAutospacing="off" w:after="240" w:afterAutospacing="off"/>
        <w:rPr>
          <w:rFonts w:ascii="Aptos" w:hAnsi="Aptos" w:eastAsia="Aptos" w:cs="Aptos"/>
          <w:noProof w:val="0"/>
          <w:sz w:val="22"/>
          <w:szCs w:val="22"/>
          <w:lang w:val="en-GB"/>
        </w:rPr>
      </w:pPr>
      <w:r w:rsidRPr="653E86EB" w:rsidR="2E6AFB47">
        <w:rPr>
          <w:rFonts w:ascii="Aptos" w:hAnsi="Aptos" w:eastAsia="Aptos" w:cs="Aptos"/>
          <w:b w:val="1"/>
          <w:bCs w:val="1"/>
          <w:noProof w:val="0"/>
          <w:sz w:val="22"/>
          <w:szCs w:val="22"/>
          <w:lang w:val="en-GB"/>
        </w:rPr>
        <w:t>Erikson’s theory</w:t>
      </w:r>
      <w:r w:rsidRPr="653E86EB" w:rsidR="2E6AFB47">
        <w:rPr>
          <w:rFonts w:ascii="Aptos" w:hAnsi="Aptos" w:eastAsia="Aptos" w:cs="Aptos"/>
          <w:noProof w:val="0"/>
          <w:sz w:val="22"/>
          <w:szCs w:val="22"/>
          <w:lang w:val="en-GB"/>
        </w:rPr>
        <w:t xml:space="preserve"> provides a </w:t>
      </w:r>
      <w:r w:rsidRPr="653E86EB" w:rsidR="2E6AFB47">
        <w:rPr>
          <w:rFonts w:ascii="Aptos" w:hAnsi="Aptos" w:eastAsia="Aptos" w:cs="Aptos"/>
          <w:b w:val="1"/>
          <w:bCs w:val="1"/>
          <w:noProof w:val="0"/>
          <w:sz w:val="22"/>
          <w:szCs w:val="22"/>
          <w:lang w:val="en-GB"/>
        </w:rPr>
        <w:t>developmental framework</w:t>
      </w:r>
      <w:r w:rsidRPr="653E86EB" w:rsidR="2E6AFB47">
        <w:rPr>
          <w:rFonts w:ascii="Aptos" w:hAnsi="Aptos" w:eastAsia="Aptos" w:cs="Aptos"/>
          <w:noProof w:val="0"/>
          <w:sz w:val="22"/>
          <w:szCs w:val="22"/>
          <w:lang w:val="en-GB"/>
        </w:rPr>
        <w:t xml:space="preserve">, highlighting the importance of life reflection and </w:t>
      </w:r>
      <w:r w:rsidRPr="653E86EB" w:rsidR="12ECFF50">
        <w:rPr>
          <w:rFonts w:ascii="Aptos" w:hAnsi="Aptos" w:eastAsia="Aptos" w:cs="Aptos"/>
          <w:noProof w:val="0"/>
          <w:sz w:val="22"/>
          <w:szCs w:val="22"/>
          <w:lang w:val="en-GB"/>
        </w:rPr>
        <w:t>meaning making</w:t>
      </w:r>
      <w:r w:rsidRPr="653E86EB" w:rsidR="2E6AFB47">
        <w:rPr>
          <w:rFonts w:ascii="Aptos" w:hAnsi="Aptos" w:eastAsia="Aptos" w:cs="Aptos"/>
          <w:noProof w:val="0"/>
          <w:sz w:val="22"/>
          <w:szCs w:val="22"/>
          <w:lang w:val="en-GB"/>
        </w:rPr>
        <w:t xml:space="preserve"> in later life. It can guide therapeutic interventions aimed at identity and legacy.</w:t>
      </w:r>
    </w:p>
    <w:p w:rsidR="2E6AFB47" w:rsidP="653E86EB" w:rsidRDefault="2E6AFB47" w14:paraId="0E953DF8" w14:textId="3BA50067">
      <w:pPr>
        <w:pStyle w:val="ListParagraph"/>
        <w:numPr>
          <w:ilvl w:val="0"/>
          <w:numId w:val="3"/>
        </w:numPr>
        <w:spacing w:before="240" w:beforeAutospacing="off" w:after="240" w:afterAutospacing="off"/>
        <w:rPr>
          <w:rFonts w:ascii="Aptos" w:hAnsi="Aptos" w:eastAsia="Aptos" w:cs="Aptos"/>
          <w:noProof w:val="0"/>
          <w:sz w:val="22"/>
          <w:szCs w:val="22"/>
          <w:lang w:val="en-GB"/>
        </w:rPr>
      </w:pPr>
      <w:r w:rsidRPr="653E86EB" w:rsidR="2E6AFB47">
        <w:rPr>
          <w:rFonts w:ascii="Aptos" w:hAnsi="Aptos" w:eastAsia="Aptos" w:cs="Aptos"/>
          <w:b w:val="1"/>
          <w:bCs w:val="1"/>
          <w:noProof w:val="0"/>
          <w:sz w:val="22"/>
          <w:szCs w:val="22"/>
          <w:lang w:val="en-GB"/>
        </w:rPr>
        <w:t>The Person-Centred Approach</w:t>
      </w:r>
      <w:r w:rsidRPr="653E86EB" w:rsidR="2E6AFB47">
        <w:rPr>
          <w:rFonts w:ascii="Aptos" w:hAnsi="Aptos" w:eastAsia="Aptos" w:cs="Aptos"/>
          <w:noProof w:val="0"/>
          <w:sz w:val="22"/>
          <w:szCs w:val="22"/>
          <w:lang w:val="en-GB"/>
        </w:rPr>
        <w:t xml:space="preserve"> is more </w:t>
      </w:r>
      <w:r w:rsidRPr="653E86EB" w:rsidR="2E6AFB47">
        <w:rPr>
          <w:rFonts w:ascii="Aptos" w:hAnsi="Aptos" w:eastAsia="Aptos" w:cs="Aptos"/>
          <w:b w:val="1"/>
          <w:bCs w:val="1"/>
          <w:noProof w:val="0"/>
          <w:sz w:val="22"/>
          <w:szCs w:val="22"/>
          <w:lang w:val="en-GB"/>
        </w:rPr>
        <w:t>relational and practical</w:t>
      </w:r>
      <w:r w:rsidRPr="653E86EB" w:rsidR="2E6AFB47">
        <w:rPr>
          <w:rFonts w:ascii="Aptos" w:hAnsi="Aptos" w:eastAsia="Aptos" w:cs="Aptos"/>
          <w:noProof w:val="0"/>
          <w:sz w:val="22"/>
          <w:szCs w:val="22"/>
          <w:lang w:val="en-GB"/>
        </w:rPr>
        <w:t>, focusing on the here-and-now experience of the individual, rather than their life stage.</w:t>
      </w:r>
    </w:p>
    <w:p w:rsidR="2E6AFB47" w:rsidP="653E86EB" w:rsidRDefault="2E6AFB47" w14:paraId="3F8EA176" w14:textId="41F66D2D">
      <w:pPr>
        <w:spacing w:before="240" w:beforeAutospacing="off" w:after="240" w:afterAutospacing="off"/>
      </w:pPr>
      <w:r w:rsidRPr="653E86EB" w:rsidR="2E6AFB47">
        <w:rPr>
          <w:rFonts w:ascii="Aptos" w:hAnsi="Aptos" w:eastAsia="Aptos" w:cs="Aptos"/>
          <w:noProof w:val="0"/>
          <w:sz w:val="22"/>
          <w:szCs w:val="22"/>
          <w:lang w:val="en-GB"/>
        </w:rPr>
        <w:t xml:space="preserve">In combination, these theories offer </w:t>
      </w:r>
      <w:r w:rsidRPr="653E86EB" w:rsidR="17A9105F">
        <w:rPr>
          <w:rFonts w:ascii="Aptos" w:hAnsi="Aptos" w:eastAsia="Aptos" w:cs="Aptos"/>
          <w:noProof w:val="0"/>
          <w:sz w:val="22"/>
          <w:szCs w:val="22"/>
          <w:lang w:val="en-GB"/>
        </w:rPr>
        <w:t>a comprehensive approach</w:t>
      </w:r>
      <w:r w:rsidRPr="653E86EB" w:rsidR="2E6AFB47">
        <w:rPr>
          <w:rFonts w:ascii="Aptos" w:hAnsi="Aptos" w:eastAsia="Aptos" w:cs="Aptos"/>
          <w:noProof w:val="0"/>
          <w:sz w:val="22"/>
          <w:szCs w:val="22"/>
          <w:lang w:val="en-GB"/>
        </w:rPr>
        <w:t>. Erikson’s theory helps care staff understand the psychological tasks of ageing, while Rogers’ approach ensures that day-to-day care is empathetic and responsive to the individual.</w:t>
      </w:r>
    </w:p>
    <w:p w:rsidR="653E86EB" w:rsidRDefault="653E86EB" w14:paraId="5279575B" w14:textId="2063C5B8"/>
    <w:p w:rsidR="2E6AFB47" w:rsidP="653E86EB" w:rsidRDefault="2E6AFB47" w14:paraId="1A5288B4" w14:textId="3A72AAF3">
      <w:pPr>
        <w:pStyle w:val="Heading2"/>
        <w:spacing w:before="299" w:beforeAutospacing="off" w:after="299" w:afterAutospacing="off"/>
      </w:pPr>
      <w:r w:rsidRPr="653E86EB" w:rsidR="2E6AFB47">
        <w:rPr>
          <w:rFonts w:ascii="Aptos" w:hAnsi="Aptos" w:eastAsia="Aptos" w:cs="Aptos"/>
          <w:b w:val="1"/>
          <w:bCs w:val="1"/>
          <w:noProof w:val="0"/>
          <w:sz w:val="36"/>
          <w:szCs w:val="36"/>
          <w:lang w:val="en-GB"/>
        </w:rPr>
        <w:t>5. Conclusion</w:t>
      </w:r>
    </w:p>
    <w:p w:rsidR="2E6AFB47" w:rsidP="653E86EB" w:rsidRDefault="2E6AFB47" w14:paraId="13687E08" w14:textId="43EB3882">
      <w:pPr>
        <w:spacing w:before="240" w:beforeAutospacing="off" w:after="240" w:afterAutospacing="off"/>
      </w:pPr>
      <w:r w:rsidRPr="653E86EB" w:rsidR="2E6AFB47">
        <w:rPr>
          <w:rFonts w:ascii="Aptos" w:hAnsi="Aptos" w:eastAsia="Aptos" w:cs="Aptos"/>
          <w:noProof w:val="0"/>
          <w:sz w:val="22"/>
          <w:szCs w:val="22"/>
          <w:lang w:val="en-GB"/>
        </w:rPr>
        <w:t>Psychological theories play a crucial role in enhancing the quality of care for older adults living with dementia in residential care homes. Erikson’s Psychosocial Theory of Development and the Person-Centred Approach both provide valuable frameworks for understanding and responding to the psychological needs of this population.</w:t>
      </w:r>
    </w:p>
    <w:p w:rsidR="2E6AFB47" w:rsidP="653E86EB" w:rsidRDefault="2E6AFB47" w14:paraId="278EC3E5" w14:textId="5AF38537">
      <w:pPr>
        <w:spacing w:before="240" w:beforeAutospacing="off" w:after="240" w:afterAutospacing="off"/>
      </w:pPr>
      <w:r w:rsidRPr="653E86EB" w:rsidR="2E6AFB47">
        <w:rPr>
          <w:rFonts w:ascii="Aptos" w:hAnsi="Aptos" w:eastAsia="Aptos" w:cs="Aptos"/>
          <w:noProof w:val="0"/>
          <w:sz w:val="22"/>
          <w:szCs w:val="22"/>
          <w:lang w:val="en-GB"/>
        </w:rPr>
        <w:t>By integrating these theories into everyday practice, health and social care professionals can create environments where older adults feel valued, understood, and supported—despite the challenges of dementia. Reminiscence therapy, empathetic communication, and individualised care plans are just some of the ways theory can translate into meaningful support.</w:t>
      </w:r>
    </w:p>
    <w:p w:rsidR="2E6AFB47" w:rsidP="653E86EB" w:rsidRDefault="2E6AFB47" w14:paraId="2EA506FB" w14:textId="69C29D72">
      <w:pPr>
        <w:spacing w:before="240" w:beforeAutospacing="off" w:after="240" w:afterAutospacing="off"/>
      </w:pPr>
      <w:r w:rsidRPr="653E86EB" w:rsidR="2E6AFB47">
        <w:rPr>
          <w:rFonts w:ascii="Aptos" w:hAnsi="Aptos" w:eastAsia="Aptos" w:cs="Aptos"/>
          <w:noProof w:val="0"/>
          <w:sz w:val="22"/>
          <w:szCs w:val="22"/>
          <w:lang w:val="en-GB"/>
        </w:rPr>
        <w:t>However, the application of these theories is not without challenges. Time pressures, limited training, and communication barriers can hinder implementation. Addressing these through ongoing staff education, supervision, and creative care strategies is essential to deliver truly person-centred and developmentally appropriate support.</w:t>
      </w:r>
    </w:p>
    <w:p w:rsidR="2E6AFB47" w:rsidP="653E86EB" w:rsidRDefault="2E6AFB47" w14:paraId="430DA53E" w14:textId="2CA8FE6C">
      <w:pPr>
        <w:spacing w:before="240" w:beforeAutospacing="off" w:after="240" w:afterAutospacing="off"/>
      </w:pPr>
      <w:r w:rsidRPr="653E86EB" w:rsidR="2E6AFB47">
        <w:rPr>
          <w:rFonts w:ascii="Aptos" w:hAnsi="Aptos" w:eastAsia="Aptos" w:cs="Aptos"/>
          <w:noProof w:val="0"/>
          <w:sz w:val="22"/>
          <w:szCs w:val="22"/>
          <w:lang w:val="en-GB"/>
        </w:rPr>
        <w:t>Ultimately, embracing psychological theory in practice fosters not only better outcomes for residents but also a more compassionate and rewarding environment for staff.</w:t>
      </w:r>
    </w:p>
    <w:p w:rsidR="653E86EB" w:rsidP="653E86EB" w:rsidRDefault="653E86EB" w14:paraId="0FD005AE" w14:textId="277D2DA2">
      <w:pPr>
        <w:spacing w:before="240" w:beforeAutospacing="off" w:after="240" w:afterAutospacing="off"/>
        <w:rPr>
          <w:rFonts w:ascii="Aptos" w:hAnsi="Aptos" w:eastAsia="Aptos" w:cs="Aptos"/>
          <w:noProof w:val="0"/>
          <w:sz w:val="22"/>
          <w:szCs w:val="22"/>
          <w:lang w:val="en-GB"/>
        </w:rPr>
      </w:pPr>
    </w:p>
    <w:p w:rsidR="767C963D" w:rsidP="653E86EB" w:rsidRDefault="767C963D" w14:paraId="606D55F8" w14:textId="4A2576AF">
      <w:pPr>
        <w:spacing w:before="0" w:beforeAutospacing="off" w:after="0" w:afterAutospacing="off"/>
      </w:pPr>
      <w:r w:rsidRPr="653E86EB" w:rsidR="767C963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Alzheimer's Society (2025). </w:t>
      </w:r>
      <w:r w:rsidRPr="653E86EB" w:rsidR="767C963D">
        <w:rPr>
          <w:rFonts w:ascii="Calibri" w:hAnsi="Calibri" w:eastAsia="Calibri" w:cs="Calibri"/>
          <w:b w:val="0"/>
          <w:bCs w:val="0"/>
          <w:i w:val="1"/>
          <w:iCs w:val="1"/>
          <w:caps w:val="0"/>
          <w:smallCaps w:val="0"/>
          <w:noProof w:val="0"/>
          <w:color w:val="000000" w:themeColor="text1" w:themeTint="FF" w:themeShade="FF"/>
          <w:sz w:val="27"/>
          <w:szCs w:val="27"/>
          <w:lang w:val="en-GB"/>
        </w:rPr>
        <w:t xml:space="preserve">The progression, </w:t>
      </w:r>
      <w:r w:rsidRPr="653E86EB" w:rsidR="767C963D">
        <w:rPr>
          <w:rFonts w:ascii="Calibri" w:hAnsi="Calibri" w:eastAsia="Calibri" w:cs="Calibri"/>
          <w:b w:val="0"/>
          <w:bCs w:val="0"/>
          <w:i w:val="1"/>
          <w:iCs w:val="1"/>
          <w:caps w:val="0"/>
          <w:smallCaps w:val="0"/>
          <w:noProof w:val="0"/>
          <w:color w:val="000000" w:themeColor="text1" w:themeTint="FF" w:themeShade="FF"/>
          <w:sz w:val="27"/>
          <w:szCs w:val="27"/>
          <w:lang w:val="en-GB"/>
        </w:rPr>
        <w:t>signs</w:t>
      </w:r>
      <w:r w:rsidRPr="653E86EB" w:rsidR="767C963D">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and stages of dementia</w:t>
      </w:r>
      <w:r w:rsidRPr="653E86EB" w:rsidR="767C963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Alzheimer’s Society. Available at: </w:t>
      </w:r>
      <w:hyperlink r:id="Reca09c9fa3734877">
        <w:r w:rsidRPr="653E86EB" w:rsidR="767C963D">
          <w:rPr>
            <w:rStyle w:val="Hyperlink"/>
            <w:rFonts w:ascii="Calibri" w:hAnsi="Calibri" w:eastAsia="Calibri" w:cs="Calibri"/>
            <w:b w:val="0"/>
            <w:bCs w:val="0"/>
            <w:i w:val="0"/>
            <w:iCs w:val="0"/>
            <w:caps w:val="0"/>
            <w:smallCaps w:val="0"/>
            <w:noProof w:val="0"/>
            <w:sz w:val="27"/>
            <w:szCs w:val="27"/>
            <w:lang w:val="en-GB"/>
          </w:rPr>
          <w:t>https://www.alzheimers.org.uk/about-dementia/stages-and-symptoms/progression-stages-dementia</w:t>
        </w:r>
      </w:hyperlink>
      <w:r w:rsidRPr="653E86EB" w:rsidR="767C963D">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53E86EB" w:rsidP="653E86EB" w:rsidRDefault="653E86EB" w14:paraId="65493620" w14:textId="6E69E474">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53E86EB" w:rsidP="653E86EB" w:rsidRDefault="653E86EB" w14:paraId="51C87C7E" w14:textId="5E7E3420">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3D30559E" w:rsidP="653E86EB" w:rsidRDefault="3D30559E" w14:paraId="69FF35BC" w14:textId="15674164">
      <w:pPr>
        <w:spacing w:before="0" w:beforeAutospacing="off" w:after="0" w:afterAutospacing="off"/>
      </w:pPr>
      <w:r w:rsidRPr="653E86EB" w:rsidR="3D30559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National Health Service (2023). </w:t>
      </w:r>
      <w:r w:rsidRPr="653E86EB" w:rsidR="3D30559E">
        <w:rPr>
          <w:rFonts w:ascii="Calibri" w:hAnsi="Calibri" w:eastAsia="Calibri" w:cs="Calibri"/>
          <w:b w:val="0"/>
          <w:bCs w:val="0"/>
          <w:i w:val="1"/>
          <w:iCs w:val="1"/>
          <w:caps w:val="0"/>
          <w:smallCaps w:val="0"/>
          <w:noProof w:val="0"/>
          <w:color w:val="000000" w:themeColor="text1" w:themeTint="FF" w:themeShade="FF"/>
          <w:sz w:val="27"/>
          <w:szCs w:val="27"/>
          <w:lang w:val="en-GB"/>
        </w:rPr>
        <w:t>What is dementia</w:t>
      </w:r>
      <w:r w:rsidRPr="653E86EB" w:rsidR="3D30559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nhs.uk. Available at: </w:t>
      </w:r>
      <w:hyperlink r:id="R1958b7ab0c2a49da">
        <w:r w:rsidRPr="653E86EB" w:rsidR="3D30559E">
          <w:rPr>
            <w:rStyle w:val="Hyperlink"/>
            <w:rFonts w:ascii="Calibri" w:hAnsi="Calibri" w:eastAsia="Calibri" w:cs="Calibri"/>
            <w:b w:val="0"/>
            <w:bCs w:val="0"/>
            <w:i w:val="0"/>
            <w:iCs w:val="0"/>
            <w:caps w:val="0"/>
            <w:smallCaps w:val="0"/>
            <w:noProof w:val="0"/>
            <w:sz w:val="27"/>
            <w:szCs w:val="27"/>
            <w:lang w:val="en-GB"/>
          </w:rPr>
          <w:t>https://www.nhs.uk/conditions/dementia/about-dementia/what-is-dementia/</w:t>
        </w:r>
      </w:hyperlink>
      <w:r w:rsidRPr="653E86EB" w:rsidR="3D30559E">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53E86EB" w:rsidP="653E86EB" w:rsidRDefault="653E86EB" w14:paraId="7911AC2F" w14:textId="4DEA5FBA">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53E86EB" w:rsidP="653E86EB" w:rsidRDefault="653E86EB" w14:paraId="1A22AE30" w14:textId="00B18040">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D33FDF4" w:rsidP="653E86EB" w:rsidRDefault="5D33FDF4" w14:paraId="469D48AA" w14:textId="675A10FF">
      <w:pPr>
        <w:spacing w:before="0" w:beforeAutospacing="off" w:after="0" w:afterAutospacing="off"/>
      </w:pPr>
      <w:r w:rsidRPr="653E86EB" w:rsidR="5D33FDF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NHS (2017). </w:t>
      </w:r>
      <w:r w:rsidRPr="653E86EB" w:rsidR="5D33FDF4">
        <w:rPr>
          <w:rFonts w:ascii="Calibri" w:hAnsi="Calibri" w:eastAsia="Calibri" w:cs="Calibri"/>
          <w:b w:val="0"/>
          <w:bCs w:val="0"/>
          <w:i w:val="1"/>
          <w:iCs w:val="1"/>
          <w:caps w:val="0"/>
          <w:smallCaps w:val="0"/>
          <w:noProof w:val="0"/>
          <w:color w:val="000000" w:themeColor="text1" w:themeTint="FF" w:themeShade="FF"/>
          <w:sz w:val="27"/>
          <w:szCs w:val="27"/>
          <w:lang w:val="en-GB"/>
        </w:rPr>
        <w:t>Dementia guide</w:t>
      </w:r>
      <w:r w:rsidRPr="653E86EB" w:rsidR="5D33FDF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nhs.uk. Available at: </w:t>
      </w:r>
      <w:hyperlink r:id="R586f0821717d474c">
        <w:r w:rsidRPr="653E86EB" w:rsidR="5D33FDF4">
          <w:rPr>
            <w:rStyle w:val="Hyperlink"/>
            <w:rFonts w:ascii="Calibri" w:hAnsi="Calibri" w:eastAsia="Calibri" w:cs="Calibri"/>
            <w:b w:val="0"/>
            <w:bCs w:val="0"/>
            <w:i w:val="0"/>
            <w:iCs w:val="0"/>
            <w:caps w:val="0"/>
            <w:smallCaps w:val="0"/>
            <w:noProof w:val="0"/>
            <w:sz w:val="27"/>
            <w:szCs w:val="27"/>
            <w:lang w:val="en-GB"/>
          </w:rPr>
          <w:t>https://www.nhs.uk/conditions/dementia/</w:t>
        </w:r>
      </w:hyperlink>
      <w:r w:rsidRPr="653E86EB" w:rsidR="5D33FDF4">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53E86EB" w:rsidP="653E86EB" w:rsidRDefault="653E86EB" w14:paraId="13D25863" w14:textId="5EDF3D53">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53E86EB" w:rsidP="653E86EB" w:rsidRDefault="653E86EB" w14:paraId="22E209CE" w14:textId="0223BDF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3D65152" w:rsidP="653E86EB" w:rsidRDefault="63D65152" w14:paraId="7CF918CA" w14:textId="50F13350">
      <w:pPr>
        <w:spacing w:before="0" w:beforeAutospacing="off" w:after="0" w:afterAutospacing="off"/>
      </w:pPr>
      <w:r w:rsidRPr="653E86EB" w:rsidR="63D6515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Age UK (2021). </w:t>
      </w:r>
      <w:r w:rsidRPr="653E86EB" w:rsidR="63D65152">
        <w:rPr>
          <w:rFonts w:ascii="Calibri" w:hAnsi="Calibri" w:eastAsia="Calibri" w:cs="Calibri"/>
          <w:b w:val="0"/>
          <w:bCs w:val="0"/>
          <w:i w:val="1"/>
          <w:iCs w:val="1"/>
          <w:caps w:val="0"/>
          <w:smallCaps w:val="0"/>
          <w:noProof w:val="0"/>
          <w:color w:val="000000" w:themeColor="text1" w:themeTint="FF" w:themeShade="FF"/>
          <w:sz w:val="27"/>
          <w:szCs w:val="27"/>
          <w:lang w:val="en-GB"/>
        </w:rPr>
        <w:t>Dementia: The Signs, Symptoms and Types | Age UK</w:t>
      </w:r>
      <w:r w:rsidRPr="653E86EB" w:rsidR="63D6515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hyperlink r:id="R702c85a718944982">
        <w:r w:rsidRPr="653E86EB" w:rsidR="63D65152">
          <w:rPr>
            <w:rStyle w:val="Hyperlink"/>
            <w:rFonts w:ascii="Calibri" w:hAnsi="Calibri" w:eastAsia="Calibri" w:cs="Calibri"/>
            <w:b w:val="0"/>
            <w:bCs w:val="0"/>
            <w:i w:val="0"/>
            <w:iCs w:val="0"/>
            <w:caps w:val="0"/>
            <w:smallCaps w:val="0"/>
            <w:noProof w:val="0"/>
            <w:sz w:val="27"/>
            <w:szCs w:val="27"/>
            <w:lang w:val="en-GB"/>
          </w:rPr>
          <w:t>www.ageuk.org.uk</w:t>
        </w:r>
      </w:hyperlink>
      <w:r w:rsidRPr="653E86EB" w:rsidR="63D6515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447ba9ee2bc347c5">
        <w:r w:rsidRPr="653E86EB" w:rsidR="63D65152">
          <w:rPr>
            <w:rStyle w:val="Hyperlink"/>
            <w:rFonts w:ascii="Calibri" w:hAnsi="Calibri" w:eastAsia="Calibri" w:cs="Calibri"/>
            <w:b w:val="0"/>
            <w:bCs w:val="0"/>
            <w:i w:val="0"/>
            <w:iCs w:val="0"/>
            <w:caps w:val="0"/>
            <w:smallCaps w:val="0"/>
            <w:noProof w:val="0"/>
            <w:sz w:val="27"/>
            <w:szCs w:val="27"/>
            <w:lang w:val="en-GB"/>
          </w:rPr>
          <w:t>https://www.ageuk.org.uk/information-advice/health-wellbeing/conditions-illnesses/dementia/understanding-dementia/</w:t>
        </w:r>
      </w:hyperlink>
      <w:r w:rsidRPr="653E86EB" w:rsidR="63D65152">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3D65152" w:rsidP="653E86EB" w:rsidRDefault="63D65152" w14:paraId="2B0E470C" w14:textId="11AE6309">
      <w:pPr>
        <w:spacing w:before="240" w:beforeAutospacing="off" w:after="240" w:afterAutospacing="off"/>
      </w:pPr>
      <w:r w:rsidRPr="653E86EB" w:rsidR="63D65152">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3D65152" w:rsidP="653E86EB" w:rsidRDefault="63D65152" w14:paraId="39788E3A" w14:textId="07BB0294">
      <w:pPr>
        <w:spacing w:before="0" w:beforeAutospacing="off" w:after="0" w:afterAutospacing="off"/>
      </w:pPr>
      <w:r w:rsidRPr="653E86EB" w:rsidR="63D6515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Alzheimer's Society (2022). </w:t>
      </w:r>
      <w:r w:rsidRPr="653E86EB" w:rsidR="63D65152">
        <w:rPr>
          <w:rFonts w:ascii="Calibri" w:hAnsi="Calibri" w:eastAsia="Calibri" w:cs="Calibri"/>
          <w:b w:val="0"/>
          <w:bCs w:val="0"/>
          <w:i w:val="1"/>
          <w:iCs w:val="1"/>
          <w:caps w:val="0"/>
          <w:smallCaps w:val="0"/>
          <w:noProof w:val="0"/>
          <w:color w:val="000000" w:themeColor="text1" w:themeTint="FF" w:themeShade="FF"/>
          <w:sz w:val="27"/>
          <w:szCs w:val="27"/>
          <w:lang w:val="en-GB"/>
        </w:rPr>
        <w:t>What Is dementia?</w:t>
      </w:r>
      <w:r w:rsidRPr="653E86EB" w:rsidR="63D6515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hyperlink r:id="R3f7b2e029fe0420c">
        <w:r w:rsidRPr="653E86EB" w:rsidR="63D65152">
          <w:rPr>
            <w:rStyle w:val="Hyperlink"/>
            <w:rFonts w:ascii="Calibri" w:hAnsi="Calibri" w:eastAsia="Calibri" w:cs="Calibri"/>
            <w:b w:val="0"/>
            <w:bCs w:val="0"/>
            <w:i w:val="0"/>
            <w:iCs w:val="0"/>
            <w:caps w:val="0"/>
            <w:smallCaps w:val="0"/>
            <w:noProof w:val="0"/>
            <w:sz w:val="27"/>
            <w:szCs w:val="27"/>
            <w:lang w:val="en-GB"/>
          </w:rPr>
          <w:t>www.alzheimers.org.uk</w:t>
        </w:r>
      </w:hyperlink>
      <w:r w:rsidRPr="653E86EB" w:rsidR="63D6515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e0fc5caa788943eb">
        <w:r w:rsidRPr="653E86EB" w:rsidR="63D65152">
          <w:rPr>
            <w:rStyle w:val="Hyperlink"/>
            <w:rFonts w:ascii="Calibri" w:hAnsi="Calibri" w:eastAsia="Calibri" w:cs="Calibri"/>
            <w:b w:val="0"/>
            <w:bCs w:val="0"/>
            <w:i w:val="0"/>
            <w:iCs w:val="0"/>
            <w:caps w:val="0"/>
            <w:smallCaps w:val="0"/>
            <w:noProof w:val="0"/>
            <w:sz w:val="27"/>
            <w:szCs w:val="27"/>
            <w:lang w:val="en-GB"/>
          </w:rPr>
          <w:t>https://www.alzheimers.org.uk/about-dementia/types-dementia/what-is-dementia</w:t>
        </w:r>
      </w:hyperlink>
      <w:r w:rsidRPr="653E86EB" w:rsidR="63D65152">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53E86EB" w:rsidP="653E86EB" w:rsidRDefault="653E86EB" w14:paraId="41FD4276" w14:textId="38E72D3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53E86EB" w:rsidP="653E86EB" w:rsidRDefault="653E86EB" w14:paraId="29703CD9" w14:textId="6DD83BC0">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45FAB99" w:rsidP="653E86EB" w:rsidRDefault="745FAB99" w14:paraId="730EAC8B" w14:textId="552FAC22">
      <w:pPr>
        <w:spacing w:before="0" w:beforeAutospacing="off" w:after="0" w:afterAutospacing="off"/>
      </w:pPr>
      <w:r w:rsidRPr="653E86EB" w:rsidR="745FAB9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Dementia UK (2024). </w:t>
      </w:r>
      <w:r w:rsidRPr="653E86EB" w:rsidR="745FAB99">
        <w:rPr>
          <w:rFonts w:ascii="Calibri" w:hAnsi="Calibri" w:eastAsia="Calibri" w:cs="Calibri"/>
          <w:b w:val="0"/>
          <w:bCs w:val="0"/>
          <w:i w:val="1"/>
          <w:iCs w:val="1"/>
          <w:caps w:val="0"/>
          <w:smallCaps w:val="0"/>
          <w:noProof w:val="0"/>
          <w:color w:val="000000" w:themeColor="text1" w:themeTint="FF" w:themeShade="FF"/>
          <w:sz w:val="27"/>
          <w:szCs w:val="27"/>
          <w:lang w:val="en-GB"/>
        </w:rPr>
        <w:t>Dementia UK</w:t>
      </w:r>
      <w:r w:rsidRPr="653E86EB" w:rsidR="745FAB9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Dementia UK. Available at: </w:t>
      </w:r>
      <w:hyperlink r:id="Re5731f744bb745fe">
        <w:r w:rsidRPr="653E86EB" w:rsidR="745FAB99">
          <w:rPr>
            <w:rStyle w:val="Hyperlink"/>
            <w:rFonts w:ascii="Calibri" w:hAnsi="Calibri" w:eastAsia="Calibri" w:cs="Calibri"/>
            <w:b w:val="0"/>
            <w:bCs w:val="0"/>
            <w:i w:val="0"/>
            <w:iCs w:val="0"/>
            <w:caps w:val="0"/>
            <w:smallCaps w:val="0"/>
            <w:noProof w:val="0"/>
            <w:sz w:val="27"/>
            <w:szCs w:val="27"/>
            <w:lang w:val="en-GB"/>
          </w:rPr>
          <w:t>https://www.dementiauk.org/</w:t>
        </w:r>
      </w:hyperlink>
      <w:r w:rsidRPr="653E86EB" w:rsidR="745FAB99">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45FAB99" w:rsidP="653E86EB" w:rsidRDefault="745FAB99" w14:paraId="78E47EBC" w14:textId="757A0F50">
      <w:pPr>
        <w:spacing w:before="240" w:beforeAutospacing="off" w:after="240" w:afterAutospacing="off"/>
      </w:pPr>
      <w:r w:rsidRPr="653E86EB" w:rsidR="745FAB99">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53E86EB" w:rsidP="653E86EB" w:rsidRDefault="653E86EB" w14:paraId="150F2834" w14:textId="0866A370">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3D65152" w:rsidP="653E86EB" w:rsidRDefault="63D65152" w14:paraId="702A52F3" w14:textId="1816137C">
      <w:pPr>
        <w:spacing w:before="240" w:beforeAutospacing="off" w:after="240" w:afterAutospacing="off"/>
      </w:pPr>
      <w:r w:rsidRPr="653E86EB" w:rsidR="63D65152">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53E86EB" w:rsidP="653E86EB" w:rsidRDefault="653E86EB" w14:paraId="308CE0D3" w14:textId="2F207847">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D33FDF4" w:rsidP="653E86EB" w:rsidRDefault="5D33FDF4" w14:paraId="74C2BC3C" w14:textId="49AEEA44">
      <w:pPr>
        <w:spacing w:before="240" w:beforeAutospacing="off" w:after="240" w:afterAutospacing="off"/>
      </w:pPr>
      <w:r w:rsidRPr="653E86EB" w:rsidR="5D33FDF4">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53E86EB" w:rsidP="653E86EB" w:rsidRDefault="653E86EB" w14:paraId="5A0CDAA9" w14:textId="4C70F2E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3D30559E" w:rsidP="653E86EB" w:rsidRDefault="3D30559E" w14:paraId="1110FB2C" w14:textId="709ED720">
      <w:pPr>
        <w:spacing w:before="240" w:beforeAutospacing="off" w:after="240" w:afterAutospacing="off"/>
      </w:pPr>
      <w:r w:rsidRPr="653E86EB" w:rsidR="3D30559E">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53E86EB" w:rsidP="653E86EB" w:rsidRDefault="653E86EB" w14:paraId="3BDF6872" w14:textId="513C46BB">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67C963D" w:rsidP="653E86EB" w:rsidRDefault="767C963D" w14:paraId="25194113" w14:textId="2A2102A2">
      <w:pPr>
        <w:spacing w:before="240" w:beforeAutospacing="off" w:after="240" w:afterAutospacing="off"/>
      </w:pPr>
      <w:r w:rsidRPr="653E86EB" w:rsidR="767C963D">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53E86EB" w:rsidP="653E86EB" w:rsidRDefault="653E86EB" w14:paraId="3A1C1401" w14:textId="6EFEED7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885E1D4" w:rsidP="653E86EB" w:rsidRDefault="2885E1D4" w14:paraId="507BAED2" w14:textId="4CBC31BA">
      <w:pPr>
        <w:spacing w:before="240" w:beforeAutospacing="off" w:after="240" w:afterAutospacing="off"/>
      </w:pPr>
      <w:r w:rsidRPr="653E86EB" w:rsidR="2885E1D4">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53E86EB" w:rsidP="653E86EB" w:rsidRDefault="653E86EB" w14:paraId="33FEDC13" w14:textId="245309B0">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885E1D4" w:rsidP="653E86EB" w:rsidRDefault="2885E1D4" w14:paraId="0A4E4D9D" w14:textId="3976EFE5">
      <w:pPr>
        <w:spacing w:before="240" w:beforeAutospacing="off" w:after="240" w:afterAutospacing="off"/>
      </w:pPr>
      <w:r w:rsidRPr="653E86EB" w:rsidR="2885E1D4">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53E86EB" w:rsidP="653E86EB" w:rsidRDefault="653E86EB" w14:paraId="47BB78D4" w14:textId="7A03A84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885E1D4" w:rsidP="653E86EB" w:rsidRDefault="2885E1D4" w14:paraId="2AB3E333" w14:textId="212B52B8">
      <w:pPr>
        <w:spacing w:before="240" w:beforeAutospacing="off" w:after="240" w:afterAutospacing="off"/>
      </w:pPr>
      <w:r w:rsidRPr="653E86EB" w:rsidR="2885E1D4">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653E86EB" w:rsidP="653E86EB" w:rsidRDefault="653E86EB" w14:paraId="6C9836E4" w14:textId="25B67324">
      <w:pPr>
        <w:spacing w:before="240" w:beforeAutospacing="off" w:after="240" w:afterAutospacing="off"/>
        <w:rPr>
          <w:rFonts w:ascii="Aptos" w:hAnsi="Aptos" w:eastAsia="Aptos" w:cs="Aptos"/>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5be0f6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dcc94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22ab5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9BDE9F"/>
    <w:rsid w:val="0292E5B6"/>
    <w:rsid w:val="0AEEDDBB"/>
    <w:rsid w:val="0E6E9B7E"/>
    <w:rsid w:val="104CF623"/>
    <w:rsid w:val="12ECFF50"/>
    <w:rsid w:val="15F7AE51"/>
    <w:rsid w:val="17A9105F"/>
    <w:rsid w:val="19DB87BD"/>
    <w:rsid w:val="1BA3D736"/>
    <w:rsid w:val="224B151F"/>
    <w:rsid w:val="2885E1D4"/>
    <w:rsid w:val="2D8F8010"/>
    <w:rsid w:val="2E6AFB47"/>
    <w:rsid w:val="33D9BBD8"/>
    <w:rsid w:val="3D30559E"/>
    <w:rsid w:val="3E6A4515"/>
    <w:rsid w:val="4695F582"/>
    <w:rsid w:val="485BB120"/>
    <w:rsid w:val="4D50C1AD"/>
    <w:rsid w:val="518FDFD3"/>
    <w:rsid w:val="533B0B4F"/>
    <w:rsid w:val="57953BBF"/>
    <w:rsid w:val="5A852AB2"/>
    <w:rsid w:val="5D33FDF4"/>
    <w:rsid w:val="5D921C23"/>
    <w:rsid w:val="5EBE3B37"/>
    <w:rsid w:val="63D65152"/>
    <w:rsid w:val="653E86EB"/>
    <w:rsid w:val="6BDE4FA1"/>
    <w:rsid w:val="6E15F008"/>
    <w:rsid w:val="6F0F3A94"/>
    <w:rsid w:val="745FAB99"/>
    <w:rsid w:val="767C963D"/>
    <w:rsid w:val="799BDE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93158"/>
  <w15:chartTrackingRefBased/>
  <w15:docId w15:val="{53F18FA9-AC9B-4370-B96A-E14C0D7C93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653E86E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53E86E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653E86EB"/>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653E86EB"/>
    <w:pPr>
      <w:spacing/>
      <w:ind w:left="720"/>
      <w:contextualSpacing/>
    </w:pPr>
  </w:style>
  <w:style w:type="character" w:styleId="Hyperlink">
    <w:uiPriority w:val="99"/>
    <w:name w:val="Hyperlink"/>
    <w:basedOn w:val="DefaultParagraphFont"/>
    <w:unhideWhenUsed/>
    <w:rsid w:val="653E86E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lzheimers.org.uk/about-dementia/stages-and-symptoms/progression-stages-dementia" TargetMode="External" Id="Reca09c9fa3734877" /><Relationship Type="http://schemas.openxmlformats.org/officeDocument/2006/relationships/hyperlink" Target="https://www.nhs.uk/conditions/dementia/about-dementia/what-is-dementia/" TargetMode="External" Id="R1958b7ab0c2a49da" /><Relationship Type="http://schemas.openxmlformats.org/officeDocument/2006/relationships/hyperlink" Target="https://www.nhs.uk/conditions/dementia/" TargetMode="External" Id="R586f0821717d474c" /><Relationship Type="http://schemas.openxmlformats.org/officeDocument/2006/relationships/hyperlink" Target="https://www.ageuk.org.uk" TargetMode="External" Id="R702c85a718944982" /><Relationship Type="http://schemas.openxmlformats.org/officeDocument/2006/relationships/hyperlink" Target="https://www.ageuk.org.uk/information-advice/health-wellbeing/conditions-illnesses/dementia/understanding-dementia/" TargetMode="External" Id="R447ba9ee2bc347c5" /><Relationship Type="http://schemas.openxmlformats.org/officeDocument/2006/relationships/hyperlink" Target="https://www.alzheimers.org.uk" TargetMode="External" Id="R3f7b2e029fe0420c" /><Relationship Type="http://schemas.openxmlformats.org/officeDocument/2006/relationships/hyperlink" Target="https://www.alzheimers.org.uk/about-dementia/types-dementia/what-is-dementia" TargetMode="External" Id="Re0fc5caa788943eb" /><Relationship Type="http://schemas.openxmlformats.org/officeDocument/2006/relationships/hyperlink" Target="https://www.dementiauk.org/" TargetMode="External" Id="Re5731f744bb745fe" /><Relationship Type="http://schemas.openxmlformats.org/officeDocument/2006/relationships/numbering" Target="/word/numbering.xml" Id="R798645cadd0f4a2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Paulo Alexandre Bucur (2420352)</dc:creator>
  <keywords/>
  <dc:description/>
  <lastModifiedBy>Paulo Alexandre Bucur (2420352)</lastModifiedBy>
  <revision>2</revision>
  <dcterms:created xsi:type="dcterms:W3CDTF">2025-09-24T14:35:17.7945226Z</dcterms:created>
  <dcterms:modified xsi:type="dcterms:W3CDTF">2025-09-24T15:04:46.5865266Z</dcterms:modified>
</coreProperties>
</file>