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6BD46A" w14:textId="735E934A" w:rsidR="00C27D5F" w:rsidRPr="00C27D5F" w:rsidRDefault="00C27D5F" w:rsidP="00C27D5F">
      <w:pPr>
        <w:spacing w:line="360" w:lineRule="auto"/>
        <w:rPr>
          <w:rFonts w:asciiTheme="minorBidi" w:hAnsiTheme="minorBidi"/>
          <w:b/>
          <w:bCs/>
          <w:sz w:val="22"/>
          <w:szCs w:val="22"/>
        </w:rPr>
      </w:pPr>
      <w:r>
        <w:rPr>
          <w:rFonts w:asciiTheme="minorBidi" w:hAnsiTheme="minorBidi"/>
          <w:b/>
          <w:bCs/>
          <w:sz w:val="22"/>
          <w:szCs w:val="22"/>
        </w:rPr>
        <w:t>U</w:t>
      </w:r>
      <w:r w:rsidRPr="00C27D5F">
        <w:rPr>
          <w:rFonts w:asciiTheme="minorBidi" w:hAnsiTheme="minorBidi"/>
          <w:b/>
          <w:bCs/>
          <w:sz w:val="22"/>
          <w:szCs w:val="22"/>
        </w:rPr>
        <w:t>niversity of Wales Trinity Saint David (UWTSD)</w:t>
      </w:r>
    </w:p>
    <w:p w14:paraId="45C0E3CA" w14:textId="77777777" w:rsidR="00C27D5F" w:rsidRPr="00C27D5F" w:rsidRDefault="00C27D5F" w:rsidP="00C27D5F">
      <w:pPr>
        <w:spacing w:line="360" w:lineRule="auto"/>
        <w:rPr>
          <w:rFonts w:asciiTheme="minorBidi" w:hAnsiTheme="minorBidi"/>
          <w:b/>
          <w:bCs/>
          <w:sz w:val="22"/>
          <w:szCs w:val="22"/>
        </w:rPr>
      </w:pPr>
      <w:r w:rsidRPr="00C27D5F">
        <w:rPr>
          <w:rFonts w:asciiTheme="minorBidi" w:hAnsiTheme="minorBidi"/>
          <w:b/>
          <w:bCs/>
          <w:sz w:val="22"/>
          <w:szCs w:val="22"/>
        </w:rPr>
        <w:t>BSc (Hons) Health and Social Care</w:t>
      </w:r>
    </w:p>
    <w:p w14:paraId="13EF8AD6" w14:textId="77777777" w:rsidR="00C27D5F" w:rsidRPr="00C27D5F" w:rsidRDefault="00C27D5F" w:rsidP="00C27D5F">
      <w:pPr>
        <w:spacing w:line="360" w:lineRule="auto"/>
        <w:rPr>
          <w:rFonts w:asciiTheme="minorBidi" w:hAnsiTheme="minorBidi"/>
          <w:b/>
          <w:bCs/>
          <w:sz w:val="22"/>
          <w:szCs w:val="22"/>
        </w:rPr>
      </w:pPr>
      <w:r w:rsidRPr="00C27D5F">
        <w:rPr>
          <w:rFonts w:asciiTheme="minorBidi" w:hAnsiTheme="minorBidi"/>
          <w:b/>
          <w:bCs/>
          <w:sz w:val="22"/>
          <w:szCs w:val="22"/>
        </w:rPr>
        <w:t>Module Code: BMHP5019</w:t>
      </w:r>
    </w:p>
    <w:p w14:paraId="67ADEE09" w14:textId="77777777" w:rsidR="00C27D5F" w:rsidRPr="00C27D5F" w:rsidRDefault="00C27D5F" w:rsidP="00C27D5F">
      <w:pPr>
        <w:spacing w:line="360" w:lineRule="auto"/>
        <w:rPr>
          <w:rFonts w:asciiTheme="minorBidi" w:hAnsiTheme="minorBidi"/>
          <w:b/>
          <w:bCs/>
          <w:sz w:val="22"/>
          <w:szCs w:val="22"/>
        </w:rPr>
      </w:pPr>
      <w:r w:rsidRPr="00C27D5F">
        <w:rPr>
          <w:rFonts w:asciiTheme="minorBidi" w:hAnsiTheme="minorBidi"/>
          <w:b/>
          <w:bCs/>
          <w:sz w:val="22"/>
          <w:szCs w:val="22"/>
        </w:rPr>
        <w:t>Module Title: Introduction to Independent Research Skills</w:t>
      </w:r>
    </w:p>
    <w:p w14:paraId="1691B540" w14:textId="77777777" w:rsidR="00C27D5F" w:rsidRPr="00C27D5F" w:rsidRDefault="00C27D5F" w:rsidP="00C27D5F">
      <w:pPr>
        <w:spacing w:line="360" w:lineRule="auto"/>
        <w:rPr>
          <w:rFonts w:asciiTheme="minorBidi" w:hAnsiTheme="minorBidi"/>
          <w:b/>
          <w:bCs/>
          <w:sz w:val="22"/>
          <w:szCs w:val="22"/>
        </w:rPr>
      </w:pPr>
      <w:r w:rsidRPr="00C27D5F">
        <w:rPr>
          <w:rFonts w:asciiTheme="minorBidi" w:hAnsiTheme="minorBidi"/>
          <w:b/>
          <w:bCs/>
          <w:sz w:val="22"/>
          <w:szCs w:val="22"/>
        </w:rPr>
        <w:t>Assessment: Component 1 – Research Proposal</w:t>
      </w:r>
    </w:p>
    <w:p w14:paraId="6EE313E4" w14:textId="77777777" w:rsidR="00C27D5F" w:rsidRPr="00C27D5F" w:rsidRDefault="00C27D5F" w:rsidP="00C27D5F">
      <w:pPr>
        <w:spacing w:line="360" w:lineRule="auto"/>
        <w:rPr>
          <w:rFonts w:asciiTheme="minorBidi" w:hAnsiTheme="minorBidi"/>
          <w:b/>
          <w:bCs/>
          <w:sz w:val="22"/>
          <w:szCs w:val="22"/>
        </w:rPr>
      </w:pPr>
      <w:r w:rsidRPr="00C27D5F">
        <w:rPr>
          <w:rFonts w:asciiTheme="minorBidi" w:hAnsiTheme="minorBidi"/>
          <w:b/>
          <w:bCs/>
          <w:sz w:val="22"/>
          <w:szCs w:val="22"/>
        </w:rPr>
        <w:t>Assignment Title:</w:t>
      </w:r>
    </w:p>
    <w:p w14:paraId="187F0226" w14:textId="77777777" w:rsidR="00C27D5F" w:rsidRPr="00C27D5F" w:rsidRDefault="00C27D5F" w:rsidP="00C27D5F">
      <w:pPr>
        <w:spacing w:line="360" w:lineRule="auto"/>
        <w:rPr>
          <w:rFonts w:asciiTheme="minorBidi" w:hAnsiTheme="minorBidi"/>
          <w:b/>
          <w:bCs/>
          <w:sz w:val="22"/>
          <w:szCs w:val="22"/>
        </w:rPr>
      </w:pPr>
      <w:r w:rsidRPr="00C27D5F">
        <w:rPr>
          <w:rFonts w:asciiTheme="minorBidi" w:hAnsiTheme="minorBidi"/>
          <w:b/>
          <w:bCs/>
          <w:sz w:val="22"/>
          <w:szCs w:val="22"/>
        </w:rPr>
        <w:t>Barriers to Accessing Mental Health Services Among Young Adults Aged 18–25 in the UK: A Scoping Review</w:t>
      </w:r>
    </w:p>
    <w:p w14:paraId="5B822A12" w14:textId="140CFCBD" w:rsidR="00C27D5F" w:rsidRPr="00C27D5F" w:rsidRDefault="00C27D5F" w:rsidP="00C27D5F">
      <w:pPr>
        <w:spacing w:line="360" w:lineRule="auto"/>
        <w:rPr>
          <w:rFonts w:asciiTheme="minorBidi" w:hAnsiTheme="minorBidi"/>
          <w:b/>
          <w:bCs/>
          <w:sz w:val="22"/>
          <w:szCs w:val="22"/>
        </w:rPr>
      </w:pPr>
      <w:r w:rsidRPr="00C27D5F">
        <w:rPr>
          <w:rFonts w:asciiTheme="minorBidi" w:hAnsiTheme="minorBidi"/>
          <w:b/>
          <w:bCs/>
          <w:sz w:val="22"/>
          <w:szCs w:val="22"/>
        </w:rPr>
        <w:t xml:space="preserve">Student Name: </w:t>
      </w:r>
      <w:r>
        <w:rPr>
          <w:rFonts w:asciiTheme="minorBidi" w:hAnsiTheme="minorBidi"/>
          <w:b/>
          <w:bCs/>
          <w:sz w:val="22"/>
          <w:szCs w:val="22"/>
        </w:rPr>
        <w:t>Mgid Glal</w:t>
      </w:r>
    </w:p>
    <w:p w14:paraId="2B94CC35" w14:textId="4407C710" w:rsidR="00C27D5F" w:rsidRPr="00C27D5F" w:rsidRDefault="00C27D5F" w:rsidP="00C27D5F">
      <w:pPr>
        <w:spacing w:line="360" w:lineRule="auto"/>
        <w:rPr>
          <w:rFonts w:asciiTheme="minorBidi" w:hAnsiTheme="minorBidi"/>
          <w:b/>
          <w:bCs/>
          <w:sz w:val="22"/>
          <w:szCs w:val="22"/>
        </w:rPr>
      </w:pPr>
      <w:r w:rsidRPr="00C27D5F">
        <w:rPr>
          <w:rFonts w:asciiTheme="minorBidi" w:hAnsiTheme="minorBidi"/>
          <w:b/>
          <w:bCs/>
          <w:sz w:val="22"/>
          <w:szCs w:val="22"/>
        </w:rPr>
        <w:t xml:space="preserve">Student Number: </w:t>
      </w:r>
      <w:r>
        <w:rPr>
          <w:rFonts w:asciiTheme="minorBidi" w:hAnsiTheme="minorBidi"/>
          <w:b/>
          <w:bCs/>
          <w:sz w:val="22"/>
          <w:szCs w:val="22"/>
        </w:rPr>
        <w:t>2422237</w:t>
      </w:r>
    </w:p>
    <w:p w14:paraId="066AD4AA" w14:textId="77777777" w:rsidR="00C27D5F" w:rsidRPr="00C27D5F" w:rsidRDefault="00C27D5F" w:rsidP="00C27D5F">
      <w:pPr>
        <w:spacing w:line="360" w:lineRule="auto"/>
        <w:rPr>
          <w:rFonts w:asciiTheme="minorBidi" w:hAnsiTheme="minorBidi"/>
          <w:b/>
          <w:bCs/>
          <w:sz w:val="22"/>
          <w:szCs w:val="22"/>
        </w:rPr>
      </w:pPr>
      <w:r w:rsidRPr="00C27D5F">
        <w:rPr>
          <w:rFonts w:asciiTheme="minorBidi" w:hAnsiTheme="minorBidi"/>
          <w:b/>
          <w:bCs/>
          <w:sz w:val="22"/>
          <w:szCs w:val="22"/>
        </w:rPr>
        <w:t xml:space="preserve">Lecturers: Philip Jones and Precious </w:t>
      </w:r>
      <w:proofErr w:type="spellStart"/>
      <w:r w:rsidRPr="00C27D5F">
        <w:rPr>
          <w:rFonts w:asciiTheme="minorBidi" w:hAnsiTheme="minorBidi"/>
          <w:b/>
          <w:bCs/>
          <w:sz w:val="22"/>
          <w:szCs w:val="22"/>
        </w:rPr>
        <w:t>Igbinigie</w:t>
      </w:r>
      <w:proofErr w:type="spellEnd"/>
    </w:p>
    <w:p w14:paraId="4B6D3534" w14:textId="004E5607" w:rsidR="00C27D5F" w:rsidRDefault="00C27D5F" w:rsidP="00C27D5F">
      <w:pPr>
        <w:spacing w:line="360" w:lineRule="auto"/>
        <w:rPr>
          <w:rFonts w:asciiTheme="minorBidi" w:hAnsiTheme="minorBidi"/>
          <w:b/>
          <w:bCs/>
          <w:sz w:val="22"/>
          <w:szCs w:val="22"/>
        </w:rPr>
      </w:pPr>
    </w:p>
    <w:p w14:paraId="386BE1E5" w14:textId="77777777" w:rsidR="00C27D5F" w:rsidRDefault="00C27D5F" w:rsidP="00C27D5F">
      <w:pPr>
        <w:spacing w:line="360" w:lineRule="auto"/>
        <w:rPr>
          <w:rFonts w:asciiTheme="minorBidi" w:hAnsiTheme="minorBidi"/>
          <w:b/>
          <w:bCs/>
          <w:sz w:val="22"/>
          <w:szCs w:val="22"/>
        </w:rPr>
      </w:pPr>
    </w:p>
    <w:p w14:paraId="491352BB" w14:textId="77777777" w:rsidR="00C27D5F" w:rsidRDefault="00C27D5F" w:rsidP="00C27D5F">
      <w:pPr>
        <w:spacing w:line="360" w:lineRule="auto"/>
        <w:rPr>
          <w:rFonts w:asciiTheme="minorBidi" w:hAnsiTheme="minorBidi"/>
          <w:b/>
          <w:bCs/>
          <w:sz w:val="22"/>
          <w:szCs w:val="22"/>
        </w:rPr>
      </w:pPr>
    </w:p>
    <w:p w14:paraId="59F897F0" w14:textId="77777777" w:rsidR="00C27D5F" w:rsidRDefault="00C27D5F" w:rsidP="00C27D5F">
      <w:pPr>
        <w:spacing w:line="360" w:lineRule="auto"/>
        <w:rPr>
          <w:rFonts w:asciiTheme="minorBidi" w:hAnsiTheme="minorBidi"/>
          <w:b/>
          <w:bCs/>
          <w:sz w:val="22"/>
          <w:szCs w:val="22"/>
        </w:rPr>
      </w:pPr>
    </w:p>
    <w:p w14:paraId="13928B04" w14:textId="77777777" w:rsidR="00C27D5F" w:rsidRDefault="00C27D5F" w:rsidP="00C27D5F">
      <w:pPr>
        <w:spacing w:line="360" w:lineRule="auto"/>
        <w:rPr>
          <w:rFonts w:asciiTheme="minorBidi" w:hAnsiTheme="minorBidi"/>
          <w:b/>
          <w:bCs/>
          <w:sz w:val="22"/>
          <w:szCs w:val="22"/>
        </w:rPr>
      </w:pPr>
    </w:p>
    <w:p w14:paraId="2AB669C0" w14:textId="77777777" w:rsidR="00C27D5F" w:rsidRDefault="00C27D5F" w:rsidP="00C27D5F">
      <w:pPr>
        <w:spacing w:line="360" w:lineRule="auto"/>
        <w:rPr>
          <w:rFonts w:asciiTheme="minorBidi" w:hAnsiTheme="minorBidi"/>
          <w:b/>
          <w:bCs/>
          <w:sz w:val="22"/>
          <w:szCs w:val="22"/>
        </w:rPr>
      </w:pPr>
    </w:p>
    <w:p w14:paraId="2D97A035" w14:textId="77777777" w:rsidR="00C27D5F" w:rsidRDefault="00C27D5F" w:rsidP="00C27D5F">
      <w:pPr>
        <w:spacing w:line="360" w:lineRule="auto"/>
        <w:rPr>
          <w:rFonts w:asciiTheme="minorBidi" w:hAnsiTheme="minorBidi"/>
          <w:b/>
          <w:bCs/>
          <w:sz w:val="22"/>
          <w:szCs w:val="22"/>
        </w:rPr>
      </w:pPr>
    </w:p>
    <w:p w14:paraId="2457501E" w14:textId="77777777" w:rsidR="00C27D5F" w:rsidRPr="00C27D5F" w:rsidRDefault="00C27D5F" w:rsidP="00C27D5F">
      <w:pPr>
        <w:spacing w:line="360" w:lineRule="auto"/>
        <w:rPr>
          <w:rFonts w:asciiTheme="minorBidi" w:hAnsiTheme="minorBidi"/>
          <w:b/>
          <w:bCs/>
          <w:sz w:val="22"/>
          <w:szCs w:val="22"/>
        </w:rPr>
      </w:pPr>
    </w:p>
    <w:p w14:paraId="06A092C9" w14:textId="77777777" w:rsidR="00C27D5F" w:rsidRDefault="00C27D5F" w:rsidP="00C27D5F">
      <w:pPr>
        <w:spacing w:line="360" w:lineRule="auto"/>
        <w:rPr>
          <w:rFonts w:asciiTheme="minorBidi" w:hAnsiTheme="minorBidi"/>
          <w:b/>
          <w:bCs/>
          <w:sz w:val="22"/>
          <w:szCs w:val="22"/>
        </w:rPr>
      </w:pPr>
    </w:p>
    <w:p w14:paraId="054BE811" w14:textId="77777777" w:rsidR="00C27D5F" w:rsidRDefault="00C27D5F" w:rsidP="00C27D5F">
      <w:pPr>
        <w:spacing w:line="360" w:lineRule="auto"/>
        <w:rPr>
          <w:rFonts w:asciiTheme="minorBidi" w:hAnsiTheme="minorBidi"/>
          <w:b/>
          <w:bCs/>
          <w:sz w:val="22"/>
          <w:szCs w:val="22"/>
        </w:rPr>
      </w:pPr>
    </w:p>
    <w:p w14:paraId="7F88D0B7" w14:textId="77777777" w:rsidR="00C27D5F" w:rsidRDefault="00C27D5F" w:rsidP="00C27D5F">
      <w:pPr>
        <w:spacing w:line="360" w:lineRule="auto"/>
        <w:rPr>
          <w:rFonts w:asciiTheme="minorBidi" w:hAnsiTheme="minorBidi"/>
          <w:b/>
          <w:bCs/>
          <w:sz w:val="22"/>
          <w:szCs w:val="22"/>
        </w:rPr>
      </w:pPr>
    </w:p>
    <w:p w14:paraId="4A167723" w14:textId="77777777" w:rsidR="00C27D5F" w:rsidRDefault="00C27D5F" w:rsidP="00C27D5F">
      <w:pPr>
        <w:spacing w:line="360" w:lineRule="auto"/>
        <w:rPr>
          <w:rFonts w:asciiTheme="minorBidi" w:hAnsiTheme="minorBidi"/>
          <w:b/>
          <w:bCs/>
          <w:sz w:val="22"/>
          <w:szCs w:val="22"/>
        </w:rPr>
      </w:pPr>
    </w:p>
    <w:p w14:paraId="28703B08" w14:textId="77777777" w:rsidR="00C27D5F" w:rsidRDefault="00C27D5F" w:rsidP="00C27D5F">
      <w:pPr>
        <w:spacing w:line="360" w:lineRule="auto"/>
        <w:rPr>
          <w:rFonts w:asciiTheme="minorBidi" w:hAnsiTheme="minorBidi"/>
          <w:b/>
          <w:bCs/>
          <w:sz w:val="22"/>
          <w:szCs w:val="22"/>
        </w:rPr>
      </w:pPr>
    </w:p>
    <w:p w14:paraId="2143F367" w14:textId="77777777" w:rsidR="00C27D5F" w:rsidRDefault="00C27D5F" w:rsidP="00C27D5F">
      <w:pPr>
        <w:spacing w:line="360" w:lineRule="auto"/>
        <w:rPr>
          <w:rFonts w:asciiTheme="minorBidi" w:hAnsiTheme="minorBidi"/>
          <w:b/>
          <w:bCs/>
          <w:sz w:val="22"/>
          <w:szCs w:val="22"/>
        </w:rPr>
      </w:pPr>
    </w:p>
    <w:p w14:paraId="3ADD5DB4" w14:textId="77777777" w:rsidR="00C27D5F" w:rsidRDefault="00C27D5F" w:rsidP="00C27D5F">
      <w:pPr>
        <w:spacing w:line="360" w:lineRule="auto"/>
        <w:rPr>
          <w:rFonts w:asciiTheme="minorBidi" w:hAnsiTheme="minorBidi"/>
          <w:b/>
          <w:bCs/>
          <w:sz w:val="22"/>
          <w:szCs w:val="22"/>
        </w:rPr>
      </w:pPr>
    </w:p>
    <w:p w14:paraId="47B10FED" w14:textId="46DD8252" w:rsidR="00C27D5F" w:rsidRPr="00C27D5F" w:rsidRDefault="00C27D5F" w:rsidP="00C27D5F">
      <w:pPr>
        <w:spacing w:line="360" w:lineRule="auto"/>
        <w:rPr>
          <w:rFonts w:asciiTheme="minorBidi" w:hAnsiTheme="minorBidi"/>
          <w:b/>
          <w:bCs/>
          <w:sz w:val="22"/>
          <w:szCs w:val="22"/>
        </w:rPr>
      </w:pPr>
      <w:r w:rsidRPr="00C27D5F">
        <w:rPr>
          <w:rFonts w:asciiTheme="minorBidi" w:hAnsiTheme="minorBidi"/>
          <w:b/>
          <w:bCs/>
          <w:sz w:val="22"/>
          <w:szCs w:val="22"/>
        </w:rPr>
        <w:lastRenderedPageBreak/>
        <w:t>Research Proposal</w:t>
      </w:r>
    </w:p>
    <w:p w14:paraId="5DE48AA2" w14:textId="64FCB5C1" w:rsidR="00C27D5F" w:rsidRPr="00C27D5F" w:rsidRDefault="00C27D5F" w:rsidP="00C27D5F">
      <w:pPr>
        <w:spacing w:line="360" w:lineRule="auto"/>
        <w:rPr>
          <w:rFonts w:asciiTheme="minorBidi" w:hAnsiTheme="minorBidi"/>
          <w:sz w:val="22"/>
          <w:szCs w:val="22"/>
        </w:rPr>
      </w:pPr>
      <w:r w:rsidRPr="00C27D5F">
        <w:rPr>
          <w:rFonts w:asciiTheme="minorBidi" w:hAnsiTheme="minorBidi"/>
          <w:sz w:val="22"/>
          <w:szCs w:val="22"/>
        </w:rPr>
        <w:t>Barriers to Accessing Mental Health Services Among Young Adults Aged 18–25 in the UK: A Scoping Review**</w:t>
      </w:r>
    </w:p>
    <w:p w14:paraId="63B34697" w14:textId="5BA4CDD0" w:rsidR="00C27D5F" w:rsidRPr="00C27D5F" w:rsidRDefault="00C27D5F" w:rsidP="00C27D5F">
      <w:pPr>
        <w:spacing w:line="360" w:lineRule="auto"/>
        <w:rPr>
          <w:rFonts w:asciiTheme="minorBidi" w:hAnsiTheme="minorBidi"/>
          <w:b/>
          <w:bCs/>
          <w:sz w:val="22"/>
          <w:szCs w:val="22"/>
        </w:rPr>
      </w:pPr>
      <w:r w:rsidRPr="00C27D5F">
        <w:rPr>
          <w:rFonts w:asciiTheme="minorBidi" w:hAnsiTheme="minorBidi"/>
          <w:b/>
          <w:bCs/>
          <w:sz w:val="22"/>
          <w:szCs w:val="22"/>
        </w:rPr>
        <w:t>Introduction and Research Aim</w:t>
      </w:r>
    </w:p>
    <w:p w14:paraId="1AAA62E7" w14:textId="77777777" w:rsidR="00C27D5F" w:rsidRPr="00C27D5F" w:rsidRDefault="00C27D5F" w:rsidP="00C27D5F">
      <w:pPr>
        <w:spacing w:line="360" w:lineRule="auto"/>
        <w:rPr>
          <w:rFonts w:asciiTheme="minorBidi" w:hAnsiTheme="minorBidi"/>
          <w:sz w:val="22"/>
          <w:szCs w:val="22"/>
        </w:rPr>
      </w:pPr>
      <w:r w:rsidRPr="00C27D5F">
        <w:rPr>
          <w:rFonts w:asciiTheme="minorBidi" w:hAnsiTheme="minorBidi"/>
          <w:sz w:val="22"/>
          <w:szCs w:val="22"/>
        </w:rPr>
        <w:t>Mental health support is important for young adults, particularly as they move through education, employment and greater independence. However, accessing appropriate services can be difficult. Salaheddin and Mason (2016) identified stigma, difficulties expressing emotional concerns and a preference for managing problems independently as barriers to seeking help among young adults in the UK.</w:t>
      </w:r>
    </w:p>
    <w:p w14:paraId="5CA3AEA2" w14:textId="77777777" w:rsidR="00C27D5F" w:rsidRPr="00C27D5F" w:rsidRDefault="00C27D5F" w:rsidP="00C27D5F">
      <w:pPr>
        <w:spacing w:line="360" w:lineRule="auto"/>
        <w:rPr>
          <w:rFonts w:asciiTheme="minorBidi" w:hAnsiTheme="minorBidi"/>
          <w:sz w:val="22"/>
          <w:szCs w:val="22"/>
        </w:rPr>
      </w:pPr>
      <w:r w:rsidRPr="00C27D5F">
        <w:rPr>
          <w:rFonts w:asciiTheme="minorBidi" w:hAnsiTheme="minorBidi"/>
          <w:sz w:val="22"/>
          <w:szCs w:val="22"/>
        </w:rPr>
        <w:t>This proposed scoping review aims to explore the barriers experienced by young adults aged 18–25 when accessing mental health services in the UK.</w:t>
      </w:r>
    </w:p>
    <w:p w14:paraId="46F09092" w14:textId="77A6820C" w:rsidR="00C27D5F" w:rsidRPr="00C27D5F" w:rsidRDefault="00C27D5F" w:rsidP="00C27D5F">
      <w:pPr>
        <w:spacing w:line="360" w:lineRule="auto"/>
        <w:rPr>
          <w:rFonts w:asciiTheme="minorBidi" w:hAnsiTheme="minorBidi"/>
          <w:sz w:val="22"/>
          <w:szCs w:val="22"/>
        </w:rPr>
      </w:pPr>
      <w:r w:rsidRPr="00C27D5F">
        <w:rPr>
          <w:rFonts w:asciiTheme="minorBidi" w:hAnsiTheme="minorBidi"/>
          <w:b/>
          <w:bCs/>
          <w:sz w:val="22"/>
          <w:szCs w:val="22"/>
        </w:rPr>
        <w:t>Research question:</w:t>
      </w:r>
    </w:p>
    <w:p w14:paraId="3F38261B" w14:textId="77777777" w:rsidR="00C27D5F" w:rsidRDefault="00C27D5F" w:rsidP="00C27D5F">
      <w:pPr>
        <w:spacing w:line="360" w:lineRule="auto"/>
        <w:rPr>
          <w:rFonts w:asciiTheme="minorBidi" w:hAnsiTheme="minorBidi"/>
          <w:sz w:val="22"/>
          <w:szCs w:val="22"/>
        </w:rPr>
      </w:pPr>
      <w:r w:rsidRPr="00C27D5F">
        <w:rPr>
          <w:rFonts w:asciiTheme="minorBidi" w:hAnsiTheme="minorBidi"/>
          <w:sz w:val="22"/>
          <w:szCs w:val="22"/>
        </w:rPr>
        <w:t>What barriers affect access to mental health services among young adults aged 18–25 in the UK?</w:t>
      </w:r>
    </w:p>
    <w:p w14:paraId="054C46F1" w14:textId="2FB14887" w:rsidR="00C27D5F" w:rsidRPr="00C27D5F" w:rsidRDefault="00C27D5F" w:rsidP="00C27D5F">
      <w:pPr>
        <w:spacing w:line="360" w:lineRule="auto"/>
        <w:rPr>
          <w:rFonts w:asciiTheme="minorBidi" w:hAnsiTheme="minorBidi"/>
          <w:sz w:val="22"/>
          <w:szCs w:val="22"/>
        </w:rPr>
      </w:pPr>
      <w:r w:rsidRPr="00C27D5F">
        <w:rPr>
          <w:rFonts w:asciiTheme="minorBidi" w:hAnsiTheme="minorBidi"/>
          <w:sz w:val="22"/>
          <w:szCs w:val="22"/>
        </w:rPr>
        <w:t>The objectives are to identify common barriers, examine their effects on help-seeking and consider implications for health and social care practice.</w:t>
      </w:r>
    </w:p>
    <w:p w14:paraId="6DB13D97" w14:textId="237C4675" w:rsidR="00C27D5F" w:rsidRPr="00C27D5F" w:rsidRDefault="00C27D5F" w:rsidP="00C27D5F">
      <w:pPr>
        <w:spacing w:line="360" w:lineRule="auto"/>
        <w:rPr>
          <w:rFonts w:asciiTheme="minorBidi" w:hAnsiTheme="minorBidi"/>
          <w:b/>
          <w:bCs/>
          <w:sz w:val="22"/>
          <w:szCs w:val="22"/>
        </w:rPr>
      </w:pPr>
      <w:r w:rsidRPr="00C27D5F">
        <w:rPr>
          <w:rFonts w:asciiTheme="minorBidi" w:hAnsiTheme="minorBidi"/>
          <w:b/>
          <w:bCs/>
          <w:sz w:val="22"/>
          <w:szCs w:val="22"/>
        </w:rPr>
        <w:t>Background and Rationale</w:t>
      </w:r>
    </w:p>
    <w:p w14:paraId="3DFBB47D" w14:textId="77777777" w:rsidR="00C27D5F" w:rsidRPr="00C27D5F" w:rsidRDefault="00C27D5F" w:rsidP="00C27D5F">
      <w:pPr>
        <w:spacing w:line="360" w:lineRule="auto"/>
        <w:rPr>
          <w:rFonts w:asciiTheme="minorBidi" w:hAnsiTheme="minorBidi"/>
          <w:sz w:val="22"/>
          <w:szCs w:val="22"/>
        </w:rPr>
      </w:pPr>
      <w:r w:rsidRPr="00C27D5F">
        <w:rPr>
          <w:rFonts w:asciiTheme="minorBidi" w:hAnsiTheme="minorBidi"/>
          <w:sz w:val="22"/>
          <w:szCs w:val="22"/>
        </w:rPr>
        <w:t>Understanding these barriers is important because difficulties obtaining support may prevent young adults from receiving timely care. Long et al. (2023) identified accessibility, engagement and experiences of stigma within adult mental health services as important issues for young people transitioning into adulthood.</w:t>
      </w:r>
    </w:p>
    <w:p w14:paraId="71992DC1" w14:textId="77777777" w:rsidR="00C27D5F" w:rsidRPr="00C27D5F" w:rsidRDefault="00C27D5F" w:rsidP="00C27D5F">
      <w:pPr>
        <w:spacing w:line="360" w:lineRule="auto"/>
        <w:rPr>
          <w:rFonts w:asciiTheme="minorBidi" w:hAnsiTheme="minorBidi"/>
          <w:sz w:val="22"/>
          <w:szCs w:val="22"/>
        </w:rPr>
      </w:pPr>
      <w:r w:rsidRPr="00C27D5F">
        <w:rPr>
          <w:rFonts w:asciiTheme="minorBidi" w:hAnsiTheme="minorBidi"/>
          <w:sz w:val="22"/>
          <w:szCs w:val="22"/>
        </w:rPr>
        <w:t>Similarly, Macdonald and Lucas (2025) found that limited awareness of services, stigma and difficulties developing trusting relationships could discourage young people from seeking professional help.</w:t>
      </w:r>
    </w:p>
    <w:p w14:paraId="0A552325" w14:textId="77777777" w:rsidR="00C27D5F" w:rsidRPr="00C27D5F" w:rsidRDefault="00C27D5F" w:rsidP="00C27D5F">
      <w:pPr>
        <w:spacing w:line="360" w:lineRule="auto"/>
        <w:rPr>
          <w:rFonts w:asciiTheme="minorBidi" w:hAnsiTheme="minorBidi"/>
          <w:sz w:val="22"/>
          <w:szCs w:val="22"/>
        </w:rPr>
      </w:pPr>
      <w:r w:rsidRPr="00C27D5F">
        <w:rPr>
          <w:rFonts w:asciiTheme="minorBidi" w:hAnsiTheme="minorBidi"/>
          <w:sz w:val="22"/>
          <w:szCs w:val="22"/>
        </w:rPr>
        <w:t>Although existing studies have investigated help-seeking, their populations and settings differ. Reviewing this evidence could provide a clearer understanding of barriers affecting young adults specifically. The findings may help healthcare professionals recognise difficulties and consider improvements to service accessibility and communication.</w:t>
      </w:r>
    </w:p>
    <w:p w14:paraId="07B1B316" w14:textId="77777777" w:rsidR="00C27D5F" w:rsidRDefault="00C27D5F" w:rsidP="00C27D5F">
      <w:pPr>
        <w:spacing w:line="360" w:lineRule="auto"/>
        <w:rPr>
          <w:rFonts w:asciiTheme="minorBidi" w:hAnsiTheme="minorBidi"/>
          <w:b/>
          <w:bCs/>
          <w:sz w:val="22"/>
          <w:szCs w:val="22"/>
        </w:rPr>
      </w:pPr>
    </w:p>
    <w:p w14:paraId="16D9EDC3" w14:textId="77777777" w:rsidR="00C27D5F" w:rsidRDefault="00C27D5F" w:rsidP="00C27D5F">
      <w:pPr>
        <w:spacing w:line="360" w:lineRule="auto"/>
        <w:rPr>
          <w:rFonts w:asciiTheme="minorBidi" w:hAnsiTheme="minorBidi"/>
          <w:b/>
          <w:bCs/>
          <w:sz w:val="22"/>
          <w:szCs w:val="22"/>
        </w:rPr>
      </w:pPr>
    </w:p>
    <w:p w14:paraId="5C724EF2" w14:textId="77777777" w:rsidR="00C27D5F" w:rsidRDefault="00C27D5F" w:rsidP="00C27D5F">
      <w:pPr>
        <w:spacing w:line="360" w:lineRule="auto"/>
        <w:rPr>
          <w:rFonts w:asciiTheme="minorBidi" w:hAnsiTheme="minorBidi"/>
          <w:b/>
          <w:bCs/>
          <w:sz w:val="22"/>
          <w:szCs w:val="22"/>
        </w:rPr>
      </w:pPr>
    </w:p>
    <w:p w14:paraId="3C0A1AA7" w14:textId="418312BA" w:rsidR="00C27D5F" w:rsidRPr="00C27D5F" w:rsidRDefault="00C27D5F" w:rsidP="00C27D5F">
      <w:pPr>
        <w:spacing w:line="360" w:lineRule="auto"/>
        <w:rPr>
          <w:rFonts w:asciiTheme="minorBidi" w:hAnsiTheme="minorBidi"/>
          <w:b/>
          <w:bCs/>
          <w:sz w:val="22"/>
          <w:szCs w:val="22"/>
        </w:rPr>
      </w:pPr>
      <w:r w:rsidRPr="00C27D5F">
        <w:rPr>
          <w:rFonts w:asciiTheme="minorBidi" w:hAnsiTheme="minorBidi"/>
          <w:b/>
          <w:bCs/>
          <w:sz w:val="22"/>
          <w:szCs w:val="22"/>
        </w:rPr>
        <w:lastRenderedPageBreak/>
        <w:t>Methodology</w:t>
      </w:r>
    </w:p>
    <w:p w14:paraId="1773C931" w14:textId="77777777" w:rsidR="00C27D5F" w:rsidRPr="00C27D5F" w:rsidRDefault="00C27D5F" w:rsidP="00C27D5F">
      <w:pPr>
        <w:spacing w:line="360" w:lineRule="auto"/>
        <w:rPr>
          <w:rFonts w:asciiTheme="minorBidi" w:hAnsiTheme="minorBidi"/>
          <w:sz w:val="22"/>
          <w:szCs w:val="22"/>
        </w:rPr>
      </w:pPr>
      <w:r w:rsidRPr="00C27D5F">
        <w:rPr>
          <w:rFonts w:asciiTheme="minorBidi" w:hAnsiTheme="minorBidi"/>
          <w:sz w:val="22"/>
          <w:szCs w:val="22"/>
        </w:rPr>
        <w:t>A secondary research approach will be used, applying the scoping review framework developed by Arksey and O'Malley (2005). This approach is appropriate for examining existing evidence and identifying recurring issues and gaps in knowledge.</w:t>
      </w:r>
    </w:p>
    <w:p w14:paraId="4AC49DA2" w14:textId="29CC8C98" w:rsidR="00C27D5F" w:rsidRPr="00C27D5F" w:rsidRDefault="00C27D5F" w:rsidP="00C27D5F">
      <w:pPr>
        <w:spacing w:line="360" w:lineRule="auto"/>
        <w:rPr>
          <w:rFonts w:asciiTheme="minorBidi" w:hAnsiTheme="minorBidi"/>
          <w:sz w:val="22"/>
          <w:szCs w:val="22"/>
        </w:rPr>
      </w:pPr>
      <w:r w:rsidRPr="00C27D5F">
        <w:rPr>
          <w:rFonts w:asciiTheme="minorBidi" w:hAnsiTheme="minorBidi"/>
          <w:sz w:val="22"/>
          <w:szCs w:val="22"/>
        </w:rPr>
        <w:t>Peer-reviewed studies will be identified through academic databases such as PubMed, CINAHL and PsycINFO. Search terms will include 'young adults', 'mental health', 'help-seeking', 'access barriers' and 'United Kingdom', combined using Boolean operators.</w:t>
      </w:r>
    </w:p>
    <w:p w14:paraId="791C8370" w14:textId="77777777" w:rsidR="00C27D5F" w:rsidRPr="00C27D5F" w:rsidRDefault="00C27D5F" w:rsidP="00C27D5F">
      <w:pPr>
        <w:spacing w:line="360" w:lineRule="auto"/>
        <w:rPr>
          <w:rFonts w:asciiTheme="minorBidi" w:hAnsiTheme="minorBidi"/>
          <w:sz w:val="22"/>
          <w:szCs w:val="22"/>
        </w:rPr>
      </w:pPr>
      <w:r w:rsidRPr="00C27D5F">
        <w:rPr>
          <w:rFonts w:asciiTheme="minorBidi" w:hAnsiTheme="minorBidi"/>
          <w:sz w:val="22"/>
          <w:szCs w:val="22"/>
        </w:rPr>
        <w:t>Studies focusing on UK young adults aged 18–25 will be prioritised. The selected articles will be summarised and analysed using Aveyard's (2014) simplified thematic analysis to identify recurring themes across the findings.</w:t>
      </w:r>
    </w:p>
    <w:p w14:paraId="55EB4750" w14:textId="77777777" w:rsidR="00C27D5F" w:rsidRPr="00C27D5F" w:rsidRDefault="00C27D5F" w:rsidP="00C27D5F">
      <w:pPr>
        <w:spacing w:line="360" w:lineRule="auto"/>
        <w:rPr>
          <w:rFonts w:asciiTheme="minorBidi" w:hAnsiTheme="minorBidi"/>
          <w:sz w:val="22"/>
          <w:szCs w:val="22"/>
        </w:rPr>
      </w:pPr>
    </w:p>
    <w:p w14:paraId="3E1BA9FF" w14:textId="15B70A30" w:rsidR="00C27D5F" w:rsidRPr="00C27D5F" w:rsidRDefault="00C27D5F" w:rsidP="00C27D5F">
      <w:pPr>
        <w:spacing w:line="360" w:lineRule="auto"/>
        <w:rPr>
          <w:rFonts w:asciiTheme="minorBidi" w:hAnsiTheme="minorBidi"/>
          <w:b/>
          <w:bCs/>
          <w:sz w:val="22"/>
          <w:szCs w:val="22"/>
        </w:rPr>
      </w:pPr>
      <w:r w:rsidRPr="00C27D5F">
        <w:rPr>
          <w:rFonts w:asciiTheme="minorBidi" w:hAnsiTheme="minorBidi"/>
          <w:b/>
          <w:bCs/>
          <w:sz w:val="22"/>
          <w:szCs w:val="22"/>
        </w:rPr>
        <w:t>Ethical Considerations</w:t>
      </w:r>
    </w:p>
    <w:p w14:paraId="3650F4AC" w14:textId="541BE270" w:rsidR="00E74CBA" w:rsidRPr="00C27D5F" w:rsidRDefault="00C27D5F" w:rsidP="00C27D5F">
      <w:pPr>
        <w:spacing w:line="360" w:lineRule="auto"/>
        <w:rPr>
          <w:rFonts w:asciiTheme="minorBidi" w:hAnsiTheme="minorBidi"/>
          <w:sz w:val="22"/>
          <w:szCs w:val="22"/>
        </w:rPr>
      </w:pPr>
      <w:r w:rsidRPr="00C27D5F">
        <w:rPr>
          <w:rFonts w:asciiTheme="minorBidi" w:hAnsiTheme="minorBidi"/>
          <w:sz w:val="22"/>
          <w:szCs w:val="22"/>
        </w:rPr>
        <w:t>As this study will use published research, no participants will be recruited. Ethical practice will involve accurate referencing, transparent study selection and objective reporting. Findings will be presented fairly, including evidence that challenges the main conclusions.</w:t>
      </w:r>
    </w:p>
    <w:p w14:paraId="09ED5599" w14:textId="77777777" w:rsidR="00C27D5F" w:rsidRPr="00C27D5F" w:rsidRDefault="00C27D5F" w:rsidP="00C27D5F">
      <w:pPr>
        <w:spacing w:line="360" w:lineRule="auto"/>
        <w:rPr>
          <w:rFonts w:asciiTheme="minorBidi" w:hAnsiTheme="minorBidi"/>
          <w:sz w:val="22"/>
          <w:szCs w:val="22"/>
        </w:rPr>
      </w:pPr>
    </w:p>
    <w:p w14:paraId="2F66C677" w14:textId="77777777" w:rsidR="00C27D5F" w:rsidRPr="00C27D5F" w:rsidRDefault="00C27D5F" w:rsidP="00C27D5F">
      <w:pPr>
        <w:spacing w:line="360" w:lineRule="auto"/>
        <w:rPr>
          <w:rFonts w:asciiTheme="minorBidi" w:hAnsiTheme="minorBidi"/>
          <w:sz w:val="22"/>
          <w:szCs w:val="22"/>
        </w:rPr>
      </w:pPr>
    </w:p>
    <w:p w14:paraId="55C684EF" w14:textId="77777777" w:rsidR="00C27D5F" w:rsidRPr="00C27D5F" w:rsidRDefault="00C27D5F" w:rsidP="00C27D5F">
      <w:pPr>
        <w:spacing w:line="360" w:lineRule="auto"/>
        <w:rPr>
          <w:rFonts w:asciiTheme="minorBidi" w:hAnsiTheme="minorBidi"/>
          <w:sz w:val="22"/>
          <w:szCs w:val="22"/>
        </w:rPr>
      </w:pPr>
    </w:p>
    <w:p w14:paraId="7602B279" w14:textId="77777777" w:rsidR="00C27D5F" w:rsidRDefault="00C27D5F" w:rsidP="00C27D5F">
      <w:pPr>
        <w:spacing w:line="360" w:lineRule="auto"/>
        <w:rPr>
          <w:rFonts w:asciiTheme="minorBidi" w:hAnsiTheme="minorBidi"/>
          <w:b/>
          <w:bCs/>
          <w:sz w:val="22"/>
          <w:szCs w:val="22"/>
        </w:rPr>
      </w:pPr>
    </w:p>
    <w:p w14:paraId="091E2566" w14:textId="77777777" w:rsidR="00C27D5F" w:rsidRDefault="00C27D5F" w:rsidP="00C27D5F">
      <w:pPr>
        <w:spacing w:line="360" w:lineRule="auto"/>
        <w:rPr>
          <w:rFonts w:asciiTheme="minorBidi" w:hAnsiTheme="minorBidi"/>
          <w:b/>
          <w:bCs/>
          <w:sz w:val="22"/>
          <w:szCs w:val="22"/>
        </w:rPr>
      </w:pPr>
    </w:p>
    <w:p w14:paraId="22565912" w14:textId="77777777" w:rsidR="00C27D5F" w:rsidRDefault="00C27D5F" w:rsidP="00C27D5F">
      <w:pPr>
        <w:spacing w:line="360" w:lineRule="auto"/>
        <w:rPr>
          <w:rFonts w:asciiTheme="minorBidi" w:hAnsiTheme="minorBidi"/>
          <w:b/>
          <w:bCs/>
          <w:sz w:val="22"/>
          <w:szCs w:val="22"/>
        </w:rPr>
      </w:pPr>
    </w:p>
    <w:p w14:paraId="566CAD10" w14:textId="77777777" w:rsidR="00C27D5F" w:rsidRDefault="00C27D5F" w:rsidP="00C27D5F">
      <w:pPr>
        <w:spacing w:line="360" w:lineRule="auto"/>
        <w:rPr>
          <w:rFonts w:asciiTheme="minorBidi" w:hAnsiTheme="minorBidi"/>
          <w:b/>
          <w:bCs/>
          <w:sz w:val="22"/>
          <w:szCs w:val="22"/>
        </w:rPr>
      </w:pPr>
    </w:p>
    <w:p w14:paraId="5DE2A728" w14:textId="77777777" w:rsidR="00C27D5F" w:rsidRDefault="00C27D5F" w:rsidP="00C27D5F">
      <w:pPr>
        <w:spacing w:line="360" w:lineRule="auto"/>
        <w:rPr>
          <w:rFonts w:asciiTheme="minorBidi" w:hAnsiTheme="minorBidi"/>
          <w:b/>
          <w:bCs/>
          <w:sz w:val="22"/>
          <w:szCs w:val="22"/>
        </w:rPr>
      </w:pPr>
    </w:p>
    <w:p w14:paraId="64576D42" w14:textId="77777777" w:rsidR="00C27D5F" w:rsidRDefault="00C27D5F" w:rsidP="00C27D5F">
      <w:pPr>
        <w:spacing w:line="360" w:lineRule="auto"/>
        <w:rPr>
          <w:rFonts w:asciiTheme="minorBidi" w:hAnsiTheme="minorBidi"/>
          <w:b/>
          <w:bCs/>
          <w:sz w:val="22"/>
          <w:szCs w:val="22"/>
        </w:rPr>
      </w:pPr>
    </w:p>
    <w:p w14:paraId="7A43F9F7" w14:textId="77777777" w:rsidR="00C27D5F" w:rsidRDefault="00C27D5F" w:rsidP="00C27D5F">
      <w:pPr>
        <w:spacing w:line="360" w:lineRule="auto"/>
        <w:rPr>
          <w:rFonts w:asciiTheme="minorBidi" w:hAnsiTheme="minorBidi"/>
          <w:b/>
          <w:bCs/>
          <w:sz w:val="22"/>
          <w:szCs w:val="22"/>
        </w:rPr>
      </w:pPr>
    </w:p>
    <w:p w14:paraId="5BFEB1A5" w14:textId="77777777" w:rsidR="00C27D5F" w:rsidRDefault="00C27D5F" w:rsidP="00C27D5F">
      <w:pPr>
        <w:spacing w:line="360" w:lineRule="auto"/>
        <w:rPr>
          <w:rFonts w:asciiTheme="minorBidi" w:hAnsiTheme="minorBidi"/>
          <w:b/>
          <w:bCs/>
          <w:sz w:val="22"/>
          <w:szCs w:val="22"/>
        </w:rPr>
      </w:pPr>
    </w:p>
    <w:p w14:paraId="5F883BF9" w14:textId="77777777" w:rsidR="00C27D5F" w:rsidRDefault="00C27D5F" w:rsidP="00C27D5F">
      <w:pPr>
        <w:spacing w:line="360" w:lineRule="auto"/>
        <w:rPr>
          <w:rFonts w:asciiTheme="minorBidi" w:hAnsiTheme="minorBidi"/>
          <w:b/>
          <w:bCs/>
          <w:sz w:val="22"/>
          <w:szCs w:val="22"/>
        </w:rPr>
      </w:pPr>
    </w:p>
    <w:p w14:paraId="0971A604" w14:textId="77777777" w:rsidR="00C27D5F" w:rsidRDefault="00C27D5F" w:rsidP="00C27D5F">
      <w:pPr>
        <w:spacing w:line="360" w:lineRule="auto"/>
        <w:rPr>
          <w:rFonts w:asciiTheme="minorBidi" w:hAnsiTheme="minorBidi"/>
          <w:b/>
          <w:bCs/>
          <w:sz w:val="22"/>
          <w:szCs w:val="22"/>
        </w:rPr>
      </w:pPr>
    </w:p>
    <w:p w14:paraId="16A2F0C7" w14:textId="77777777" w:rsidR="00C27D5F" w:rsidRDefault="00C27D5F" w:rsidP="00C27D5F">
      <w:pPr>
        <w:spacing w:line="360" w:lineRule="auto"/>
        <w:rPr>
          <w:rFonts w:asciiTheme="minorBidi" w:hAnsiTheme="minorBidi"/>
          <w:b/>
          <w:bCs/>
          <w:sz w:val="22"/>
          <w:szCs w:val="22"/>
        </w:rPr>
      </w:pPr>
    </w:p>
    <w:p w14:paraId="155DB545" w14:textId="67FAABEF" w:rsidR="00C27D5F" w:rsidRPr="00C27D5F" w:rsidRDefault="00C27D5F" w:rsidP="00C27D5F">
      <w:pPr>
        <w:spacing w:line="360" w:lineRule="auto"/>
        <w:rPr>
          <w:rFonts w:asciiTheme="minorBidi" w:hAnsiTheme="minorBidi"/>
          <w:b/>
          <w:bCs/>
          <w:sz w:val="22"/>
          <w:szCs w:val="22"/>
        </w:rPr>
      </w:pPr>
      <w:r w:rsidRPr="00C27D5F">
        <w:rPr>
          <w:rFonts w:asciiTheme="minorBidi" w:hAnsiTheme="minorBidi"/>
          <w:b/>
          <w:bCs/>
          <w:sz w:val="22"/>
          <w:szCs w:val="22"/>
        </w:rPr>
        <w:t xml:space="preserve">Reference list </w:t>
      </w:r>
    </w:p>
    <w:p w14:paraId="46FFD07D" w14:textId="77777777" w:rsidR="00C27D5F" w:rsidRPr="00C27D5F" w:rsidRDefault="00C27D5F" w:rsidP="00C27D5F">
      <w:pPr>
        <w:spacing w:line="360" w:lineRule="auto"/>
        <w:rPr>
          <w:rFonts w:asciiTheme="minorBidi" w:hAnsiTheme="minorBidi"/>
          <w:sz w:val="22"/>
          <w:szCs w:val="22"/>
        </w:rPr>
      </w:pPr>
      <w:r w:rsidRPr="00C27D5F">
        <w:rPr>
          <w:rFonts w:asciiTheme="minorBidi" w:hAnsiTheme="minorBidi"/>
          <w:sz w:val="22"/>
          <w:szCs w:val="22"/>
        </w:rPr>
        <w:t xml:space="preserve">Aveyard, H. (2014) Doing a literature review in health and social care: a practical guide. 3rd </w:t>
      </w:r>
      <w:proofErr w:type="spellStart"/>
      <w:r w:rsidRPr="00C27D5F">
        <w:rPr>
          <w:rFonts w:asciiTheme="minorBidi" w:hAnsiTheme="minorBidi"/>
          <w:sz w:val="22"/>
          <w:szCs w:val="22"/>
        </w:rPr>
        <w:t>edn</w:t>
      </w:r>
      <w:proofErr w:type="spellEnd"/>
      <w:r w:rsidRPr="00C27D5F">
        <w:rPr>
          <w:rFonts w:asciiTheme="minorBidi" w:hAnsiTheme="minorBidi"/>
          <w:sz w:val="22"/>
          <w:szCs w:val="22"/>
        </w:rPr>
        <w:t>. Maidenhead: Open University Press.</w:t>
      </w:r>
    </w:p>
    <w:p w14:paraId="5EEE1CA2" w14:textId="77777777" w:rsidR="00C27D5F" w:rsidRPr="00C27D5F" w:rsidRDefault="00C27D5F" w:rsidP="00C27D5F">
      <w:pPr>
        <w:spacing w:line="360" w:lineRule="auto"/>
        <w:rPr>
          <w:rFonts w:asciiTheme="minorBidi" w:hAnsiTheme="minorBidi"/>
          <w:sz w:val="22"/>
          <w:szCs w:val="22"/>
        </w:rPr>
      </w:pPr>
      <w:r w:rsidRPr="00C27D5F">
        <w:rPr>
          <w:rFonts w:asciiTheme="minorBidi" w:hAnsiTheme="minorBidi"/>
          <w:sz w:val="22"/>
          <w:szCs w:val="22"/>
        </w:rPr>
        <w:t>Arksey, H. and O'Malley, L. (2005) ‘Scoping studies: towards a methodological framework’, International Journal of Social Research Methodology, 8(1), pp. 19–32. Available at: https://doi.org/10.1080/1364557032000119616.</w:t>
      </w:r>
    </w:p>
    <w:p w14:paraId="6FCD48CB" w14:textId="77777777" w:rsidR="00C27D5F" w:rsidRPr="00C27D5F" w:rsidRDefault="00C27D5F" w:rsidP="00C27D5F">
      <w:pPr>
        <w:spacing w:line="360" w:lineRule="auto"/>
        <w:rPr>
          <w:rFonts w:asciiTheme="minorBidi" w:hAnsiTheme="minorBidi"/>
          <w:sz w:val="22"/>
          <w:szCs w:val="22"/>
        </w:rPr>
      </w:pPr>
      <w:r w:rsidRPr="00C27D5F">
        <w:rPr>
          <w:rFonts w:asciiTheme="minorBidi" w:hAnsiTheme="minorBidi"/>
          <w:sz w:val="22"/>
          <w:szCs w:val="22"/>
        </w:rPr>
        <w:t>Long, L., McGarry, J., Carter, T., Roberts, S. and Aubeeluck, A. (2023) ‘The experiences, views and beliefs of emerging adults and their carers of receiving adult mental health services in the UK: a systematic review and meta-ethnography’, British Journal of Mental Health Nursing, 12(4), pp. 1–15. Available at: https://doi.org/10.12968/bjmh.2021.0013.</w:t>
      </w:r>
    </w:p>
    <w:p w14:paraId="316E7AB3" w14:textId="77777777" w:rsidR="00C27D5F" w:rsidRPr="00C27D5F" w:rsidRDefault="00C27D5F" w:rsidP="00C27D5F">
      <w:pPr>
        <w:spacing w:line="360" w:lineRule="auto"/>
        <w:rPr>
          <w:rFonts w:asciiTheme="minorBidi" w:hAnsiTheme="minorBidi"/>
          <w:sz w:val="22"/>
          <w:szCs w:val="22"/>
        </w:rPr>
      </w:pPr>
      <w:r w:rsidRPr="00C27D5F">
        <w:rPr>
          <w:rFonts w:asciiTheme="minorBidi" w:hAnsiTheme="minorBidi"/>
          <w:sz w:val="22"/>
          <w:szCs w:val="22"/>
        </w:rPr>
        <w:t>Macdonald, G.M. and Lucas, P.J. (2025) ‘The barriers and facilitators to help-seeking: What young people in the UK say: A systematic review’, The British Journal of Social Work. Available at: https://doi.org/10.1093/bjsw/bcaf278.</w:t>
      </w:r>
    </w:p>
    <w:p w14:paraId="1A0869EE" w14:textId="7665EEAE" w:rsidR="00C27D5F" w:rsidRPr="00C27D5F" w:rsidRDefault="00C27D5F" w:rsidP="00C27D5F">
      <w:pPr>
        <w:spacing w:line="360" w:lineRule="auto"/>
        <w:rPr>
          <w:rFonts w:asciiTheme="minorBidi" w:hAnsiTheme="minorBidi"/>
          <w:sz w:val="22"/>
          <w:szCs w:val="22"/>
        </w:rPr>
      </w:pPr>
      <w:r w:rsidRPr="00C27D5F">
        <w:rPr>
          <w:rFonts w:asciiTheme="minorBidi" w:hAnsiTheme="minorBidi"/>
          <w:sz w:val="22"/>
          <w:szCs w:val="22"/>
        </w:rPr>
        <w:t>Salaheddin, K. and Mason, B. (2016) ‘Identifying barriers to mental health help-seeking among young adults in the UK: a cross-sectional survey’, British Journal of General Practice, 66(651), pp. e686–e692. Available at: https://doi.org/10.3399/bjgp16X687313.</w:t>
      </w:r>
    </w:p>
    <w:sectPr w:rsidR="00C27D5F" w:rsidRPr="00C27D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7D5F"/>
    <w:rsid w:val="002A2D09"/>
    <w:rsid w:val="0094282E"/>
    <w:rsid w:val="00C27D5F"/>
    <w:rsid w:val="00E02DB0"/>
    <w:rsid w:val="00E74CB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C31154"/>
  <w15:chartTrackingRefBased/>
  <w15:docId w15:val="{3D6D4444-4743-4B4A-BB94-5E9FBAFC2E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7D5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27D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27D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7D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7D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7D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7D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7D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7D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7D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27D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27D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27D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7D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7D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7D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7D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7D5F"/>
    <w:rPr>
      <w:rFonts w:eastAsiaTheme="majorEastAsia" w:cstheme="majorBidi"/>
      <w:color w:val="272727" w:themeColor="text1" w:themeTint="D8"/>
    </w:rPr>
  </w:style>
  <w:style w:type="paragraph" w:styleId="Title">
    <w:name w:val="Title"/>
    <w:basedOn w:val="Normal"/>
    <w:next w:val="Normal"/>
    <w:link w:val="TitleChar"/>
    <w:uiPriority w:val="10"/>
    <w:qFormat/>
    <w:rsid w:val="00C27D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7D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7D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7D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7D5F"/>
    <w:pPr>
      <w:spacing w:before="160"/>
      <w:jc w:val="center"/>
    </w:pPr>
    <w:rPr>
      <w:i/>
      <w:iCs/>
      <w:color w:val="404040" w:themeColor="text1" w:themeTint="BF"/>
    </w:rPr>
  </w:style>
  <w:style w:type="character" w:customStyle="1" w:styleId="QuoteChar">
    <w:name w:val="Quote Char"/>
    <w:basedOn w:val="DefaultParagraphFont"/>
    <w:link w:val="Quote"/>
    <w:uiPriority w:val="29"/>
    <w:rsid w:val="00C27D5F"/>
    <w:rPr>
      <w:i/>
      <w:iCs/>
      <w:color w:val="404040" w:themeColor="text1" w:themeTint="BF"/>
    </w:rPr>
  </w:style>
  <w:style w:type="paragraph" w:styleId="ListParagraph">
    <w:name w:val="List Paragraph"/>
    <w:basedOn w:val="Normal"/>
    <w:uiPriority w:val="34"/>
    <w:qFormat/>
    <w:rsid w:val="00C27D5F"/>
    <w:pPr>
      <w:ind w:left="720"/>
      <w:contextualSpacing/>
    </w:pPr>
  </w:style>
  <w:style w:type="character" w:styleId="IntenseEmphasis">
    <w:name w:val="Intense Emphasis"/>
    <w:basedOn w:val="DefaultParagraphFont"/>
    <w:uiPriority w:val="21"/>
    <w:qFormat/>
    <w:rsid w:val="00C27D5F"/>
    <w:rPr>
      <w:i/>
      <w:iCs/>
      <w:color w:val="0F4761" w:themeColor="accent1" w:themeShade="BF"/>
    </w:rPr>
  </w:style>
  <w:style w:type="paragraph" w:styleId="IntenseQuote">
    <w:name w:val="Intense Quote"/>
    <w:basedOn w:val="Normal"/>
    <w:next w:val="Normal"/>
    <w:link w:val="IntenseQuoteChar"/>
    <w:uiPriority w:val="30"/>
    <w:qFormat/>
    <w:rsid w:val="00C27D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7D5F"/>
    <w:rPr>
      <w:i/>
      <w:iCs/>
      <w:color w:val="0F4761" w:themeColor="accent1" w:themeShade="BF"/>
    </w:rPr>
  </w:style>
  <w:style w:type="character" w:styleId="IntenseReference">
    <w:name w:val="Intense Reference"/>
    <w:basedOn w:val="DefaultParagraphFont"/>
    <w:uiPriority w:val="32"/>
    <w:qFormat/>
    <w:rsid w:val="00C27D5F"/>
    <w:rPr>
      <w:b/>
      <w:bCs/>
      <w:smallCaps/>
      <w:color w:val="0F4761" w:themeColor="accent1" w:themeShade="BF"/>
      <w:spacing w:val="5"/>
    </w:rPr>
  </w:style>
  <w:style w:type="character" w:styleId="Hyperlink">
    <w:name w:val="Hyperlink"/>
    <w:basedOn w:val="DefaultParagraphFont"/>
    <w:uiPriority w:val="99"/>
    <w:unhideWhenUsed/>
    <w:rsid w:val="00C27D5F"/>
    <w:rPr>
      <w:color w:val="467886" w:themeColor="hyperlink"/>
      <w:u w:val="single"/>
    </w:rPr>
  </w:style>
  <w:style w:type="character" w:styleId="UnresolvedMention">
    <w:name w:val="Unresolved Mention"/>
    <w:basedOn w:val="DefaultParagraphFont"/>
    <w:uiPriority w:val="99"/>
    <w:semiHidden/>
    <w:unhideWhenUsed/>
    <w:rsid w:val="00C27D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TotalTime>
  <Pages>4</Pages>
  <Words>678</Words>
  <Characters>3867</Characters>
  <Application>Microsoft Office Word</Application>
  <DocSecurity>0</DocSecurity>
  <Lines>32</Lines>
  <Paragraphs>9</Paragraphs>
  <ScaleCrop>false</ScaleCrop>
  <Company/>
  <LinksUpToDate>false</LinksUpToDate>
  <CharactersWithSpaces>4536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Mgid Glal (2422237)</dc:creator>
  <cp:keywords/>
  <dc:description/>
  <cp:lastModifiedBy>Mgid Glal (2422237)</cp:lastModifiedBy>
  <cp:revision>1</cp:revision>
  <dcterms:created xsi:type="dcterms:W3CDTF">2026-10-18T21:09:00Z</dcterms:created>
  <dcterms:modified xsi:type="dcterms:W3CDTF">2026-10-18T21:19:00Z</dcterms:modified>
</cp:coreProperties>
</file>